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11DF7" w14:textId="77777777" w:rsidR="00F47172" w:rsidRPr="001940E0" w:rsidRDefault="00F47172" w:rsidP="000B1825">
      <w:pPr>
        <w:spacing w:before="240" w:after="240"/>
        <w:jc w:val="center"/>
        <w:rPr>
          <w:b/>
          <w:sz w:val="22"/>
          <w:szCs w:val="22"/>
        </w:rPr>
      </w:pPr>
    </w:p>
    <w:p w14:paraId="10576FB7" w14:textId="77777777" w:rsidR="00F47172" w:rsidRPr="001940E0" w:rsidRDefault="00F47172" w:rsidP="000B1825">
      <w:pPr>
        <w:spacing w:before="240" w:after="240"/>
        <w:jc w:val="center"/>
        <w:rPr>
          <w:b/>
          <w:sz w:val="22"/>
          <w:szCs w:val="22"/>
        </w:rPr>
      </w:pPr>
    </w:p>
    <w:p w14:paraId="05657103" w14:textId="77777777" w:rsidR="00F47172" w:rsidRPr="001940E0" w:rsidRDefault="00F47172" w:rsidP="000B1825">
      <w:pPr>
        <w:spacing w:before="240" w:after="240"/>
        <w:jc w:val="center"/>
        <w:rPr>
          <w:b/>
          <w:sz w:val="22"/>
          <w:szCs w:val="22"/>
        </w:rPr>
      </w:pPr>
    </w:p>
    <w:p w14:paraId="1FAD360A" w14:textId="77777777" w:rsidR="00F47172" w:rsidRPr="001940E0" w:rsidRDefault="00F47172" w:rsidP="000B1825">
      <w:pPr>
        <w:pStyle w:val="Subtitle"/>
        <w:spacing w:before="240" w:after="240"/>
        <w:rPr>
          <w:sz w:val="22"/>
          <w:szCs w:val="22"/>
        </w:rPr>
      </w:pPr>
      <w:bookmarkStart w:id="0" w:name="_hobq6ht17hv7" w:colFirst="0" w:colLast="0"/>
      <w:bookmarkEnd w:id="0"/>
    </w:p>
    <w:p w14:paraId="4FEC5A20" w14:textId="77777777" w:rsidR="00A27A9F" w:rsidRDefault="00A27A9F" w:rsidP="000B1825">
      <w:pPr>
        <w:spacing w:before="240" w:after="240"/>
        <w:ind w:firstLine="0"/>
        <w:jc w:val="center"/>
        <w:rPr>
          <w:b/>
          <w:sz w:val="22"/>
          <w:szCs w:val="22"/>
        </w:rPr>
      </w:pPr>
      <w:bookmarkStart w:id="1" w:name="_n938fb60o5n" w:colFirst="0" w:colLast="0"/>
      <w:bookmarkEnd w:id="1"/>
      <w:r w:rsidRPr="00A27A9F">
        <w:rPr>
          <w:b/>
          <w:sz w:val="22"/>
          <w:szCs w:val="22"/>
        </w:rPr>
        <w:t>Assay Replicability in β-Glucosidase Enzyme Kinetics Across Laboratories</w:t>
      </w:r>
    </w:p>
    <w:p w14:paraId="2C5C6EFF" w14:textId="6758ACDC" w:rsidR="002E00AC" w:rsidRPr="001940E0" w:rsidRDefault="002E00AC" w:rsidP="000B1825">
      <w:pPr>
        <w:spacing w:before="240" w:after="240"/>
        <w:ind w:firstLine="0"/>
        <w:jc w:val="center"/>
        <w:rPr>
          <w:sz w:val="22"/>
          <w:szCs w:val="22"/>
        </w:rPr>
      </w:pPr>
      <w:r w:rsidRPr="001940E0">
        <w:rPr>
          <w:sz w:val="22"/>
          <w:szCs w:val="22"/>
        </w:rPr>
        <w:t xml:space="preserve">Nicole Najam, Jaime Mayoral, Olga Capurro </w:t>
      </w:r>
    </w:p>
    <w:p w14:paraId="7E31DC1F" w14:textId="27AB482A" w:rsidR="00F47172" w:rsidRPr="001940E0" w:rsidRDefault="002E00AC" w:rsidP="000B1825">
      <w:pPr>
        <w:spacing w:before="240" w:after="240"/>
        <w:ind w:firstLine="0"/>
        <w:jc w:val="center"/>
        <w:rPr>
          <w:sz w:val="22"/>
          <w:szCs w:val="22"/>
        </w:rPr>
      </w:pPr>
      <w:r w:rsidRPr="001940E0">
        <w:rPr>
          <w:sz w:val="22"/>
          <w:szCs w:val="22"/>
        </w:rPr>
        <w:t>Biological Sciences</w:t>
      </w:r>
      <w:r w:rsidR="00621CD8" w:rsidRPr="001940E0">
        <w:rPr>
          <w:sz w:val="22"/>
          <w:szCs w:val="22"/>
        </w:rPr>
        <w:t xml:space="preserve">, </w:t>
      </w:r>
      <w:r w:rsidRPr="001940E0">
        <w:rPr>
          <w:sz w:val="22"/>
          <w:szCs w:val="22"/>
        </w:rPr>
        <w:t>Florida International University</w:t>
      </w:r>
    </w:p>
    <w:p w14:paraId="31A4A681" w14:textId="325C3E91" w:rsidR="00F47172" w:rsidRPr="001940E0" w:rsidRDefault="00621CD8" w:rsidP="000B1825">
      <w:pPr>
        <w:spacing w:before="240" w:after="240"/>
        <w:ind w:firstLine="0"/>
        <w:jc w:val="center"/>
        <w:rPr>
          <w:sz w:val="22"/>
          <w:szCs w:val="22"/>
        </w:rPr>
      </w:pPr>
      <w:r w:rsidRPr="001940E0">
        <w:rPr>
          <w:sz w:val="22"/>
          <w:szCs w:val="22"/>
        </w:rPr>
        <w:br w:type="page"/>
      </w:r>
    </w:p>
    <w:p w14:paraId="4D4C416E" w14:textId="04B42C82" w:rsidR="002E00AC" w:rsidRPr="001940E0" w:rsidRDefault="00A85D65" w:rsidP="000B1825">
      <w:pPr>
        <w:spacing w:before="240" w:after="240"/>
        <w:jc w:val="center"/>
        <w:rPr>
          <w:b/>
          <w:sz w:val="22"/>
          <w:szCs w:val="22"/>
        </w:rPr>
      </w:pPr>
      <w:bookmarkStart w:id="2" w:name="_2z3i4c8xuigf" w:colFirst="0" w:colLast="0"/>
      <w:bookmarkEnd w:id="2"/>
      <w:r w:rsidRPr="001940E0">
        <w:rPr>
          <w:b/>
          <w:sz w:val="22"/>
          <w:szCs w:val="22"/>
        </w:rPr>
        <w:lastRenderedPageBreak/>
        <w:t>ABSTRACT</w:t>
      </w:r>
    </w:p>
    <w:p w14:paraId="6E458B13" w14:textId="77777777" w:rsidR="002E00AC" w:rsidRPr="001940E0" w:rsidRDefault="002E00AC" w:rsidP="000B1825">
      <w:pPr>
        <w:spacing w:before="240" w:after="240"/>
        <w:jc w:val="both"/>
      </w:pPr>
    </w:p>
    <w:p w14:paraId="3411E9AF" w14:textId="77777777" w:rsidR="00A85D65" w:rsidRPr="00A5723C" w:rsidRDefault="00A85D65" w:rsidP="000B1825">
      <w:pPr>
        <w:spacing w:before="240" w:after="240"/>
        <w:jc w:val="both"/>
        <w:rPr>
          <w:sz w:val="22"/>
          <w:szCs w:val="22"/>
          <w:lang w:val="en-US"/>
        </w:rPr>
      </w:pPr>
      <w:bookmarkStart w:id="3" w:name="_6mnx4bpjbb7n" w:colFirst="0" w:colLast="0"/>
      <w:bookmarkEnd w:id="3"/>
      <w:r w:rsidRPr="00A5723C">
        <w:rPr>
          <w:sz w:val="22"/>
          <w:szCs w:val="22"/>
          <w:lang w:val="en-US"/>
        </w:rPr>
        <w:t>Replicability is the foundation of research in any scientific discipline. Despite this, few studies address experimental variability within and across multiple institutions that operate under the same protocol. While consistency is usually well documented within the same lab, multi-institutional experiments may introduce new variables and, therefore, variability that may lead to inconsistent results. This study seeks to explore intra- and interinstitutional variability among enzyme catalytic efficiency values (K</w:t>
      </w:r>
      <w:r w:rsidRPr="00A5723C">
        <w:rPr>
          <w:sz w:val="22"/>
          <w:szCs w:val="22"/>
          <w:vertAlign w:val="subscript"/>
          <w:lang w:val="en-US"/>
        </w:rPr>
        <w:t>M</w:t>
      </w:r>
      <w:r w:rsidRPr="00A5723C">
        <w:rPr>
          <w:sz w:val="22"/>
          <w:szCs w:val="22"/>
          <w:lang w:val="en-US"/>
        </w:rPr>
        <w:t xml:space="preserve"> and </w:t>
      </w:r>
      <w:proofErr w:type="spellStart"/>
      <w:r w:rsidRPr="00A5723C">
        <w:rPr>
          <w:sz w:val="22"/>
          <w:szCs w:val="22"/>
          <w:lang w:val="en-US"/>
        </w:rPr>
        <w:t>k</w:t>
      </w:r>
      <w:r w:rsidRPr="00A5723C">
        <w:rPr>
          <w:sz w:val="22"/>
          <w:szCs w:val="22"/>
          <w:vertAlign w:val="subscript"/>
          <w:lang w:val="en-US"/>
        </w:rPr>
        <w:t>cat</w:t>
      </w:r>
      <w:proofErr w:type="spellEnd"/>
      <w:r w:rsidRPr="00A5723C">
        <w:rPr>
          <w:sz w:val="22"/>
          <w:szCs w:val="22"/>
          <w:lang w:val="en-US"/>
        </w:rPr>
        <w:t>/K</w:t>
      </w:r>
      <w:r w:rsidRPr="00A5723C">
        <w:rPr>
          <w:sz w:val="22"/>
          <w:szCs w:val="22"/>
          <w:vertAlign w:val="subscript"/>
          <w:lang w:val="en-US"/>
        </w:rPr>
        <w:t>M</w:t>
      </w:r>
      <w:r w:rsidRPr="00A5723C">
        <w:rPr>
          <w:sz w:val="22"/>
          <w:szCs w:val="22"/>
          <w:lang w:val="en-US"/>
        </w:rPr>
        <w:t>) for the wild type of β-Glucosidase derived from </w:t>
      </w:r>
      <w:proofErr w:type="spellStart"/>
      <w:r w:rsidRPr="00A5723C">
        <w:rPr>
          <w:i/>
          <w:iCs/>
          <w:sz w:val="22"/>
          <w:szCs w:val="22"/>
          <w:lang w:val="en-US"/>
        </w:rPr>
        <w:t>Paenibacillus</w:t>
      </w:r>
      <w:proofErr w:type="spellEnd"/>
      <w:r w:rsidRPr="00A5723C">
        <w:rPr>
          <w:i/>
          <w:iCs/>
          <w:sz w:val="22"/>
          <w:szCs w:val="22"/>
          <w:lang w:val="en-US"/>
        </w:rPr>
        <w:t xml:space="preserve"> </w:t>
      </w:r>
      <w:proofErr w:type="spellStart"/>
      <w:r w:rsidRPr="00A5723C">
        <w:rPr>
          <w:i/>
          <w:iCs/>
          <w:sz w:val="22"/>
          <w:szCs w:val="22"/>
          <w:lang w:val="en-US"/>
        </w:rPr>
        <w:t>polymyxa</w:t>
      </w:r>
      <w:proofErr w:type="spellEnd"/>
      <w:r w:rsidRPr="00A5723C">
        <w:rPr>
          <w:sz w:val="22"/>
          <w:szCs w:val="22"/>
          <w:lang w:val="en-US"/>
        </w:rPr>
        <w:t>. A standardized protocol for the assay was provided to all institutions that participated in the study. The analysis was conducted using data from 9 laboratories across the United States. The information was collected through the Design2Data CURE database. Our analysis showed an interlaboratory variability of 46.77% for K</w:t>
      </w:r>
      <w:r w:rsidRPr="00A5723C">
        <w:rPr>
          <w:sz w:val="22"/>
          <w:szCs w:val="22"/>
          <w:vertAlign w:val="subscript"/>
          <w:lang w:val="en-US"/>
        </w:rPr>
        <w:t>M</w:t>
      </w:r>
      <w:r w:rsidRPr="00A5723C">
        <w:rPr>
          <w:sz w:val="22"/>
          <w:szCs w:val="22"/>
          <w:lang w:val="en-US"/>
        </w:rPr>
        <w:t xml:space="preserve">, 215,38% for </w:t>
      </w:r>
      <w:proofErr w:type="spellStart"/>
      <w:r w:rsidRPr="00A5723C">
        <w:rPr>
          <w:sz w:val="22"/>
          <w:szCs w:val="22"/>
          <w:lang w:val="en-US"/>
        </w:rPr>
        <w:t>k</w:t>
      </w:r>
      <w:r w:rsidRPr="00A5723C">
        <w:rPr>
          <w:sz w:val="22"/>
          <w:szCs w:val="22"/>
          <w:vertAlign w:val="subscript"/>
          <w:lang w:val="en-US"/>
        </w:rPr>
        <w:t>cat</w:t>
      </w:r>
      <w:proofErr w:type="spellEnd"/>
      <w:r w:rsidRPr="00A5723C">
        <w:rPr>
          <w:sz w:val="22"/>
          <w:szCs w:val="22"/>
          <w:lang w:val="en-US"/>
        </w:rPr>
        <w:t xml:space="preserve">, and 186.07% for </w:t>
      </w:r>
      <w:proofErr w:type="spellStart"/>
      <w:r w:rsidRPr="00A5723C">
        <w:rPr>
          <w:sz w:val="22"/>
          <w:szCs w:val="22"/>
          <w:lang w:val="en-US"/>
        </w:rPr>
        <w:t>k</w:t>
      </w:r>
      <w:r w:rsidRPr="00A5723C">
        <w:rPr>
          <w:sz w:val="22"/>
          <w:szCs w:val="22"/>
          <w:vertAlign w:val="subscript"/>
          <w:lang w:val="en-US"/>
        </w:rPr>
        <w:t>cat</w:t>
      </w:r>
      <w:proofErr w:type="spellEnd"/>
      <w:r w:rsidRPr="00A5723C">
        <w:rPr>
          <w:sz w:val="22"/>
          <w:szCs w:val="22"/>
          <w:lang w:val="en-US"/>
        </w:rPr>
        <w:t>/ K</w:t>
      </w:r>
      <w:r w:rsidRPr="00A5723C">
        <w:rPr>
          <w:sz w:val="22"/>
          <w:szCs w:val="22"/>
          <w:vertAlign w:val="subscript"/>
          <w:lang w:val="en-US"/>
        </w:rPr>
        <w:t>M</w:t>
      </w:r>
      <w:r w:rsidRPr="00A5723C">
        <w:rPr>
          <w:sz w:val="22"/>
          <w:szCs w:val="22"/>
          <w:lang w:val="en-US"/>
        </w:rPr>
        <w:t>. Meanwhile, the intra-laboratory variability ranged between 18.98% and 61.74% for K</w:t>
      </w:r>
      <w:r w:rsidRPr="00A5723C">
        <w:rPr>
          <w:sz w:val="22"/>
          <w:szCs w:val="22"/>
          <w:vertAlign w:val="subscript"/>
          <w:lang w:val="en-US"/>
        </w:rPr>
        <w:t>M</w:t>
      </w:r>
      <w:r w:rsidRPr="00A5723C">
        <w:rPr>
          <w:sz w:val="22"/>
          <w:szCs w:val="22"/>
          <w:lang w:val="en-US"/>
        </w:rPr>
        <w:t xml:space="preserve">, 3.73% to 113.93% for </w:t>
      </w:r>
      <w:proofErr w:type="spellStart"/>
      <w:r w:rsidRPr="00A5723C">
        <w:rPr>
          <w:sz w:val="22"/>
          <w:szCs w:val="22"/>
          <w:lang w:val="en-US"/>
        </w:rPr>
        <w:t>k</w:t>
      </w:r>
      <w:r w:rsidRPr="00A5723C">
        <w:rPr>
          <w:sz w:val="22"/>
          <w:szCs w:val="22"/>
          <w:vertAlign w:val="subscript"/>
          <w:lang w:val="en-US"/>
        </w:rPr>
        <w:t>cat</w:t>
      </w:r>
      <w:proofErr w:type="spellEnd"/>
      <w:r w:rsidRPr="00A5723C">
        <w:rPr>
          <w:sz w:val="22"/>
          <w:szCs w:val="22"/>
          <w:lang w:val="en-US"/>
        </w:rPr>
        <w:t xml:space="preserve">, and 24.64% and 111.37% for </w:t>
      </w:r>
      <w:proofErr w:type="spellStart"/>
      <w:r w:rsidRPr="00A5723C">
        <w:rPr>
          <w:sz w:val="22"/>
          <w:szCs w:val="22"/>
          <w:lang w:val="en-US"/>
        </w:rPr>
        <w:t>k</w:t>
      </w:r>
      <w:r w:rsidRPr="00A5723C">
        <w:rPr>
          <w:sz w:val="22"/>
          <w:szCs w:val="22"/>
          <w:vertAlign w:val="subscript"/>
          <w:lang w:val="en-US"/>
        </w:rPr>
        <w:t>cat</w:t>
      </w:r>
      <w:proofErr w:type="spellEnd"/>
      <w:r w:rsidRPr="00A5723C">
        <w:rPr>
          <w:sz w:val="22"/>
          <w:szCs w:val="22"/>
          <w:lang w:val="en-US"/>
        </w:rPr>
        <w:t>/ K</w:t>
      </w:r>
      <w:r w:rsidRPr="00A5723C">
        <w:rPr>
          <w:sz w:val="22"/>
          <w:szCs w:val="22"/>
          <w:vertAlign w:val="subscript"/>
          <w:lang w:val="en-US"/>
        </w:rPr>
        <w:t>M</w:t>
      </w:r>
      <w:r w:rsidRPr="00A5723C">
        <w:rPr>
          <w:sz w:val="22"/>
          <w:szCs w:val="22"/>
          <w:lang w:val="en-US"/>
        </w:rPr>
        <w:t>. These results show high variability in the kinetic parameters analyzed across and within institutions, with some values (</w:t>
      </w:r>
      <w:proofErr w:type="gramStart"/>
      <w:r w:rsidRPr="00A5723C">
        <w:rPr>
          <w:sz w:val="22"/>
          <w:szCs w:val="22"/>
          <w:lang w:val="en-US"/>
        </w:rPr>
        <w:t>i.e.</w:t>
      </w:r>
      <w:proofErr w:type="gramEnd"/>
      <w:r w:rsidRPr="00A5723C">
        <w:rPr>
          <w:sz w:val="22"/>
          <w:szCs w:val="22"/>
          <w:lang w:val="en-US"/>
        </w:rPr>
        <w:t xml:space="preserve"> K</w:t>
      </w:r>
      <w:r w:rsidRPr="00A5723C">
        <w:rPr>
          <w:sz w:val="22"/>
          <w:szCs w:val="22"/>
          <w:vertAlign w:val="subscript"/>
          <w:lang w:val="en-US"/>
        </w:rPr>
        <w:t>M</w:t>
      </w:r>
      <w:r w:rsidRPr="00A5723C">
        <w:rPr>
          <w:sz w:val="22"/>
          <w:szCs w:val="22"/>
          <w:lang w:val="en-US"/>
        </w:rPr>
        <w:t>) going up to 10 times higher. High variability may be a concern when data is interpreted across institutions. This specific assay is used as a control for other, more complex assays in the CURE network and, therefore, the variability found can potentially lead to incorrect interpretation of results. It also highlights the high variability of a simple enzymatic assay when it is replicated in laboratories with different reagents, personnel, and equipment, regardless of using the same standardized protocol. </w:t>
      </w:r>
    </w:p>
    <w:p w14:paraId="15568D84" w14:textId="009E320C" w:rsidR="00F47172" w:rsidRPr="00D47430" w:rsidRDefault="00A85D65" w:rsidP="000B1825">
      <w:pPr>
        <w:spacing w:before="240" w:after="240"/>
        <w:jc w:val="both"/>
        <w:rPr>
          <w:lang w:val="en-US"/>
        </w:rPr>
      </w:pPr>
      <w:bookmarkStart w:id="4" w:name="PointTmp"/>
      <w:r w:rsidRPr="00A5723C">
        <w:rPr>
          <w:i/>
          <w:iCs/>
          <w:sz w:val="22"/>
          <w:szCs w:val="22"/>
          <w:lang w:val="en-US"/>
        </w:rPr>
        <w:t>Key Words</w:t>
      </w:r>
      <w:r w:rsidRPr="00A5723C">
        <w:rPr>
          <w:sz w:val="22"/>
          <w:szCs w:val="22"/>
          <w:lang w:val="en-US"/>
        </w:rPr>
        <w:t>— replicability, beta-glucosidase, intra-laboratory, inter-laboratory</w:t>
      </w:r>
      <w:bookmarkEnd w:id="4"/>
      <w:r w:rsidR="00621CD8" w:rsidRPr="001940E0">
        <w:br w:type="page"/>
      </w:r>
    </w:p>
    <w:p w14:paraId="0DB9D0F7" w14:textId="0492DA08" w:rsidR="002E00AC" w:rsidRPr="00A5723C" w:rsidRDefault="002E00AC" w:rsidP="000B1825">
      <w:pPr>
        <w:pStyle w:val="Heading1"/>
        <w:numPr>
          <w:ilvl w:val="0"/>
          <w:numId w:val="3"/>
        </w:numPr>
        <w:spacing w:before="240" w:after="240"/>
      </w:pPr>
      <w:bookmarkStart w:id="5" w:name="_c9qg9tpvbg3a" w:colFirst="0" w:colLast="0"/>
      <w:bookmarkEnd w:id="5"/>
      <w:r w:rsidRPr="00A5723C">
        <w:lastRenderedPageBreak/>
        <w:t>I</w:t>
      </w:r>
      <w:bookmarkStart w:id="6" w:name="_xldim4tta70" w:colFirst="0" w:colLast="0"/>
      <w:bookmarkEnd w:id="6"/>
      <w:r w:rsidR="00E411FF" w:rsidRPr="00A5723C">
        <w:t>ntroduction</w:t>
      </w:r>
    </w:p>
    <w:p w14:paraId="26B0C086" w14:textId="1CA7D85F" w:rsidR="00A85D65" w:rsidRPr="001940E0" w:rsidRDefault="00A85D65" w:rsidP="000B1825">
      <w:pPr>
        <w:spacing w:before="240" w:after="240"/>
        <w:jc w:val="both"/>
        <w:rPr>
          <w:sz w:val="22"/>
          <w:szCs w:val="22"/>
        </w:rPr>
      </w:pPr>
      <w:r w:rsidRPr="001940E0">
        <w:rPr>
          <w:sz w:val="22"/>
          <w:szCs w:val="22"/>
        </w:rPr>
        <w:t xml:space="preserve">The correlation between primary structure and 3D protein folding is widely acknowledged in the field of biochemistry. Despite this recognition, understanding the intricacies of said correlation remains a difficult </w:t>
      </w:r>
      <w:proofErr w:type="spellStart"/>
      <w:r w:rsidRPr="001940E0">
        <w:rPr>
          <w:sz w:val="22"/>
          <w:szCs w:val="22"/>
        </w:rPr>
        <w:t>endeavor</w:t>
      </w:r>
      <w:proofErr w:type="spellEnd"/>
      <w:r w:rsidRPr="001940E0">
        <w:rPr>
          <w:sz w:val="22"/>
          <w:szCs w:val="22"/>
        </w:rPr>
        <w:t xml:space="preserve">. To address these challenges, various software programs have been developed to predict enzyme-folded structures based on their amino acid sequences. Tools in this category include AlphaFold2, </w:t>
      </w:r>
      <w:proofErr w:type="spellStart"/>
      <w:r w:rsidRPr="001940E0">
        <w:rPr>
          <w:sz w:val="22"/>
          <w:szCs w:val="22"/>
        </w:rPr>
        <w:t>RoseTTAFold</w:t>
      </w:r>
      <w:proofErr w:type="spellEnd"/>
      <w:r w:rsidRPr="001940E0">
        <w:rPr>
          <w:sz w:val="22"/>
          <w:szCs w:val="22"/>
        </w:rPr>
        <w:t xml:space="preserve">, intFOLD7, </w:t>
      </w:r>
      <w:proofErr w:type="spellStart"/>
      <w:r w:rsidRPr="001940E0">
        <w:rPr>
          <w:sz w:val="22"/>
          <w:szCs w:val="22"/>
        </w:rPr>
        <w:t>MULTIFold</w:t>
      </w:r>
      <w:proofErr w:type="spellEnd"/>
      <w:r w:rsidRPr="001940E0">
        <w:rPr>
          <w:sz w:val="22"/>
          <w:szCs w:val="22"/>
        </w:rPr>
        <w:t xml:space="preserve">, and other advanced solutions (Schutze </w:t>
      </w:r>
      <w:r w:rsidRPr="001940E0">
        <w:rPr>
          <w:i/>
          <w:iCs/>
          <w:sz w:val="22"/>
          <w:szCs w:val="22"/>
        </w:rPr>
        <w:t>et al</w:t>
      </w:r>
      <w:r w:rsidRPr="001940E0">
        <w:rPr>
          <w:sz w:val="22"/>
          <w:szCs w:val="22"/>
        </w:rPr>
        <w:t xml:space="preserve">, 2022; </w:t>
      </w:r>
      <w:proofErr w:type="spellStart"/>
      <w:r w:rsidRPr="001940E0">
        <w:rPr>
          <w:sz w:val="22"/>
          <w:szCs w:val="22"/>
        </w:rPr>
        <w:t>Outeiral</w:t>
      </w:r>
      <w:proofErr w:type="spellEnd"/>
      <w:r w:rsidRPr="001940E0">
        <w:rPr>
          <w:sz w:val="22"/>
          <w:szCs w:val="22"/>
        </w:rPr>
        <w:t xml:space="preserve"> </w:t>
      </w:r>
      <w:r w:rsidRPr="001940E0">
        <w:rPr>
          <w:i/>
          <w:iCs/>
          <w:sz w:val="22"/>
          <w:szCs w:val="22"/>
        </w:rPr>
        <w:t xml:space="preserve">et al, </w:t>
      </w:r>
      <w:r w:rsidRPr="001940E0">
        <w:rPr>
          <w:sz w:val="22"/>
          <w:szCs w:val="22"/>
        </w:rPr>
        <w:t>2022).</w:t>
      </w:r>
    </w:p>
    <w:p w14:paraId="65D69FE8" w14:textId="5E6CB6AC" w:rsidR="00A85D65" w:rsidRPr="001940E0" w:rsidRDefault="00A85D65" w:rsidP="000B1825">
      <w:pPr>
        <w:spacing w:before="240" w:after="240"/>
        <w:jc w:val="both"/>
        <w:rPr>
          <w:sz w:val="22"/>
          <w:szCs w:val="22"/>
        </w:rPr>
      </w:pPr>
      <w:r w:rsidRPr="001940E0">
        <w:rPr>
          <w:sz w:val="22"/>
          <w:szCs w:val="22"/>
        </w:rPr>
        <w:t xml:space="preserve">Among these programs, certain ones, such as AlphaFold2 and </w:t>
      </w:r>
      <w:proofErr w:type="spellStart"/>
      <w:r w:rsidRPr="001940E0">
        <w:rPr>
          <w:sz w:val="22"/>
          <w:szCs w:val="22"/>
        </w:rPr>
        <w:t>RoseTTAFold</w:t>
      </w:r>
      <w:proofErr w:type="spellEnd"/>
      <w:r w:rsidRPr="001940E0">
        <w:rPr>
          <w:sz w:val="22"/>
          <w:szCs w:val="22"/>
        </w:rPr>
        <w:t xml:space="preserve">, use pattern recognition (Chakravarty </w:t>
      </w:r>
      <w:r w:rsidRPr="001940E0">
        <w:rPr>
          <w:i/>
          <w:iCs/>
          <w:sz w:val="22"/>
          <w:szCs w:val="22"/>
        </w:rPr>
        <w:t>et al</w:t>
      </w:r>
      <w:r w:rsidRPr="001940E0">
        <w:rPr>
          <w:sz w:val="22"/>
          <w:szCs w:val="22"/>
        </w:rPr>
        <w:t xml:space="preserve">, 2022) or deep learning (Miller </w:t>
      </w:r>
      <w:r w:rsidRPr="001940E0">
        <w:rPr>
          <w:i/>
          <w:iCs/>
          <w:sz w:val="22"/>
          <w:szCs w:val="22"/>
        </w:rPr>
        <w:t>et al</w:t>
      </w:r>
      <w:r w:rsidRPr="001940E0">
        <w:rPr>
          <w:sz w:val="22"/>
          <w:szCs w:val="22"/>
        </w:rPr>
        <w:t xml:space="preserve">, 2021) to decipher the folding pathways of enzymes. </w:t>
      </w:r>
      <w:r w:rsidR="007C3A3D">
        <w:rPr>
          <w:sz w:val="22"/>
          <w:szCs w:val="22"/>
        </w:rPr>
        <w:t>Nonetheless</w:t>
      </w:r>
      <w:r w:rsidRPr="001940E0">
        <w:rPr>
          <w:sz w:val="22"/>
          <w:szCs w:val="22"/>
        </w:rPr>
        <w:t xml:space="preserve">, these computational tools sometimes fail to </w:t>
      </w:r>
      <w:proofErr w:type="gramStart"/>
      <w:r w:rsidRPr="001940E0">
        <w:rPr>
          <w:sz w:val="22"/>
          <w:szCs w:val="22"/>
        </w:rPr>
        <w:t>take into account</w:t>
      </w:r>
      <w:proofErr w:type="gramEnd"/>
      <w:r w:rsidRPr="001940E0">
        <w:rPr>
          <w:sz w:val="22"/>
          <w:szCs w:val="22"/>
        </w:rPr>
        <w:t xml:space="preserve"> the ensemble of protein structures and neglect characteristics, such as biophysics and "two-state" processes (</w:t>
      </w:r>
      <w:proofErr w:type="spellStart"/>
      <w:r w:rsidRPr="001940E0">
        <w:rPr>
          <w:sz w:val="22"/>
          <w:szCs w:val="22"/>
        </w:rPr>
        <w:t>Outeiral</w:t>
      </w:r>
      <w:proofErr w:type="spellEnd"/>
      <w:r w:rsidRPr="001940E0">
        <w:rPr>
          <w:sz w:val="22"/>
          <w:szCs w:val="22"/>
        </w:rPr>
        <w:t xml:space="preserve"> </w:t>
      </w:r>
      <w:r w:rsidRPr="001940E0">
        <w:rPr>
          <w:i/>
          <w:iCs/>
          <w:sz w:val="22"/>
          <w:szCs w:val="22"/>
        </w:rPr>
        <w:t xml:space="preserve">et al, </w:t>
      </w:r>
      <w:r w:rsidRPr="001940E0">
        <w:rPr>
          <w:sz w:val="22"/>
          <w:szCs w:val="22"/>
        </w:rPr>
        <w:t xml:space="preserve">2022). Similarly, </w:t>
      </w:r>
      <w:proofErr w:type="spellStart"/>
      <w:r w:rsidRPr="001940E0">
        <w:rPr>
          <w:sz w:val="22"/>
          <w:szCs w:val="22"/>
        </w:rPr>
        <w:t>FoldIt</w:t>
      </w:r>
      <w:proofErr w:type="spellEnd"/>
      <w:r w:rsidRPr="001940E0">
        <w:rPr>
          <w:sz w:val="22"/>
          <w:szCs w:val="22"/>
        </w:rPr>
        <w:t xml:space="preserve"> Standalone is a graphical interface derived from the </w:t>
      </w:r>
      <w:proofErr w:type="spellStart"/>
      <w:r w:rsidRPr="001940E0">
        <w:rPr>
          <w:sz w:val="22"/>
          <w:szCs w:val="22"/>
        </w:rPr>
        <w:t>RoseTTA</w:t>
      </w:r>
      <w:proofErr w:type="spellEnd"/>
      <w:r w:rsidRPr="001940E0">
        <w:rPr>
          <w:sz w:val="22"/>
          <w:szCs w:val="22"/>
        </w:rPr>
        <w:t xml:space="preserve"> molecular predicting mechanism meant to allow users to mutate known enzyme structures. The program offers molecular stability predictions by generating an energy score indicative of thermostability (Kleffner </w:t>
      </w:r>
      <w:r w:rsidRPr="001940E0">
        <w:rPr>
          <w:i/>
          <w:iCs/>
          <w:sz w:val="22"/>
          <w:szCs w:val="22"/>
        </w:rPr>
        <w:t>et al</w:t>
      </w:r>
      <w:r w:rsidRPr="001940E0">
        <w:rPr>
          <w:sz w:val="22"/>
          <w:szCs w:val="22"/>
        </w:rPr>
        <w:t>, 2</w:t>
      </w:r>
      <w:r w:rsidR="001940E0" w:rsidRPr="001940E0">
        <w:rPr>
          <w:sz w:val="22"/>
          <w:szCs w:val="22"/>
        </w:rPr>
        <w:t>017</w:t>
      </w:r>
      <w:r w:rsidRPr="001940E0">
        <w:rPr>
          <w:sz w:val="22"/>
          <w:szCs w:val="22"/>
        </w:rPr>
        <w:t xml:space="preserve">). Nonetheless, </w:t>
      </w:r>
      <w:proofErr w:type="spellStart"/>
      <w:r w:rsidRPr="001940E0">
        <w:rPr>
          <w:sz w:val="22"/>
          <w:szCs w:val="22"/>
        </w:rPr>
        <w:t>FoldIt</w:t>
      </w:r>
      <w:proofErr w:type="spellEnd"/>
      <w:r w:rsidRPr="001940E0">
        <w:rPr>
          <w:sz w:val="22"/>
          <w:szCs w:val="22"/>
        </w:rPr>
        <w:t xml:space="preserve"> Standalone also has some drawbacks, as it uses computational algorithms to estimate the score.</w:t>
      </w:r>
    </w:p>
    <w:p w14:paraId="75C16F34" w14:textId="0B8E9048" w:rsidR="00A85D65" w:rsidRPr="001940E0" w:rsidRDefault="00A85D65" w:rsidP="000B1825">
      <w:pPr>
        <w:spacing w:before="240" w:after="240"/>
        <w:jc w:val="both"/>
        <w:rPr>
          <w:sz w:val="22"/>
          <w:szCs w:val="22"/>
        </w:rPr>
      </w:pPr>
      <w:r w:rsidRPr="001940E0">
        <w:rPr>
          <w:sz w:val="22"/>
          <w:szCs w:val="22"/>
        </w:rPr>
        <w:t>In response to these limitations, multi-laboratory databases like D2D CURE have emerged to amass experimental data on protein folding. D2D CURE</w:t>
      </w:r>
      <w:r w:rsidR="001940E0" w:rsidRPr="001940E0">
        <w:rPr>
          <w:sz w:val="22"/>
          <w:szCs w:val="22"/>
        </w:rPr>
        <w:t xml:space="preserve"> </w:t>
      </w:r>
      <w:r w:rsidRPr="001940E0">
        <w:rPr>
          <w:sz w:val="22"/>
          <w:szCs w:val="22"/>
        </w:rPr>
        <w:t>is a multi-laboratory network with the primary goal of characterizing the enzyme β-glucosidase by mutating its</w:t>
      </w:r>
      <w:r w:rsidR="001940E0" w:rsidRPr="001940E0">
        <w:rPr>
          <w:sz w:val="22"/>
          <w:szCs w:val="22"/>
        </w:rPr>
        <w:t xml:space="preserve"> </w:t>
      </w:r>
      <w:r w:rsidRPr="001940E0">
        <w:rPr>
          <w:sz w:val="22"/>
          <w:szCs w:val="22"/>
        </w:rPr>
        <w:t>amino acid residues (</w:t>
      </w:r>
      <w:r w:rsidR="001940E0" w:rsidRPr="001940E0">
        <w:rPr>
          <w:sz w:val="22"/>
          <w:szCs w:val="22"/>
        </w:rPr>
        <w:t xml:space="preserve">Huang </w:t>
      </w:r>
      <w:r w:rsidR="001940E0" w:rsidRPr="001940E0">
        <w:rPr>
          <w:i/>
          <w:iCs/>
          <w:sz w:val="22"/>
          <w:szCs w:val="22"/>
        </w:rPr>
        <w:t>et al</w:t>
      </w:r>
      <w:r w:rsidR="001940E0" w:rsidRPr="001940E0">
        <w:rPr>
          <w:sz w:val="22"/>
          <w:szCs w:val="22"/>
        </w:rPr>
        <w:t>, 2020</w:t>
      </w:r>
      <w:r w:rsidRPr="001940E0">
        <w:rPr>
          <w:sz w:val="22"/>
          <w:szCs w:val="22"/>
        </w:rPr>
        <w:t xml:space="preserve">) while providing an immersive experience </w:t>
      </w:r>
      <w:r w:rsidR="00E411FF">
        <w:rPr>
          <w:sz w:val="22"/>
          <w:szCs w:val="22"/>
        </w:rPr>
        <w:t>in</w:t>
      </w:r>
      <w:r w:rsidRPr="001940E0">
        <w:rPr>
          <w:sz w:val="22"/>
          <w:szCs w:val="22"/>
        </w:rPr>
        <w:t xml:space="preserve"> research to STEM </w:t>
      </w:r>
      <w:r w:rsidR="00E411FF" w:rsidRPr="001940E0">
        <w:rPr>
          <w:sz w:val="22"/>
          <w:szCs w:val="22"/>
        </w:rPr>
        <w:t>undergraduates.</w:t>
      </w:r>
    </w:p>
    <w:p w14:paraId="18D41B9F" w14:textId="6CF1B328" w:rsidR="00A85D65" w:rsidRPr="001940E0" w:rsidRDefault="00A85D65" w:rsidP="000B1825">
      <w:pPr>
        <w:spacing w:before="240" w:after="240"/>
        <w:jc w:val="both"/>
        <w:rPr>
          <w:sz w:val="22"/>
          <w:szCs w:val="22"/>
        </w:rPr>
      </w:pPr>
      <w:r w:rsidRPr="001940E0">
        <w:rPr>
          <w:sz w:val="22"/>
          <w:szCs w:val="22"/>
        </w:rPr>
        <w:t>β-Glucosidases are a multi-organism enzyme family responsible for the hydrolysis of glycoside, oligosaccharides, and cellulose, cleaving the glycosidic bond and having glucose as an end-product (</w:t>
      </w:r>
      <w:r w:rsidR="001940E0" w:rsidRPr="001940E0">
        <w:rPr>
          <w:sz w:val="22"/>
          <w:szCs w:val="22"/>
        </w:rPr>
        <w:t xml:space="preserve">Cairns </w:t>
      </w:r>
      <w:r w:rsidR="001940E0" w:rsidRPr="001940E0">
        <w:rPr>
          <w:i/>
          <w:iCs/>
          <w:sz w:val="22"/>
          <w:szCs w:val="22"/>
        </w:rPr>
        <w:t>et al</w:t>
      </w:r>
      <w:r w:rsidR="001940E0" w:rsidRPr="001940E0">
        <w:rPr>
          <w:sz w:val="22"/>
          <w:szCs w:val="22"/>
        </w:rPr>
        <w:t>, 2010</w:t>
      </w:r>
      <w:r w:rsidRPr="001940E0">
        <w:rPr>
          <w:sz w:val="22"/>
          <w:szCs w:val="22"/>
        </w:rPr>
        <w:t>). The presence of glucose inhibits the chemical reaction (</w:t>
      </w:r>
      <w:r w:rsidR="001940E0" w:rsidRPr="001940E0">
        <w:rPr>
          <w:sz w:val="22"/>
          <w:szCs w:val="22"/>
        </w:rPr>
        <w:t xml:space="preserve">Singhania </w:t>
      </w:r>
      <w:r w:rsidR="001940E0" w:rsidRPr="001940E0">
        <w:rPr>
          <w:i/>
          <w:iCs/>
          <w:sz w:val="22"/>
          <w:szCs w:val="22"/>
        </w:rPr>
        <w:t>et al</w:t>
      </w:r>
      <w:r w:rsidR="001940E0" w:rsidRPr="001940E0">
        <w:rPr>
          <w:sz w:val="22"/>
          <w:szCs w:val="22"/>
        </w:rPr>
        <w:t>, 2012</w:t>
      </w:r>
      <w:r w:rsidRPr="001940E0">
        <w:rPr>
          <w:sz w:val="22"/>
          <w:szCs w:val="22"/>
        </w:rPr>
        <w:t>). They are present in all domains of life, although their starting product differs based on the organism of origin. Due to its widespread occurrence and enzymatic activity, this family is a subject of interest in various fields, such as agriculture, engineering, and medicine. In humans, decreased hydrolysis of glucocerebrosides is the cause of Gaucher’s disease, as leukocyte β-Glucosidase has a lower enzymatic activity (</w:t>
      </w:r>
      <w:r w:rsidR="001940E0" w:rsidRPr="001940E0">
        <w:rPr>
          <w:sz w:val="22"/>
          <w:szCs w:val="22"/>
        </w:rPr>
        <w:t xml:space="preserve">Beutler </w:t>
      </w:r>
      <w:r w:rsidR="001940E0" w:rsidRPr="001940E0">
        <w:rPr>
          <w:i/>
          <w:iCs/>
          <w:sz w:val="22"/>
          <w:szCs w:val="22"/>
        </w:rPr>
        <w:t>et al</w:t>
      </w:r>
      <w:r w:rsidR="001940E0" w:rsidRPr="001940E0">
        <w:rPr>
          <w:sz w:val="22"/>
          <w:szCs w:val="22"/>
        </w:rPr>
        <w:t>, 1971</w:t>
      </w:r>
      <w:r w:rsidRPr="001940E0">
        <w:rPr>
          <w:sz w:val="22"/>
          <w:szCs w:val="22"/>
        </w:rPr>
        <w:t xml:space="preserve">). β-Glucosidase also has </w:t>
      </w:r>
      <w:r w:rsidRPr="001940E0">
        <w:rPr>
          <w:sz w:val="22"/>
          <w:szCs w:val="22"/>
        </w:rPr>
        <w:lastRenderedPageBreak/>
        <w:t xml:space="preserve">an application in oenology, as it is capable of </w:t>
      </w:r>
      <w:proofErr w:type="spellStart"/>
      <w:r w:rsidR="00333C35">
        <w:rPr>
          <w:sz w:val="22"/>
          <w:szCs w:val="22"/>
        </w:rPr>
        <w:t>hydrolyzing</w:t>
      </w:r>
      <w:proofErr w:type="spellEnd"/>
      <w:r w:rsidRPr="001940E0">
        <w:rPr>
          <w:sz w:val="22"/>
          <w:szCs w:val="22"/>
        </w:rPr>
        <w:t xml:space="preserve"> monoterpenes without altering the taste of wine and grapes (</w:t>
      </w:r>
      <w:r w:rsidR="001940E0" w:rsidRPr="001940E0">
        <w:rPr>
          <w:sz w:val="22"/>
          <w:szCs w:val="22"/>
        </w:rPr>
        <w:t xml:space="preserve">Rosi </w:t>
      </w:r>
      <w:r w:rsidR="001940E0" w:rsidRPr="001940E0">
        <w:rPr>
          <w:i/>
          <w:iCs/>
          <w:sz w:val="22"/>
          <w:szCs w:val="22"/>
        </w:rPr>
        <w:t>et al</w:t>
      </w:r>
      <w:r w:rsidR="001940E0" w:rsidRPr="001940E0">
        <w:rPr>
          <w:sz w:val="22"/>
          <w:szCs w:val="22"/>
        </w:rPr>
        <w:t>, 1994</w:t>
      </w:r>
      <w:r w:rsidRPr="001940E0">
        <w:rPr>
          <w:sz w:val="22"/>
          <w:szCs w:val="22"/>
        </w:rPr>
        <w:t xml:space="preserve">). </w:t>
      </w:r>
    </w:p>
    <w:p w14:paraId="1C3474D0" w14:textId="77777777" w:rsidR="00A85D65" w:rsidRPr="001940E0" w:rsidRDefault="00A85D65" w:rsidP="000B1825">
      <w:pPr>
        <w:spacing w:before="240" w:after="240"/>
        <w:jc w:val="both"/>
        <w:rPr>
          <w:sz w:val="22"/>
          <w:szCs w:val="22"/>
        </w:rPr>
      </w:pPr>
      <w:r w:rsidRPr="001940E0">
        <w:rPr>
          <w:sz w:val="22"/>
          <w:szCs w:val="22"/>
        </w:rPr>
        <w:t xml:space="preserve">Through the introduction of variant amino acids, it becomes possible to gather ample data concerning the enzyme's expression patterns, thermostability, catalytic efficiency, and substrate affinity. This collected information is then used to determine whether the </w:t>
      </w:r>
      <w:proofErr w:type="spellStart"/>
      <w:r w:rsidRPr="001940E0">
        <w:rPr>
          <w:sz w:val="22"/>
          <w:szCs w:val="22"/>
        </w:rPr>
        <w:t>FoldIt</w:t>
      </w:r>
      <w:proofErr w:type="spellEnd"/>
      <w:r w:rsidRPr="001940E0">
        <w:rPr>
          <w:sz w:val="22"/>
          <w:szCs w:val="22"/>
        </w:rPr>
        <w:t xml:space="preserve"> Standalone application has made a valid, algorithm-based estimate of its energy score and expression. Any discrepancies are reported to better the algorithm.</w:t>
      </w:r>
    </w:p>
    <w:p w14:paraId="2371FF12" w14:textId="77777777" w:rsidR="00A85D65" w:rsidRPr="001940E0" w:rsidRDefault="00A85D65" w:rsidP="000B1825">
      <w:pPr>
        <w:spacing w:before="240" w:after="240"/>
        <w:jc w:val="both"/>
        <w:rPr>
          <w:sz w:val="22"/>
          <w:szCs w:val="22"/>
        </w:rPr>
      </w:pPr>
      <w:r w:rsidRPr="001940E0">
        <w:rPr>
          <w:sz w:val="22"/>
          <w:szCs w:val="22"/>
        </w:rPr>
        <w:t>For the data to be efficiently collected, a comparison must be made to a wild-type beta-glucosidase. Since D2D is a multi-institutional network, multiple laboratories must develop their own wild-type per the network-wide procedures. The data from each laboratory is then uploaded to D2D for the historical control to be determined, which serves as a comparison baseline for the website. Consequently, the ability of all laboratories to produce similar and efficient results becomes of paramount importance within this approach.</w:t>
      </w:r>
    </w:p>
    <w:p w14:paraId="5F085EDB" w14:textId="219D8A93" w:rsidR="002E00AC" w:rsidRDefault="00A85D65" w:rsidP="000B1825">
      <w:pPr>
        <w:spacing w:before="240" w:after="240"/>
        <w:jc w:val="both"/>
        <w:rPr>
          <w:sz w:val="22"/>
          <w:szCs w:val="22"/>
        </w:rPr>
      </w:pPr>
      <w:r w:rsidRPr="001940E0">
        <w:rPr>
          <w:sz w:val="22"/>
          <w:szCs w:val="22"/>
        </w:rPr>
        <w:t xml:space="preserve">As such, it becomes of interest to explore the variability across multiple laboratories in a nationwide network </w:t>
      </w:r>
      <w:proofErr w:type="gramStart"/>
      <w:r w:rsidRPr="001940E0">
        <w:rPr>
          <w:sz w:val="22"/>
          <w:szCs w:val="22"/>
        </w:rPr>
        <w:t>in order to</w:t>
      </w:r>
      <w:proofErr w:type="gramEnd"/>
      <w:r w:rsidRPr="001940E0">
        <w:rPr>
          <w:sz w:val="22"/>
          <w:szCs w:val="22"/>
        </w:rPr>
        <w:t xml:space="preserve"> determine the feasibility of replicability. Previous analyses have been performed which indicated that even with standardized protocols, results tend to diverge in intra and inter-laboratory experiments (</w:t>
      </w:r>
      <w:r w:rsidR="001940E0" w:rsidRPr="001940E0">
        <w:rPr>
          <w:sz w:val="22"/>
          <w:szCs w:val="22"/>
        </w:rPr>
        <w:t xml:space="preserve">Pan </w:t>
      </w:r>
      <w:r w:rsidR="001940E0" w:rsidRPr="001940E0">
        <w:rPr>
          <w:i/>
          <w:iCs/>
          <w:sz w:val="22"/>
          <w:szCs w:val="22"/>
        </w:rPr>
        <w:t>et al</w:t>
      </w:r>
      <w:r w:rsidR="001940E0" w:rsidRPr="001940E0">
        <w:rPr>
          <w:sz w:val="22"/>
          <w:szCs w:val="22"/>
        </w:rPr>
        <w:t>, 2010</w:t>
      </w:r>
      <w:r w:rsidRPr="001940E0">
        <w:rPr>
          <w:sz w:val="22"/>
          <w:szCs w:val="22"/>
        </w:rPr>
        <w:t>), though the sources of error vary. Our paper aims to further investigate these conclusions by bringing forth a new protocol and data network.</w:t>
      </w:r>
    </w:p>
    <w:p w14:paraId="6D901634" w14:textId="055BCB9F" w:rsidR="007C3A3D" w:rsidRPr="001940E0" w:rsidRDefault="007C3A3D" w:rsidP="000B1825">
      <w:pPr>
        <w:spacing w:before="240" w:after="240"/>
        <w:rPr>
          <w:sz w:val="22"/>
          <w:szCs w:val="22"/>
        </w:rPr>
      </w:pPr>
      <w:r>
        <w:rPr>
          <w:sz w:val="22"/>
          <w:szCs w:val="22"/>
        </w:rPr>
        <w:br w:type="page"/>
      </w:r>
    </w:p>
    <w:p w14:paraId="3F472823" w14:textId="1E78694A" w:rsidR="007C3A3D" w:rsidRPr="00A5723C" w:rsidRDefault="00E411FF" w:rsidP="000B1825">
      <w:pPr>
        <w:pStyle w:val="Heading1"/>
        <w:numPr>
          <w:ilvl w:val="0"/>
          <w:numId w:val="3"/>
        </w:numPr>
        <w:spacing w:before="240" w:after="240"/>
      </w:pPr>
      <w:bookmarkStart w:id="7" w:name="_Hlk143274583"/>
      <w:r w:rsidRPr="00A5723C">
        <w:lastRenderedPageBreak/>
        <w:t>Methods and Procedures</w:t>
      </w:r>
    </w:p>
    <w:bookmarkEnd w:id="7"/>
    <w:p w14:paraId="59B9EC37" w14:textId="77777777" w:rsidR="002E00AC" w:rsidRPr="001940E0" w:rsidRDefault="002E00AC" w:rsidP="000B1825">
      <w:pPr>
        <w:pStyle w:val="Heading2"/>
        <w:spacing w:before="240" w:after="240"/>
        <w:rPr>
          <w:b w:val="0"/>
          <w:sz w:val="22"/>
          <w:szCs w:val="22"/>
        </w:rPr>
      </w:pPr>
    </w:p>
    <w:p w14:paraId="5B53DF46" w14:textId="736ED5ED" w:rsidR="00F47172" w:rsidRPr="00A5723C" w:rsidRDefault="002E00AC" w:rsidP="000B1825">
      <w:pPr>
        <w:pStyle w:val="Heading2"/>
        <w:numPr>
          <w:ilvl w:val="0"/>
          <w:numId w:val="4"/>
        </w:numPr>
        <w:spacing w:before="240" w:after="240"/>
        <w:rPr>
          <w:i/>
          <w:iCs/>
        </w:rPr>
      </w:pPr>
      <w:r w:rsidRPr="00A5723C">
        <w:rPr>
          <w:i/>
          <w:iCs/>
        </w:rPr>
        <w:t>Pre-design stage</w:t>
      </w:r>
    </w:p>
    <w:p w14:paraId="66B1432E" w14:textId="1E215A9E" w:rsidR="002E00AC" w:rsidRPr="00D47430" w:rsidRDefault="002E00AC" w:rsidP="000B1825">
      <w:pPr>
        <w:pStyle w:val="Heading3"/>
        <w:spacing w:before="240" w:after="240"/>
        <w:ind w:firstLine="360"/>
        <w:jc w:val="both"/>
        <w:rPr>
          <w:b w:val="0"/>
          <w:i w:val="0"/>
          <w:sz w:val="22"/>
          <w:szCs w:val="22"/>
        </w:rPr>
      </w:pPr>
      <w:bookmarkStart w:id="8" w:name="_wf9vwf174ewd" w:colFirst="0" w:colLast="0"/>
      <w:bookmarkEnd w:id="8"/>
      <w:r w:rsidRPr="001940E0">
        <w:rPr>
          <w:b w:val="0"/>
          <w:i w:val="0"/>
          <w:sz w:val="22"/>
          <w:szCs w:val="22"/>
        </w:rPr>
        <w:t>A comprehensive and detailed set of sequential instructions for the bioengineering of β-glucosidase was transmitted to a conference of eleven institutions actively engaged in the Design2Data (D2D) data collection initiative, which spans diverse geographical domains within the United States. Along with the experiment protocol, the institutions were also provided with a list of approved distributors whom they could purchase reagents, materials, and cell cultures from.</w:t>
      </w:r>
    </w:p>
    <w:p w14:paraId="6A3E0324" w14:textId="16051E02" w:rsidR="00F47172" w:rsidRPr="00AB5058" w:rsidRDefault="002E00AC" w:rsidP="000B1825">
      <w:pPr>
        <w:pStyle w:val="Heading2"/>
        <w:numPr>
          <w:ilvl w:val="0"/>
          <w:numId w:val="4"/>
        </w:numPr>
        <w:spacing w:before="240" w:after="240"/>
        <w:rPr>
          <w:i/>
          <w:iCs/>
        </w:rPr>
      </w:pPr>
      <w:r w:rsidRPr="00AB5058">
        <w:rPr>
          <w:i/>
          <w:iCs/>
        </w:rPr>
        <w:t>Wild-Type Bioengineering</w:t>
      </w:r>
    </w:p>
    <w:p w14:paraId="2CCEA7DA" w14:textId="77777777" w:rsidR="002E00AC" w:rsidRPr="001940E0" w:rsidRDefault="002E00AC" w:rsidP="000B1825">
      <w:pPr>
        <w:spacing w:before="240" w:after="240"/>
        <w:jc w:val="both"/>
        <w:rPr>
          <w:sz w:val="22"/>
          <w:szCs w:val="22"/>
        </w:rPr>
      </w:pPr>
      <w:r w:rsidRPr="001940E0">
        <w:rPr>
          <w:sz w:val="22"/>
          <w:szCs w:val="22"/>
        </w:rPr>
        <w:t>Each laboratory was mandated to culture a wild-type beta-glucosidase strain in tandem with its corresponding mutant strains. Beginning with a computationally guided design of the desired amino acid substitutions, oligonucleotide chains consisting of 33 base pairs were procured from subsidized suppliers. Leveraging single-stranded DNA (ssDNA) derived from an Escherichia coli CJ236 strain, these oligonucleotides were subject to annealing and subsequent phosphorylation procedures.</w:t>
      </w:r>
    </w:p>
    <w:p w14:paraId="0F0A1883" w14:textId="77777777" w:rsidR="002E00AC" w:rsidRPr="001940E0" w:rsidRDefault="002E00AC" w:rsidP="000B1825">
      <w:pPr>
        <w:spacing w:before="240" w:after="240"/>
        <w:jc w:val="both"/>
        <w:rPr>
          <w:sz w:val="22"/>
          <w:szCs w:val="22"/>
        </w:rPr>
      </w:pPr>
      <w:r w:rsidRPr="001940E0">
        <w:rPr>
          <w:sz w:val="22"/>
          <w:szCs w:val="22"/>
        </w:rPr>
        <w:t xml:space="preserve">The pET-29b+ plasmid was utilized as a vector to incorporate the wild-type gene, enabling gene </w:t>
      </w:r>
      <w:proofErr w:type="gramStart"/>
      <w:r w:rsidRPr="001940E0">
        <w:rPr>
          <w:sz w:val="22"/>
          <w:szCs w:val="22"/>
        </w:rPr>
        <w:t>expression</w:t>
      </w:r>
      <w:proofErr w:type="gramEnd"/>
      <w:r w:rsidRPr="001940E0">
        <w:rPr>
          <w:sz w:val="22"/>
          <w:szCs w:val="22"/>
        </w:rPr>
        <w:t xml:space="preserve"> and conferring resistance to Kanamycin. Subsequently, transformation processes involving DH5</w:t>
      </w:r>
      <w:r w:rsidRPr="001940E0">
        <w:rPr>
          <w:rFonts w:ascii="Cambria Math" w:hAnsi="Cambria Math" w:cs="Cambria Math"/>
          <w:sz w:val="22"/>
          <w:szCs w:val="22"/>
        </w:rPr>
        <w:t>𝛼</w:t>
      </w:r>
      <w:r w:rsidRPr="001940E0">
        <w:rPr>
          <w:sz w:val="22"/>
          <w:szCs w:val="22"/>
        </w:rPr>
        <w:t xml:space="preserve"> E. coli was orchestrated. Once colonies were isolated from the growth plate, they were subjected to an overnight cultivation regimen in the laboratory, allowing for optimal plasmid DNA expression.</w:t>
      </w:r>
    </w:p>
    <w:p w14:paraId="115B038E" w14:textId="77777777" w:rsidR="002E00AC" w:rsidRPr="001940E0" w:rsidRDefault="002E00AC" w:rsidP="000B1825">
      <w:pPr>
        <w:spacing w:before="240" w:after="240"/>
        <w:jc w:val="both"/>
        <w:rPr>
          <w:sz w:val="22"/>
          <w:szCs w:val="22"/>
        </w:rPr>
      </w:pPr>
      <w:r w:rsidRPr="001940E0">
        <w:rPr>
          <w:sz w:val="22"/>
          <w:szCs w:val="22"/>
        </w:rPr>
        <w:t xml:space="preserve">Following this propagation phase, plasmid DNA underwent purification procedures </w:t>
      </w:r>
      <w:proofErr w:type="gramStart"/>
      <w:r w:rsidRPr="001940E0">
        <w:rPr>
          <w:sz w:val="22"/>
          <w:szCs w:val="22"/>
        </w:rPr>
        <w:t>subsequent to</w:t>
      </w:r>
      <w:proofErr w:type="gramEnd"/>
      <w:r w:rsidRPr="001940E0">
        <w:rPr>
          <w:sz w:val="22"/>
          <w:szCs w:val="22"/>
        </w:rPr>
        <w:t xml:space="preserve"> the lysis of E. coli cells. In a sequential step, BLR chemically competent E. coli cells were employed to effectuate a secondary transformation. Colonies from this transformation were plated onto petri dishes treated with kanamycin at concentrations of 50 and 100 </w:t>
      </w:r>
      <w:proofErr w:type="spellStart"/>
      <w:r w:rsidRPr="001940E0">
        <w:rPr>
          <w:sz w:val="22"/>
          <w:szCs w:val="22"/>
        </w:rPr>
        <w:t>μg</w:t>
      </w:r>
      <w:proofErr w:type="spellEnd"/>
      <w:r w:rsidRPr="001940E0">
        <w:rPr>
          <w:sz w:val="22"/>
          <w:szCs w:val="22"/>
        </w:rPr>
        <w:t>/</w:t>
      </w:r>
      <w:proofErr w:type="spellStart"/>
      <w:r w:rsidRPr="001940E0">
        <w:rPr>
          <w:sz w:val="22"/>
          <w:szCs w:val="22"/>
        </w:rPr>
        <w:t>mL.</w:t>
      </w:r>
      <w:proofErr w:type="spellEnd"/>
      <w:r w:rsidRPr="001940E0">
        <w:rPr>
          <w:sz w:val="22"/>
          <w:szCs w:val="22"/>
        </w:rPr>
        <w:t xml:space="preserve"> From this array, a single viable colony was selected and proliferated overnight.</w:t>
      </w:r>
    </w:p>
    <w:p w14:paraId="4AE66510" w14:textId="22D34596" w:rsidR="00A85D65" w:rsidRPr="001940E0" w:rsidRDefault="002E00AC" w:rsidP="000B1825">
      <w:pPr>
        <w:spacing w:before="240" w:after="240"/>
        <w:jc w:val="both"/>
        <w:rPr>
          <w:sz w:val="22"/>
          <w:szCs w:val="22"/>
        </w:rPr>
      </w:pPr>
      <w:r w:rsidRPr="001940E0">
        <w:rPr>
          <w:sz w:val="22"/>
          <w:szCs w:val="22"/>
        </w:rPr>
        <w:lastRenderedPageBreak/>
        <w:t xml:space="preserve">Cell lysis was initiated upon achieving sufficient cell density, facilitating the subsequent tagging of the wild-type </w:t>
      </w:r>
      <w:proofErr w:type="spellStart"/>
      <w:r w:rsidRPr="001940E0">
        <w:rPr>
          <w:sz w:val="22"/>
          <w:szCs w:val="22"/>
        </w:rPr>
        <w:t>BgIB</w:t>
      </w:r>
      <w:proofErr w:type="spellEnd"/>
      <w:r w:rsidRPr="001940E0">
        <w:rPr>
          <w:sz w:val="22"/>
          <w:szCs w:val="22"/>
        </w:rPr>
        <w:t xml:space="preserve"> variant with a His-tag. This distinctive molecular marker then enabled the application of immobilized metal ion affinity chromatography employing Ni-NTA, affording the opportunity for protein purification. The culminating product, the purified wild-type </w:t>
      </w:r>
      <w:proofErr w:type="spellStart"/>
      <w:r w:rsidRPr="001940E0">
        <w:rPr>
          <w:sz w:val="22"/>
          <w:szCs w:val="22"/>
        </w:rPr>
        <w:t>BgIB</w:t>
      </w:r>
      <w:proofErr w:type="spellEnd"/>
      <w:r w:rsidRPr="001940E0">
        <w:rPr>
          <w:sz w:val="22"/>
          <w:szCs w:val="22"/>
        </w:rPr>
        <w:t xml:space="preserve"> protein, underwent resolution through SDS-PAGE analysis, a technique employed alongside other </w:t>
      </w:r>
      <w:proofErr w:type="spellStart"/>
      <w:r w:rsidRPr="001940E0">
        <w:rPr>
          <w:sz w:val="22"/>
          <w:szCs w:val="22"/>
        </w:rPr>
        <w:t>BgIB</w:t>
      </w:r>
      <w:proofErr w:type="spellEnd"/>
      <w:r w:rsidRPr="001940E0">
        <w:rPr>
          <w:sz w:val="22"/>
          <w:szCs w:val="22"/>
        </w:rPr>
        <w:t xml:space="preserve"> variants for comprehensive comparative insights</w:t>
      </w:r>
      <w:r w:rsidR="00A85D65" w:rsidRPr="001940E0">
        <w:rPr>
          <w:sz w:val="22"/>
          <w:szCs w:val="22"/>
        </w:rPr>
        <w:t>.</w:t>
      </w:r>
    </w:p>
    <w:p w14:paraId="548BDE26" w14:textId="73ADAE0E" w:rsidR="002E00AC" w:rsidRPr="00AB5058" w:rsidRDefault="002E00AC" w:rsidP="000B1825">
      <w:pPr>
        <w:pStyle w:val="Heading2"/>
        <w:numPr>
          <w:ilvl w:val="0"/>
          <w:numId w:val="4"/>
        </w:numPr>
        <w:spacing w:before="240" w:after="240"/>
        <w:rPr>
          <w:i/>
          <w:iCs/>
        </w:rPr>
      </w:pPr>
      <w:r w:rsidRPr="00AB5058">
        <w:rPr>
          <w:i/>
          <w:iCs/>
        </w:rPr>
        <w:t>Kinetic and Thermostability Assay</w:t>
      </w:r>
    </w:p>
    <w:p w14:paraId="7DC4B7A5" w14:textId="290EA956" w:rsidR="002E00AC" w:rsidRPr="001940E0" w:rsidRDefault="002E00AC" w:rsidP="000B1825">
      <w:pPr>
        <w:spacing w:before="240" w:after="240"/>
        <w:jc w:val="both"/>
        <w:rPr>
          <w:sz w:val="22"/>
          <w:szCs w:val="22"/>
        </w:rPr>
      </w:pPr>
      <w:r w:rsidRPr="001940E0">
        <w:rPr>
          <w:sz w:val="22"/>
          <w:szCs w:val="22"/>
        </w:rPr>
        <w:t xml:space="preserve">To assess the enzymatic activity of </w:t>
      </w:r>
      <w:proofErr w:type="spellStart"/>
      <w:r w:rsidRPr="001940E0">
        <w:rPr>
          <w:sz w:val="22"/>
          <w:szCs w:val="22"/>
        </w:rPr>
        <w:t>BgIB</w:t>
      </w:r>
      <w:proofErr w:type="spellEnd"/>
      <w:r w:rsidRPr="001940E0">
        <w:rPr>
          <w:sz w:val="22"/>
          <w:szCs w:val="22"/>
        </w:rPr>
        <w:t xml:space="preserve">, the substrate of choice was 4-nitrophenyl-β-D-glucopyranoside. This compound served as the substrate for cleavage reactions. Following enzymatic activity and subsequent hydrolysis of the bond linking the nitrophenyl group and the sugar component in the molecule, a marked change in </w:t>
      </w:r>
      <w:r w:rsidR="00A85D65" w:rsidRPr="001940E0">
        <w:rPr>
          <w:sz w:val="22"/>
          <w:szCs w:val="22"/>
        </w:rPr>
        <w:t>coloration</w:t>
      </w:r>
      <w:r w:rsidRPr="001940E0">
        <w:rPr>
          <w:sz w:val="22"/>
          <w:szCs w:val="22"/>
        </w:rPr>
        <w:t xml:space="preserve"> was noted. This visual alteration served as the basis for quantifying enzyme activity across discrete time intervals.</w:t>
      </w:r>
    </w:p>
    <w:p w14:paraId="73DC5B38" w14:textId="3036010E" w:rsidR="00A85D65" w:rsidRPr="001940E0" w:rsidRDefault="002E00AC" w:rsidP="000B1825">
      <w:pPr>
        <w:spacing w:before="240" w:after="240"/>
        <w:jc w:val="both"/>
        <w:rPr>
          <w:sz w:val="22"/>
          <w:szCs w:val="22"/>
        </w:rPr>
      </w:pPr>
      <w:r w:rsidRPr="001940E0">
        <w:rPr>
          <w:sz w:val="22"/>
          <w:szCs w:val="22"/>
        </w:rPr>
        <w:t>A spectrometer operating at a specific wavelength of 420 nm was employed to streamline the quantification process. Subsequently, the amassed data points were systematically integrated into the Design2Data (D2D) repository. These data were then harnessed to construct graphical representations</w:t>
      </w:r>
      <w:r w:rsidR="0040527F" w:rsidRPr="001940E0">
        <w:rPr>
          <w:sz w:val="22"/>
          <w:szCs w:val="22"/>
        </w:rPr>
        <w:t>.</w:t>
      </w:r>
    </w:p>
    <w:p w14:paraId="0FD1018E" w14:textId="77777777" w:rsidR="002E00AC" w:rsidRPr="00A5723C" w:rsidRDefault="002E00AC" w:rsidP="000B1825">
      <w:pPr>
        <w:pStyle w:val="Heading2"/>
        <w:numPr>
          <w:ilvl w:val="0"/>
          <w:numId w:val="4"/>
        </w:numPr>
        <w:spacing w:before="240" w:after="240"/>
        <w:rPr>
          <w:i/>
          <w:iCs/>
        </w:rPr>
      </w:pPr>
      <w:r w:rsidRPr="00A5723C">
        <w:rPr>
          <w:i/>
          <w:iCs/>
        </w:rPr>
        <w:t>Interpretation of nationwide results</w:t>
      </w:r>
    </w:p>
    <w:p w14:paraId="7FDA3248" w14:textId="77777777" w:rsidR="002E00AC" w:rsidRDefault="00621CD8" w:rsidP="000B1825">
      <w:pPr>
        <w:spacing w:before="240" w:after="240"/>
        <w:jc w:val="both"/>
        <w:rPr>
          <w:sz w:val="22"/>
          <w:szCs w:val="22"/>
        </w:rPr>
      </w:pPr>
      <w:r w:rsidRPr="001940E0">
        <w:rPr>
          <w:sz w:val="22"/>
          <w:szCs w:val="22"/>
        </w:rPr>
        <w:t xml:space="preserve"> </w:t>
      </w:r>
      <w:r w:rsidR="002E00AC" w:rsidRPr="001940E0">
        <w:rPr>
          <w:sz w:val="22"/>
          <w:szCs w:val="22"/>
        </w:rPr>
        <w:t>Results were collected from the Design2Data (D2D) online platform and subjected to rigorous scrutiny to assess the extent of variability inherent within the dataset. Employing the statistical tool SPSS, a comprehensive analysis was undertaken, culminating in the creation of Whisker Plots. These plots, adorned with a 90% confidence interval, were adeptly constructed to offer an enhanced visual representation of value dispersion across both laboratories within the same institution and laboratories spanning distinct institutions.</w:t>
      </w:r>
    </w:p>
    <w:p w14:paraId="2D32150C" w14:textId="1EF8AA2A" w:rsidR="00F47172" w:rsidRPr="00D47430" w:rsidRDefault="00D47430" w:rsidP="000B1825">
      <w:pPr>
        <w:spacing w:before="240" w:after="240"/>
        <w:rPr>
          <w:sz w:val="22"/>
          <w:szCs w:val="22"/>
        </w:rPr>
      </w:pPr>
      <w:r>
        <w:rPr>
          <w:sz w:val="22"/>
          <w:szCs w:val="22"/>
        </w:rPr>
        <w:br w:type="page"/>
      </w:r>
    </w:p>
    <w:p w14:paraId="79022CB9" w14:textId="4F8016CE" w:rsidR="002E00AC" w:rsidRPr="00A5723C" w:rsidRDefault="002E00AC" w:rsidP="000B1825">
      <w:pPr>
        <w:pStyle w:val="Heading1"/>
        <w:numPr>
          <w:ilvl w:val="0"/>
          <w:numId w:val="3"/>
        </w:numPr>
        <w:spacing w:before="240" w:after="240"/>
      </w:pPr>
      <w:bookmarkStart w:id="9" w:name="_8wlqvs7hxop4" w:colFirst="0" w:colLast="0"/>
      <w:bookmarkEnd w:id="9"/>
      <w:r w:rsidRPr="00A5723C">
        <w:lastRenderedPageBreak/>
        <w:t>R</w:t>
      </w:r>
      <w:r w:rsidR="00E411FF" w:rsidRPr="00A5723C">
        <w:t>esults</w:t>
      </w:r>
    </w:p>
    <w:p w14:paraId="5BC0A434" w14:textId="2A288399" w:rsidR="00196C02" w:rsidRDefault="00196C02" w:rsidP="000B1825">
      <w:pPr>
        <w:spacing w:before="240" w:after="240"/>
        <w:jc w:val="both"/>
        <w:rPr>
          <w:sz w:val="22"/>
          <w:szCs w:val="22"/>
          <w:lang w:val="en-US"/>
        </w:rPr>
      </w:pPr>
      <w:r>
        <w:rPr>
          <w:sz w:val="22"/>
          <w:szCs w:val="22"/>
          <w:lang w:val="en-US"/>
        </w:rPr>
        <w:t>The results of thermostability and kinetic assays for the</w:t>
      </w:r>
      <w:r w:rsidRPr="00196C02">
        <w:rPr>
          <w:sz w:val="22"/>
          <w:szCs w:val="22"/>
          <w:lang w:val="en-US"/>
        </w:rPr>
        <w:t xml:space="preserve"> Wild-Type </w:t>
      </w:r>
      <w:r>
        <w:rPr>
          <w:sz w:val="22"/>
          <w:szCs w:val="22"/>
          <w:lang w:val="en-US"/>
        </w:rPr>
        <w:t xml:space="preserve">of </w:t>
      </w:r>
      <w:r w:rsidRPr="00196C02">
        <w:rPr>
          <w:sz w:val="22"/>
          <w:szCs w:val="22"/>
          <w:lang w:val="en-US"/>
        </w:rPr>
        <w:t>β-Glucosidase B (</w:t>
      </w:r>
      <w:proofErr w:type="spellStart"/>
      <w:r w:rsidRPr="00196C02">
        <w:rPr>
          <w:sz w:val="22"/>
          <w:szCs w:val="22"/>
          <w:lang w:val="en-US"/>
        </w:rPr>
        <w:t>B</w:t>
      </w:r>
      <w:r>
        <w:rPr>
          <w:sz w:val="22"/>
          <w:szCs w:val="22"/>
          <w:lang w:val="en-US"/>
        </w:rPr>
        <w:t>gIB</w:t>
      </w:r>
      <w:proofErr w:type="spellEnd"/>
      <w:r w:rsidRPr="00196C02">
        <w:rPr>
          <w:sz w:val="22"/>
          <w:szCs w:val="22"/>
          <w:lang w:val="en-US"/>
        </w:rPr>
        <w:t xml:space="preserve">) </w:t>
      </w:r>
      <w:r>
        <w:rPr>
          <w:sz w:val="22"/>
          <w:szCs w:val="22"/>
          <w:lang w:val="en-US"/>
        </w:rPr>
        <w:t xml:space="preserve">for parameters </w:t>
      </w:r>
      <w:r w:rsidRPr="007C3A3D">
        <w:rPr>
          <w:sz w:val="22"/>
          <w:szCs w:val="22"/>
          <w:lang w:val="en-US"/>
        </w:rPr>
        <w:t>K</w:t>
      </w:r>
      <w:r>
        <w:rPr>
          <w:sz w:val="22"/>
          <w:szCs w:val="22"/>
          <w:vertAlign w:val="subscript"/>
          <w:lang w:val="en-US"/>
        </w:rPr>
        <w:t>M</w:t>
      </w:r>
      <w:r w:rsidRPr="007C3A3D">
        <w:rPr>
          <w:sz w:val="22"/>
          <w:szCs w:val="22"/>
          <w:lang w:val="en-US"/>
        </w:rPr>
        <w:t xml:space="preserve">, </w:t>
      </w:r>
      <w:proofErr w:type="spellStart"/>
      <w:r w:rsidRPr="007C3A3D">
        <w:rPr>
          <w:sz w:val="22"/>
          <w:szCs w:val="22"/>
          <w:lang w:val="en-US"/>
        </w:rPr>
        <w:t>k</w:t>
      </w:r>
      <w:r>
        <w:rPr>
          <w:sz w:val="22"/>
          <w:szCs w:val="22"/>
          <w:vertAlign w:val="subscript"/>
          <w:lang w:val="en-US"/>
        </w:rPr>
        <w:t>cat</w:t>
      </w:r>
      <w:proofErr w:type="spellEnd"/>
      <w:r w:rsidRPr="007C3A3D">
        <w:rPr>
          <w:sz w:val="22"/>
          <w:szCs w:val="22"/>
          <w:lang w:val="en-US"/>
        </w:rPr>
        <w:t>/K</w:t>
      </w:r>
      <w:r>
        <w:rPr>
          <w:sz w:val="22"/>
          <w:szCs w:val="22"/>
          <w:vertAlign w:val="subscript"/>
          <w:lang w:val="en-US"/>
        </w:rPr>
        <w:t>M</w:t>
      </w:r>
      <w:r w:rsidRPr="007C3A3D">
        <w:rPr>
          <w:sz w:val="22"/>
          <w:szCs w:val="22"/>
          <w:lang w:val="en-US"/>
        </w:rPr>
        <w:t>, and T</w:t>
      </w:r>
      <w:r>
        <w:rPr>
          <w:sz w:val="22"/>
          <w:szCs w:val="22"/>
          <w:vertAlign w:val="subscript"/>
          <w:lang w:val="en-US"/>
        </w:rPr>
        <w:t>50</w:t>
      </w:r>
      <w:r>
        <w:rPr>
          <w:sz w:val="22"/>
          <w:szCs w:val="22"/>
          <w:lang w:val="en-US"/>
        </w:rPr>
        <w:t xml:space="preserve"> were subjected to extensive statistical analysis. </w:t>
      </w:r>
      <w:r w:rsidRPr="00196C02">
        <w:rPr>
          <w:sz w:val="22"/>
          <w:szCs w:val="22"/>
          <w:lang w:val="en-US"/>
        </w:rPr>
        <w:t xml:space="preserve">The samples </w:t>
      </w:r>
      <w:r>
        <w:rPr>
          <w:sz w:val="22"/>
          <w:szCs w:val="22"/>
          <w:lang w:val="en-US"/>
        </w:rPr>
        <w:t xml:space="preserve">included in this study </w:t>
      </w:r>
      <w:r w:rsidRPr="00196C02">
        <w:rPr>
          <w:sz w:val="22"/>
          <w:szCs w:val="22"/>
          <w:lang w:val="en-US"/>
        </w:rPr>
        <w:t xml:space="preserve">were derived from both curated and non-curated datasets and were sourced from 11 distinct institutions located within the United States. </w:t>
      </w:r>
    </w:p>
    <w:p w14:paraId="417EEBA2" w14:textId="0ABBA549" w:rsidR="007C3A3D" w:rsidRPr="007C3A3D" w:rsidRDefault="007C3A3D" w:rsidP="000B1825">
      <w:pPr>
        <w:spacing w:before="240" w:after="240"/>
        <w:jc w:val="both"/>
        <w:rPr>
          <w:sz w:val="22"/>
          <w:szCs w:val="22"/>
          <w:lang w:val="en-US"/>
        </w:rPr>
      </w:pPr>
      <w:r w:rsidRPr="007C3A3D">
        <w:rPr>
          <w:sz w:val="22"/>
          <w:szCs w:val="22"/>
          <w:lang w:val="en-US"/>
        </w:rPr>
        <w:t>An Independent-Samples Kruskal-Wallis Test was conducted using the SPSS computational tool to assess the validity of the reported data. The test was conducted under the assumption of a null hypothesis, positing that the data points were uniformly distributed across institutions within each category. The confidence interval was set at 90%, and the significance level was chosen as 0.050. The analysis was performed on three distinct variables: K</w:t>
      </w:r>
      <w:r>
        <w:rPr>
          <w:sz w:val="22"/>
          <w:szCs w:val="22"/>
          <w:vertAlign w:val="subscript"/>
          <w:lang w:val="en-US"/>
        </w:rPr>
        <w:t>M</w:t>
      </w:r>
      <w:r w:rsidRPr="007C3A3D">
        <w:rPr>
          <w:sz w:val="22"/>
          <w:szCs w:val="22"/>
          <w:lang w:val="en-US"/>
        </w:rPr>
        <w:t xml:space="preserve">, </w:t>
      </w:r>
      <w:proofErr w:type="spellStart"/>
      <w:r w:rsidRPr="007C3A3D">
        <w:rPr>
          <w:sz w:val="22"/>
          <w:szCs w:val="22"/>
          <w:lang w:val="en-US"/>
        </w:rPr>
        <w:t>k</w:t>
      </w:r>
      <w:r>
        <w:rPr>
          <w:sz w:val="22"/>
          <w:szCs w:val="22"/>
          <w:vertAlign w:val="subscript"/>
          <w:lang w:val="en-US"/>
        </w:rPr>
        <w:t>cat</w:t>
      </w:r>
      <w:proofErr w:type="spellEnd"/>
      <w:r w:rsidRPr="007C3A3D">
        <w:rPr>
          <w:sz w:val="22"/>
          <w:szCs w:val="22"/>
          <w:lang w:val="en-US"/>
        </w:rPr>
        <w:t>/K</w:t>
      </w:r>
      <w:r>
        <w:rPr>
          <w:sz w:val="22"/>
          <w:szCs w:val="22"/>
          <w:vertAlign w:val="subscript"/>
          <w:lang w:val="en-US"/>
        </w:rPr>
        <w:t>M</w:t>
      </w:r>
      <w:r w:rsidRPr="007C3A3D">
        <w:rPr>
          <w:sz w:val="22"/>
          <w:szCs w:val="22"/>
          <w:lang w:val="en-US"/>
        </w:rPr>
        <w:t>, and T</w:t>
      </w:r>
      <w:r>
        <w:rPr>
          <w:sz w:val="22"/>
          <w:szCs w:val="22"/>
          <w:vertAlign w:val="subscript"/>
          <w:lang w:val="en-US"/>
        </w:rPr>
        <w:t>50</w:t>
      </w:r>
      <w:r w:rsidRPr="007C3A3D">
        <w:rPr>
          <w:sz w:val="22"/>
          <w:szCs w:val="22"/>
          <w:lang w:val="en-US"/>
        </w:rPr>
        <w:t>.</w:t>
      </w:r>
    </w:p>
    <w:p w14:paraId="3D226E28" w14:textId="0A1F0243" w:rsidR="007C3A3D" w:rsidRPr="007C3A3D" w:rsidRDefault="007C3A3D" w:rsidP="000B1825">
      <w:pPr>
        <w:spacing w:before="240" w:after="240"/>
        <w:jc w:val="both"/>
        <w:rPr>
          <w:sz w:val="22"/>
          <w:szCs w:val="22"/>
          <w:lang w:val="en-US"/>
        </w:rPr>
      </w:pPr>
      <w:r w:rsidRPr="007C3A3D">
        <w:rPr>
          <w:sz w:val="22"/>
          <w:szCs w:val="22"/>
          <w:lang w:val="en-US"/>
        </w:rPr>
        <w:t>For the K</w:t>
      </w:r>
      <w:r>
        <w:rPr>
          <w:sz w:val="22"/>
          <w:szCs w:val="22"/>
          <w:vertAlign w:val="subscript"/>
          <w:lang w:val="en-US"/>
        </w:rPr>
        <w:t>M</w:t>
      </w:r>
      <w:r w:rsidRPr="007C3A3D">
        <w:rPr>
          <w:sz w:val="22"/>
          <w:szCs w:val="22"/>
          <w:lang w:val="en-US"/>
        </w:rPr>
        <w:t xml:space="preserve"> </w:t>
      </w:r>
      <w:r w:rsidR="00D17C62">
        <w:rPr>
          <w:sz w:val="22"/>
          <w:szCs w:val="22"/>
          <w:lang w:val="en-US"/>
        </w:rPr>
        <w:t>parameter</w:t>
      </w:r>
      <w:r w:rsidRPr="007C3A3D">
        <w:rPr>
          <w:sz w:val="22"/>
          <w:szCs w:val="22"/>
          <w:lang w:val="en-US"/>
        </w:rPr>
        <w:t>, the computed significance value was 0.886, based on a total sample size (n) of 114. The Kruskal-</w:t>
      </w:r>
      <w:proofErr w:type="gramStart"/>
      <w:r w:rsidRPr="007C3A3D">
        <w:rPr>
          <w:sz w:val="22"/>
          <w:szCs w:val="22"/>
          <w:lang w:val="en-US"/>
        </w:rPr>
        <w:t>Wallis</w:t>
      </w:r>
      <w:proofErr w:type="gramEnd"/>
      <w:r w:rsidRPr="007C3A3D">
        <w:rPr>
          <w:sz w:val="22"/>
          <w:szCs w:val="22"/>
          <w:lang w:val="en-US"/>
        </w:rPr>
        <w:t xml:space="preserve"> test statistic yielded a value of 5.077</w:t>
      </w:r>
      <w:r>
        <w:rPr>
          <w:sz w:val="22"/>
          <w:szCs w:val="22"/>
          <w:vertAlign w:val="superscript"/>
          <w:lang w:val="en-US"/>
        </w:rPr>
        <w:t>a</w:t>
      </w:r>
      <w:r w:rsidRPr="007C3A3D">
        <w:rPr>
          <w:sz w:val="22"/>
          <w:szCs w:val="22"/>
          <w:lang w:val="en-US"/>
        </w:rPr>
        <w:t>, corresponding to a degree of freedom of 10. The statistical analysis resulted in the retention of the null hypothesis. This indicates that no significant differences were observed in the distribution of Km values across the various institutions.</w:t>
      </w:r>
    </w:p>
    <w:p w14:paraId="6CE8D93C" w14:textId="1488D733" w:rsidR="007C3A3D" w:rsidRPr="007C3A3D" w:rsidRDefault="007C3A3D" w:rsidP="000B1825">
      <w:pPr>
        <w:spacing w:before="240" w:after="240"/>
        <w:jc w:val="both"/>
        <w:rPr>
          <w:sz w:val="22"/>
          <w:szCs w:val="22"/>
          <w:lang w:val="en-US"/>
        </w:rPr>
      </w:pPr>
      <w:r w:rsidRPr="007C3A3D">
        <w:rPr>
          <w:sz w:val="22"/>
          <w:szCs w:val="22"/>
          <w:lang w:val="en-US"/>
        </w:rPr>
        <w:t xml:space="preserve">In the case of </w:t>
      </w:r>
      <w:proofErr w:type="spellStart"/>
      <w:r w:rsidRPr="007C3A3D">
        <w:rPr>
          <w:sz w:val="22"/>
          <w:szCs w:val="22"/>
          <w:lang w:val="en-US"/>
        </w:rPr>
        <w:t>k</w:t>
      </w:r>
      <w:r>
        <w:rPr>
          <w:sz w:val="22"/>
          <w:szCs w:val="22"/>
          <w:vertAlign w:val="subscript"/>
          <w:lang w:val="en-US"/>
        </w:rPr>
        <w:t>cat</w:t>
      </w:r>
      <w:proofErr w:type="spellEnd"/>
      <w:r w:rsidRPr="007C3A3D">
        <w:rPr>
          <w:sz w:val="22"/>
          <w:szCs w:val="22"/>
          <w:lang w:val="en-US"/>
        </w:rPr>
        <w:t>/K</w:t>
      </w:r>
      <w:r>
        <w:rPr>
          <w:sz w:val="22"/>
          <w:szCs w:val="22"/>
          <w:vertAlign w:val="subscript"/>
          <w:lang w:val="en-US"/>
        </w:rPr>
        <w:t>M</w:t>
      </w:r>
      <w:r w:rsidRPr="007C3A3D">
        <w:rPr>
          <w:sz w:val="22"/>
          <w:szCs w:val="22"/>
          <w:lang w:val="en-US"/>
        </w:rPr>
        <w:t>, the computed significance value was found to be less than 0.001, considering a total sample size (n) of 115. The Kruskal-</w:t>
      </w:r>
      <w:proofErr w:type="gramStart"/>
      <w:r w:rsidRPr="007C3A3D">
        <w:rPr>
          <w:sz w:val="22"/>
          <w:szCs w:val="22"/>
          <w:lang w:val="en-US"/>
        </w:rPr>
        <w:t>Wallis</w:t>
      </w:r>
      <w:proofErr w:type="gramEnd"/>
      <w:r w:rsidRPr="007C3A3D">
        <w:rPr>
          <w:sz w:val="22"/>
          <w:szCs w:val="22"/>
          <w:lang w:val="en-US"/>
        </w:rPr>
        <w:t xml:space="preserve"> test statistic was calculated as 37.531</w:t>
      </w:r>
      <w:r>
        <w:rPr>
          <w:sz w:val="22"/>
          <w:szCs w:val="22"/>
          <w:vertAlign w:val="superscript"/>
          <w:lang w:val="en-US"/>
        </w:rPr>
        <w:t>a</w:t>
      </w:r>
      <w:r w:rsidRPr="007C3A3D">
        <w:rPr>
          <w:sz w:val="22"/>
          <w:szCs w:val="22"/>
          <w:lang w:val="en-US"/>
        </w:rPr>
        <w:t xml:space="preserve">, accompanied by a degree of freedom of 10. As a result of this analysis, the null hypothesis was rejected. This implies the existence of statistically significant differences in the distribution of </w:t>
      </w:r>
      <w:proofErr w:type="spellStart"/>
      <w:r w:rsidRPr="007C3A3D">
        <w:rPr>
          <w:sz w:val="22"/>
          <w:szCs w:val="22"/>
          <w:lang w:val="en-US"/>
        </w:rPr>
        <w:t>k</w:t>
      </w:r>
      <w:r>
        <w:rPr>
          <w:sz w:val="22"/>
          <w:szCs w:val="22"/>
          <w:vertAlign w:val="subscript"/>
          <w:lang w:val="en-US"/>
        </w:rPr>
        <w:t>cat</w:t>
      </w:r>
      <w:proofErr w:type="spellEnd"/>
      <w:r w:rsidRPr="007C3A3D">
        <w:rPr>
          <w:sz w:val="22"/>
          <w:szCs w:val="22"/>
          <w:lang w:val="en-US"/>
        </w:rPr>
        <w:t>/K</w:t>
      </w:r>
      <w:r>
        <w:rPr>
          <w:sz w:val="22"/>
          <w:szCs w:val="22"/>
          <w:vertAlign w:val="subscript"/>
          <w:lang w:val="en-US"/>
        </w:rPr>
        <w:t>M</w:t>
      </w:r>
      <w:r w:rsidRPr="007C3A3D">
        <w:rPr>
          <w:sz w:val="22"/>
          <w:szCs w:val="22"/>
          <w:lang w:val="en-US"/>
        </w:rPr>
        <w:t xml:space="preserve"> values across the studied institutions.</w:t>
      </w:r>
    </w:p>
    <w:p w14:paraId="3BE2B16F" w14:textId="6C09C161" w:rsidR="007C3A3D" w:rsidRPr="007C3A3D" w:rsidRDefault="007C3A3D" w:rsidP="000B1825">
      <w:pPr>
        <w:spacing w:before="240" w:after="240"/>
        <w:jc w:val="both"/>
        <w:rPr>
          <w:sz w:val="22"/>
          <w:szCs w:val="22"/>
          <w:lang w:val="en-US"/>
        </w:rPr>
      </w:pPr>
      <w:r w:rsidRPr="007C3A3D">
        <w:rPr>
          <w:sz w:val="22"/>
          <w:szCs w:val="22"/>
          <w:lang w:val="en-US"/>
        </w:rPr>
        <w:t>The T</w:t>
      </w:r>
      <w:r>
        <w:rPr>
          <w:sz w:val="22"/>
          <w:szCs w:val="22"/>
          <w:vertAlign w:val="subscript"/>
          <w:lang w:val="en-US"/>
        </w:rPr>
        <w:t>50</w:t>
      </w:r>
      <w:r w:rsidRPr="007C3A3D">
        <w:rPr>
          <w:sz w:val="22"/>
          <w:szCs w:val="22"/>
          <w:lang w:val="en-US"/>
        </w:rPr>
        <w:t xml:space="preserve"> variable yielded a significance value of 0.002, derived from a total sample size (n) of 62. The Kruskal-</w:t>
      </w:r>
      <w:proofErr w:type="gramStart"/>
      <w:r w:rsidRPr="007C3A3D">
        <w:rPr>
          <w:sz w:val="22"/>
          <w:szCs w:val="22"/>
          <w:lang w:val="en-US"/>
        </w:rPr>
        <w:t>Wallis</w:t>
      </w:r>
      <w:proofErr w:type="gramEnd"/>
      <w:r w:rsidRPr="007C3A3D">
        <w:rPr>
          <w:sz w:val="22"/>
          <w:szCs w:val="22"/>
          <w:lang w:val="en-US"/>
        </w:rPr>
        <w:t xml:space="preserve"> test statistic was calculated to be 22.346a, with a degree of freedom of 7. Consequently, the null hypothesis was rejected. This outcome indicates the presence of statistically significant differences in the distribution of T</w:t>
      </w:r>
      <w:r>
        <w:rPr>
          <w:sz w:val="22"/>
          <w:szCs w:val="22"/>
          <w:vertAlign w:val="subscript"/>
          <w:lang w:val="en-US"/>
        </w:rPr>
        <w:t>50</w:t>
      </w:r>
      <w:r w:rsidRPr="007C3A3D">
        <w:rPr>
          <w:sz w:val="22"/>
          <w:szCs w:val="22"/>
          <w:lang w:val="en-US"/>
        </w:rPr>
        <w:t xml:space="preserve"> values among the institutions.</w:t>
      </w:r>
    </w:p>
    <w:p w14:paraId="212E014D" w14:textId="02BDB2B0" w:rsidR="00A85D65" w:rsidRDefault="007C3A3D" w:rsidP="000B1825">
      <w:pPr>
        <w:spacing w:before="240" w:after="240"/>
        <w:jc w:val="both"/>
        <w:rPr>
          <w:sz w:val="22"/>
          <w:szCs w:val="22"/>
          <w:lang w:val="en-US"/>
        </w:rPr>
      </w:pPr>
      <w:r w:rsidRPr="007C3A3D">
        <w:rPr>
          <w:sz w:val="22"/>
          <w:szCs w:val="22"/>
          <w:lang w:val="en-US"/>
        </w:rPr>
        <w:t>Furthermore, for a more nuanced understanding of the relationships between institutions based on asymptotic significance, pairwise comparison diagrams were employed. These diagrams provide insights into the specific pairs of institutions that exhibit significant differences in their variable distributions.</w:t>
      </w:r>
    </w:p>
    <w:p w14:paraId="2162A271" w14:textId="77777777" w:rsidR="007C3A3D" w:rsidRPr="007C3A3D" w:rsidRDefault="007C3A3D" w:rsidP="000B1825">
      <w:pPr>
        <w:spacing w:before="240" w:after="240"/>
        <w:rPr>
          <w:sz w:val="22"/>
          <w:szCs w:val="22"/>
          <w:lang w:val="en-US"/>
        </w:rPr>
      </w:pPr>
    </w:p>
    <w:p w14:paraId="5FFE8A03" w14:textId="77777777" w:rsidR="007C3A3D" w:rsidRPr="007C3A3D" w:rsidRDefault="007C3A3D" w:rsidP="000B1825">
      <w:pPr>
        <w:pStyle w:val="Heading2"/>
        <w:spacing w:before="240" w:after="240"/>
        <w:jc w:val="center"/>
        <w:rPr>
          <w:lang w:val="en-US"/>
        </w:rPr>
      </w:pPr>
      <w:r w:rsidRPr="007C3A3D">
        <w:rPr>
          <w:lang w:val="en-US"/>
        </w:rPr>
        <w:t>Diagram 1.0</w:t>
      </w:r>
    </w:p>
    <w:p w14:paraId="11B863EA" w14:textId="6D19286C" w:rsidR="007C3A3D" w:rsidRDefault="007C3A3D" w:rsidP="000B1825">
      <w:pPr>
        <w:spacing w:before="240" w:after="240"/>
        <w:rPr>
          <w:sz w:val="22"/>
          <w:szCs w:val="22"/>
          <w:lang w:val="en-US"/>
        </w:rPr>
      </w:pPr>
      <w:r w:rsidRPr="007C3A3D">
        <w:rPr>
          <w:noProof/>
          <w:sz w:val="22"/>
          <w:szCs w:val="22"/>
          <w:lang w:val="en-US"/>
        </w:rPr>
        <w:drawing>
          <wp:anchor distT="0" distB="0" distL="114300" distR="114300" simplePos="0" relativeHeight="251660288" behindDoc="1" locked="0" layoutInCell="1" allowOverlap="1" wp14:anchorId="3323FE62" wp14:editId="2092AC83">
            <wp:simplePos x="0" y="0"/>
            <wp:positionH relativeFrom="margin">
              <wp:align>right</wp:align>
            </wp:positionH>
            <wp:positionV relativeFrom="paragraph">
              <wp:posOffset>709930</wp:posOffset>
            </wp:positionV>
            <wp:extent cx="1841500" cy="2051050"/>
            <wp:effectExtent l="0" t="0" r="6350" b="6350"/>
            <wp:wrapTight wrapText="bothSides">
              <wp:wrapPolygon edited="0">
                <wp:start x="0" y="0"/>
                <wp:lineTo x="0" y="21466"/>
                <wp:lineTo x="21451" y="21466"/>
                <wp:lineTo x="21451" y="0"/>
                <wp:lineTo x="0" y="0"/>
              </wp:wrapPolygon>
            </wp:wrapTight>
            <wp:docPr id="912825468"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825468" name="Picture 4" descr="A screenshot of a computer&#10;&#10;Description automatically generated"/>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7948" t="2588" r="38447" b="37707"/>
                    <a:stretch/>
                  </pic:blipFill>
                  <pic:spPr bwMode="auto">
                    <a:xfrm>
                      <a:off x="0" y="0"/>
                      <a:ext cx="1841500" cy="2051050"/>
                    </a:xfrm>
                    <a:prstGeom prst="rect">
                      <a:avLst/>
                    </a:prstGeom>
                    <a:noFill/>
                    <a:ln>
                      <a:noFill/>
                    </a:ln>
                    <a:extLst>
                      <a:ext uri="{53640926-AAD7-44D8-BBD7-CCE9431645EC}">
                        <a14:shadowObscured xmlns:a14="http://schemas.microsoft.com/office/drawing/2010/main"/>
                      </a:ext>
                    </a:extLst>
                  </pic:spPr>
                </pic:pic>
              </a:graphicData>
            </a:graphic>
          </wp:anchor>
        </w:drawing>
      </w:r>
      <w:r w:rsidRPr="007C3A3D">
        <w:rPr>
          <w:noProof/>
          <w:sz w:val="22"/>
          <w:szCs w:val="22"/>
          <w:lang w:val="en-US"/>
        </w:rPr>
        <w:drawing>
          <wp:anchor distT="0" distB="0" distL="114300" distR="114300" simplePos="0" relativeHeight="251658240" behindDoc="1" locked="0" layoutInCell="1" allowOverlap="1" wp14:anchorId="2B48350D" wp14:editId="34B50BCE">
            <wp:simplePos x="0" y="0"/>
            <wp:positionH relativeFrom="column">
              <wp:posOffset>285750</wp:posOffset>
            </wp:positionH>
            <wp:positionV relativeFrom="paragraph">
              <wp:posOffset>665480</wp:posOffset>
            </wp:positionV>
            <wp:extent cx="1866900" cy="2127250"/>
            <wp:effectExtent l="0" t="0" r="0" b="6350"/>
            <wp:wrapTight wrapText="bothSides">
              <wp:wrapPolygon edited="0">
                <wp:start x="0" y="0"/>
                <wp:lineTo x="0" y="21471"/>
                <wp:lineTo x="21380" y="21471"/>
                <wp:lineTo x="21380" y="0"/>
                <wp:lineTo x="0" y="0"/>
              </wp:wrapPolygon>
            </wp:wrapTight>
            <wp:docPr id="191844116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441166" name="Picture 6" descr="A screenshot of a computer&#10;&#10;Description automatically generate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7317" t="919" r="37523" b="37500"/>
                    <a:stretch/>
                  </pic:blipFill>
                  <pic:spPr bwMode="auto">
                    <a:xfrm>
                      <a:off x="0" y="0"/>
                      <a:ext cx="1866900" cy="2127250"/>
                    </a:xfrm>
                    <a:prstGeom prst="rect">
                      <a:avLst/>
                    </a:prstGeom>
                    <a:noFill/>
                    <a:ln>
                      <a:noFill/>
                    </a:ln>
                    <a:extLst>
                      <a:ext uri="{53640926-AAD7-44D8-BBD7-CCE9431645EC}">
                        <a14:shadowObscured xmlns:a14="http://schemas.microsoft.com/office/drawing/2010/main"/>
                      </a:ext>
                    </a:extLst>
                  </pic:spPr>
                </pic:pic>
              </a:graphicData>
            </a:graphic>
          </wp:anchor>
        </w:drawing>
      </w:r>
    </w:p>
    <w:p w14:paraId="73637A36" w14:textId="513513E0" w:rsidR="002B6ABD" w:rsidRDefault="002B6ABD" w:rsidP="000B1825">
      <w:pPr>
        <w:spacing w:before="240" w:after="240"/>
        <w:jc w:val="both"/>
        <w:rPr>
          <w:i/>
          <w:iCs/>
          <w:sz w:val="22"/>
          <w:szCs w:val="22"/>
          <w:lang w:val="en-US"/>
        </w:rPr>
      </w:pPr>
      <w:r w:rsidRPr="007C3A3D">
        <w:rPr>
          <w:noProof/>
          <w:sz w:val="22"/>
          <w:szCs w:val="22"/>
          <w:lang w:val="en-US"/>
        </w:rPr>
        <w:drawing>
          <wp:anchor distT="0" distB="0" distL="114300" distR="114300" simplePos="0" relativeHeight="251659264" behindDoc="1" locked="0" layoutInCell="1" allowOverlap="1" wp14:anchorId="0C27F3DD" wp14:editId="6B65824A">
            <wp:simplePos x="0" y="0"/>
            <wp:positionH relativeFrom="column">
              <wp:posOffset>2286189</wp:posOffset>
            </wp:positionH>
            <wp:positionV relativeFrom="paragraph">
              <wp:posOffset>208090</wp:posOffset>
            </wp:positionV>
            <wp:extent cx="1911350" cy="2101850"/>
            <wp:effectExtent l="0" t="0" r="0" b="0"/>
            <wp:wrapTight wrapText="bothSides">
              <wp:wrapPolygon edited="0">
                <wp:start x="0" y="0"/>
                <wp:lineTo x="0" y="21339"/>
                <wp:lineTo x="21313" y="21339"/>
                <wp:lineTo x="21313" y="0"/>
                <wp:lineTo x="0" y="0"/>
              </wp:wrapPolygon>
            </wp:wrapTight>
            <wp:docPr id="1038699703"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699703" name="Picture 5" descr="A screenshot of a computer&#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021" t="3278" r="38325" b="36430"/>
                    <a:stretch/>
                  </pic:blipFill>
                  <pic:spPr bwMode="auto">
                    <a:xfrm>
                      <a:off x="0" y="0"/>
                      <a:ext cx="1911350" cy="2101850"/>
                    </a:xfrm>
                    <a:prstGeom prst="rect">
                      <a:avLst/>
                    </a:prstGeom>
                    <a:noFill/>
                    <a:ln>
                      <a:noFill/>
                    </a:ln>
                    <a:extLst>
                      <a:ext uri="{53640926-AAD7-44D8-BBD7-CCE9431645EC}">
                        <a14:shadowObscured xmlns:a14="http://schemas.microsoft.com/office/drawing/2010/main"/>
                      </a:ext>
                    </a:extLst>
                  </pic:spPr>
                </pic:pic>
              </a:graphicData>
            </a:graphic>
          </wp:anchor>
        </w:drawing>
      </w:r>
    </w:p>
    <w:p w14:paraId="49ED83F7" w14:textId="40066A9E" w:rsidR="00196C02" w:rsidRDefault="007C3A3D" w:rsidP="000B1825">
      <w:pPr>
        <w:spacing w:before="240" w:after="240"/>
        <w:jc w:val="both"/>
        <w:rPr>
          <w:sz w:val="22"/>
          <w:szCs w:val="22"/>
          <w:lang w:val="en-US"/>
        </w:rPr>
      </w:pPr>
      <w:r w:rsidRPr="007C3A3D">
        <w:rPr>
          <w:i/>
          <w:iCs/>
          <w:sz w:val="22"/>
          <w:szCs w:val="22"/>
          <w:lang w:val="en-US"/>
        </w:rPr>
        <w:t xml:space="preserve">Note: </w:t>
      </w:r>
      <w:r w:rsidRPr="007C3A3D">
        <w:rPr>
          <w:sz w:val="22"/>
          <w:szCs w:val="22"/>
          <w:lang w:val="en-US"/>
        </w:rPr>
        <w:t xml:space="preserve">Pairwise comparison diagrams were provided for the 3 parameters: T50, Km, and </w:t>
      </w:r>
      <w:proofErr w:type="spellStart"/>
      <w:r w:rsidRPr="007C3A3D">
        <w:rPr>
          <w:sz w:val="22"/>
          <w:szCs w:val="22"/>
          <w:lang w:val="en-US"/>
        </w:rPr>
        <w:t>kcat</w:t>
      </w:r>
      <w:proofErr w:type="spellEnd"/>
      <w:r w:rsidRPr="007C3A3D">
        <w:rPr>
          <w:sz w:val="22"/>
          <w:szCs w:val="22"/>
          <w:lang w:val="en-US"/>
        </w:rPr>
        <w:t>/Km. Significance values were adjusted based on the Bonferroni correction when running multiple tests.</w:t>
      </w:r>
    </w:p>
    <w:p w14:paraId="15D0BF62" w14:textId="10CC6B55" w:rsidR="00196C02" w:rsidRDefault="00196C02" w:rsidP="000B1825">
      <w:pPr>
        <w:spacing w:before="240" w:after="240"/>
        <w:jc w:val="both"/>
        <w:rPr>
          <w:sz w:val="22"/>
          <w:szCs w:val="22"/>
          <w:lang w:val="en-US"/>
        </w:rPr>
      </w:pPr>
      <w:r>
        <w:rPr>
          <w:sz w:val="22"/>
          <w:szCs w:val="22"/>
          <w:lang w:val="en-US"/>
        </w:rPr>
        <w:t xml:space="preserve">Similarly, Whisker Plots with a confidence interval of 90% were constructed </w:t>
      </w:r>
      <w:proofErr w:type="gramStart"/>
      <w:r>
        <w:rPr>
          <w:sz w:val="22"/>
          <w:szCs w:val="22"/>
          <w:lang w:val="en-US"/>
        </w:rPr>
        <w:t>in order to</w:t>
      </w:r>
      <w:proofErr w:type="gramEnd"/>
      <w:r>
        <w:rPr>
          <w:sz w:val="22"/>
          <w:szCs w:val="22"/>
          <w:lang w:val="en-US"/>
        </w:rPr>
        <w:t xml:space="preserve"> better visualize the variability across institutions. The median values are represented on the graphs.</w:t>
      </w:r>
    </w:p>
    <w:p w14:paraId="534B7508" w14:textId="406C8D5B" w:rsidR="00A85D65" w:rsidRPr="001940E0" w:rsidRDefault="001940E0" w:rsidP="000B1825">
      <w:pPr>
        <w:pStyle w:val="Heading2"/>
        <w:spacing w:before="240" w:after="240"/>
        <w:jc w:val="center"/>
        <w:rPr>
          <w:sz w:val="22"/>
          <w:szCs w:val="22"/>
          <w:lang w:val="en-US"/>
        </w:rPr>
      </w:pPr>
      <w:r w:rsidRPr="001940E0">
        <w:rPr>
          <w:sz w:val="22"/>
          <w:szCs w:val="22"/>
          <w:lang w:val="en-US"/>
        </w:rPr>
        <w:lastRenderedPageBreak/>
        <w:t>Figure 1.0</w:t>
      </w:r>
    </w:p>
    <w:p w14:paraId="7CF49E6B" w14:textId="2046B2F0" w:rsidR="00A85D65" w:rsidRPr="00A85D65" w:rsidRDefault="00A85D65" w:rsidP="000B1825">
      <w:pPr>
        <w:spacing w:before="240" w:after="240"/>
        <w:jc w:val="center"/>
        <w:rPr>
          <w:sz w:val="22"/>
          <w:szCs w:val="22"/>
          <w:lang w:val="en-US"/>
        </w:rPr>
      </w:pPr>
      <w:r w:rsidRPr="001940E0">
        <w:rPr>
          <w:noProof/>
          <w:sz w:val="22"/>
          <w:szCs w:val="22"/>
          <w:lang w:val="en-US"/>
        </w:rPr>
        <w:drawing>
          <wp:inline distT="0" distB="0" distL="0" distR="0" wp14:anchorId="5E598CAC" wp14:editId="46203EEA">
            <wp:extent cx="4400550" cy="2606926"/>
            <wp:effectExtent l="171450" t="171450" r="190500" b="174625"/>
            <wp:docPr id="1279194548" name="Picture 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194548" name="Picture 3" descr="A screenshot of a computer&#10;&#10;Description automatically generated"/>
                    <pic:cNvPicPr>
                      <a:picLocks noChangeAspect="1" noChangeArrowheads="1"/>
                    </pic:cNvPicPr>
                  </pic:nvPicPr>
                  <pic:blipFill rotWithShape="1">
                    <a:blip r:embed="rId10">
                      <a:extLst>
                        <a:ext uri="{28A0092B-C50C-407E-A947-70E740481C1C}">
                          <a14:useLocalDpi xmlns:a14="http://schemas.microsoft.com/office/drawing/2010/main" val="0"/>
                        </a:ext>
                      </a:extLst>
                    </a:blip>
                    <a:srcRect r="32883" b="32354"/>
                    <a:stretch/>
                  </pic:blipFill>
                  <pic:spPr bwMode="auto">
                    <a:xfrm>
                      <a:off x="0" y="0"/>
                      <a:ext cx="4401154" cy="2607284"/>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14:paraId="5749A472" w14:textId="74A9C6A1" w:rsidR="00A85D65" w:rsidRPr="00A85D65" w:rsidRDefault="001940E0" w:rsidP="000B1825">
      <w:pPr>
        <w:spacing w:before="240" w:after="240"/>
        <w:jc w:val="both"/>
        <w:rPr>
          <w:sz w:val="22"/>
          <w:szCs w:val="22"/>
          <w:lang w:val="en-US"/>
        </w:rPr>
      </w:pPr>
      <w:r w:rsidRPr="001940E0">
        <w:rPr>
          <w:i/>
          <w:iCs/>
          <w:sz w:val="22"/>
          <w:szCs w:val="22"/>
          <w:lang w:val="en-US"/>
        </w:rPr>
        <w:t>Note:</w:t>
      </w:r>
      <w:r w:rsidRPr="001940E0">
        <w:rPr>
          <w:sz w:val="22"/>
          <w:szCs w:val="22"/>
          <w:lang w:val="en-US"/>
        </w:rPr>
        <w:t xml:space="preserve"> </w:t>
      </w:r>
      <w:r w:rsidR="00A85D65" w:rsidRPr="00A85D65">
        <w:rPr>
          <w:sz w:val="22"/>
          <w:szCs w:val="22"/>
          <w:lang w:val="en-US"/>
        </w:rPr>
        <w:t xml:space="preserve">Whisker plot (90% confidence) for </w:t>
      </w:r>
      <w:bookmarkStart w:id="10" w:name="_Hlk143520521"/>
      <w:proofErr w:type="spellStart"/>
      <w:r w:rsidR="00A85D65" w:rsidRPr="00A85D65">
        <w:rPr>
          <w:sz w:val="22"/>
          <w:szCs w:val="22"/>
          <w:lang w:val="en-US"/>
        </w:rPr>
        <w:t>k</w:t>
      </w:r>
      <w:r w:rsidR="007C3A3D">
        <w:rPr>
          <w:sz w:val="22"/>
          <w:szCs w:val="22"/>
          <w:vertAlign w:val="subscript"/>
          <w:lang w:val="en-US"/>
        </w:rPr>
        <w:t>cat</w:t>
      </w:r>
      <w:proofErr w:type="spellEnd"/>
      <w:r w:rsidR="00A85D65" w:rsidRPr="00A85D65">
        <w:rPr>
          <w:sz w:val="22"/>
          <w:szCs w:val="22"/>
          <w:lang w:val="en-US"/>
        </w:rPr>
        <w:t>/K</w:t>
      </w:r>
      <w:r w:rsidR="007C3A3D">
        <w:rPr>
          <w:sz w:val="22"/>
          <w:szCs w:val="22"/>
          <w:vertAlign w:val="subscript"/>
          <w:lang w:val="en-US"/>
        </w:rPr>
        <w:t>M</w:t>
      </w:r>
      <w:bookmarkEnd w:id="10"/>
      <w:r w:rsidR="00A85D65" w:rsidRPr="00A85D65">
        <w:rPr>
          <w:sz w:val="22"/>
          <w:szCs w:val="22"/>
          <w:lang w:val="en-US"/>
        </w:rPr>
        <w:t xml:space="preserve"> from eleven institutions. Participating institutions are labeled A-K. Circles represent outliers considered reasonable errors, asterisks depict outliers identified by SPSS as deviating significantly from the dataset’s norm. An aberrant value from Institution A was excluded from the graph. Institution K was omitted from the graph </w:t>
      </w:r>
      <w:proofErr w:type="gramStart"/>
      <w:r w:rsidR="00A85D65" w:rsidRPr="00A85D65">
        <w:rPr>
          <w:sz w:val="22"/>
          <w:szCs w:val="22"/>
          <w:lang w:val="en-US"/>
        </w:rPr>
        <w:t>in order to</w:t>
      </w:r>
      <w:proofErr w:type="gramEnd"/>
      <w:r w:rsidR="00A85D65" w:rsidRPr="00A85D65">
        <w:rPr>
          <w:sz w:val="22"/>
          <w:szCs w:val="22"/>
          <w:lang w:val="en-US"/>
        </w:rPr>
        <w:t xml:space="preserve"> ensure readability. </w:t>
      </w:r>
    </w:p>
    <w:p w14:paraId="6B497185" w14:textId="465A6095" w:rsidR="00A85D65" w:rsidRPr="001940E0" w:rsidRDefault="001940E0" w:rsidP="000B1825">
      <w:pPr>
        <w:pStyle w:val="Heading2"/>
        <w:spacing w:before="240" w:after="240"/>
        <w:jc w:val="center"/>
        <w:rPr>
          <w:sz w:val="22"/>
          <w:szCs w:val="22"/>
          <w:lang w:val="en-US"/>
        </w:rPr>
      </w:pPr>
      <w:r w:rsidRPr="001940E0">
        <w:rPr>
          <w:sz w:val="22"/>
          <w:szCs w:val="22"/>
          <w:lang w:val="en-US"/>
        </w:rPr>
        <w:t>Figure 2.0</w:t>
      </w:r>
    </w:p>
    <w:p w14:paraId="3F369277" w14:textId="6633C640" w:rsidR="00A85D65" w:rsidRPr="00A85D65" w:rsidRDefault="00A85D65" w:rsidP="000B1825">
      <w:pPr>
        <w:spacing w:before="240" w:after="240"/>
        <w:jc w:val="center"/>
        <w:rPr>
          <w:sz w:val="22"/>
          <w:szCs w:val="22"/>
          <w:lang w:val="en-US"/>
        </w:rPr>
      </w:pPr>
      <w:r w:rsidRPr="001940E0">
        <w:rPr>
          <w:noProof/>
          <w:sz w:val="22"/>
          <w:szCs w:val="22"/>
          <w:lang w:val="en-US"/>
        </w:rPr>
        <w:drawing>
          <wp:inline distT="0" distB="0" distL="0" distR="0" wp14:anchorId="2C76871D" wp14:editId="5545A791">
            <wp:extent cx="4273550" cy="2540271"/>
            <wp:effectExtent l="171450" t="171450" r="165100" b="165100"/>
            <wp:docPr id="322893538" name="Picture 2"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893538" name="Picture 2" descr="A screenshot of a graph&#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r="32551" b="31788"/>
                    <a:stretch/>
                  </pic:blipFill>
                  <pic:spPr bwMode="auto">
                    <a:xfrm>
                      <a:off x="0" y="0"/>
                      <a:ext cx="4284678" cy="2546886"/>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14:paraId="2B9DAC09" w14:textId="4C7EB670" w:rsidR="00A85D65" w:rsidRPr="001940E0" w:rsidRDefault="001940E0" w:rsidP="000B1825">
      <w:pPr>
        <w:spacing w:before="240" w:after="240"/>
        <w:jc w:val="both"/>
        <w:rPr>
          <w:sz w:val="22"/>
          <w:szCs w:val="22"/>
          <w:lang w:val="en-US"/>
        </w:rPr>
      </w:pPr>
      <w:r w:rsidRPr="001940E0">
        <w:rPr>
          <w:i/>
          <w:iCs/>
          <w:sz w:val="22"/>
          <w:szCs w:val="22"/>
          <w:lang w:val="en-US"/>
        </w:rPr>
        <w:lastRenderedPageBreak/>
        <w:t>Note:</w:t>
      </w:r>
      <w:r w:rsidR="00A85D65" w:rsidRPr="00A85D65">
        <w:rPr>
          <w:sz w:val="22"/>
          <w:szCs w:val="22"/>
          <w:lang w:val="en-US"/>
        </w:rPr>
        <w:t xml:space="preserve"> Whisker Plots (90% confidence) for K</w:t>
      </w:r>
      <w:r w:rsidR="007C3A3D">
        <w:rPr>
          <w:sz w:val="22"/>
          <w:szCs w:val="22"/>
          <w:vertAlign w:val="subscript"/>
          <w:lang w:val="en-US"/>
        </w:rPr>
        <w:t>M</w:t>
      </w:r>
      <w:r w:rsidR="00A85D65" w:rsidRPr="00A85D65">
        <w:rPr>
          <w:sz w:val="22"/>
          <w:szCs w:val="22"/>
          <w:lang w:val="en-US"/>
        </w:rPr>
        <w:t xml:space="preserve"> values from eleven institutions. Participating institutions are labeled A-K. Circles represent outliers considered reasonable errors, asterisks depict outliers identified by SPSS as deviating significantly from the dataset’s norm.</w:t>
      </w:r>
    </w:p>
    <w:p w14:paraId="19503EE7" w14:textId="2BD09D02" w:rsidR="00A85D65" w:rsidRPr="001940E0" w:rsidRDefault="001940E0" w:rsidP="000B1825">
      <w:pPr>
        <w:pStyle w:val="Heading2"/>
        <w:spacing w:before="240" w:after="240"/>
        <w:jc w:val="center"/>
        <w:rPr>
          <w:sz w:val="22"/>
          <w:szCs w:val="22"/>
          <w:lang w:val="en-US"/>
        </w:rPr>
      </w:pPr>
      <w:r w:rsidRPr="001940E0">
        <w:rPr>
          <w:sz w:val="22"/>
          <w:szCs w:val="22"/>
          <w:lang w:val="en-US"/>
        </w:rPr>
        <w:t>Figure 3.0</w:t>
      </w:r>
    </w:p>
    <w:p w14:paraId="5ADD8FB6" w14:textId="3F22136E" w:rsidR="00A85D65" w:rsidRPr="00A85D65" w:rsidRDefault="00A85D65" w:rsidP="000B1825">
      <w:pPr>
        <w:spacing w:before="240" w:after="240"/>
        <w:jc w:val="center"/>
        <w:rPr>
          <w:sz w:val="22"/>
          <w:szCs w:val="22"/>
          <w:lang w:val="en-US"/>
        </w:rPr>
      </w:pPr>
      <w:r w:rsidRPr="001940E0">
        <w:rPr>
          <w:noProof/>
          <w:sz w:val="22"/>
          <w:szCs w:val="22"/>
          <w:lang w:val="en-US"/>
        </w:rPr>
        <w:drawing>
          <wp:inline distT="0" distB="0" distL="0" distR="0" wp14:anchorId="5A2A3B33" wp14:editId="52FE5A71">
            <wp:extent cx="4316095" cy="2541383"/>
            <wp:effectExtent l="171450" t="171450" r="179705" b="182880"/>
            <wp:docPr id="120474837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748373" name="Picture 1" descr="A screenshot of a computer&#10;&#10;Description automatically generated"/>
                    <pic:cNvPicPr>
                      <a:picLocks noChangeAspect="1" noChangeArrowheads="1"/>
                    </pic:cNvPicPr>
                  </pic:nvPicPr>
                  <pic:blipFill rotWithShape="1">
                    <a:blip r:embed="rId12">
                      <a:extLst>
                        <a:ext uri="{28A0092B-C50C-407E-A947-70E740481C1C}">
                          <a14:useLocalDpi xmlns:a14="http://schemas.microsoft.com/office/drawing/2010/main" val="0"/>
                        </a:ext>
                      </a:extLst>
                    </a:blip>
                    <a:srcRect r="32662" b="32401"/>
                    <a:stretch/>
                  </pic:blipFill>
                  <pic:spPr bwMode="auto">
                    <a:xfrm>
                      <a:off x="0" y="0"/>
                      <a:ext cx="4329519" cy="2549287"/>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14:paraId="00DF2D09" w14:textId="562DEAF5" w:rsidR="00A85D65" w:rsidRPr="00A85D65" w:rsidRDefault="001940E0" w:rsidP="000B1825">
      <w:pPr>
        <w:spacing w:before="240" w:after="240"/>
        <w:jc w:val="both"/>
        <w:rPr>
          <w:sz w:val="22"/>
          <w:szCs w:val="22"/>
          <w:lang w:val="en-US"/>
        </w:rPr>
      </w:pPr>
      <w:r w:rsidRPr="001940E0">
        <w:rPr>
          <w:sz w:val="22"/>
          <w:szCs w:val="22"/>
          <w:lang w:val="en-US"/>
        </w:rPr>
        <w:t>Note:</w:t>
      </w:r>
      <w:r w:rsidR="00A85D65" w:rsidRPr="00A85D65">
        <w:rPr>
          <w:sz w:val="22"/>
          <w:szCs w:val="22"/>
          <w:lang w:val="en-US"/>
        </w:rPr>
        <w:t xml:space="preserve"> Whisker plots (90% confidence) for T50 values from eight institutions. Participating institutions are labeled A-K. Circles represent outliers considered reasonable errors, asterisks depict outliers identified by SPSS as deviating significantly from the dataset’s norm. Some institutions did not report T</w:t>
      </w:r>
      <w:r w:rsidR="007C3A3D">
        <w:rPr>
          <w:sz w:val="22"/>
          <w:szCs w:val="22"/>
          <w:vertAlign w:val="subscript"/>
          <w:lang w:val="en-US"/>
        </w:rPr>
        <w:t>50</w:t>
      </w:r>
      <w:r w:rsidR="00A85D65" w:rsidRPr="00A85D65">
        <w:rPr>
          <w:sz w:val="22"/>
          <w:szCs w:val="22"/>
          <w:lang w:val="en-US"/>
        </w:rPr>
        <w:t xml:space="preserve"> values. </w:t>
      </w:r>
    </w:p>
    <w:p w14:paraId="28976E54" w14:textId="77777777" w:rsidR="00D47430" w:rsidRDefault="007C3A3D" w:rsidP="000B1825">
      <w:pPr>
        <w:spacing w:before="240" w:after="240"/>
        <w:rPr>
          <w:sz w:val="22"/>
          <w:szCs w:val="22"/>
        </w:rPr>
      </w:pPr>
      <w:r>
        <w:rPr>
          <w:sz w:val="22"/>
          <w:szCs w:val="22"/>
        </w:rPr>
        <w:br w:type="page"/>
      </w:r>
    </w:p>
    <w:p w14:paraId="7A458DD1" w14:textId="0A939968" w:rsidR="00D47430" w:rsidRDefault="00D47430" w:rsidP="000B1825">
      <w:pPr>
        <w:pStyle w:val="Heading2"/>
        <w:spacing w:before="240" w:after="240"/>
        <w:jc w:val="center"/>
      </w:pPr>
      <w:r>
        <w:lastRenderedPageBreak/>
        <w:t>Table 1.0</w:t>
      </w:r>
    </w:p>
    <w:tbl>
      <w:tblPr>
        <w:tblStyle w:val="TableGrid"/>
        <w:tblW w:w="9757" w:type="dxa"/>
        <w:tblLook w:val="04A0" w:firstRow="1" w:lastRow="0" w:firstColumn="1" w:lastColumn="0" w:noHBand="0" w:noVBand="1"/>
      </w:tblPr>
      <w:tblGrid>
        <w:gridCol w:w="1099"/>
        <w:gridCol w:w="1146"/>
        <w:gridCol w:w="1825"/>
        <w:gridCol w:w="1348"/>
        <w:gridCol w:w="1283"/>
        <w:gridCol w:w="1613"/>
        <w:gridCol w:w="1443"/>
      </w:tblGrid>
      <w:tr w:rsidR="00D47430" w14:paraId="0B6C204A" w14:textId="77777777" w:rsidTr="000B22AD">
        <w:trPr>
          <w:trHeight w:val="934"/>
        </w:trPr>
        <w:tc>
          <w:tcPr>
            <w:tcW w:w="1099" w:type="dxa"/>
            <w:shd w:val="clear" w:color="auto" w:fill="D9D9D9" w:themeFill="background1" w:themeFillShade="D9"/>
            <w:vAlign w:val="center"/>
          </w:tcPr>
          <w:p w14:paraId="221D99A9" w14:textId="77777777" w:rsidR="00D47430" w:rsidRPr="00D47430" w:rsidRDefault="00D47430" w:rsidP="000B1825">
            <w:pPr>
              <w:spacing w:before="240" w:after="240" w:line="480" w:lineRule="auto"/>
              <w:ind w:firstLine="0"/>
              <w:jc w:val="center"/>
              <w:rPr>
                <w:sz w:val="22"/>
                <w:szCs w:val="22"/>
              </w:rPr>
            </w:pPr>
          </w:p>
        </w:tc>
        <w:tc>
          <w:tcPr>
            <w:tcW w:w="1146" w:type="dxa"/>
            <w:shd w:val="clear" w:color="auto" w:fill="D9D9D9" w:themeFill="background1" w:themeFillShade="D9"/>
            <w:vAlign w:val="center"/>
          </w:tcPr>
          <w:p w14:paraId="649CB2CC" w14:textId="4FB25574" w:rsidR="00D47430" w:rsidRPr="000B22AD" w:rsidRDefault="00D47430" w:rsidP="000B1825">
            <w:pPr>
              <w:spacing w:before="240" w:after="240" w:line="480" w:lineRule="auto"/>
              <w:ind w:firstLine="0"/>
              <w:jc w:val="center"/>
              <w:rPr>
                <w:sz w:val="22"/>
                <w:szCs w:val="22"/>
              </w:rPr>
            </w:pPr>
            <w:r w:rsidRPr="000B22AD">
              <w:rPr>
                <w:color w:val="000000"/>
                <w:sz w:val="22"/>
                <w:szCs w:val="22"/>
              </w:rPr>
              <w:t xml:space="preserve">Average </w:t>
            </w:r>
            <w:r w:rsidRPr="000B22AD">
              <w:rPr>
                <w:sz w:val="22"/>
                <w:szCs w:val="22"/>
                <w:lang w:val="en-US"/>
              </w:rPr>
              <w:t>K</w:t>
            </w:r>
            <w:r w:rsidRPr="000B22AD">
              <w:rPr>
                <w:sz w:val="22"/>
                <w:szCs w:val="22"/>
                <w:vertAlign w:val="subscript"/>
                <w:lang w:val="en-US"/>
              </w:rPr>
              <w:t>M</w:t>
            </w:r>
            <w:r w:rsidRPr="000B22AD">
              <w:rPr>
                <w:color w:val="000000"/>
                <w:sz w:val="22"/>
                <w:szCs w:val="22"/>
              </w:rPr>
              <w:t xml:space="preserve"> (mM)</w:t>
            </w:r>
          </w:p>
        </w:tc>
        <w:tc>
          <w:tcPr>
            <w:tcW w:w="1825" w:type="dxa"/>
            <w:shd w:val="clear" w:color="auto" w:fill="D9D9D9" w:themeFill="background1" w:themeFillShade="D9"/>
            <w:vAlign w:val="center"/>
          </w:tcPr>
          <w:p w14:paraId="6A84241C" w14:textId="0FF0523B" w:rsidR="00D47430" w:rsidRPr="000B22AD" w:rsidRDefault="00D47430" w:rsidP="000B1825">
            <w:pPr>
              <w:spacing w:before="240" w:after="240" w:line="480" w:lineRule="auto"/>
              <w:ind w:firstLine="0"/>
              <w:jc w:val="center"/>
              <w:rPr>
                <w:sz w:val="22"/>
                <w:szCs w:val="22"/>
                <w:vertAlign w:val="superscript"/>
              </w:rPr>
            </w:pPr>
            <w:r w:rsidRPr="000B22AD">
              <w:rPr>
                <w:color w:val="000000"/>
                <w:sz w:val="22"/>
                <w:szCs w:val="22"/>
              </w:rPr>
              <w:t xml:space="preserve">Average </w:t>
            </w:r>
            <w:proofErr w:type="spellStart"/>
            <w:r w:rsidRPr="000B22AD">
              <w:rPr>
                <w:sz w:val="22"/>
                <w:szCs w:val="22"/>
                <w:lang w:val="en-US"/>
              </w:rPr>
              <w:t>k</w:t>
            </w:r>
            <w:r w:rsidRPr="000B22AD">
              <w:rPr>
                <w:sz w:val="22"/>
                <w:szCs w:val="22"/>
                <w:vertAlign w:val="subscript"/>
                <w:lang w:val="en-US"/>
              </w:rPr>
              <w:t>cat</w:t>
            </w:r>
            <w:proofErr w:type="spellEnd"/>
            <w:r w:rsidRPr="000B22AD">
              <w:rPr>
                <w:sz w:val="22"/>
                <w:szCs w:val="22"/>
                <w:lang w:val="en-US"/>
              </w:rPr>
              <w:t>/K</w:t>
            </w:r>
            <w:r w:rsidRPr="000B22AD">
              <w:rPr>
                <w:sz w:val="22"/>
                <w:szCs w:val="22"/>
                <w:vertAlign w:val="subscript"/>
                <w:lang w:val="en-US"/>
              </w:rPr>
              <w:t>M</w:t>
            </w:r>
            <w:r w:rsidRPr="000B22AD">
              <w:rPr>
                <w:color w:val="000000"/>
                <w:sz w:val="22"/>
                <w:szCs w:val="22"/>
              </w:rPr>
              <w:t xml:space="preserve"> (M</w:t>
            </w:r>
            <w:r w:rsidR="000B22AD" w:rsidRPr="000B22AD">
              <w:rPr>
                <w:color w:val="000000"/>
                <w:sz w:val="22"/>
                <w:szCs w:val="22"/>
              </w:rPr>
              <w:t>-1s-1)</w:t>
            </w:r>
          </w:p>
        </w:tc>
        <w:tc>
          <w:tcPr>
            <w:tcW w:w="1348" w:type="dxa"/>
            <w:shd w:val="clear" w:color="auto" w:fill="D9D9D9" w:themeFill="background1" w:themeFillShade="D9"/>
            <w:vAlign w:val="center"/>
          </w:tcPr>
          <w:p w14:paraId="6A6A2481" w14:textId="5BCC566E" w:rsidR="00D47430" w:rsidRPr="000B22AD" w:rsidRDefault="00D47430" w:rsidP="000B1825">
            <w:pPr>
              <w:spacing w:before="240" w:after="240" w:line="480" w:lineRule="auto"/>
              <w:ind w:firstLine="0"/>
              <w:jc w:val="center"/>
              <w:rPr>
                <w:sz w:val="22"/>
                <w:szCs w:val="22"/>
              </w:rPr>
            </w:pPr>
            <w:r w:rsidRPr="000B22AD">
              <w:rPr>
                <w:color w:val="000000"/>
                <w:sz w:val="22"/>
                <w:szCs w:val="22"/>
              </w:rPr>
              <w:t xml:space="preserve">Average </w:t>
            </w:r>
            <w:r w:rsidRPr="000B22AD">
              <w:rPr>
                <w:sz w:val="22"/>
                <w:szCs w:val="22"/>
                <w:lang w:val="en-US"/>
              </w:rPr>
              <w:t>T</w:t>
            </w:r>
            <w:r w:rsidRPr="000B22AD">
              <w:rPr>
                <w:sz w:val="22"/>
                <w:szCs w:val="22"/>
                <w:vertAlign w:val="subscript"/>
                <w:lang w:val="en-US"/>
              </w:rPr>
              <w:t>50</w:t>
            </w:r>
          </w:p>
        </w:tc>
        <w:tc>
          <w:tcPr>
            <w:tcW w:w="1283" w:type="dxa"/>
            <w:shd w:val="clear" w:color="auto" w:fill="D9D9D9" w:themeFill="background1" w:themeFillShade="D9"/>
            <w:vAlign w:val="center"/>
          </w:tcPr>
          <w:p w14:paraId="05075D02" w14:textId="072337F4" w:rsidR="00D47430" w:rsidRPr="000B22AD" w:rsidRDefault="00D47430" w:rsidP="000B1825">
            <w:pPr>
              <w:spacing w:before="240" w:after="240" w:line="480" w:lineRule="auto"/>
              <w:ind w:firstLine="0"/>
              <w:jc w:val="center"/>
              <w:rPr>
                <w:sz w:val="22"/>
                <w:szCs w:val="22"/>
              </w:rPr>
            </w:pPr>
            <w:r w:rsidRPr="000B22AD">
              <w:rPr>
                <w:color w:val="000000"/>
                <w:sz w:val="22"/>
                <w:szCs w:val="22"/>
              </w:rPr>
              <w:t xml:space="preserve">Interval </w:t>
            </w:r>
            <w:r w:rsidRPr="000B22AD">
              <w:rPr>
                <w:sz w:val="22"/>
                <w:szCs w:val="22"/>
                <w:lang w:val="en-US"/>
              </w:rPr>
              <w:t>K</w:t>
            </w:r>
            <w:r w:rsidRPr="000B22AD">
              <w:rPr>
                <w:sz w:val="22"/>
                <w:szCs w:val="22"/>
                <w:vertAlign w:val="subscript"/>
                <w:lang w:val="en-US"/>
              </w:rPr>
              <w:t>M</w:t>
            </w:r>
            <w:r w:rsidRPr="000B22AD">
              <w:rPr>
                <w:color w:val="000000"/>
                <w:sz w:val="22"/>
                <w:szCs w:val="22"/>
              </w:rPr>
              <w:t xml:space="preserve"> (mM)</w:t>
            </w:r>
          </w:p>
        </w:tc>
        <w:tc>
          <w:tcPr>
            <w:tcW w:w="1613" w:type="dxa"/>
            <w:shd w:val="clear" w:color="auto" w:fill="D9D9D9" w:themeFill="background1" w:themeFillShade="D9"/>
            <w:vAlign w:val="center"/>
          </w:tcPr>
          <w:p w14:paraId="0687B7AC" w14:textId="473AF43D" w:rsidR="00D47430" w:rsidRPr="000B22AD" w:rsidRDefault="00D47430" w:rsidP="000B1825">
            <w:pPr>
              <w:spacing w:before="240" w:after="240" w:line="480" w:lineRule="auto"/>
              <w:ind w:firstLine="0"/>
              <w:jc w:val="center"/>
              <w:rPr>
                <w:sz w:val="22"/>
                <w:szCs w:val="22"/>
              </w:rPr>
            </w:pPr>
            <w:r w:rsidRPr="000B22AD">
              <w:rPr>
                <w:color w:val="000000"/>
                <w:sz w:val="22"/>
                <w:szCs w:val="22"/>
              </w:rPr>
              <w:t xml:space="preserve">Interval </w:t>
            </w:r>
            <w:proofErr w:type="spellStart"/>
            <w:r w:rsidRPr="000B22AD">
              <w:rPr>
                <w:sz w:val="22"/>
                <w:szCs w:val="22"/>
                <w:lang w:val="en-US"/>
              </w:rPr>
              <w:t>k</w:t>
            </w:r>
            <w:r w:rsidRPr="000B22AD">
              <w:rPr>
                <w:sz w:val="22"/>
                <w:szCs w:val="22"/>
                <w:vertAlign w:val="subscript"/>
                <w:lang w:val="en-US"/>
              </w:rPr>
              <w:t>cat</w:t>
            </w:r>
            <w:proofErr w:type="spellEnd"/>
            <w:r w:rsidRPr="000B22AD">
              <w:rPr>
                <w:sz w:val="22"/>
                <w:szCs w:val="22"/>
                <w:lang w:val="en-US"/>
              </w:rPr>
              <w:t>/K</w:t>
            </w:r>
            <w:r w:rsidRPr="000B22AD">
              <w:rPr>
                <w:sz w:val="22"/>
                <w:szCs w:val="22"/>
                <w:vertAlign w:val="subscript"/>
                <w:lang w:val="en-US"/>
              </w:rPr>
              <w:t xml:space="preserve">M </w:t>
            </w:r>
            <w:r w:rsidRPr="000B22AD">
              <w:rPr>
                <w:color w:val="000000"/>
                <w:sz w:val="22"/>
                <w:szCs w:val="22"/>
              </w:rPr>
              <w:t>(M-1s-1)</w:t>
            </w:r>
          </w:p>
        </w:tc>
        <w:tc>
          <w:tcPr>
            <w:tcW w:w="1443" w:type="dxa"/>
            <w:shd w:val="clear" w:color="auto" w:fill="D9D9D9" w:themeFill="background1" w:themeFillShade="D9"/>
            <w:vAlign w:val="center"/>
          </w:tcPr>
          <w:p w14:paraId="1F9DFFD4" w14:textId="092082ED" w:rsidR="00D47430" w:rsidRPr="000B22AD" w:rsidRDefault="00D47430" w:rsidP="000B1825">
            <w:pPr>
              <w:spacing w:before="240" w:after="240" w:line="480" w:lineRule="auto"/>
              <w:ind w:firstLine="0"/>
              <w:jc w:val="center"/>
              <w:rPr>
                <w:sz w:val="22"/>
                <w:szCs w:val="22"/>
              </w:rPr>
            </w:pPr>
            <w:r w:rsidRPr="000B22AD">
              <w:rPr>
                <w:color w:val="000000"/>
                <w:sz w:val="22"/>
                <w:szCs w:val="22"/>
              </w:rPr>
              <w:t xml:space="preserve">Interval </w:t>
            </w:r>
            <w:r w:rsidRPr="000B22AD">
              <w:rPr>
                <w:sz w:val="22"/>
                <w:szCs w:val="22"/>
                <w:lang w:val="en-US"/>
              </w:rPr>
              <w:t>T</w:t>
            </w:r>
            <w:r w:rsidRPr="000B22AD">
              <w:rPr>
                <w:sz w:val="22"/>
                <w:szCs w:val="22"/>
                <w:vertAlign w:val="subscript"/>
                <w:lang w:val="en-US"/>
              </w:rPr>
              <w:t>50</w:t>
            </w:r>
          </w:p>
        </w:tc>
      </w:tr>
      <w:tr w:rsidR="00D47430" w14:paraId="3C41D1BA" w14:textId="77777777" w:rsidTr="000B22AD">
        <w:trPr>
          <w:trHeight w:val="619"/>
        </w:trPr>
        <w:tc>
          <w:tcPr>
            <w:tcW w:w="1099" w:type="dxa"/>
            <w:shd w:val="clear" w:color="auto" w:fill="D9D9D9" w:themeFill="background1" w:themeFillShade="D9"/>
            <w:vAlign w:val="center"/>
          </w:tcPr>
          <w:p w14:paraId="4E1F7A2B" w14:textId="1056E964" w:rsidR="00D47430" w:rsidRPr="00D47430" w:rsidRDefault="00D47430" w:rsidP="000B1825">
            <w:pPr>
              <w:spacing w:before="240" w:after="240" w:line="480" w:lineRule="auto"/>
              <w:ind w:firstLine="0"/>
              <w:jc w:val="center"/>
              <w:rPr>
                <w:sz w:val="22"/>
                <w:szCs w:val="22"/>
              </w:rPr>
            </w:pPr>
            <w:r w:rsidRPr="00D47430">
              <w:rPr>
                <w:color w:val="000000"/>
              </w:rPr>
              <w:t>Curated</w:t>
            </w:r>
          </w:p>
        </w:tc>
        <w:tc>
          <w:tcPr>
            <w:tcW w:w="1146" w:type="dxa"/>
            <w:vAlign w:val="center"/>
          </w:tcPr>
          <w:p w14:paraId="289EA1CF" w14:textId="71445D0B" w:rsidR="00D47430" w:rsidRPr="00D47430" w:rsidRDefault="00D47430" w:rsidP="000B1825">
            <w:pPr>
              <w:spacing w:before="240" w:after="240" w:line="480" w:lineRule="auto"/>
              <w:ind w:firstLine="0"/>
              <w:jc w:val="center"/>
              <w:rPr>
                <w:b/>
                <w:bCs/>
                <w:sz w:val="22"/>
                <w:szCs w:val="22"/>
              </w:rPr>
            </w:pPr>
            <w:r w:rsidRPr="00D47430">
              <w:rPr>
                <w:b/>
                <w:bCs/>
                <w:color w:val="000000"/>
              </w:rPr>
              <w:t>4.32</w:t>
            </w:r>
          </w:p>
        </w:tc>
        <w:tc>
          <w:tcPr>
            <w:tcW w:w="1825" w:type="dxa"/>
            <w:vAlign w:val="center"/>
          </w:tcPr>
          <w:p w14:paraId="68B24209" w14:textId="66B26648" w:rsidR="00D47430" w:rsidRPr="00D47430" w:rsidRDefault="00D47430" w:rsidP="000B1825">
            <w:pPr>
              <w:spacing w:before="240" w:after="240" w:line="480" w:lineRule="auto"/>
              <w:ind w:firstLine="0"/>
              <w:jc w:val="center"/>
              <w:rPr>
                <w:b/>
                <w:bCs/>
                <w:sz w:val="22"/>
                <w:szCs w:val="22"/>
              </w:rPr>
            </w:pPr>
            <w:r w:rsidRPr="00D47430">
              <w:rPr>
                <w:b/>
                <w:bCs/>
                <w:color w:val="000000"/>
              </w:rPr>
              <w:t>117.22</w:t>
            </w:r>
          </w:p>
        </w:tc>
        <w:tc>
          <w:tcPr>
            <w:tcW w:w="1348" w:type="dxa"/>
            <w:vAlign w:val="center"/>
          </w:tcPr>
          <w:p w14:paraId="199C4A2F" w14:textId="650AB896" w:rsidR="00D47430" w:rsidRPr="00D47430" w:rsidRDefault="00D47430" w:rsidP="000B1825">
            <w:pPr>
              <w:spacing w:before="240" w:after="240" w:line="480" w:lineRule="auto"/>
              <w:ind w:firstLine="0"/>
              <w:jc w:val="center"/>
              <w:rPr>
                <w:b/>
                <w:bCs/>
                <w:sz w:val="22"/>
                <w:szCs w:val="22"/>
              </w:rPr>
            </w:pPr>
            <w:r w:rsidRPr="00D47430">
              <w:rPr>
                <w:b/>
                <w:bCs/>
                <w:color w:val="000000"/>
              </w:rPr>
              <w:t>39.76</w:t>
            </w:r>
          </w:p>
        </w:tc>
        <w:tc>
          <w:tcPr>
            <w:tcW w:w="1283" w:type="dxa"/>
            <w:vAlign w:val="center"/>
          </w:tcPr>
          <w:p w14:paraId="1BD6AAAB" w14:textId="675849ED" w:rsidR="00D47430" w:rsidRPr="00D47430" w:rsidRDefault="00D47430" w:rsidP="000B1825">
            <w:pPr>
              <w:spacing w:before="240" w:after="240" w:line="480" w:lineRule="auto"/>
              <w:ind w:firstLine="0"/>
              <w:jc w:val="center"/>
              <w:rPr>
                <w:b/>
                <w:bCs/>
                <w:sz w:val="22"/>
                <w:szCs w:val="22"/>
              </w:rPr>
            </w:pPr>
            <w:r w:rsidRPr="00D47430">
              <w:rPr>
                <w:b/>
                <w:bCs/>
                <w:color w:val="000000"/>
              </w:rPr>
              <w:t>2.90-6.50</w:t>
            </w:r>
          </w:p>
        </w:tc>
        <w:tc>
          <w:tcPr>
            <w:tcW w:w="1613" w:type="dxa"/>
            <w:vAlign w:val="center"/>
          </w:tcPr>
          <w:p w14:paraId="155E2170" w14:textId="4118F778" w:rsidR="00D47430" w:rsidRPr="00D47430" w:rsidRDefault="00D47430" w:rsidP="000B1825">
            <w:pPr>
              <w:spacing w:before="240" w:after="240" w:line="480" w:lineRule="auto"/>
              <w:ind w:firstLine="0"/>
              <w:jc w:val="center"/>
              <w:rPr>
                <w:b/>
                <w:bCs/>
                <w:sz w:val="22"/>
                <w:szCs w:val="22"/>
              </w:rPr>
            </w:pPr>
            <w:r w:rsidRPr="00D47430">
              <w:rPr>
                <w:b/>
                <w:bCs/>
                <w:color w:val="000000"/>
              </w:rPr>
              <w:t>49.71-197.96</w:t>
            </w:r>
          </w:p>
        </w:tc>
        <w:tc>
          <w:tcPr>
            <w:tcW w:w="1443" w:type="dxa"/>
            <w:vAlign w:val="center"/>
          </w:tcPr>
          <w:p w14:paraId="57358BD2" w14:textId="75DA7F6C" w:rsidR="00D47430" w:rsidRPr="00D47430" w:rsidRDefault="00D47430" w:rsidP="000B1825">
            <w:pPr>
              <w:spacing w:before="240" w:after="240" w:line="480" w:lineRule="auto"/>
              <w:ind w:firstLine="0"/>
              <w:jc w:val="center"/>
              <w:rPr>
                <w:b/>
                <w:bCs/>
                <w:sz w:val="22"/>
                <w:szCs w:val="22"/>
              </w:rPr>
            </w:pPr>
            <w:r w:rsidRPr="00D47430">
              <w:rPr>
                <w:b/>
                <w:bCs/>
                <w:color w:val="000000"/>
              </w:rPr>
              <w:t>38.83-40.80</w:t>
            </w:r>
          </w:p>
        </w:tc>
      </w:tr>
      <w:tr w:rsidR="00D47430" w14:paraId="558FA0C3" w14:textId="77777777" w:rsidTr="000B22AD">
        <w:trPr>
          <w:trHeight w:val="619"/>
        </w:trPr>
        <w:tc>
          <w:tcPr>
            <w:tcW w:w="1099" w:type="dxa"/>
            <w:shd w:val="clear" w:color="auto" w:fill="D9D9D9" w:themeFill="background1" w:themeFillShade="D9"/>
            <w:vAlign w:val="center"/>
          </w:tcPr>
          <w:p w14:paraId="4417AFA0" w14:textId="5A57415A" w:rsidR="00D47430" w:rsidRPr="00D47430" w:rsidRDefault="00D47430" w:rsidP="000B1825">
            <w:pPr>
              <w:spacing w:before="240" w:after="240" w:line="480" w:lineRule="auto"/>
              <w:ind w:firstLine="0"/>
              <w:jc w:val="center"/>
              <w:rPr>
                <w:sz w:val="22"/>
                <w:szCs w:val="22"/>
              </w:rPr>
            </w:pPr>
            <w:r w:rsidRPr="00D47430">
              <w:rPr>
                <w:color w:val="000000"/>
              </w:rPr>
              <w:t>Non-Curated</w:t>
            </w:r>
          </w:p>
        </w:tc>
        <w:tc>
          <w:tcPr>
            <w:tcW w:w="1146" w:type="dxa"/>
            <w:vAlign w:val="center"/>
          </w:tcPr>
          <w:p w14:paraId="5BB96BE8" w14:textId="607301EB" w:rsidR="00D47430" w:rsidRPr="00D47430" w:rsidRDefault="00D47430" w:rsidP="000B1825">
            <w:pPr>
              <w:spacing w:before="240" w:after="240" w:line="480" w:lineRule="auto"/>
              <w:ind w:firstLine="0"/>
              <w:jc w:val="center"/>
              <w:rPr>
                <w:b/>
                <w:bCs/>
                <w:sz w:val="22"/>
                <w:szCs w:val="22"/>
              </w:rPr>
            </w:pPr>
            <w:r w:rsidRPr="00D47430">
              <w:rPr>
                <w:b/>
                <w:bCs/>
                <w:color w:val="000000"/>
              </w:rPr>
              <w:t>4.77</w:t>
            </w:r>
          </w:p>
        </w:tc>
        <w:tc>
          <w:tcPr>
            <w:tcW w:w="1825" w:type="dxa"/>
            <w:vAlign w:val="center"/>
          </w:tcPr>
          <w:p w14:paraId="736D9ADD" w14:textId="371D879D" w:rsidR="00D47430" w:rsidRPr="00D47430" w:rsidRDefault="00D47430" w:rsidP="000B1825">
            <w:pPr>
              <w:spacing w:before="240" w:after="240" w:line="480" w:lineRule="auto"/>
              <w:ind w:firstLine="0"/>
              <w:jc w:val="center"/>
              <w:rPr>
                <w:b/>
                <w:bCs/>
                <w:sz w:val="22"/>
                <w:szCs w:val="22"/>
              </w:rPr>
            </w:pPr>
            <w:r w:rsidRPr="00D47430">
              <w:rPr>
                <w:b/>
                <w:bCs/>
                <w:color w:val="000000"/>
              </w:rPr>
              <w:t>126.39</w:t>
            </w:r>
          </w:p>
        </w:tc>
        <w:tc>
          <w:tcPr>
            <w:tcW w:w="1348" w:type="dxa"/>
            <w:vAlign w:val="center"/>
          </w:tcPr>
          <w:p w14:paraId="4EDB0C97" w14:textId="02E85374" w:rsidR="00D47430" w:rsidRPr="00D47430" w:rsidRDefault="00D47430" w:rsidP="000B1825">
            <w:pPr>
              <w:spacing w:before="240" w:after="240" w:line="480" w:lineRule="auto"/>
              <w:ind w:firstLine="0"/>
              <w:jc w:val="center"/>
              <w:rPr>
                <w:b/>
                <w:bCs/>
                <w:sz w:val="22"/>
                <w:szCs w:val="22"/>
              </w:rPr>
            </w:pPr>
            <w:r w:rsidRPr="00D47430">
              <w:rPr>
                <w:b/>
                <w:bCs/>
                <w:color w:val="000000"/>
              </w:rPr>
              <w:t>39.55</w:t>
            </w:r>
          </w:p>
        </w:tc>
        <w:tc>
          <w:tcPr>
            <w:tcW w:w="1283" w:type="dxa"/>
            <w:vAlign w:val="center"/>
          </w:tcPr>
          <w:p w14:paraId="447EE3E2" w14:textId="25D62C36" w:rsidR="00D47430" w:rsidRPr="00D47430" w:rsidRDefault="00D47430" w:rsidP="000B1825">
            <w:pPr>
              <w:spacing w:before="240" w:after="240" w:line="480" w:lineRule="auto"/>
              <w:ind w:firstLine="0"/>
              <w:jc w:val="center"/>
              <w:rPr>
                <w:b/>
                <w:bCs/>
                <w:sz w:val="22"/>
                <w:szCs w:val="22"/>
              </w:rPr>
            </w:pPr>
            <w:r w:rsidRPr="00D47430">
              <w:rPr>
                <w:b/>
                <w:bCs/>
                <w:color w:val="000000"/>
              </w:rPr>
              <w:t>2.19-7.25</w:t>
            </w:r>
          </w:p>
        </w:tc>
        <w:tc>
          <w:tcPr>
            <w:tcW w:w="1613" w:type="dxa"/>
            <w:vAlign w:val="center"/>
          </w:tcPr>
          <w:p w14:paraId="52F92593" w14:textId="246AC766" w:rsidR="00D47430" w:rsidRPr="00D47430" w:rsidRDefault="00D47430" w:rsidP="000B1825">
            <w:pPr>
              <w:spacing w:before="240" w:after="240" w:line="480" w:lineRule="auto"/>
              <w:ind w:firstLine="0"/>
              <w:jc w:val="center"/>
              <w:rPr>
                <w:b/>
                <w:bCs/>
                <w:sz w:val="22"/>
                <w:szCs w:val="22"/>
              </w:rPr>
            </w:pPr>
            <w:r w:rsidRPr="00D47430">
              <w:rPr>
                <w:b/>
                <w:bCs/>
                <w:color w:val="000000"/>
              </w:rPr>
              <w:t>18.91-184.37</w:t>
            </w:r>
          </w:p>
        </w:tc>
        <w:tc>
          <w:tcPr>
            <w:tcW w:w="1443" w:type="dxa"/>
            <w:vAlign w:val="center"/>
          </w:tcPr>
          <w:p w14:paraId="3B235564" w14:textId="2F704BE1" w:rsidR="00D47430" w:rsidRPr="00D47430" w:rsidRDefault="00D47430" w:rsidP="000B1825">
            <w:pPr>
              <w:spacing w:before="240" w:after="240" w:line="480" w:lineRule="auto"/>
              <w:ind w:firstLine="0"/>
              <w:jc w:val="center"/>
              <w:rPr>
                <w:b/>
                <w:bCs/>
                <w:sz w:val="22"/>
                <w:szCs w:val="22"/>
              </w:rPr>
            </w:pPr>
            <w:r w:rsidRPr="00D47430">
              <w:rPr>
                <w:b/>
                <w:bCs/>
                <w:color w:val="000000"/>
              </w:rPr>
              <w:t>37.79-40.99</w:t>
            </w:r>
          </w:p>
        </w:tc>
      </w:tr>
    </w:tbl>
    <w:p w14:paraId="706AADC3" w14:textId="77E11D15" w:rsidR="00196C02" w:rsidRPr="007272E3" w:rsidRDefault="00D47430" w:rsidP="000B1825">
      <w:pPr>
        <w:spacing w:before="240" w:after="240"/>
        <w:jc w:val="both"/>
        <w:rPr>
          <w:sz w:val="22"/>
          <w:szCs w:val="22"/>
        </w:rPr>
      </w:pPr>
      <w:r>
        <w:rPr>
          <w:sz w:val="22"/>
          <w:szCs w:val="22"/>
        </w:rPr>
        <w:t xml:space="preserve">Note: </w:t>
      </w:r>
      <w:r w:rsidRPr="00D47430">
        <w:rPr>
          <w:sz w:val="22"/>
          <w:szCs w:val="22"/>
        </w:rPr>
        <w:t>This table presents the calculated wild-type average values along with their corresponding 90% confidence intervals for both curated and noncurated datasets across all participating institutions. Notably, one specific data point originating from University A was deliberately excluded from the calculations. The decision to exclude this data point was based on its substantial influence, which was observed to significantly impact the resulting average values.</w:t>
      </w:r>
    </w:p>
    <w:p w14:paraId="6A4D2AF3" w14:textId="64892CAA" w:rsidR="000B1E22" w:rsidRPr="007272E3" w:rsidRDefault="00196C02" w:rsidP="000B1825">
      <w:pPr>
        <w:spacing w:before="240" w:after="240"/>
        <w:jc w:val="both"/>
        <w:rPr>
          <w:sz w:val="22"/>
          <w:szCs w:val="22"/>
        </w:rPr>
      </w:pPr>
      <w:r w:rsidRPr="007272E3">
        <w:rPr>
          <w:sz w:val="22"/>
          <w:szCs w:val="22"/>
        </w:rPr>
        <w:t xml:space="preserve">The wild-type average value for the </w:t>
      </w:r>
      <w:proofErr w:type="spellStart"/>
      <w:r w:rsidRPr="007272E3">
        <w:rPr>
          <w:sz w:val="22"/>
          <w:szCs w:val="22"/>
          <w:lang w:val="en-US"/>
        </w:rPr>
        <w:t>k</w:t>
      </w:r>
      <w:r w:rsidRPr="007272E3">
        <w:rPr>
          <w:sz w:val="22"/>
          <w:szCs w:val="22"/>
          <w:vertAlign w:val="subscript"/>
          <w:lang w:val="en-US"/>
        </w:rPr>
        <w:t>cat</w:t>
      </w:r>
      <w:proofErr w:type="spellEnd"/>
      <w:r w:rsidRPr="007272E3">
        <w:rPr>
          <w:sz w:val="22"/>
          <w:szCs w:val="22"/>
          <w:lang w:val="en-US"/>
        </w:rPr>
        <w:t>/K</w:t>
      </w:r>
      <w:r w:rsidRPr="007272E3">
        <w:rPr>
          <w:sz w:val="22"/>
          <w:szCs w:val="22"/>
          <w:vertAlign w:val="subscript"/>
          <w:lang w:val="en-US"/>
        </w:rPr>
        <w:t xml:space="preserve">M </w:t>
      </w:r>
      <w:r w:rsidRPr="007272E3">
        <w:rPr>
          <w:sz w:val="22"/>
          <w:szCs w:val="22"/>
        </w:rPr>
        <w:t xml:space="preserve">for curated data was 117.22, and the 90% confidence interval was 49.71-197.96. The recorded non-curated data reported an average of 126.39 with a 90% confidence interval of 18.91-184.37. Based on a total sample size of 115, this indicated high levels of variability between institutions, as shown in </w:t>
      </w:r>
      <w:r w:rsidRPr="007272E3">
        <w:rPr>
          <w:b/>
          <w:bCs/>
          <w:i/>
          <w:iCs/>
          <w:sz w:val="22"/>
          <w:szCs w:val="22"/>
        </w:rPr>
        <w:t>Figure 1</w:t>
      </w:r>
      <w:r w:rsidRPr="007272E3">
        <w:rPr>
          <w:sz w:val="22"/>
          <w:szCs w:val="22"/>
        </w:rPr>
        <w:t>. An aberrant value from Institution A was excluded from the graph.</w:t>
      </w:r>
    </w:p>
    <w:p w14:paraId="0503916D" w14:textId="31DF9B14" w:rsidR="000B1E22" w:rsidRPr="007272E3" w:rsidRDefault="000B1E22" w:rsidP="000B1825">
      <w:pPr>
        <w:spacing w:before="240" w:after="240"/>
        <w:jc w:val="both"/>
        <w:rPr>
          <w:sz w:val="22"/>
          <w:szCs w:val="22"/>
        </w:rPr>
      </w:pPr>
      <w:r w:rsidRPr="007272E3">
        <w:rPr>
          <w:sz w:val="22"/>
          <w:szCs w:val="22"/>
        </w:rPr>
        <w:t xml:space="preserve">The wild-type average </w:t>
      </w:r>
      <w:r w:rsidRPr="007272E3">
        <w:rPr>
          <w:sz w:val="22"/>
          <w:szCs w:val="22"/>
          <w:lang w:val="en-US"/>
        </w:rPr>
        <w:t>K</w:t>
      </w:r>
      <w:r w:rsidRPr="007272E3">
        <w:rPr>
          <w:sz w:val="22"/>
          <w:szCs w:val="22"/>
          <w:vertAlign w:val="subscript"/>
          <w:lang w:val="en-US"/>
        </w:rPr>
        <w:t>M</w:t>
      </w:r>
      <w:r w:rsidRPr="007272E3">
        <w:rPr>
          <w:sz w:val="22"/>
          <w:szCs w:val="22"/>
        </w:rPr>
        <w:t xml:space="preserve"> value for the curated data set was 4.32, and the 90% confidence interval range of 2.90-6.50.  The average </w:t>
      </w:r>
      <w:r w:rsidRPr="007272E3">
        <w:rPr>
          <w:sz w:val="22"/>
          <w:szCs w:val="22"/>
          <w:lang w:val="en-US"/>
        </w:rPr>
        <w:t>K</w:t>
      </w:r>
      <w:r w:rsidRPr="007272E3">
        <w:rPr>
          <w:sz w:val="22"/>
          <w:szCs w:val="22"/>
          <w:vertAlign w:val="subscript"/>
          <w:lang w:val="en-US"/>
        </w:rPr>
        <w:t>M</w:t>
      </w:r>
      <w:r w:rsidRPr="007272E3">
        <w:rPr>
          <w:sz w:val="22"/>
          <w:szCs w:val="22"/>
        </w:rPr>
        <w:t xml:space="preserve"> value for the non-curated </w:t>
      </w:r>
      <w:proofErr w:type="gramStart"/>
      <w:r w:rsidRPr="007272E3">
        <w:rPr>
          <w:sz w:val="22"/>
          <w:szCs w:val="22"/>
        </w:rPr>
        <w:t>data-set</w:t>
      </w:r>
      <w:proofErr w:type="gramEnd"/>
      <w:r w:rsidRPr="007272E3">
        <w:rPr>
          <w:sz w:val="22"/>
          <w:szCs w:val="22"/>
        </w:rPr>
        <w:t xml:space="preserve"> was 4.77, and the 90% confidence interval range of 2.19-7.25. This analysis was conducted on a comprehensive sample pool consisting of 115 data points. Notably, the reported findings vividly demonstrated substantial variability, as depicted in </w:t>
      </w:r>
      <w:r w:rsidRPr="007272E3">
        <w:rPr>
          <w:b/>
          <w:bCs/>
          <w:i/>
          <w:iCs/>
          <w:sz w:val="22"/>
          <w:szCs w:val="22"/>
        </w:rPr>
        <w:t>Figure 2</w:t>
      </w:r>
      <w:r w:rsidRPr="007272E3">
        <w:rPr>
          <w:sz w:val="22"/>
          <w:szCs w:val="22"/>
        </w:rPr>
        <w:t>.</w:t>
      </w:r>
    </w:p>
    <w:p w14:paraId="0998094B" w14:textId="28F2C886" w:rsidR="002E00AC" w:rsidRPr="000B1E22" w:rsidRDefault="000B1E22" w:rsidP="000B1825">
      <w:pPr>
        <w:spacing w:before="240" w:after="240"/>
        <w:jc w:val="both"/>
        <w:rPr>
          <w:b/>
        </w:rPr>
      </w:pPr>
      <w:r w:rsidRPr="007272E3">
        <w:rPr>
          <w:sz w:val="22"/>
          <w:szCs w:val="22"/>
        </w:rPr>
        <w:t xml:space="preserve">Among the 11 participating institutions, </w:t>
      </w:r>
      <w:r w:rsidRPr="007272E3">
        <w:rPr>
          <w:sz w:val="22"/>
          <w:szCs w:val="22"/>
          <w:lang w:val="en-US"/>
        </w:rPr>
        <w:t>T</w:t>
      </w:r>
      <w:r w:rsidRPr="007272E3">
        <w:rPr>
          <w:sz w:val="22"/>
          <w:szCs w:val="22"/>
          <w:vertAlign w:val="subscript"/>
          <w:lang w:val="en-US"/>
        </w:rPr>
        <w:t>50</w:t>
      </w:r>
      <w:r w:rsidRPr="007272E3">
        <w:rPr>
          <w:sz w:val="22"/>
          <w:szCs w:val="22"/>
        </w:rPr>
        <w:t xml:space="preserve"> values were reported based on data from 8 of them. This was due to the fact that only half of the </w:t>
      </w:r>
      <w:proofErr w:type="gramStart"/>
      <w:r w:rsidRPr="007272E3">
        <w:rPr>
          <w:sz w:val="22"/>
          <w:szCs w:val="22"/>
        </w:rPr>
        <w:t>wild-type</w:t>
      </w:r>
      <w:proofErr w:type="gramEnd"/>
      <w:r w:rsidRPr="007272E3">
        <w:rPr>
          <w:sz w:val="22"/>
          <w:szCs w:val="22"/>
        </w:rPr>
        <w:t xml:space="preserve"> thermostability assays, </w:t>
      </w:r>
      <w:proofErr w:type="spellStart"/>
      <w:r w:rsidRPr="007272E3">
        <w:rPr>
          <w:sz w:val="22"/>
          <w:szCs w:val="22"/>
        </w:rPr>
        <w:t>totaling</w:t>
      </w:r>
      <w:proofErr w:type="spellEnd"/>
      <w:r w:rsidRPr="007272E3">
        <w:rPr>
          <w:sz w:val="22"/>
          <w:szCs w:val="22"/>
        </w:rPr>
        <w:t xml:space="preserve"> 62 samples, included the necessary </w:t>
      </w:r>
      <w:r w:rsidRPr="007272E3">
        <w:rPr>
          <w:sz w:val="22"/>
          <w:szCs w:val="22"/>
          <w:lang w:val="en-US"/>
        </w:rPr>
        <w:t>T</w:t>
      </w:r>
      <w:r w:rsidRPr="007272E3">
        <w:rPr>
          <w:sz w:val="22"/>
          <w:szCs w:val="22"/>
          <w:vertAlign w:val="subscript"/>
          <w:lang w:val="en-US"/>
        </w:rPr>
        <w:t>50</w:t>
      </w:r>
      <w:r w:rsidRPr="007272E3">
        <w:rPr>
          <w:sz w:val="22"/>
          <w:szCs w:val="22"/>
        </w:rPr>
        <w:t xml:space="preserve"> value. Within this sample pool, 20 samples were curated and had associated </w:t>
      </w:r>
      <w:r w:rsidRPr="007272E3">
        <w:rPr>
          <w:sz w:val="22"/>
          <w:szCs w:val="22"/>
          <w:lang w:val="en-US"/>
        </w:rPr>
        <w:t>T</w:t>
      </w:r>
      <w:r w:rsidRPr="007272E3">
        <w:rPr>
          <w:sz w:val="22"/>
          <w:szCs w:val="22"/>
          <w:vertAlign w:val="subscript"/>
          <w:lang w:val="en-US"/>
        </w:rPr>
        <w:t>50</w:t>
      </w:r>
      <w:r w:rsidRPr="007272E3">
        <w:rPr>
          <w:sz w:val="22"/>
          <w:szCs w:val="22"/>
        </w:rPr>
        <w:t xml:space="preserve"> values. For the </w:t>
      </w:r>
      <w:r w:rsidRPr="007272E3">
        <w:rPr>
          <w:sz w:val="22"/>
          <w:szCs w:val="22"/>
        </w:rPr>
        <w:lastRenderedPageBreak/>
        <w:t xml:space="preserve">curated data subset, the average </w:t>
      </w:r>
      <w:r w:rsidRPr="007272E3">
        <w:rPr>
          <w:sz w:val="22"/>
          <w:szCs w:val="22"/>
          <w:lang w:val="en-US"/>
        </w:rPr>
        <w:t>T</w:t>
      </w:r>
      <w:r w:rsidRPr="007272E3">
        <w:rPr>
          <w:sz w:val="22"/>
          <w:szCs w:val="22"/>
          <w:vertAlign w:val="subscript"/>
          <w:lang w:val="en-US"/>
        </w:rPr>
        <w:t>50</w:t>
      </w:r>
      <w:r w:rsidRPr="007272E3">
        <w:rPr>
          <w:sz w:val="22"/>
          <w:szCs w:val="22"/>
        </w:rPr>
        <w:t xml:space="preserve"> value was determined to be 39.76, with a 90% confidence interval spanning from 38.83 to 40.80. Conversely, the non-curated data subset exhibited an average </w:t>
      </w:r>
      <w:r w:rsidRPr="007272E3">
        <w:rPr>
          <w:sz w:val="22"/>
          <w:szCs w:val="22"/>
          <w:lang w:val="en-US"/>
        </w:rPr>
        <w:t>T</w:t>
      </w:r>
      <w:r w:rsidRPr="007272E3">
        <w:rPr>
          <w:sz w:val="22"/>
          <w:szCs w:val="22"/>
          <w:vertAlign w:val="subscript"/>
          <w:lang w:val="en-US"/>
        </w:rPr>
        <w:t xml:space="preserve">50 </w:t>
      </w:r>
      <w:r w:rsidRPr="007272E3">
        <w:rPr>
          <w:sz w:val="22"/>
          <w:szCs w:val="22"/>
        </w:rPr>
        <w:t>value of 39.55, accompanied by a 90% confidence interval ranging from 37.79 to 40.99.</w:t>
      </w:r>
      <w:r w:rsidR="00D47430" w:rsidRPr="000B1E22">
        <w:br w:type="page"/>
      </w:r>
    </w:p>
    <w:p w14:paraId="0E622FE8" w14:textId="533A9435" w:rsidR="002E00AC" w:rsidRPr="00D17C62" w:rsidRDefault="002E00AC" w:rsidP="000B1825">
      <w:pPr>
        <w:pStyle w:val="Heading1"/>
        <w:numPr>
          <w:ilvl w:val="0"/>
          <w:numId w:val="3"/>
        </w:numPr>
        <w:spacing w:before="240" w:after="240"/>
      </w:pPr>
      <w:r w:rsidRPr="001940E0">
        <w:lastRenderedPageBreak/>
        <w:t>D</w:t>
      </w:r>
      <w:r w:rsidR="00E411FF">
        <w:t>iscussion</w:t>
      </w:r>
    </w:p>
    <w:p w14:paraId="00E6F5F7" w14:textId="77777777" w:rsidR="002E00AC" w:rsidRDefault="002E00AC" w:rsidP="000B1825">
      <w:pPr>
        <w:spacing w:before="240" w:after="240"/>
        <w:jc w:val="both"/>
        <w:rPr>
          <w:sz w:val="22"/>
          <w:szCs w:val="22"/>
        </w:rPr>
      </w:pPr>
      <w:r w:rsidRPr="001940E0">
        <w:rPr>
          <w:sz w:val="22"/>
          <w:szCs w:val="22"/>
        </w:rPr>
        <w:t>The analysis of both curated and noncurated datasets extracted from the Design2Data database reveals a notable degree of intra-institutional variability in the obtained results. This observation underscores the complex nature of enzyme kinetics experiments, where numerous factors such as experimental conditions, equipment calibration, and sample preparation can introduce variations. The identification of outliers through statistical methods, facilitated by SPSS, provides a mechanism to pinpoint and investigate discrepancies in reported data. These outliers can now be subjected to closer scrutiny within their respective laboratories, enabling the identification of potential sources of error and the refinement of experimental procedures.</w:t>
      </w:r>
    </w:p>
    <w:p w14:paraId="035F6B93" w14:textId="523A1698" w:rsidR="00D17C62" w:rsidRPr="006D1DA6" w:rsidRDefault="00D17C62" w:rsidP="000B1825">
      <w:pPr>
        <w:spacing w:before="240" w:after="240"/>
        <w:jc w:val="both"/>
        <w:rPr>
          <w:sz w:val="22"/>
          <w:szCs w:val="22"/>
        </w:rPr>
      </w:pPr>
      <w:r>
        <w:rPr>
          <w:sz w:val="22"/>
          <w:szCs w:val="22"/>
        </w:rPr>
        <w:t xml:space="preserve">The </w:t>
      </w:r>
      <w:r w:rsidRPr="00D17C62">
        <w:rPr>
          <w:sz w:val="22"/>
          <w:szCs w:val="22"/>
        </w:rPr>
        <w:t>Independent-Samples Kruskal-Wallis Test</w:t>
      </w:r>
      <w:r>
        <w:rPr>
          <w:sz w:val="22"/>
          <w:szCs w:val="22"/>
        </w:rPr>
        <w:t xml:space="preserve"> illustrates the areas which contain a raised degree of variability, specifically the measurement for </w:t>
      </w:r>
      <w:proofErr w:type="spellStart"/>
      <w:r w:rsidRPr="00A85D65">
        <w:rPr>
          <w:sz w:val="22"/>
          <w:szCs w:val="22"/>
          <w:lang w:val="en-US"/>
        </w:rPr>
        <w:t>k</w:t>
      </w:r>
      <w:r w:rsidRPr="00D17C62">
        <w:rPr>
          <w:sz w:val="22"/>
          <w:szCs w:val="22"/>
          <w:vertAlign w:val="subscript"/>
          <w:lang w:val="en-US"/>
        </w:rPr>
        <w:t>cat</w:t>
      </w:r>
      <w:proofErr w:type="spellEnd"/>
      <w:r w:rsidRPr="00A85D65">
        <w:rPr>
          <w:sz w:val="22"/>
          <w:szCs w:val="22"/>
          <w:lang w:val="en-US"/>
        </w:rPr>
        <w:t>/K</w:t>
      </w:r>
      <w:r w:rsidRPr="00D17C62">
        <w:rPr>
          <w:sz w:val="22"/>
          <w:szCs w:val="22"/>
          <w:vertAlign w:val="subscript"/>
          <w:lang w:val="en-US"/>
        </w:rPr>
        <w:t>M</w:t>
      </w:r>
      <w:r>
        <w:rPr>
          <w:sz w:val="22"/>
          <w:szCs w:val="22"/>
          <w:vertAlign w:val="subscript"/>
          <w:lang w:val="en-US"/>
        </w:rPr>
        <w:t xml:space="preserve"> </w:t>
      </w:r>
      <w:r>
        <w:rPr>
          <w:sz w:val="22"/>
          <w:szCs w:val="22"/>
          <w:lang w:val="en-US"/>
        </w:rPr>
        <w:t xml:space="preserve">and </w:t>
      </w:r>
      <w:r w:rsidRPr="00A85D65">
        <w:rPr>
          <w:sz w:val="22"/>
          <w:szCs w:val="22"/>
          <w:lang w:val="en-US"/>
        </w:rPr>
        <w:t>T</w:t>
      </w:r>
      <w:r>
        <w:rPr>
          <w:sz w:val="22"/>
          <w:szCs w:val="22"/>
          <w:vertAlign w:val="subscript"/>
          <w:lang w:val="en-US"/>
        </w:rPr>
        <w:t>50</w:t>
      </w:r>
      <w:r>
        <w:rPr>
          <w:sz w:val="22"/>
          <w:szCs w:val="22"/>
        </w:rPr>
        <w:t xml:space="preserve">. The measurement for </w:t>
      </w:r>
      <w:r w:rsidRPr="00A85D65">
        <w:rPr>
          <w:sz w:val="22"/>
          <w:szCs w:val="22"/>
          <w:lang w:val="en-US"/>
        </w:rPr>
        <w:t>K</w:t>
      </w:r>
      <w:r w:rsidRPr="00D17C62">
        <w:rPr>
          <w:sz w:val="22"/>
          <w:szCs w:val="22"/>
          <w:vertAlign w:val="subscript"/>
          <w:lang w:val="en-US"/>
        </w:rPr>
        <w:t>M</w:t>
      </w:r>
      <w:r>
        <w:rPr>
          <w:sz w:val="22"/>
          <w:szCs w:val="22"/>
        </w:rPr>
        <w:t>, despite showing a wide range of values, is consistent across institutions.</w:t>
      </w:r>
      <w:r w:rsidR="006D1DA6">
        <w:rPr>
          <w:sz w:val="22"/>
          <w:szCs w:val="22"/>
        </w:rPr>
        <w:t xml:space="preserve"> This suggests that the variability for </w:t>
      </w:r>
      <w:proofErr w:type="spellStart"/>
      <w:r w:rsidR="006D1DA6" w:rsidRPr="00A85D65">
        <w:rPr>
          <w:sz w:val="22"/>
          <w:szCs w:val="22"/>
          <w:lang w:val="en-US"/>
        </w:rPr>
        <w:t>k</w:t>
      </w:r>
      <w:r w:rsidR="006D1DA6" w:rsidRPr="00D17C62">
        <w:rPr>
          <w:sz w:val="22"/>
          <w:szCs w:val="22"/>
          <w:vertAlign w:val="subscript"/>
          <w:lang w:val="en-US"/>
        </w:rPr>
        <w:t>cat</w:t>
      </w:r>
      <w:proofErr w:type="spellEnd"/>
      <w:r w:rsidR="006D1DA6" w:rsidRPr="00A85D65">
        <w:rPr>
          <w:sz w:val="22"/>
          <w:szCs w:val="22"/>
          <w:lang w:val="en-US"/>
        </w:rPr>
        <w:t>/K</w:t>
      </w:r>
      <w:r w:rsidR="006D1DA6" w:rsidRPr="00D17C62">
        <w:rPr>
          <w:sz w:val="22"/>
          <w:szCs w:val="22"/>
          <w:vertAlign w:val="subscript"/>
          <w:lang w:val="en-US"/>
        </w:rPr>
        <w:t>M</w:t>
      </w:r>
      <w:r w:rsidR="006D1DA6">
        <w:rPr>
          <w:sz w:val="22"/>
          <w:szCs w:val="22"/>
          <w:vertAlign w:val="subscript"/>
          <w:lang w:val="en-US"/>
        </w:rPr>
        <w:t xml:space="preserve"> </w:t>
      </w:r>
      <w:r w:rsidR="006D1DA6">
        <w:rPr>
          <w:sz w:val="22"/>
          <w:szCs w:val="22"/>
        </w:rPr>
        <w:t xml:space="preserve">is more closely related to the value of the turnover number, </w:t>
      </w:r>
      <w:proofErr w:type="spellStart"/>
      <w:r w:rsidR="006D1DA6" w:rsidRPr="00A85D65">
        <w:rPr>
          <w:sz w:val="22"/>
          <w:szCs w:val="22"/>
          <w:lang w:val="en-US"/>
        </w:rPr>
        <w:t>k</w:t>
      </w:r>
      <w:r w:rsidR="006D1DA6" w:rsidRPr="00D17C62">
        <w:rPr>
          <w:sz w:val="22"/>
          <w:szCs w:val="22"/>
          <w:vertAlign w:val="subscript"/>
          <w:lang w:val="en-US"/>
        </w:rPr>
        <w:t>cat</w:t>
      </w:r>
      <w:proofErr w:type="spellEnd"/>
      <w:r w:rsidR="006D1DA6">
        <w:rPr>
          <w:sz w:val="22"/>
          <w:szCs w:val="22"/>
        </w:rPr>
        <w:t>.</w:t>
      </w:r>
    </w:p>
    <w:p w14:paraId="3776C625" w14:textId="14030786" w:rsidR="002E00AC" w:rsidRPr="001940E0" w:rsidRDefault="002E00AC" w:rsidP="000B1825">
      <w:pPr>
        <w:spacing w:before="240" w:after="240"/>
        <w:jc w:val="both"/>
        <w:rPr>
          <w:sz w:val="22"/>
          <w:szCs w:val="22"/>
        </w:rPr>
      </w:pPr>
      <w:r w:rsidRPr="001940E0">
        <w:rPr>
          <w:sz w:val="22"/>
          <w:szCs w:val="22"/>
        </w:rPr>
        <w:t xml:space="preserve">Our analysis brings to light the existence of institutions that deviate from the reported averages of their counterparts. Notably, Institution K reports </w:t>
      </w:r>
      <w:proofErr w:type="spellStart"/>
      <w:r w:rsidR="00D17C62" w:rsidRPr="00A85D65">
        <w:rPr>
          <w:sz w:val="22"/>
          <w:szCs w:val="22"/>
          <w:lang w:val="en-US"/>
        </w:rPr>
        <w:t>k</w:t>
      </w:r>
      <w:r w:rsidR="00D17C62" w:rsidRPr="00D17C62">
        <w:rPr>
          <w:sz w:val="22"/>
          <w:szCs w:val="22"/>
          <w:vertAlign w:val="subscript"/>
          <w:lang w:val="en-US"/>
        </w:rPr>
        <w:t>cat</w:t>
      </w:r>
      <w:proofErr w:type="spellEnd"/>
      <w:r w:rsidR="00D17C62" w:rsidRPr="00A85D65">
        <w:rPr>
          <w:sz w:val="22"/>
          <w:szCs w:val="22"/>
          <w:lang w:val="en-US"/>
        </w:rPr>
        <w:t>/K</w:t>
      </w:r>
      <w:r w:rsidR="00D17C62" w:rsidRPr="00D17C62">
        <w:rPr>
          <w:sz w:val="22"/>
          <w:szCs w:val="22"/>
          <w:vertAlign w:val="subscript"/>
          <w:lang w:val="en-US"/>
        </w:rPr>
        <w:t>M</w:t>
      </w:r>
      <w:r w:rsidR="00D17C62">
        <w:rPr>
          <w:sz w:val="22"/>
          <w:szCs w:val="22"/>
          <w:vertAlign w:val="subscript"/>
          <w:lang w:val="en-US"/>
        </w:rPr>
        <w:t xml:space="preserve"> </w:t>
      </w:r>
      <w:r w:rsidRPr="001940E0">
        <w:rPr>
          <w:sz w:val="22"/>
          <w:szCs w:val="22"/>
        </w:rPr>
        <w:t xml:space="preserve">values that are 1000 times higher than the average values reported by other universities. Institution G, on the other hand, reports </w:t>
      </w:r>
      <w:proofErr w:type="spellStart"/>
      <w:r w:rsidR="00D17C62" w:rsidRPr="00A85D65">
        <w:rPr>
          <w:sz w:val="22"/>
          <w:szCs w:val="22"/>
          <w:lang w:val="en-US"/>
        </w:rPr>
        <w:t>k</w:t>
      </w:r>
      <w:r w:rsidR="00D17C62" w:rsidRPr="00D17C62">
        <w:rPr>
          <w:sz w:val="22"/>
          <w:szCs w:val="22"/>
          <w:vertAlign w:val="subscript"/>
          <w:lang w:val="en-US"/>
        </w:rPr>
        <w:t>cat</w:t>
      </w:r>
      <w:proofErr w:type="spellEnd"/>
      <w:r w:rsidR="00D17C62" w:rsidRPr="00A85D65">
        <w:rPr>
          <w:sz w:val="22"/>
          <w:szCs w:val="22"/>
          <w:lang w:val="en-US"/>
        </w:rPr>
        <w:t>/K</w:t>
      </w:r>
      <w:r w:rsidR="00D17C62" w:rsidRPr="00D17C62">
        <w:rPr>
          <w:sz w:val="22"/>
          <w:szCs w:val="22"/>
          <w:vertAlign w:val="subscript"/>
          <w:lang w:val="en-US"/>
        </w:rPr>
        <w:t>M</w:t>
      </w:r>
      <w:r w:rsidR="00D17C62">
        <w:rPr>
          <w:sz w:val="22"/>
          <w:szCs w:val="22"/>
          <w:vertAlign w:val="subscript"/>
          <w:lang w:val="en-US"/>
        </w:rPr>
        <w:t xml:space="preserve"> </w:t>
      </w:r>
      <w:r w:rsidRPr="001940E0">
        <w:rPr>
          <w:sz w:val="22"/>
          <w:szCs w:val="22"/>
        </w:rPr>
        <w:t>values that range from 2 to 4 times higher than the established norm. Possible explanations for these discrepancies include variations in the number of wild-type contributions, differing wild-type enzyme dilution factors, or instances of human error in measurement and data recording</w:t>
      </w:r>
      <w:r w:rsidR="0059410B">
        <w:rPr>
          <w:sz w:val="22"/>
          <w:szCs w:val="22"/>
        </w:rPr>
        <w:t xml:space="preserve"> due to different curriculum prerequisites for the lab</w:t>
      </w:r>
      <w:r w:rsidRPr="001940E0">
        <w:rPr>
          <w:sz w:val="22"/>
          <w:szCs w:val="22"/>
        </w:rPr>
        <w:t>. The considerable impact of these factors on enzymatic parameter determination underscores the importance of meticulous protocol execution and adherence to standardized methodologies.</w:t>
      </w:r>
    </w:p>
    <w:p w14:paraId="629C42DF" w14:textId="7306F8D2" w:rsidR="002E00AC" w:rsidRPr="001940E0" w:rsidRDefault="002E00AC" w:rsidP="000B1825">
      <w:pPr>
        <w:spacing w:before="240" w:after="240"/>
        <w:jc w:val="both"/>
        <w:rPr>
          <w:sz w:val="22"/>
          <w:szCs w:val="22"/>
        </w:rPr>
      </w:pPr>
      <w:r w:rsidRPr="001940E0">
        <w:rPr>
          <w:sz w:val="22"/>
          <w:szCs w:val="22"/>
        </w:rPr>
        <w:t xml:space="preserve">Interestingly, some institutions within the dataset omit the reporting of </w:t>
      </w:r>
      <w:r w:rsidR="00D17C62" w:rsidRPr="00A85D65">
        <w:rPr>
          <w:sz w:val="22"/>
          <w:szCs w:val="22"/>
          <w:lang w:val="en-US"/>
        </w:rPr>
        <w:t>T</w:t>
      </w:r>
      <w:r w:rsidR="00D17C62">
        <w:rPr>
          <w:sz w:val="22"/>
          <w:szCs w:val="22"/>
          <w:vertAlign w:val="subscript"/>
          <w:lang w:val="en-US"/>
        </w:rPr>
        <w:t>50</w:t>
      </w:r>
      <w:r w:rsidRPr="001940E0">
        <w:rPr>
          <w:sz w:val="22"/>
          <w:szCs w:val="22"/>
        </w:rPr>
        <w:t xml:space="preserve"> values or the quantity of wild-type enzyme expressed in their assays. The absence of these details hinders a comprehensive analysis and comparison of experimental outcomes. This highlights the necessity for complete and transparent data submission to enable a holistic evaluation of enzymatic kinetics results and to foster reproducibility across research </w:t>
      </w:r>
      <w:proofErr w:type="spellStart"/>
      <w:r w:rsidRPr="001940E0">
        <w:rPr>
          <w:sz w:val="22"/>
          <w:szCs w:val="22"/>
        </w:rPr>
        <w:t>endeavors</w:t>
      </w:r>
      <w:proofErr w:type="spellEnd"/>
      <w:r w:rsidRPr="001940E0">
        <w:rPr>
          <w:sz w:val="22"/>
          <w:szCs w:val="22"/>
        </w:rPr>
        <w:t>.</w:t>
      </w:r>
    </w:p>
    <w:p w14:paraId="1FBE4A9E" w14:textId="77777777" w:rsidR="002E00AC" w:rsidRPr="001940E0" w:rsidRDefault="002E00AC" w:rsidP="000B1825">
      <w:pPr>
        <w:spacing w:before="240" w:after="240"/>
        <w:jc w:val="both"/>
        <w:rPr>
          <w:sz w:val="22"/>
          <w:szCs w:val="22"/>
        </w:rPr>
      </w:pPr>
      <w:r w:rsidRPr="001940E0">
        <w:rPr>
          <w:sz w:val="22"/>
          <w:szCs w:val="22"/>
        </w:rPr>
        <w:lastRenderedPageBreak/>
        <w:t xml:space="preserve">A significant finding emerges from the analysis of curated data, which displays a narrower range for </w:t>
      </w:r>
      <w:proofErr w:type="gramStart"/>
      <w:r w:rsidRPr="001940E0">
        <w:rPr>
          <w:sz w:val="22"/>
          <w:szCs w:val="22"/>
        </w:rPr>
        <w:t>the majority of</w:t>
      </w:r>
      <w:proofErr w:type="gramEnd"/>
      <w:r w:rsidRPr="001940E0">
        <w:rPr>
          <w:sz w:val="22"/>
          <w:szCs w:val="22"/>
        </w:rPr>
        <w:t xml:space="preserve"> parameters studied. This phenomenon emphasizes the value of meticulous data curation in maintaining the quality and relevance of the information stored in the D2D database. The curated data's reduced variability further emphasizes the importance of standardizing experimental procedures and adhering to reporting guidelines, ultimately enhancing the reliability and credibility of enzymatic kinetics research findings.</w:t>
      </w:r>
    </w:p>
    <w:p w14:paraId="2EB0D31D" w14:textId="78296F83" w:rsidR="00A85D65" w:rsidRPr="001940E0" w:rsidRDefault="00A85D65" w:rsidP="000B1825">
      <w:pPr>
        <w:spacing w:before="240" w:after="240"/>
        <w:jc w:val="both"/>
        <w:rPr>
          <w:sz w:val="22"/>
          <w:szCs w:val="22"/>
        </w:rPr>
      </w:pPr>
      <w:r w:rsidRPr="001940E0">
        <w:rPr>
          <w:sz w:val="22"/>
          <w:szCs w:val="22"/>
        </w:rPr>
        <w:t xml:space="preserve">The provision of 90% confidence intervals for </w:t>
      </w:r>
      <w:r w:rsidR="00D17C62" w:rsidRPr="00A85D65">
        <w:rPr>
          <w:sz w:val="22"/>
          <w:szCs w:val="22"/>
          <w:lang w:val="en-US"/>
        </w:rPr>
        <w:t>K</w:t>
      </w:r>
      <w:r w:rsidR="00D17C62" w:rsidRPr="00D17C62">
        <w:rPr>
          <w:sz w:val="22"/>
          <w:szCs w:val="22"/>
          <w:vertAlign w:val="subscript"/>
          <w:lang w:val="en-US"/>
        </w:rPr>
        <w:t>M</w:t>
      </w:r>
      <w:r w:rsidRPr="001940E0">
        <w:rPr>
          <w:sz w:val="22"/>
          <w:szCs w:val="22"/>
        </w:rPr>
        <w:t xml:space="preserve">, </w:t>
      </w:r>
      <w:proofErr w:type="spellStart"/>
      <w:r w:rsidR="00D17C62" w:rsidRPr="00A85D65">
        <w:rPr>
          <w:sz w:val="22"/>
          <w:szCs w:val="22"/>
          <w:lang w:val="en-US"/>
        </w:rPr>
        <w:t>k</w:t>
      </w:r>
      <w:r w:rsidR="00D17C62" w:rsidRPr="00D17C62">
        <w:rPr>
          <w:sz w:val="22"/>
          <w:szCs w:val="22"/>
          <w:vertAlign w:val="subscript"/>
          <w:lang w:val="en-US"/>
        </w:rPr>
        <w:t>cat</w:t>
      </w:r>
      <w:proofErr w:type="spellEnd"/>
      <w:r w:rsidR="00D17C62" w:rsidRPr="00A85D65">
        <w:rPr>
          <w:sz w:val="22"/>
          <w:szCs w:val="22"/>
          <w:lang w:val="en-US"/>
        </w:rPr>
        <w:t>/K</w:t>
      </w:r>
      <w:r w:rsidR="00D17C62" w:rsidRPr="00D17C62">
        <w:rPr>
          <w:sz w:val="22"/>
          <w:szCs w:val="22"/>
          <w:vertAlign w:val="subscript"/>
          <w:lang w:val="en-US"/>
        </w:rPr>
        <w:t>M</w:t>
      </w:r>
      <w:r w:rsidR="00D17C62">
        <w:rPr>
          <w:sz w:val="22"/>
          <w:szCs w:val="22"/>
          <w:vertAlign w:val="subscript"/>
          <w:lang w:val="en-US"/>
        </w:rPr>
        <w:t xml:space="preserve"> </w:t>
      </w:r>
      <w:r w:rsidRPr="001940E0">
        <w:rPr>
          <w:sz w:val="22"/>
          <w:szCs w:val="22"/>
        </w:rPr>
        <w:t xml:space="preserve">and </w:t>
      </w:r>
      <w:r w:rsidR="00D17C62" w:rsidRPr="00A85D65">
        <w:rPr>
          <w:sz w:val="22"/>
          <w:szCs w:val="22"/>
          <w:lang w:val="en-US"/>
        </w:rPr>
        <w:t>T</w:t>
      </w:r>
      <w:r w:rsidR="00D17C62">
        <w:rPr>
          <w:sz w:val="22"/>
          <w:szCs w:val="22"/>
          <w:vertAlign w:val="subscript"/>
          <w:lang w:val="en-US"/>
        </w:rPr>
        <w:t>50</w:t>
      </w:r>
      <w:r w:rsidRPr="001940E0">
        <w:rPr>
          <w:sz w:val="22"/>
          <w:szCs w:val="22"/>
        </w:rPr>
        <w:t xml:space="preserve"> parameters serves as a valuable resource for guiding new institutions in designing and executing their enzyme kinetics experiments. These intervals offer a robust framework for assessing the precision and reliability of reported results, contributing to the establishment of standardized practices in the field.</w:t>
      </w:r>
    </w:p>
    <w:p w14:paraId="755E35F6" w14:textId="7F5B6EFD" w:rsidR="00D47430" w:rsidRDefault="002E00AC" w:rsidP="000B1825">
      <w:pPr>
        <w:spacing w:before="240" w:after="240"/>
        <w:jc w:val="both"/>
        <w:rPr>
          <w:sz w:val="22"/>
          <w:szCs w:val="22"/>
        </w:rPr>
      </w:pPr>
      <w:r w:rsidRPr="001940E0">
        <w:rPr>
          <w:sz w:val="22"/>
          <w:szCs w:val="22"/>
        </w:rPr>
        <w:t xml:space="preserve">In conclusion, this study's multifaceted analysis of the D2D database </w:t>
      </w:r>
      <w:proofErr w:type="gramStart"/>
      <w:r w:rsidRPr="001940E0">
        <w:rPr>
          <w:sz w:val="22"/>
          <w:szCs w:val="22"/>
        </w:rPr>
        <w:t>illuminates</w:t>
      </w:r>
      <w:proofErr w:type="gramEnd"/>
      <w:r w:rsidRPr="001940E0">
        <w:rPr>
          <w:sz w:val="22"/>
          <w:szCs w:val="22"/>
        </w:rPr>
        <w:t xml:space="preserve"> various aspects of enzyme kinetics research. The provision of confidence intervals aids in guiding new institutions, the observation of intra-institutional variability prompts introspection and improvement, and the identification of deviations and outliers underscores the need for standardized practices and transparent reporting. Furthermore, the absence of key data points and the narrower range exhibited by curated data collectively emphasize the significance of meticulous data curation and adherence to protocols. As the field of enzymatic kinetics advances, these insights contribute to refining methodologies and bolstering the integrity of research outcomes.</w:t>
      </w:r>
    </w:p>
    <w:p w14:paraId="71BDCBBB" w14:textId="77777777" w:rsidR="00D47430" w:rsidRDefault="00D47430" w:rsidP="000B1825">
      <w:pPr>
        <w:spacing w:before="240" w:after="240"/>
        <w:rPr>
          <w:sz w:val="22"/>
          <w:szCs w:val="22"/>
        </w:rPr>
      </w:pPr>
      <w:r>
        <w:rPr>
          <w:sz w:val="22"/>
          <w:szCs w:val="22"/>
        </w:rPr>
        <w:br w:type="page"/>
      </w:r>
    </w:p>
    <w:p w14:paraId="2E8A012A" w14:textId="77777777" w:rsidR="00F47172" w:rsidRPr="001940E0" w:rsidRDefault="00F47172" w:rsidP="000B1825">
      <w:pPr>
        <w:spacing w:before="240" w:after="240"/>
        <w:jc w:val="both"/>
        <w:rPr>
          <w:sz w:val="22"/>
          <w:szCs w:val="22"/>
        </w:rPr>
      </w:pPr>
    </w:p>
    <w:p w14:paraId="3A491EF2" w14:textId="77777777" w:rsidR="00F47172" w:rsidRPr="001940E0" w:rsidRDefault="00621CD8" w:rsidP="000B1825">
      <w:pPr>
        <w:pStyle w:val="Heading1"/>
        <w:numPr>
          <w:ilvl w:val="0"/>
          <w:numId w:val="3"/>
        </w:numPr>
        <w:spacing w:before="240" w:after="240"/>
      </w:pPr>
      <w:r w:rsidRPr="001940E0">
        <w:t>References</w:t>
      </w:r>
    </w:p>
    <w:p w14:paraId="38DF8A1F" w14:textId="77777777" w:rsidR="00E411FF" w:rsidRPr="00E411FF" w:rsidRDefault="00E411FF" w:rsidP="000B1825">
      <w:pPr>
        <w:pStyle w:val="ListParagraph"/>
        <w:numPr>
          <w:ilvl w:val="0"/>
          <w:numId w:val="2"/>
        </w:numPr>
        <w:spacing w:before="240" w:after="240"/>
        <w:rPr>
          <w:sz w:val="22"/>
          <w:szCs w:val="22"/>
        </w:rPr>
      </w:pPr>
      <w:r w:rsidRPr="00E411FF">
        <w:rPr>
          <w:sz w:val="22"/>
          <w:szCs w:val="22"/>
        </w:rPr>
        <w:t xml:space="preserve">Beutler E, Kuhl W, Trinidad F, Teplitz R, Nadler H. Beta-glucosidase activity in fibroblasts from homozygotes and heterozygotes for Gaucher's disease. Am J Hum Genet. 1971 Jan;23(1):62-6. PMID: 5581982; PMCID: PMC1706631. </w:t>
      </w:r>
    </w:p>
    <w:p w14:paraId="72C2952F" w14:textId="1D4CEA32" w:rsidR="00E411FF" w:rsidRPr="00E411FF" w:rsidRDefault="00E411FF" w:rsidP="000B1825">
      <w:pPr>
        <w:pStyle w:val="ListParagraph"/>
        <w:numPr>
          <w:ilvl w:val="0"/>
          <w:numId w:val="2"/>
        </w:numPr>
        <w:spacing w:before="240" w:after="240"/>
        <w:rPr>
          <w:sz w:val="22"/>
          <w:szCs w:val="22"/>
        </w:rPr>
      </w:pPr>
      <w:r w:rsidRPr="00E411FF">
        <w:rPr>
          <w:sz w:val="22"/>
          <w:szCs w:val="22"/>
        </w:rPr>
        <w:t xml:space="preserve">Carlos </w:t>
      </w:r>
      <w:proofErr w:type="spellStart"/>
      <w:r w:rsidRPr="00E411FF">
        <w:rPr>
          <w:sz w:val="22"/>
          <w:szCs w:val="22"/>
        </w:rPr>
        <w:t>Outeiral</w:t>
      </w:r>
      <w:proofErr w:type="spellEnd"/>
      <w:r w:rsidRPr="00E411FF">
        <w:rPr>
          <w:sz w:val="22"/>
          <w:szCs w:val="22"/>
        </w:rPr>
        <w:t xml:space="preserve"> and others, Current structure predictors are not learning the physics of protein folding, Bioinformatics, Volume 38, Issue 7, March 2022, Pages 1881–1887, https://doi.org/10.1093/bioinformatics/btab881</w:t>
      </w:r>
    </w:p>
    <w:p w14:paraId="2DE228AE" w14:textId="77777777" w:rsidR="00E411FF" w:rsidRPr="00E411FF" w:rsidRDefault="00E411FF" w:rsidP="000B1825">
      <w:pPr>
        <w:pStyle w:val="ListParagraph"/>
        <w:numPr>
          <w:ilvl w:val="0"/>
          <w:numId w:val="2"/>
        </w:numPr>
        <w:spacing w:before="240" w:after="240"/>
        <w:rPr>
          <w:sz w:val="22"/>
          <w:szCs w:val="22"/>
        </w:rPr>
      </w:pPr>
      <w:r w:rsidRPr="00E411FF">
        <w:rPr>
          <w:sz w:val="22"/>
          <w:szCs w:val="22"/>
        </w:rPr>
        <w:t>Chakravarty D, Porter LL. AlphaFold2 fails to predict protein fold switching. Protein Sci. 2022 Jun;31(6</w:t>
      </w:r>
      <w:proofErr w:type="gramStart"/>
      <w:r w:rsidRPr="00E411FF">
        <w:rPr>
          <w:sz w:val="22"/>
          <w:szCs w:val="22"/>
        </w:rPr>
        <w:t>):e</w:t>
      </w:r>
      <w:proofErr w:type="gramEnd"/>
      <w:r w:rsidRPr="00E411FF">
        <w:rPr>
          <w:sz w:val="22"/>
          <w:szCs w:val="22"/>
        </w:rPr>
        <w:t xml:space="preserve">4353. </w:t>
      </w:r>
      <w:proofErr w:type="spellStart"/>
      <w:r w:rsidRPr="00E411FF">
        <w:rPr>
          <w:sz w:val="22"/>
          <w:szCs w:val="22"/>
        </w:rPr>
        <w:t>doi</w:t>
      </w:r>
      <w:proofErr w:type="spellEnd"/>
      <w:r w:rsidRPr="00E411FF">
        <w:rPr>
          <w:sz w:val="22"/>
          <w:szCs w:val="22"/>
        </w:rPr>
        <w:t>: 10.1002/pro.4353. PMID: 35634782; PMCID: PMC9134877.</w:t>
      </w:r>
    </w:p>
    <w:p w14:paraId="583F77BF" w14:textId="47623445" w:rsidR="00E411FF" w:rsidRPr="00E411FF" w:rsidRDefault="00E411FF" w:rsidP="000B1825">
      <w:pPr>
        <w:pStyle w:val="ListParagraph"/>
        <w:numPr>
          <w:ilvl w:val="0"/>
          <w:numId w:val="2"/>
        </w:numPr>
        <w:spacing w:before="240" w:after="240"/>
        <w:rPr>
          <w:sz w:val="22"/>
          <w:szCs w:val="22"/>
        </w:rPr>
      </w:pPr>
      <w:r w:rsidRPr="00E411FF">
        <w:rPr>
          <w:sz w:val="22"/>
          <w:szCs w:val="22"/>
        </w:rPr>
        <w:t xml:space="preserve">Huang P, Chu SKS, Frizzo HN, Connolly MP, Caster RW, Siegel JB. Evaluating Protein Engineering Thermostability Prediction Tools Using an Independently Generated Dataset. ACS Omega. 2020 Mar 20;5(12):6487-6493. </w:t>
      </w:r>
      <w:proofErr w:type="spellStart"/>
      <w:r w:rsidRPr="00E411FF">
        <w:rPr>
          <w:sz w:val="22"/>
          <w:szCs w:val="22"/>
        </w:rPr>
        <w:t>doi</w:t>
      </w:r>
      <w:proofErr w:type="spellEnd"/>
      <w:r w:rsidRPr="00E411FF">
        <w:rPr>
          <w:sz w:val="22"/>
          <w:szCs w:val="22"/>
        </w:rPr>
        <w:t>: 10.1021/acsomega.9b04105. PMID: 32258884; PMCID: PMC7114132.</w:t>
      </w:r>
    </w:p>
    <w:p w14:paraId="15E1C0BE" w14:textId="77777777" w:rsidR="00E411FF" w:rsidRPr="00E411FF" w:rsidRDefault="00E411FF" w:rsidP="000B1825">
      <w:pPr>
        <w:pStyle w:val="ListParagraph"/>
        <w:numPr>
          <w:ilvl w:val="0"/>
          <w:numId w:val="2"/>
        </w:numPr>
        <w:spacing w:before="240" w:after="240"/>
        <w:rPr>
          <w:sz w:val="22"/>
          <w:szCs w:val="22"/>
        </w:rPr>
      </w:pPr>
      <w:r w:rsidRPr="00E411FF">
        <w:rPr>
          <w:sz w:val="22"/>
          <w:szCs w:val="22"/>
        </w:rPr>
        <w:t xml:space="preserve">Johanna L. </w:t>
      </w:r>
      <w:proofErr w:type="gramStart"/>
      <w:r w:rsidRPr="00E411FF">
        <w:rPr>
          <w:sz w:val="22"/>
          <w:szCs w:val="22"/>
        </w:rPr>
        <w:t>Miller;</w:t>
      </w:r>
      <w:proofErr w:type="gramEnd"/>
      <w:r w:rsidRPr="00E411FF">
        <w:rPr>
          <w:sz w:val="22"/>
          <w:szCs w:val="22"/>
        </w:rPr>
        <w:t xml:space="preserve"> Deep learning opens up protein science’s next frontiers. Physics Today 1 October 2021; 74 (10): 14–17. https://doi.org/10.1063/PT.3.4850</w:t>
      </w:r>
    </w:p>
    <w:p w14:paraId="10ABF126" w14:textId="77777777" w:rsidR="00E411FF" w:rsidRPr="00E411FF" w:rsidRDefault="00E411FF" w:rsidP="000B1825">
      <w:pPr>
        <w:pStyle w:val="ListParagraph"/>
        <w:numPr>
          <w:ilvl w:val="0"/>
          <w:numId w:val="2"/>
        </w:numPr>
        <w:spacing w:before="240" w:after="240"/>
        <w:rPr>
          <w:sz w:val="22"/>
          <w:szCs w:val="22"/>
        </w:rPr>
      </w:pPr>
      <w:proofErr w:type="spellStart"/>
      <w:r w:rsidRPr="00E411FF">
        <w:rPr>
          <w:sz w:val="22"/>
          <w:szCs w:val="22"/>
        </w:rPr>
        <w:t>Ketudat</w:t>
      </w:r>
      <w:proofErr w:type="spellEnd"/>
      <w:r w:rsidRPr="00E411FF">
        <w:rPr>
          <w:sz w:val="22"/>
          <w:szCs w:val="22"/>
        </w:rPr>
        <w:t xml:space="preserve"> Cairns, </w:t>
      </w:r>
      <w:proofErr w:type="gramStart"/>
      <w:r w:rsidRPr="00E411FF">
        <w:rPr>
          <w:sz w:val="22"/>
          <w:szCs w:val="22"/>
        </w:rPr>
        <w:t>J.,R.</w:t>
      </w:r>
      <w:proofErr w:type="gramEnd"/>
      <w:r w:rsidRPr="00E411FF">
        <w:rPr>
          <w:sz w:val="22"/>
          <w:szCs w:val="22"/>
        </w:rPr>
        <w:t xml:space="preserve">, &amp; Esen, A. (2010). [Beta]-glucosidases. Cellular and Molecular Life Sciences, 67(20), 3389-405. </w:t>
      </w:r>
      <w:proofErr w:type="spellStart"/>
      <w:proofErr w:type="gramStart"/>
      <w:r w:rsidRPr="00E411FF">
        <w:rPr>
          <w:sz w:val="22"/>
          <w:szCs w:val="22"/>
        </w:rPr>
        <w:t>doi:https</w:t>
      </w:r>
      <w:proofErr w:type="spellEnd"/>
      <w:r w:rsidRPr="00E411FF">
        <w:rPr>
          <w:sz w:val="22"/>
          <w:szCs w:val="22"/>
        </w:rPr>
        <w:t>://doi.org/10.1007/s00018-010-0399-2</w:t>
      </w:r>
      <w:proofErr w:type="gramEnd"/>
      <w:r w:rsidRPr="00E411FF">
        <w:rPr>
          <w:sz w:val="22"/>
          <w:szCs w:val="22"/>
        </w:rPr>
        <w:t xml:space="preserve"> </w:t>
      </w:r>
    </w:p>
    <w:p w14:paraId="2F4EF428" w14:textId="65EC8592" w:rsidR="00E411FF" w:rsidRPr="00E411FF" w:rsidRDefault="00E411FF" w:rsidP="000B1825">
      <w:pPr>
        <w:pStyle w:val="ListParagraph"/>
        <w:numPr>
          <w:ilvl w:val="0"/>
          <w:numId w:val="2"/>
        </w:numPr>
        <w:spacing w:before="240" w:after="240"/>
        <w:rPr>
          <w:sz w:val="22"/>
          <w:szCs w:val="22"/>
        </w:rPr>
      </w:pPr>
      <w:proofErr w:type="spellStart"/>
      <w:r w:rsidRPr="00E411FF">
        <w:rPr>
          <w:sz w:val="22"/>
          <w:szCs w:val="22"/>
        </w:rPr>
        <w:t>Mirdita</w:t>
      </w:r>
      <w:proofErr w:type="spellEnd"/>
      <w:r w:rsidRPr="00E411FF">
        <w:rPr>
          <w:sz w:val="22"/>
          <w:szCs w:val="22"/>
        </w:rPr>
        <w:t xml:space="preserve">, M., Schütze, K., Moriwaki, Y. et al. </w:t>
      </w:r>
      <w:proofErr w:type="spellStart"/>
      <w:r w:rsidRPr="00E411FF">
        <w:rPr>
          <w:sz w:val="22"/>
          <w:szCs w:val="22"/>
        </w:rPr>
        <w:t>ColabFold</w:t>
      </w:r>
      <w:proofErr w:type="spellEnd"/>
      <w:r w:rsidRPr="00E411FF">
        <w:rPr>
          <w:sz w:val="22"/>
          <w:szCs w:val="22"/>
        </w:rPr>
        <w:t>: making protein folding accessible to all. Nat Methods 19, 679–682 (2022). https://doi.org/10.1038/s41592-022-01488-1</w:t>
      </w:r>
    </w:p>
    <w:p w14:paraId="02F96299" w14:textId="1FD819D9" w:rsidR="00E411FF" w:rsidRPr="00E411FF" w:rsidRDefault="00E411FF" w:rsidP="000B1825">
      <w:pPr>
        <w:pStyle w:val="ListParagraph"/>
        <w:numPr>
          <w:ilvl w:val="0"/>
          <w:numId w:val="2"/>
        </w:numPr>
        <w:spacing w:before="240" w:after="240"/>
        <w:rPr>
          <w:sz w:val="22"/>
          <w:szCs w:val="22"/>
        </w:rPr>
      </w:pPr>
      <w:r w:rsidRPr="00E411FF">
        <w:rPr>
          <w:sz w:val="22"/>
          <w:szCs w:val="22"/>
        </w:rPr>
        <w:t xml:space="preserve">Pan Y, </w:t>
      </w:r>
      <w:proofErr w:type="spellStart"/>
      <w:r w:rsidRPr="00E411FF">
        <w:rPr>
          <w:sz w:val="22"/>
          <w:szCs w:val="22"/>
        </w:rPr>
        <w:t>Bodrossy</w:t>
      </w:r>
      <w:proofErr w:type="spellEnd"/>
      <w:r w:rsidRPr="00E411FF">
        <w:rPr>
          <w:sz w:val="22"/>
          <w:szCs w:val="22"/>
        </w:rPr>
        <w:t xml:space="preserve"> L, Frenzel P, Hestnes AG, Krause S, </w:t>
      </w:r>
      <w:proofErr w:type="spellStart"/>
      <w:r w:rsidRPr="00E411FF">
        <w:rPr>
          <w:sz w:val="22"/>
          <w:szCs w:val="22"/>
        </w:rPr>
        <w:t>Lüke</w:t>
      </w:r>
      <w:proofErr w:type="spellEnd"/>
      <w:r w:rsidRPr="00E411FF">
        <w:rPr>
          <w:sz w:val="22"/>
          <w:szCs w:val="22"/>
        </w:rPr>
        <w:t xml:space="preserve"> C, </w:t>
      </w:r>
      <w:proofErr w:type="spellStart"/>
      <w:r w:rsidRPr="00E411FF">
        <w:rPr>
          <w:sz w:val="22"/>
          <w:szCs w:val="22"/>
        </w:rPr>
        <w:t>Meima</w:t>
      </w:r>
      <w:proofErr w:type="spellEnd"/>
      <w:r w:rsidRPr="00E411FF">
        <w:rPr>
          <w:sz w:val="22"/>
          <w:szCs w:val="22"/>
        </w:rPr>
        <w:t xml:space="preserve">-Franke M, </w:t>
      </w:r>
      <w:proofErr w:type="spellStart"/>
      <w:r w:rsidRPr="00E411FF">
        <w:rPr>
          <w:sz w:val="22"/>
          <w:szCs w:val="22"/>
        </w:rPr>
        <w:t>Siljanen</w:t>
      </w:r>
      <w:proofErr w:type="spellEnd"/>
      <w:r w:rsidRPr="00E411FF">
        <w:rPr>
          <w:sz w:val="22"/>
          <w:szCs w:val="22"/>
        </w:rPr>
        <w:t xml:space="preserve"> H, Svenning MM, </w:t>
      </w:r>
      <w:proofErr w:type="spellStart"/>
      <w:r w:rsidRPr="00E411FF">
        <w:rPr>
          <w:sz w:val="22"/>
          <w:szCs w:val="22"/>
        </w:rPr>
        <w:t>Bodelier</w:t>
      </w:r>
      <w:proofErr w:type="spellEnd"/>
      <w:r w:rsidRPr="00E411FF">
        <w:rPr>
          <w:sz w:val="22"/>
          <w:szCs w:val="22"/>
        </w:rPr>
        <w:t xml:space="preserve"> PL. Impacts of inter- and </w:t>
      </w:r>
      <w:proofErr w:type="spellStart"/>
      <w:r w:rsidRPr="00E411FF">
        <w:rPr>
          <w:sz w:val="22"/>
          <w:szCs w:val="22"/>
        </w:rPr>
        <w:t>intralaboratory</w:t>
      </w:r>
      <w:proofErr w:type="spellEnd"/>
      <w:r w:rsidRPr="00E411FF">
        <w:rPr>
          <w:sz w:val="22"/>
          <w:szCs w:val="22"/>
        </w:rPr>
        <w:t xml:space="preserve"> variations on the reproducibility of microbial community analyses. Appl Environ </w:t>
      </w:r>
      <w:proofErr w:type="spellStart"/>
      <w:r w:rsidRPr="00E411FF">
        <w:rPr>
          <w:sz w:val="22"/>
          <w:szCs w:val="22"/>
        </w:rPr>
        <w:t>Microbiol</w:t>
      </w:r>
      <w:proofErr w:type="spellEnd"/>
      <w:r w:rsidRPr="00E411FF">
        <w:rPr>
          <w:sz w:val="22"/>
          <w:szCs w:val="22"/>
        </w:rPr>
        <w:t xml:space="preserve">. 2010 Nov;76(22):7451-8. </w:t>
      </w:r>
      <w:proofErr w:type="spellStart"/>
      <w:r w:rsidRPr="00E411FF">
        <w:rPr>
          <w:sz w:val="22"/>
          <w:szCs w:val="22"/>
        </w:rPr>
        <w:t>doi</w:t>
      </w:r>
      <w:proofErr w:type="spellEnd"/>
      <w:r w:rsidRPr="00E411FF">
        <w:rPr>
          <w:sz w:val="22"/>
          <w:szCs w:val="22"/>
        </w:rPr>
        <w:t xml:space="preserve">: 10.1128/AEM.01595-10. </w:t>
      </w:r>
      <w:proofErr w:type="spellStart"/>
      <w:r w:rsidRPr="00E411FF">
        <w:rPr>
          <w:sz w:val="22"/>
          <w:szCs w:val="22"/>
        </w:rPr>
        <w:t>Epub</w:t>
      </w:r>
      <w:proofErr w:type="spellEnd"/>
      <w:r w:rsidRPr="00E411FF">
        <w:rPr>
          <w:sz w:val="22"/>
          <w:szCs w:val="22"/>
        </w:rPr>
        <w:t xml:space="preserve"> 2010 Sep 24. PMID: 20870788; PMCID: PMC2976186.</w:t>
      </w:r>
    </w:p>
    <w:p w14:paraId="344846AC" w14:textId="77777777" w:rsidR="00E411FF" w:rsidRPr="00E411FF" w:rsidRDefault="00E411FF" w:rsidP="000B1825">
      <w:pPr>
        <w:pStyle w:val="ListParagraph"/>
        <w:numPr>
          <w:ilvl w:val="0"/>
          <w:numId w:val="2"/>
        </w:numPr>
        <w:spacing w:before="240" w:after="240"/>
        <w:rPr>
          <w:sz w:val="22"/>
          <w:szCs w:val="22"/>
        </w:rPr>
      </w:pPr>
      <w:r w:rsidRPr="00E411FF">
        <w:rPr>
          <w:sz w:val="22"/>
          <w:szCs w:val="22"/>
        </w:rPr>
        <w:t>Robert Kleffner and others, Foldit Standalone: a video game-derived protein structure manipulation interface using Rosetta, Bioinformatics, Volume 33, Issue 17, September 2017, Pages 2765–2767, https://doi.org/10.1093/bioinformatics/btx283</w:t>
      </w:r>
    </w:p>
    <w:p w14:paraId="53CC0C14" w14:textId="77777777" w:rsidR="00E411FF" w:rsidRPr="00E411FF" w:rsidRDefault="00E411FF" w:rsidP="000B1825">
      <w:pPr>
        <w:pStyle w:val="ListParagraph"/>
        <w:numPr>
          <w:ilvl w:val="0"/>
          <w:numId w:val="2"/>
        </w:numPr>
        <w:spacing w:before="240" w:after="240"/>
        <w:rPr>
          <w:sz w:val="22"/>
          <w:szCs w:val="22"/>
        </w:rPr>
      </w:pPr>
      <w:r w:rsidRPr="00E411FF">
        <w:rPr>
          <w:sz w:val="22"/>
          <w:szCs w:val="22"/>
        </w:rPr>
        <w:lastRenderedPageBreak/>
        <w:t xml:space="preserve">Rosi I, </w:t>
      </w:r>
      <w:proofErr w:type="spellStart"/>
      <w:r w:rsidRPr="00E411FF">
        <w:rPr>
          <w:sz w:val="22"/>
          <w:szCs w:val="22"/>
        </w:rPr>
        <w:t>Vinella</w:t>
      </w:r>
      <w:proofErr w:type="spellEnd"/>
      <w:r w:rsidRPr="00E411FF">
        <w:rPr>
          <w:sz w:val="22"/>
          <w:szCs w:val="22"/>
        </w:rPr>
        <w:t xml:space="preserve"> M, Domizio P. Characterization of beta-glucosidase activity in yeasts of oenological origin. J Appl </w:t>
      </w:r>
      <w:proofErr w:type="spellStart"/>
      <w:r w:rsidRPr="00E411FF">
        <w:rPr>
          <w:sz w:val="22"/>
          <w:szCs w:val="22"/>
        </w:rPr>
        <w:t>Bacteriol</w:t>
      </w:r>
      <w:proofErr w:type="spellEnd"/>
      <w:r w:rsidRPr="00E411FF">
        <w:rPr>
          <w:sz w:val="22"/>
          <w:szCs w:val="22"/>
        </w:rPr>
        <w:t xml:space="preserve">. 1994 Nov;77(5):519-27. </w:t>
      </w:r>
      <w:proofErr w:type="spellStart"/>
      <w:r w:rsidRPr="00E411FF">
        <w:rPr>
          <w:sz w:val="22"/>
          <w:szCs w:val="22"/>
        </w:rPr>
        <w:t>doi</w:t>
      </w:r>
      <w:proofErr w:type="spellEnd"/>
      <w:r w:rsidRPr="00E411FF">
        <w:rPr>
          <w:sz w:val="22"/>
          <w:szCs w:val="22"/>
        </w:rPr>
        <w:t>: 10.1111/j.1365-</w:t>
      </w:r>
      <w:proofErr w:type="gramStart"/>
      <w:r w:rsidRPr="00E411FF">
        <w:rPr>
          <w:sz w:val="22"/>
          <w:szCs w:val="22"/>
        </w:rPr>
        <w:t>2672.1994.tb</w:t>
      </w:r>
      <w:proofErr w:type="gramEnd"/>
      <w:r w:rsidRPr="00E411FF">
        <w:rPr>
          <w:sz w:val="22"/>
          <w:szCs w:val="22"/>
        </w:rPr>
        <w:t xml:space="preserve">04396.x. PMID: 8002477. </w:t>
      </w:r>
    </w:p>
    <w:p w14:paraId="55F832B5" w14:textId="77777777" w:rsidR="00E411FF" w:rsidRPr="00E411FF" w:rsidRDefault="00E411FF" w:rsidP="000B1825">
      <w:pPr>
        <w:pStyle w:val="ListParagraph"/>
        <w:numPr>
          <w:ilvl w:val="0"/>
          <w:numId w:val="2"/>
        </w:numPr>
        <w:spacing w:before="240" w:after="240"/>
        <w:rPr>
          <w:sz w:val="22"/>
          <w:szCs w:val="22"/>
        </w:rPr>
      </w:pPr>
      <w:r w:rsidRPr="00E411FF">
        <w:rPr>
          <w:sz w:val="22"/>
          <w:szCs w:val="22"/>
        </w:rPr>
        <w:t xml:space="preserve">Singhania RR, Patel AK, Sukumaran RK, </w:t>
      </w:r>
      <w:proofErr w:type="spellStart"/>
      <w:r w:rsidRPr="00E411FF">
        <w:rPr>
          <w:sz w:val="22"/>
          <w:szCs w:val="22"/>
        </w:rPr>
        <w:t>Larroche</w:t>
      </w:r>
      <w:proofErr w:type="spellEnd"/>
      <w:r w:rsidRPr="00E411FF">
        <w:rPr>
          <w:sz w:val="22"/>
          <w:szCs w:val="22"/>
        </w:rPr>
        <w:t xml:space="preserve"> C, Pandey A. </w:t>
      </w:r>
      <w:proofErr w:type="gramStart"/>
      <w:r w:rsidRPr="00E411FF">
        <w:rPr>
          <w:sz w:val="22"/>
          <w:szCs w:val="22"/>
        </w:rPr>
        <w:t>Role</w:t>
      </w:r>
      <w:proofErr w:type="gramEnd"/>
      <w:r w:rsidRPr="00E411FF">
        <w:rPr>
          <w:sz w:val="22"/>
          <w:szCs w:val="22"/>
        </w:rPr>
        <w:t xml:space="preserve"> and significance of beta-glucosidases in the hydrolysis of cellulose for bioethanol production. </w:t>
      </w:r>
      <w:proofErr w:type="spellStart"/>
      <w:r w:rsidRPr="00E411FF">
        <w:rPr>
          <w:sz w:val="22"/>
          <w:szCs w:val="22"/>
        </w:rPr>
        <w:t>Bioresour</w:t>
      </w:r>
      <w:proofErr w:type="spellEnd"/>
      <w:r w:rsidRPr="00E411FF">
        <w:rPr>
          <w:sz w:val="22"/>
          <w:szCs w:val="22"/>
        </w:rPr>
        <w:t xml:space="preserve"> Technol. 2013 </w:t>
      </w:r>
      <w:proofErr w:type="gramStart"/>
      <w:r w:rsidRPr="00E411FF">
        <w:rPr>
          <w:sz w:val="22"/>
          <w:szCs w:val="22"/>
        </w:rPr>
        <w:t>Jan;127:500</w:t>
      </w:r>
      <w:proofErr w:type="gramEnd"/>
      <w:r w:rsidRPr="00E411FF">
        <w:rPr>
          <w:sz w:val="22"/>
          <w:szCs w:val="22"/>
        </w:rPr>
        <w:t xml:space="preserve">-7. </w:t>
      </w:r>
      <w:proofErr w:type="spellStart"/>
      <w:r w:rsidRPr="00E411FF">
        <w:rPr>
          <w:sz w:val="22"/>
          <w:szCs w:val="22"/>
        </w:rPr>
        <w:t>doi</w:t>
      </w:r>
      <w:proofErr w:type="spellEnd"/>
      <w:r w:rsidRPr="00E411FF">
        <w:rPr>
          <w:sz w:val="22"/>
          <w:szCs w:val="22"/>
        </w:rPr>
        <w:t xml:space="preserve">: 10.1016/j.biortech.2012.09.012. </w:t>
      </w:r>
      <w:proofErr w:type="spellStart"/>
      <w:r w:rsidRPr="00E411FF">
        <w:rPr>
          <w:sz w:val="22"/>
          <w:szCs w:val="22"/>
        </w:rPr>
        <w:t>Epub</w:t>
      </w:r>
      <w:proofErr w:type="spellEnd"/>
      <w:r w:rsidRPr="00E411FF">
        <w:rPr>
          <w:sz w:val="22"/>
          <w:szCs w:val="22"/>
        </w:rPr>
        <w:t xml:space="preserve"> 2012 Sep 14. PMID: 23069613. </w:t>
      </w:r>
    </w:p>
    <w:p w14:paraId="251F7674" w14:textId="77777777" w:rsidR="001940E0" w:rsidRPr="001940E0" w:rsidRDefault="001940E0" w:rsidP="000B1825">
      <w:pPr>
        <w:spacing w:before="240" w:after="240"/>
        <w:rPr>
          <w:sz w:val="22"/>
          <w:szCs w:val="22"/>
        </w:rPr>
      </w:pPr>
    </w:p>
    <w:sectPr w:rsidR="001940E0" w:rsidRPr="001940E0" w:rsidSect="001940E0">
      <w:headerReference w:type="default" r:id="rId13"/>
      <w:headerReference w:type="first" r:id="rId14"/>
      <w:pgSz w:w="11909" w:h="16834"/>
      <w:pgMar w:top="1440" w:right="1080" w:bottom="1440" w:left="1080" w:header="720" w:footer="72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AA7E9" w14:textId="77777777" w:rsidR="00FB24FB" w:rsidRDefault="00FB24FB">
      <w:pPr>
        <w:spacing w:line="240" w:lineRule="auto"/>
      </w:pPr>
      <w:r>
        <w:separator/>
      </w:r>
    </w:p>
  </w:endnote>
  <w:endnote w:type="continuationSeparator" w:id="0">
    <w:p w14:paraId="19717748" w14:textId="77777777" w:rsidR="00FB24FB" w:rsidRDefault="00FB24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FC6B0" w14:textId="77777777" w:rsidR="00FB24FB" w:rsidRDefault="00FB24FB">
      <w:pPr>
        <w:spacing w:line="240" w:lineRule="auto"/>
      </w:pPr>
      <w:r>
        <w:separator/>
      </w:r>
    </w:p>
  </w:footnote>
  <w:footnote w:type="continuationSeparator" w:id="0">
    <w:p w14:paraId="2624B1FF" w14:textId="77777777" w:rsidR="00FB24FB" w:rsidRDefault="00FB24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08483" w14:textId="77777777" w:rsidR="00F47172" w:rsidRDefault="00621CD8">
    <w:pPr>
      <w:jc w:val="right"/>
    </w:pPr>
    <w:r>
      <w:fldChar w:fldCharType="begin"/>
    </w:r>
    <w:r>
      <w:instrText>PAGE</w:instrText>
    </w:r>
    <w:r>
      <w:fldChar w:fldCharType="separate"/>
    </w:r>
    <w:r w:rsidR="003A286B">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A42DE" w14:textId="77777777" w:rsidR="00F47172" w:rsidRDefault="00621CD8">
    <w:pPr>
      <w:jc w:val="right"/>
    </w:pPr>
    <w:r>
      <w:fldChar w:fldCharType="begin"/>
    </w:r>
    <w:r>
      <w:instrText>PAGE</w:instrText>
    </w:r>
    <w:r>
      <w:fldChar w:fldCharType="end"/>
    </w:r>
    <w:r>
      <w:rPr>
        <w:noProof/>
      </w:rPr>
      <w:drawing>
        <wp:anchor distT="0" distB="0" distL="114300" distR="114300" simplePos="0" relativeHeight="251658240" behindDoc="0" locked="0" layoutInCell="1" hidden="0" allowOverlap="1" wp14:anchorId="397957B5" wp14:editId="7F269065">
          <wp:simplePos x="0" y="0"/>
          <wp:positionH relativeFrom="column">
            <wp:posOffset>1</wp:posOffset>
          </wp:positionH>
          <wp:positionV relativeFrom="paragraph">
            <wp:posOffset>-57149</wp:posOffset>
          </wp:positionV>
          <wp:extent cx="1238250" cy="28575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38250" cy="28575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B7A1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1EC3B33"/>
    <w:multiLevelType w:val="hybridMultilevel"/>
    <w:tmpl w:val="E1D075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1819E8"/>
    <w:multiLevelType w:val="hybridMultilevel"/>
    <w:tmpl w:val="2A2658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9B564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8508852">
    <w:abstractNumId w:val="1"/>
  </w:num>
  <w:num w:numId="2" w16cid:durableId="473759986">
    <w:abstractNumId w:val="2"/>
  </w:num>
  <w:num w:numId="3" w16cid:durableId="1148861173">
    <w:abstractNumId w:val="0"/>
  </w:num>
  <w:num w:numId="4" w16cid:durableId="999964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172"/>
    <w:rsid w:val="000B1825"/>
    <w:rsid w:val="000B1E22"/>
    <w:rsid w:val="000B22AD"/>
    <w:rsid w:val="001940E0"/>
    <w:rsid w:val="00196C02"/>
    <w:rsid w:val="002B6ABD"/>
    <w:rsid w:val="002E00AC"/>
    <w:rsid w:val="0031521E"/>
    <w:rsid w:val="00333C35"/>
    <w:rsid w:val="003A286B"/>
    <w:rsid w:val="0040527F"/>
    <w:rsid w:val="0059410B"/>
    <w:rsid w:val="005A0861"/>
    <w:rsid w:val="00621CD8"/>
    <w:rsid w:val="00690AA4"/>
    <w:rsid w:val="006D1DA6"/>
    <w:rsid w:val="006D4984"/>
    <w:rsid w:val="007272E3"/>
    <w:rsid w:val="007A4074"/>
    <w:rsid w:val="007C3A3D"/>
    <w:rsid w:val="00822A16"/>
    <w:rsid w:val="008F38DC"/>
    <w:rsid w:val="00917537"/>
    <w:rsid w:val="00A1400A"/>
    <w:rsid w:val="00A27A9F"/>
    <w:rsid w:val="00A5723C"/>
    <w:rsid w:val="00A85D65"/>
    <w:rsid w:val="00AB5058"/>
    <w:rsid w:val="00AF13AD"/>
    <w:rsid w:val="00C904BD"/>
    <w:rsid w:val="00D17C62"/>
    <w:rsid w:val="00D3465A"/>
    <w:rsid w:val="00D47430"/>
    <w:rsid w:val="00E411FF"/>
    <w:rsid w:val="00E414A6"/>
    <w:rsid w:val="00F47172"/>
    <w:rsid w:val="00FB24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4467D"/>
  <w15:docId w15:val="{E2B2340A-707A-6D44-A419-A720FBAD6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nl-NL" w:bidi="ar-SA"/>
      </w:rPr>
    </w:rPrDefault>
    <w:pPrDefault>
      <w:pPr>
        <w:spacing w:line="480" w:lineRule="auto"/>
        <w:ind w:firstLine="708"/>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jc w:val="center"/>
      <w:outlineLvl w:val="0"/>
    </w:pPr>
    <w:rPr>
      <w:b/>
    </w:rPr>
  </w:style>
  <w:style w:type="paragraph" w:styleId="Heading2">
    <w:name w:val="heading 2"/>
    <w:basedOn w:val="Normal"/>
    <w:next w:val="Normal"/>
    <w:uiPriority w:val="9"/>
    <w:unhideWhenUsed/>
    <w:qFormat/>
    <w:pPr>
      <w:keepNext/>
      <w:keepLines/>
      <w:ind w:firstLine="0"/>
      <w:outlineLvl w:val="1"/>
    </w:pPr>
    <w:rPr>
      <w:b/>
    </w:rPr>
  </w:style>
  <w:style w:type="paragraph" w:styleId="Heading3">
    <w:name w:val="heading 3"/>
    <w:basedOn w:val="Normal"/>
    <w:next w:val="Normal"/>
    <w:uiPriority w:val="9"/>
    <w:unhideWhenUsed/>
    <w:qFormat/>
    <w:pPr>
      <w:keepNext/>
      <w:keepLines/>
      <w:ind w:firstLine="0"/>
      <w:outlineLvl w:val="2"/>
    </w:pPr>
    <w:rPr>
      <w:b/>
      <w:i/>
    </w:rPr>
  </w:style>
  <w:style w:type="paragraph" w:styleId="Heading4">
    <w:name w:val="heading 4"/>
    <w:basedOn w:val="Normal"/>
    <w:next w:val="Normal"/>
    <w:uiPriority w:val="9"/>
    <w:semiHidden/>
    <w:unhideWhenUsed/>
    <w:qFormat/>
    <w:pPr>
      <w:keepNext/>
      <w:keepLines/>
      <w:ind w:firstLine="720"/>
      <w:outlineLvl w:val="3"/>
    </w:pPr>
    <w:rPr>
      <w:b/>
    </w:rPr>
  </w:style>
  <w:style w:type="paragraph" w:styleId="Heading5">
    <w:name w:val="heading 5"/>
    <w:basedOn w:val="Normal"/>
    <w:next w:val="Normal"/>
    <w:uiPriority w:val="9"/>
    <w:semiHidden/>
    <w:unhideWhenUsed/>
    <w:qFormat/>
    <w:pPr>
      <w:keepNext/>
      <w:keepLines/>
      <w:ind w:firstLine="720"/>
      <w:outlineLvl w:val="4"/>
    </w:pPr>
    <w:rPr>
      <w:b/>
      <w:i/>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jc w:val="center"/>
    </w:pPr>
    <w:rPr>
      <w:b/>
    </w:rPr>
  </w:style>
  <w:style w:type="paragraph" w:styleId="Subtitle">
    <w:name w:val="Subtitle"/>
    <w:basedOn w:val="Normal"/>
    <w:next w:val="Normal"/>
    <w:uiPriority w:val="11"/>
    <w:qFormat/>
    <w:pPr>
      <w:keepNext/>
      <w:keepLines/>
    </w:pPr>
    <w:rPr>
      <w:b/>
    </w:rPr>
  </w:style>
  <w:style w:type="paragraph" w:styleId="ListParagraph">
    <w:name w:val="List Paragraph"/>
    <w:basedOn w:val="Normal"/>
    <w:uiPriority w:val="34"/>
    <w:qFormat/>
    <w:rsid w:val="002E00AC"/>
    <w:pPr>
      <w:ind w:left="720"/>
      <w:contextualSpacing/>
    </w:pPr>
  </w:style>
  <w:style w:type="character" w:customStyle="1" w:styleId="Heading1Char">
    <w:name w:val="Heading 1 Char"/>
    <w:basedOn w:val="DefaultParagraphFont"/>
    <w:link w:val="Heading1"/>
    <w:uiPriority w:val="9"/>
    <w:rsid w:val="002E00AC"/>
    <w:rPr>
      <w:b/>
    </w:rPr>
  </w:style>
  <w:style w:type="paragraph" w:styleId="Header">
    <w:name w:val="header"/>
    <w:basedOn w:val="Normal"/>
    <w:link w:val="HeaderChar"/>
    <w:uiPriority w:val="99"/>
    <w:unhideWhenUsed/>
    <w:rsid w:val="001940E0"/>
    <w:pPr>
      <w:tabs>
        <w:tab w:val="center" w:pos="4680"/>
        <w:tab w:val="right" w:pos="9360"/>
      </w:tabs>
      <w:spacing w:line="240" w:lineRule="auto"/>
    </w:pPr>
  </w:style>
  <w:style w:type="character" w:customStyle="1" w:styleId="HeaderChar">
    <w:name w:val="Header Char"/>
    <w:basedOn w:val="DefaultParagraphFont"/>
    <w:link w:val="Header"/>
    <w:uiPriority w:val="99"/>
    <w:rsid w:val="001940E0"/>
  </w:style>
  <w:style w:type="paragraph" w:styleId="Footer">
    <w:name w:val="footer"/>
    <w:basedOn w:val="Normal"/>
    <w:link w:val="FooterChar"/>
    <w:uiPriority w:val="99"/>
    <w:unhideWhenUsed/>
    <w:rsid w:val="001940E0"/>
    <w:pPr>
      <w:tabs>
        <w:tab w:val="center" w:pos="4680"/>
        <w:tab w:val="right" w:pos="9360"/>
      </w:tabs>
      <w:spacing w:line="240" w:lineRule="auto"/>
    </w:pPr>
  </w:style>
  <w:style w:type="character" w:customStyle="1" w:styleId="FooterChar">
    <w:name w:val="Footer Char"/>
    <w:basedOn w:val="DefaultParagraphFont"/>
    <w:link w:val="Footer"/>
    <w:uiPriority w:val="99"/>
    <w:rsid w:val="001940E0"/>
  </w:style>
  <w:style w:type="table" w:styleId="TableGrid">
    <w:name w:val="Table Grid"/>
    <w:basedOn w:val="TableNormal"/>
    <w:uiPriority w:val="39"/>
    <w:rsid w:val="00D4743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512779">
      <w:bodyDiv w:val="1"/>
      <w:marLeft w:val="0"/>
      <w:marRight w:val="0"/>
      <w:marTop w:val="0"/>
      <w:marBottom w:val="0"/>
      <w:divBdr>
        <w:top w:val="none" w:sz="0" w:space="0" w:color="auto"/>
        <w:left w:val="none" w:sz="0" w:space="0" w:color="auto"/>
        <w:bottom w:val="none" w:sz="0" w:space="0" w:color="auto"/>
        <w:right w:val="none" w:sz="0" w:space="0" w:color="auto"/>
      </w:divBdr>
      <w:divsChild>
        <w:div w:id="315301687">
          <w:marLeft w:val="0"/>
          <w:marRight w:val="0"/>
          <w:marTop w:val="0"/>
          <w:marBottom w:val="0"/>
          <w:divBdr>
            <w:top w:val="none" w:sz="0" w:space="0" w:color="auto"/>
            <w:left w:val="none" w:sz="0" w:space="0" w:color="auto"/>
            <w:bottom w:val="none" w:sz="0" w:space="0" w:color="auto"/>
            <w:right w:val="none" w:sz="0" w:space="0" w:color="auto"/>
          </w:divBdr>
        </w:div>
      </w:divsChild>
    </w:div>
    <w:div w:id="1138649725">
      <w:bodyDiv w:val="1"/>
      <w:marLeft w:val="0"/>
      <w:marRight w:val="0"/>
      <w:marTop w:val="0"/>
      <w:marBottom w:val="0"/>
      <w:divBdr>
        <w:top w:val="none" w:sz="0" w:space="0" w:color="auto"/>
        <w:left w:val="none" w:sz="0" w:space="0" w:color="auto"/>
        <w:bottom w:val="none" w:sz="0" w:space="0" w:color="auto"/>
        <w:right w:val="none" w:sz="0" w:space="0" w:color="auto"/>
      </w:divBdr>
      <w:divsChild>
        <w:div w:id="383257522">
          <w:marLeft w:val="0"/>
          <w:marRight w:val="0"/>
          <w:marTop w:val="0"/>
          <w:marBottom w:val="0"/>
          <w:divBdr>
            <w:top w:val="none" w:sz="0" w:space="0" w:color="auto"/>
            <w:left w:val="none" w:sz="0" w:space="0" w:color="auto"/>
            <w:bottom w:val="none" w:sz="0" w:space="0" w:color="auto"/>
            <w:right w:val="none" w:sz="0" w:space="0" w:color="auto"/>
          </w:divBdr>
        </w:div>
      </w:divsChild>
    </w:div>
    <w:div w:id="1355769439">
      <w:bodyDiv w:val="1"/>
      <w:marLeft w:val="0"/>
      <w:marRight w:val="0"/>
      <w:marTop w:val="0"/>
      <w:marBottom w:val="0"/>
      <w:divBdr>
        <w:top w:val="none" w:sz="0" w:space="0" w:color="auto"/>
        <w:left w:val="none" w:sz="0" w:space="0" w:color="auto"/>
        <w:bottom w:val="none" w:sz="0" w:space="0" w:color="auto"/>
        <w:right w:val="none" w:sz="0" w:space="0" w:color="auto"/>
      </w:divBdr>
    </w:div>
    <w:div w:id="1746537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16</Pages>
  <Words>3338</Words>
  <Characters>19030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Nicole Najam</cp:lastModifiedBy>
  <cp:revision>24</cp:revision>
  <dcterms:created xsi:type="dcterms:W3CDTF">2020-11-09T08:29:00Z</dcterms:created>
  <dcterms:modified xsi:type="dcterms:W3CDTF">2023-08-22T03:32:00Z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cddd3bfc4dbc08c22325f9e75ee931c69677413cddbb1f34c38dd282c2a9b422</vt:lpwstr>
  </property>
</Properties>
</file>