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D737" w14:textId="77777777" w:rsidR="00623E37" w:rsidRPr="00F245ED" w:rsidRDefault="00623E37" w:rsidP="00AD5E38">
      <w:pPr>
        <w:pStyle w:val="Heading2"/>
        <w:ind w:right="0"/>
        <w:jc w:val="center"/>
      </w:pPr>
      <w:commentRangeStart w:id="0"/>
      <w:commentRangeStart w:id="1"/>
      <w:r w:rsidRPr="00F245ED">
        <w:t>Introduction</w:t>
      </w:r>
      <w:commentRangeEnd w:id="0"/>
      <w:r w:rsidRPr="00F245ED">
        <w:rPr>
          <w:rStyle w:val="CommentReference"/>
          <w:b w:val="0"/>
          <w:bCs w:val="0"/>
          <w:sz w:val="24"/>
          <w:szCs w:val="24"/>
        </w:rPr>
        <w:commentReference w:id="0"/>
      </w:r>
      <w:commentRangeEnd w:id="1"/>
      <w:r w:rsidRPr="00F245ED">
        <w:rPr>
          <w:rStyle w:val="CommentReference"/>
          <w:b w:val="0"/>
          <w:bCs w:val="0"/>
          <w:sz w:val="24"/>
          <w:szCs w:val="24"/>
        </w:rPr>
        <w:commentReference w:id="1"/>
      </w:r>
    </w:p>
    <w:p w14:paraId="2D124E52" w14:textId="52DD6276" w:rsidR="00623E37" w:rsidRPr="00070DF8" w:rsidRDefault="00623E37" w:rsidP="003257BE">
      <w:pPr>
        <w:pStyle w:val="BlockText"/>
        <w:tabs>
          <w:tab w:val="left" w:pos="8910"/>
        </w:tabs>
        <w:ind w:left="0" w:right="0" w:firstLine="720"/>
        <w:rPr>
          <w:sz w:val="22"/>
          <w:szCs w:val="22"/>
        </w:rPr>
      </w:pPr>
      <w:commentRangeStart w:id="2"/>
      <w:r w:rsidRPr="00070DF8">
        <w:rPr>
          <w:sz w:val="22"/>
          <w:szCs w:val="22"/>
        </w:rPr>
        <w:t>The</w:t>
      </w:r>
      <w:commentRangeEnd w:id="2"/>
      <w:r w:rsidRPr="00070DF8">
        <w:rPr>
          <w:rStyle w:val="CommentReference"/>
          <w:sz w:val="22"/>
          <w:szCs w:val="22"/>
        </w:rPr>
        <w:commentReference w:id="2"/>
      </w:r>
      <w:r w:rsidRPr="00070DF8">
        <w:rPr>
          <w:sz w:val="22"/>
          <w:szCs w:val="22"/>
        </w:rPr>
        <w:t xml:space="preserve"> South Florida region has long been a vibrant hub of economic and cultural activity. However, this prosperity has come at a cost. The escalating usage of vehicles has resulted in a substantial increase in air pollution and a decrease in public health, especially for individuals who reside near major roadways </w:t>
      </w:r>
      <w:commentRangeStart w:id="3"/>
      <w:r w:rsidRPr="00633708">
        <w:rPr>
          <w:sz w:val="22"/>
          <w:szCs w:val="22"/>
        </w:rPr>
        <w:fldChar w:fldCharType="begin"/>
      </w:r>
      <w:r w:rsidR="00633708" w:rsidRPr="00633708">
        <w:rPr>
          <w:sz w:val="22"/>
          <w:szCs w:val="22"/>
        </w:rPr>
        <w:instrText xml:space="preserve"> ADDIN ZOTERO_ITEM CSL_CITATION {"citationID":"vV8I4yCT","properties":{"formattedCitation":"(Zhang &amp; Batterman, 2013)","plainCitation":"(Zhang &amp; Batterman, 2013)","noteIndex":0},"citationItems":[{"id":131,"uris":["http://zotero.org/users/local/lgQ0pm0d/items/ZYY9HUMB","http://zotero.org/users/13598080/items/ZYY9HUMB"],"itemData":{"id":131,"type":"article-journal","abstract":"Traffic congestion increases vehicle emissions and degrades ambient air quality, and recent studies have shown excess morbidity and mortality for drivers, commuters and individuals living near major roadways. Presently, our understanding of the air pollution impacts from congestion on roads is very limited. This study demonstrates an approach to characterize risks of traffic for on- and near-road populations. Simulation modeling was used to estimate on- and near-road NO2 concentrations and health risks for freeway and arterial scenarios attributable to traffic for different traffic volumes during rush hour periods. The modeling used emission factors from two different models (Comprehensive Modal Emissions Model and Motor Vehicle Emissions Factor Model version 6.2), an empirical traffic speed–volume relationship, the California Line Source Dispersion Model, an empirical NO2–NOx relationship, estimated travel time changes during congestion, and concentration–response relationships from the literature, which give emergency doctor visits, hospital admissions and mortality attributed to NO2 exposure. An incremental analysis, which expresses the change in health risks for small increases in traffic volume, showed non-linear effects. For a freeway, “U” shaped trends of incremental risks were predicted for on-road populations, and incremental risks are flat at low traffic volumes for near-road populations. For an arterial road, incremental risks increased sharply for both on- and near-road populations as traffic increased. These patterns result from changes in emission factors, the NO2–NOx relationship, the travel delay for the on-road population, and the extended duration of rush hour for the near-road population. This study suggests that health risks from congestion are potentially significant, and that additional traffic can significantly increase risks, depending on the type of road and other factors. Further, evaluations of risk associated with congestion must consider travel time, the duration of rush-hour, congestion-specific emission estimates, and uncertainties.","container-title":"The Science of the total environment","DOI":"10.1016/j.scitotenv.2013.01.074","ISSN":"0048-9697","journalAbbreviation":"Sci Total Environ","note":"PMID: 23500830\nPMCID: PMC4243514","page":"307-316","source":"PubMed Central","title":"Air pollution and health risks due to vehicle traffic","volume":"0","author":[{"family":"Zhang","given":"Kai"},{"family":"Batterman","given":"Stuart"}],"issued":{"date-parts":[["2013",4,15]]}}}],"schema":"https://github.com/citation-style-language/schema/raw/master/csl-citation.json"} </w:instrText>
      </w:r>
      <w:r w:rsidRPr="00633708">
        <w:rPr>
          <w:sz w:val="22"/>
          <w:szCs w:val="22"/>
        </w:rPr>
        <w:fldChar w:fldCharType="separate"/>
      </w:r>
      <w:r w:rsidR="00633708" w:rsidRPr="00633708">
        <w:rPr>
          <w:sz w:val="22"/>
        </w:rPr>
        <w:t>(Zhang &amp; Batterman, 2013)</w:t>
      </w:r>
      <w:r w:rsidRPr="00633708">
        <w:rPr>
          <w:sz w:val="22"/>
          <w:szCs w:val="22"/>
        </w:rPr>
        <w:fldChar w:fldCharType="end"/>
      </w:r>
      <w:r w:rsidRPr="00633708">
        <w:rPr>
          <w:sz w:val="22"/>
          <w:szCs w:val="22"/>
        </w:rPr>
        <w:t xml:space="preserve">. </w:t>
      </w:r>
      <w:commentRangeEnd w:id="3"/>
      <w:r w:rsidRPr="00633708">
        <w:rPr>
          <w:rStyle w:val="CommentReference"/>
          <w:sz w:val="22"/>
          <w:szCs w:val="22"/>
        </w:rPr>
        <w:commentReference w:id="3"/>
      </w:r>
      <w:r w:rsidRPr="00633708">
        <w:rPr>
          <w:sz w:val="22"/>
          <w:szCs w:val="22"/>
        </w:rPr>
        <w:t>Traffic</w:t>
      </w:r>
      <w:r w:rsidRPr="00070DF8">
        <w:rPr>
          <w:sz w:val="22"/>
          <w:szCs w:val="22"/>
        </w:rPr>
        <w:t xml:space="preserve"> congestion in the region negatively impacts air quality, affecting both the local environment and neighboring areas. The Tampa Bay Estuary Program, for example, attributed 17% of all nitrogen pollution to vehicle emissions </w:t>
      </w:r>
      <w:r w:rsidRPr="00070DF8">
        <w:rPr>
          <w:sz w:val="22"/>
          <w:szCs w:val="22"/>
        </w:rPr>
        <w:fldChar w:fldCharType="begin"/>
      </w:r>
      <w:r w:rsidR="004B212B" w:rsidRPr="00070DF8">
        <w:rPr>
          <w:sz w:val="22"/>
          <w:szCs w:val="22"/>
        </w:rPr>
        <w:instrText xml:space="preserve"> ADDIN ZOTERO_ITEM CSL_CITATION {"citationID":"xZkaMhTK","properties":{"formattedCitation":"(Lewis, 2019)","plainCitation":"(Lewis, 2019)","noteIndex":0},"citationItems":[{"id":134,"uris":["http://zotero.org/users/local/lgQ0pm0d/items/IHKMXTQM","http://zotero.org/users/13598080/items/IHKMXTQM"],"itemData":{"id":134,"type":"webpage","abstract":"Transportation is the largest source of CO2, and the majority of that pollution comes from auto and truck emissions. Florida is a major offender","container-title":"Electrek","language":"en-US","title":"Florida's auto emissions have skyrocketed since 1990","URL":"https://electrek.co/2019/10/15/florida-auto-emissions-skyrocket-since-1990/","author":[{"family":"Lewis","given":"Michelle"}],"accessed":{"date-parts":[["2023",12,23]]},"issued":{"date-parts":[["2019",10,15]]}}}],"schema":"https://github.com/citation-style-language/schema/raw/master/csl-citation.json"} </w:instrText>
      </w:r>
      <w:r w:rsidRPr="00070DF8">
        <w:rPr>
          <w:sz w:val="22"/>
          <w:szCs w:val="22"/>
        </w:rPr>
        <w:fldChar w:fldCharType="separate"/>
      </w:r>
      <w:r w:rsidRPr="00070DF8">
        <w:rPr>
          <w:sz w:val="22"/>
          <w:szCs w:val="22"/>
        </w:rPr>
        <w:t>(Lewis, 2019)</w:t>
      </w:r>
      <w:r w:rsidRPr="00070DF8">
        <w:rPr>
          <w:sz w:val="22"/>
          <w:szCs w:val="22"/>
        </w:rPr>
        <w:fldChar w:fldCharType="end"/>
      </w:r>
      <w:r w:rsidRPr="00070DF8">
        <w:rPr>
          <w:sz w:val="22"/>
          <w:szCs w:val="22"/>
        </w:rPr>
        <w:t xml:space="preserve">. As the consequences of air pollution become increasingly inevitable, innovative solutions are necessary to create a more sustainable path for the region. Addressing these emissions sources has become a top priority for policymakers, researchers, and local communities. </w:t>
      </w:r>
    </w:p>
    <w:p w14:paraId="295E7E35" w14:textId="1DE85A89" w:rsidR="00B97699" w:rsidRPr="00070DF8" w:rsidRDefault="00B97699" w:rsidP="00BF6766">
      <w:pPr>
        <w:pStyle w:val="BlockText"/>
        <w:ind w:left="0" w:right="0" w:firstLine="720"/>
        <w:rPr>
          <w:sz w:val="22"/>
          <w:szCs w:val="22"/>
        </w:rPr>
      </w:pPr>
      <w:r w:rsidRPr="00070DF8">
        <w:rPr>
          <w:sz w:val="22"/>
          <w:szCs w:val="22"/>
        </w:rPr>
        <w:t xml:space="preserve">Vehicle emissions contribute significantly to environmental degradation, releasing pollutants that cause eye irritation, coughing, vomiting, and unpleasant odors </w:t>
      </w:r>
      <w:r w:rsidR="004034F7" w:rsidRPr="00070DF8">
        <w:rPr>
          <w:sz w:val="22"/>
          <w:szCs w:val="22"/>
        </w:rPr>
        <w:fldChar w:fldCharType="begin"/>
      </w:r>
      <w:r w:rsidR="004034F7" w:rsidRPr="00070DF8">
        <w:rPr>
          <w:sz w:val="22"/>
          <w:szCs w:val="22"/>
        </w:rPr>
        <w:instrText xml:space="preserve"> ADDIN ZOTERO_ITEM CSL_CITATION {"citationID":"15xi3ZYh","properties":{"formattedCitation":"(Ogur &amp; Kariuki, 2014)","plainCitation":"(Ogur &amp; Kariuki, 2014)","noteIndex":0},"citationItems":[{"id":126,"uris":["http://zotero.org/users/13598080/items/G4X25DTN"],"itemData":{"id":126,"type":"article-journal","abstract":"This study was carried out to establish the levels of pollution caused by motor vehicles on our roads. The number of imported used vehicles in Kenya is increasing every day which contributes to increasing levels of pollutants in the environment. This study investigated the pollutants emitted by the road vehicles (i.e. CO, HC, NOx), their formation, and suggested measures to reduce their levels and the negative effects on human health and the environment. The Study was able to show that high proportion of old vehicles is the major contributing factor to high vehicle emission levels. The results from the sample population indicate that eye irritations, throw-ups, and odour are the immediate effects of the exhaust gas pollutants on humans. The results also show that a high number seem to be ailing from Asthma, Cancer and other exhaust gas related diseases. About half of the sample population said the Government is doing nothing to curb the exhaust pollutants from our road vehicles. The results from the sample vehicle population tested, after exhaust gas composition analysis was done, both with diesel and petrol engines, show that, only about half of the number tested were within the recommended World Health Organization standards. To control this, an awareness campaign should be started by the Government to set up strict emission control standards to govern the same.","container-title":"International Journal of Applied Engineering Research","journalAbbreviation":"International Journal of Applied Engineering Research","page":"11121-11128","source":"ResearchGate","title":"Effect of Car Emissions on Human Health and the Environment","volume":"9","author":[{"family":"Ogur","given":"Eric"},{"family":"Kariuki","given":"Sam"}],"issued":{"date-parts":[["2014",1,1]]}}}],"schema":"https://github.com/citation-style-language/schema/raw/master/csl-citation.json"} </w:instrText>
      </w:r>
      <w:r w:rsidR="004034F7" w:rsidRPr="00070DF8">
        <w:rPr>
          <w:sz w:val="22"/>
          <w:szCs w:val="22"/>
        </w:rPr>
        <w:fldChar w:fldCharType="separate"/>
      </w:r>
      <w:r w:rsidR="004034F7" w:rsidRPr="00070DF8">
        <w:rPr>
          <w:sz w:val="22"/>
          <w:szCs w:val="22"/>
        </w:rPr>
        <w:t>(Ogur &amp; Kariuki, 2014)</w:t>
      </w:r>
      <w:r w:rsidR="004034F7" w:rsidRPr="00070DF8">
        <w:rPr>
          <w:sz w:val="22"/>
          <w:szCs w:val="22"/>
        </w:rPr>
        <w:fldChar w:fldCharType="end"/>
      </w:r>
      <w:r w:rsidRPr="00070DF8">
        <w:rPr>
          <w:sz w:val="22"/>
          <w:szCs w:val="22"/>
        </w:rPr>
        <w:t>. Long-term exposure increases the risk of chronic illnesses, including cardiovascular and pulmonary diseases due to sulfur dioxide</w:t>
      </w:r>
      <w:r w:rsidR="006458A1">
        <w:rPr>
          <w:sz w:val="22"/>
          <w:szCs w:val="22"/>
        </w:rPr>
        <w:t xml:space="preserve"> (SO</w:t>
      </w:r>
      <w:r w:rsidR="006458A1">
        <w:rPr>
          <w:sz w:val="22"/>
          <w:szCs w:val="22"/>
          <w:vertAlign w:val="subscript"/>
        </w:rPr>
        <w:t>2</w:t>
      </w:r>
      <w:r w:rsidR="006458A1">
        <w:rPr>
          <w:sz w:val="22"/>
          <w:szCs w:val="22"/>
        </w:rPr>
        <w:t>)</w:t>
      </w:r>
      <w:r w:rsidR="00105526" w:rsidRPr="00070DF8">
        <w:rPr>
          <w:sz w:val="22"/>
          <w:szCs w:val="22"/>
        </w:rPr>
        <w:t xml:space="preserve"> </w:t>
      </w:r>
      <w:r w:rsidR="00105526" w:rsidRPr="00070DF8">
        <w:rPr>
          <w:sz w:val="22"/>
          <w:szCs w:val="22"/>
        </w:rPr>
        <w:fldChar w:fldCharType="begin"/>
      </w:r>
      <w:r w:rsidR="00105526" w:rsidRPr="00070DF8">
        <w:rPr>
          <w:sz w:val="22"/>
          <w:szCs w:val="22"/>
        </w:rPr>
        <w:instrText xml:space="preserve"> ADDIN ZOTERO_ITEM CSL_CITATION {"citationID":"vmINipfT","properties":{"formattedCitation":"(Adeyanju, 2018)","plainCitation":"(Adeyanju, 2018)","noteIndex":0},"citationItems":[{"id":130,"uris":["http://zotero.org/users/13598080/items/WDMMWK3Y"],"itemData":{"id":130,"type":"article-journal","container-title":"Journal of Clean Energy Technologies","DOI":"10.18178/JOCET.2018.6.6.499","ISSN":"1793821X","journalAbbreviation":"JOCET","language":"en","page":"411-420","source":"DOI.org (Crossref)","title":"Effects of Vehicular Emissions on Human Health","author":[{"family":"Adeyanju","given":"Anthony A."}],"issued":{"date-parts":[["2018",11]]}}}],"schema":"https://github.com/citation-style-language/schema/raw/master/csl-citation.json"} </w:instrText>
      </w:r>
      <w:r w:rsidR="00105526" w:rsidRPr="00070DF8">
        <w:rPr>
          <w:sz w:val="22"/>
          <w:szCs w:val="22"/>
        </w:rPr>
        <w:fldChar w:fldCharType="separate"/>
      </w:r>
      <w:r w:rsidR="00105526" w:rsidRPr="00070DF8">
        <w:rPr>
          <w:sz w:val="22"/>
          <w:szCs w:val="22"/>
        </w:rPr>
        <w:t>(Adeyanju, 2018)</w:t>
      </w:r>
      <w:r w:rsidR="00105526" w:rsidRPr="00070DF8">
        <w:rPr>
          <w:sz w:val="22"/>
          <w:szCs w:val="22"/>
        </w:rPr>
        <w:fldChar w:fldCharType="end"/>
      </w:r>
      <w:r w:rsidRPr="00070DF8">
        <w:rPr>
          <w:sz w:val="22"/>
          <w:szCs w:val="22"/>
        </w:rPr>
        <w:t xml:space="preserve">. </w:t>
      </w:r>
      <w:r w:rsidR="00B10FE4" w:rsidRPr="00070DF8">
        <w:rPr>
          <w:sz w:val="22"/>
          <w:szCs w:val="22"/>
        </w:rPr>
        <w:t>Nitrous Oxides (</w:t>
      </w:r>
      <w:r w:rsidRPr="00070DF8">
        <w:rPr>
          <w:sz w:val="22"/>
          <w:szCs w:val="22"/>
        </w:rPr>
        <w:t>NO</w:t>
      </w:r>
      <w:r w:rsidRPr="00AD72E5">
        <w:rPr>
          <w:sz w:val="22"/>
          <w:szCs w:val="22"/>
          <w:vertAlign w:val="subscript"/>
        </w:rPr>
        <w:t>x</w:t>
      </w:r>
      <w:r w:rsidR="00B10FE4" w:rsidRPr="00070DF8">
        <w:rPr>
          <w:sz w:val="22"/>
          <w:szCs w:val="22"/>
        </w:rPr>
        <w:t>)</w:t>
      </w:r>
      <w:r w:rsidRPr="00070DF8">
        <w:rPr>
          <w:sz w:val="22"/>
          <w:szCs w:val="22"/>
        </w:rPr>
        <w:t xml:space="preserve">, when combined with water, forms toxins contributing to ozone formation, which, when inhaled, leads to various adverse health effects, including lower immune system effectiveness and respiratory problems, particularly in children </w:t>
      </w:r>
      <w:r w:rsidR="00105526" w:rsidRPr="00070DF8">
        <w:rPr>
          <w:sz w:val="22"/>
          <w:szCs w:val="22"/>
        </w:rPr>
        <w:fldChar w:fldCharType="begin"/>
      </w:r>
      <w:r w:rsidR="000546E4" w:rsidRPr="00070DF8">
        <w:rPr>
          <w:sz w:val="22"/>
          <w:szCs w:val="22"/>
        </w:rPr>
        <w:instrText xml:space="preserve"> ADDIN ZOTERO_ITEM CSL_CITATION {"citationID":"muRYcTkj","properties":{"formattedCitation":"(US EPA, 2017)","plainCitation":"(US EPA, 2017)","noteIndex":0},"citationItems":[{"id":10,"uris":["http://zotero.org/users/13598080/items/ECLAQ49A"],"itemData":{"id":10,"type":"webpage","abstract":"Charts and maps to view various aggregations of the most recent national emissions inventory.","genre":"Policies and Guidance","language":"en","title":"Air Emissions Sources","URL":"https://19january2017snapshot.epa.gov/air-emissions-inventories/air-emissions-sources","author":[{"family":"US EPA","given":"OAR"}],"accessed":{"date-parts":[["2023",7,30]]},"issued":{"date-parts":[["2017"]]}}}],"schema":"https://github.com/citation-style-language/schema/raw/master/csl-citation.json"} </w:instrText>
      </w:r>
      <w:r w:rsidR="00105526" w:rsidRPr="00070DF8">
        <w:rPr>
          <w:sz w:val="22"/>
          <w:szCs w:val="22"/>
        </w:rPr>
        <w:fldChar w:fldCharType="separate"/>
      </w:r>
      <w:r w:rsidR="000546E4" w:rsidRPr="00070DF8">
        <w:rPr>
          <w:sz w:val="22"/>
          <w:szCs w:val="22"/>
        </w:rPr>
        <w:t>(US EPA, 2017)</w:t>
      </w:r>
      <w:r w:rsidR="00105526" w:rsidRPr="00070DF8">
        <w:rPr>
          <w:sz w:val="22"/>
          <w:szCs w:val="22"/>
        </w:rPr>
        <w:fldChar w:fldCharType="end"/>
      </w:r>
      <w:r w:rsidRPr="00070DF8">
        <w:rPr>
          <w:sz w:val="22"/>
          <w:szCs w:val="22"/>
        </w:rPr>
        <w:t>. Long-term exposure to ozone can cause uncontrollable asthma in adults</w:t>
      </w:r>
      <w:r w:rsidR="004039F4" w:rsidRPr="00070DF8">
        <w:rPr>
          <w:sz w:val="22"/>
          <w:szCs w:val="22"/>
        </w:rPr>
        <w:fldChar w:fldCharType="begin"/>
      </w:r>
      <w:r w:rsidR="004039F4" w:rsidRPr="00070DF8">
        <w:rPr>
          <w:sz w:val="22"/>
          <w:szCs w:val="22"/>
        </w:rPr>
        <w:instrText xml:space="preserve"> ADDIN ZOTERO_ITEM CSL_CITATION {"citationID":"VstyolCL","properties":{"formattedCitation":"(Jacquemin et al., 2012)","plainCitation":"(Jacquemin et al., 2012)","noteIndex":0},"citationItems":[{"id":135,"uris":["http://zotero.org/users/13598080/items/HF8FV9PT"],"itemData":{"id":135,"type":"article-journal","abstract":"BACKGROUND: The associations between exposure to air pollution and asthma control are not well known. The objective of this study was to assess the association between long-term exposure to NO(2), O(3) and PM(10) and asthma control in the follow-up of the Epidemiological study on the Genetics and Environment of Asthma (EGEA2) (2003-2007).\nMETHODS: Modelled outdoor NO(2), O(3) and PM(10) estimates were linked to each residential address using the 4 km grid air pollutant surface developed by the French Institute of Environment in 2004. Asthma control was assessed in 481 subjects with current asthma using a multidimensional approach following the 2006-2009 Global Initiative for Asthma guidelines. Multinomial and ordinal logistic regressions were conducted adjusted for sex, age, body mass index, education, smoking and use of inhaled corticosteroids. The association between air pollution and the three domains of asthma control (symptoms, exacerbations and lung function) was assessed. ORs are reported per IQR.\nRESULTS: Median concentrations (in micrograms per cubic metre) were 32 (IQR 25-38) for NO(2) (n=465), 46 (41-52) for O(3) and 21 (18-21) for PM(10) (n=481). In total, 44%, 29% and 27% had controlled, partly controlled and uncontrolled asthma, respectively. The ordinal ORs for O(3) and PM(10) with asthma control were 1.69 (95% CI 1.22 to 2.34) and 1.35 (95% CI 1.13 to 1.64), respectively. When including both pollutants in the same model, both associations persisted. Associations were not modified by sex, smoking status, use of inhaled corticosteroids, atopy, season of examination or body mass index. Both pollutants were associated with each of the three main domains of control.\nCONCLUSIONS: The results suggest that long-term exposure to PM(10) and O(3) is associated with uncontrolled asthma in adults, defined by symptoms, exacerbations and lung function.","container-title":"Journal of Epidemiology and Community Health","DOI":"10.1136/jech.2010.130229","ISSN":"1470-2738","issue":"9","journalAbbreviation":"J Epidemiol Community Health","language":"eng","note":"PMID: 21690606\nPMCID: PMC3943770","page":"796-802","source":"PubMed","title":"Air pollution and asthma control in the Epidemiological study on the Genetics and Environment of Asthma","volume":"66","author":[{"family":"Jacquemin","given":"Bénédicte"},{"family":"Kauffmann","given":"Francine"},{"family":"Pin","given":"Isabelle"},{"family":"Le Moual","given":"Nicole"},{"family":"Bousquet","given":"Jean"},{"family":"Gormand","given":"Frédéric"},{"family":"Just","given":"Jocelyne"},{"family":"Nadif","given":"Rachel"},{"family":"Pison","given":"Christophe"},{"family":"Vervloet","given":"Daniel"},{"family":"Künzli","given":"Nino"},{"family":"Siroux","given":"Valérie"},{"literal":"Epidemiological study on the Genetics and Environment of Asthma (EGEA)"}],"issued":{"date-parts":[["2012",9]]}}}],"schema":"https://github.com/citation-style-language/schema/raw/master/csl-citation.json"} </w:instrText>
      </w:r>
      <w:r w:rsidR="004039F4" w:rsidRPr="00070DF8">
        <w:rPr>
          <w:sz w:val="22"/>
          <w:szCs w:val="22"/>
        </w:rPr>
        <w:fldChar w:fldCharType="separate"/>
      </w:r>
      <w:r w:rsidR="004039F4" w:rsidRPr="00070DF8">
        <w:rPr>
          <w:sz w:val="22"/>
          <w:szCs w:val="22"/>
        </w:rPr>
        <w:t>(Jacquemin et al., 2012)</w:t>
      </w:r>
      <w:r w:rsidR="004039F4" w:rsidRPr="00070DF8">
        <w:rPr>
          <w:sz w:val="22"/>
          <w:szCs w:val="22"/>
        </w:rPr>
        <w:fldChar w:fldCharType="end"/>
      </w:r>
      <w:r w:rsidRPr="00070DF8">
        <w:rPr>
          <w:sz w:val="22"/>
          <w:szCs w:val="22"/>
        </w:rPr>
        <w:t>.</w:t>
      </w:r>
      <w:r w:rsidR="006458A1">
        <w:rPr>
          <w:sz w:val="22"/>
          <w:szCs w:val="22"/>
        </w:rPr>
        <w:t xml:space="preserve"> Particulate matter under 2.5 microns in diameter</w:t>
      </w:r>
      <w:r w:rsidRPr="00070DF8">
        <w:rPr>
          <w:sz w:val="22"/>
          <w:szCs w:val="22"/>
        </w:rPr>
        <w:t xml:space="preserve"> </w:t>
      </w:r>
      <w:r w:rsidR="006458A1">
        <w:rPr>
          <w:sz w:val="22"/>
          <w:szCs w:val="22"/>
        </w:rPr>
        <w:t>(</w:t>
      </w:r>
      <w:r w:rsidRPr="00070DF8">
        <w:rPr>
          <w:sz w:val="22"/>
          <w:szCs w:val="22"/>
        </w:rPr>
        <w:t>PM</w:t>
      </w:r>
      <w:r w:rsidRPr="00AD72E5">
        <w:rPr>
          <w:sz w:val="22"/>
          <w:szCs w:val="22"/>
          <w:vertAlign w:val="subscript"/>
        </w:rPr>
        <w:t>2.5</w:t>
      </w:r>
      <w:r w:rsidR="006458A1">
        <w:rPr>
          <w:sz w:val="22"/>
          <w:szCs w:val="22"/>
        </w:rPr>
        <w:t>)</w:t>
      </w:r>
      <w:r w:rsidRPr="00070DF8">
        <w:rPr>
          <w:sz w:val="22"/>
          <w:szCs w:val="22"/>
        </w:rPr>
        <w:t>, emitted from automobiles, can penetrate deep into the lungs, leading to chronic illnesses, including an 8% increase in breast cancer incidence in areas with high PM</w:t>
      </w:r>
      <w:r w:rsidRPr="00AD72E5">
        <w:rPr>
          <w:sz w:val="22"/>
          <w:szCs w:val="22"/>
          <w:vertAlign w:val="subscript"/>
        </w:rPr>
        <w:t>2.5</w:t>
      </w:r>
      <w:r w:rsidRPr="00070DF8">
        <w:rPr>
          <w:sz w:val="22"/>
          <w:szCs w:val="22"/>
        </w:rPr>
        <w:t xml:space="preserve"> exposure </w:t>
      </w:r>
      <w:r w:rsidR="004039F4" w:rsidRPr="00070DF8">
        <w:rPr>
          <w:sz w:val="22"/>
          <w:szCs w:val="22"/>
        </w:rPr>
        <w:fldChar w:fldCharType="begin"/>
      </w:r>
      <w:r w:rsidR="00635220" w:rsidRPr="00070DF8">
        <w:rPr>
          <w:sz w:val="22"/>
          <w:szCs w:val="22"/>
        </w:rPr>
        <w:instrText xml:space="preserve"> ADDIN ZOTERO_ITEM CSL_CITATION {"citationID":"wTaVswR3","properties":{"formattedCitation":"(National Cancer Institute, 2023)","plainCitation":"(National Cancer Institute, 2023)","noteIndex":0},"citationItems":[{"id":140,"uris":["http://zotero.org/users/13598080/items/794KGFG8"],"itemData":{"id":140,"type":"webpage","abstract":"Researchers at the National Institutes of Health found that living in an area with high levels of particulate air pollution was associated with an increased incidence of breast cancer. The study, published in the Journal of the National Cancer Institute, is one of the largest studies to date looking at the relationship between outdoor air pollution, specifically fine particulate matter, and breast cancer incidence. The research was done by scientists at the National Institute of Environmental Health Sciences and the National Cancer Institute.","genre":"cgvBlogPost","language":"en","note":"archive_location: nciglobal,ncienterprise","title":"High Levels of Particulate Air Pollution Associated with Increased Breast Cancer Incidence - NCI","URL":"https://dceg.cancer.gov/news-events/news/2023/particulate-air-pollution-breast-cancer-risk","author":[{"family":"National Cancer Institute","given":""}],"accessed":{"date-parts":[["2023",12,23]]},"issued":{"date-parts":[["2023",9,13]]}}}],"schema":"https://github.com/citation-style-language/schema/raw/master/csl-citation.json"} </w:instrText>
      </w:r>
      <w:r w:rsidR="004039F4" w:rsidRPr="00070DF8">
        <w:rPr>
          <w:sz w:val="22"/>
          <w:szCs w:val="22"/>
        </w:rPr>
        <w:fldChar w:fldCharType="separate"/>
      </w:r>
      <w:r w:rsidR="00635220" w:rsidRPr="00070DF8">
        <w:rPr>
          <w:sz w:val="22"/>
          <w:szCs w:val="22"/>
        </w:rPr>
        <w:t>(National Cancer Institute, 2023)</w:t>
      </w:r>
      <w:r w:rsidR="004039F4" w:rsidRPr="00070DF8">
        <w:rPr>
          <w:sz w:val="22"/>
          <w:szCs w:val="22"/>
        </w:rPr>
        <w:fldChar w:fldCharType="end"/>
      </w:r>
      <w:r w:rsidRPr="00070DF8">
        <w:rPr>
          <w:sz w:val="22"/>
          <w:szCs w:val="22"/>
        </w:rPr>
        <w:t>.</w:t>
      </w:r>
    </w:p>
    <w:p w14:paraId="4DFE9B19" w14:textId="20D16A3C" w:rsidR="00D9325C" w:rsidRPr="00070DF8" w:rsidRDefault="00D9325C" w:rsidP="00BF6766">
      <w:pPr>
        <w:pStyle w:val="BlockText"/>
        <w:ind w:left="0" w:right="0" w:firstLine="720"/>
        <w:rPr>
          <w:sz w:val="22"/>
          <w:szCs w:val="22"/>
        </w:rPr>
      </w:pPr>
      <w:r w:rsidRPr="00070DF8">
        <w:rPr>
          <w:sz w:val="22"/>
          <w:szCs w:val="22"/>
        </w:rPr>
        <w:t xml:space="preserve">In recent years, electric vehicles (EVs) have emerged as a solution to transportation emissions. Unlike internal combustion engine vehicles (ICEVs), which use gasoline or diesel, EVs run on electricity, offering lower emission factors per mile traveled (VMT) </w:t>
      </w:r>
      <w:r w:rsidR="0063368B" w:rsidRPr="00070DF8">
        <w:rPr>
          <w:sz w:val="22"/>
          <w:szCs w:val="22"/>
        </w:rPr>
        <w:fldChar w:fldCharType="begin"/>
      </w:r>
      <w:r w:rsidR="0063368B" w:rsidRPr="00070DF8">
        <w:rPr>
          <w:sz w:val="22"/>
          <w:szCs w:val="22"/>
        </w:rPr>
        <w:instrText xml:space="preserve"> ADDIN ZOTERO_ITEM CSL_CITATION {"citationID":"UKPfe69s","properties":{"formattedCitation":"(Choma et al., 2020)","plainCitation":"(Choma et al., 2020)","noteIndex":0},"citationItems":[{"id":145,"uris":["http://zotero.org/users/13598080/items/TKUZ4XZA"],"itemData":{"id":145,"type":"article-journal","abstract":"The environmental consequences of electric vehicles (EV) have been extensively studied, but the literature on their health impacts is scant. At the same time, fine particulate matter (PM2.5), for which transportation is a major source, remains an important public health issue in the United States. Motivated by recent developments in epidemiology and reduced-form air pollution modeling, as well as reductions in power plant emissions, we conduct an updated assessment of health benefits of light-duty vehicle electrification in large metropolitan areas (MSAs) in the United States. We first calculate MSA-specific mortality impacts per mile attributable to fine particles from internal combustion engine vehicle (ICEV) tailpipe emissions of PM2.5, SO2, NOx, NH3, and volatile organic compounds, and power plant emissions of PM2.5, SO2, and NOx. We complement these with changes in greenhouse-gas emissions associated with vehicle electrification. We find that electrification leads to large benefits, even with EVs powered exclusively by fossil fuel plants. VMT-weighted mean benefits in the 53 MSAs are 6.9 ¢/mile ($10,400 per 150,000 miles), 83% of which (5.7 ¢/mile or $8600 per 150,000 miles) comes from reductions in PM2.5-attributable mortality. Variability among the MSAs is large, with benefits ranging from 3.4 ¢/mile ($5100 per 150,000 miles) in Rochester, NY, to 11.5 ¢/mile ($17,200 per 150,000 miles) in New York, NY. This large variability suggests incentives should vary by MSA and presents an opportunity to target areas for EV deployment aimed at maximizing public health benefits. Impacts are smaller when EVs disproportionately replace newer ICEV models but EVs still lead to positive benefits in all MSAs. Vehicle electrification in urban areas is an opportunity to achieve large public health benefits in the United States in the short term.","container-title":"Environment International","DOI":"10.1016/j.envint.2020.106015","ISSN":"0160-4120","journalAbbreviation":"Environment International","page":"106015","source":"ScienceDirect","title":"Assessing the health impacts of electric vehicles through air pollution in the United States","volume":"144","author":[{"family":"Choma","given":"Ernani F."},{"family":"Evans","given":"John S."},{"family":"Hammitt","given":"James K."},{"family":"Gómez-Ibáñez","given":"José A."},{"family":"Spengler","given":"John D."}],"issued":{"date-parts":[["2020",11,1]]}}}],"schema":"https://github.com/citation-style-language/schema/raw/master/csl-citation.json"} </w:instrText>
      </w:r>
      <w:r w:rsidR="0063368B" w:rsidRPr="00070DF8">
        <w:rPr>
          <w:sz w:val="22"/>
          <w:szCs w:val="22"/>
        </w:rPr>
        <w:fldChar w:fldCharType="separate"/>
      </w:r>
      <w:r w:rsidR="0063368B" w:rsidRPr="00070DF8">
        <w:rPr>
          <w:sz w:val="22"/>
          <w:szCs w:val="22"/>
        </w:rPr>
        <w:t>(Choma et al., 2020)</w:t>
      </w:r>
      <w:r w:rsidR="0063368B" w:rsidRPr="00070DF8">
        <w:rPr>
          <w:sz w:val="22"/>
          <w:szCs w:val="22"/>
        </w:rPr>
        <w:fldChar w:fldCharType="end"/>
      </w:r>
      <w:r w:rsidR="0063368B" w:rsidRPr="00070DF8">
        <w:rPr>
          <w:sz w:val="22"/>
          <w:szCs w:val="22"/>
        </w:rPr>
        <w:t xml:space="preserve"> </w:t>
      </w:r>
      <w:r w:rsidRPr="00070DF8">
        <w:rPr>
          <w:sz w:val="22"/>
          <w:szCs w:val="22"/>
        </w:rPr>
        <w:t xml:space="preserve">The United States incentivizes EV adoption through tax credits and other benefits, including enhanced access to public chargers and education </w:t>
      </w:r>
      <w:r w:rsidR="0063368B" w:rsidRPr="00070DF8">
        <w:rPr>
          <w:sz w:val="22"/>
          <w:szCs w:val="22"/>
        </w:rPr>
        <w:fldChar w:fldCharType="begin"/>
      </w:r>
      <w:r w:rsidR="00633708">
        <w:rPr>
          <w:sz w:val="22"/>
          <w:szCs w:val="22"/>
        </w:rPr>
        <w:instrText xml:space="preserve"> ADDIN ZOTERO_ITEM CSL_CITATION {"citationID":"oMXSgYDp","properties":{"formattedCitation":"(House, 2023)","plainCitation":"(House, 2023)","noteIndex":0},"citationItems":[{"id":"LgjD2cAI/3f4MLsnr","uris":["http://zotero.org/users/13598080/items/FJ5IY6K3"],"itemData":{"id":4,"type":"webpage","abstract":"President Biden’s Investing in America Agenda is Unleashing a Manufacturing and Clean Energy Boom and Accelerating the Production of Affordable Electric Vehicles As part of President Biden’s goal of having 50 percent of all new vehicle sales be electric by 2030, the White House is announcing public and private commitments to support America’s historic transition…","container-title":"The White House","language":"en-US","title":"FACT SHEET: Biden-Harris Administration Announces New Private and Public Sector Investments for Affordable Electric Vehicles","title-short":"FACT SHEET","URL":"https://www.whitehouse.gov/briefing-room/statements-releases/2023/04/17/fact-sheet-biden-harris-administration-announces-new-private-and-public-sector-investments-for-affordable-electric-vehicles/","author":[{"family":"House","given":"The White"}],"accessed":{"date-parts":[["2023",7,30]]},"issued":{"date-parts":[["2023",4,17]]}}}],"schema":"https://github.com/citation-style-language/schema/raw/master/csl-citation.json"} </w:instrText>
      </w:r>
      <w:r w:rsidR="0063368B" w:rsidRPr="00070DF8">
        <w:rPr>
          <w:sz w:val="22"/>
          <w:szCs w:val="22"/>
        </w:rPr>
        <w:fldChar w:fldCharType="separate"/>
      </w:r>
      <w:r w:rsidR="0063368B" w:rsidRPr="00070DF8">
        <w:rPr>
          <w:sz w:val="22"/>
          <w:szCs w:val="22"/>
        </w:rPr>
        <w:t>(House, 2023)</w:t>
      </w:r>
      <w:r w:rsidR="0063368B" w:rsidRPr="00070DF8">
        <w:rPr>
          <w:sz w:val="22"/>
          <w:szCs w:val="22"/>
        </w:rPr>
        <w:fldChar w:fldCharType="end"/>
      </w:r>
      <w:r w:rsidRPr="00070DF8">
        <w:rPr>
          <w:sz w:val="22"/>
          <w:szCs w:val="22"/>
        </w:rPr>
        <w:t>. As of June 2022, Florida had 167,900 registered EVs, less than 1% of the state's total vehicle population</w:t>
      </w:r>
      <w:r w:rsidR="0055450F" w:rsidRPr="00070DF8">
        <w:rPr>
          <w:sz w:val="22"/>
          <w:szCs w:val="22"/>
        </w:rPr>
        <w:t xml:space="preserve"> </w:t>
      </w:r>
      <w:r w:rsidR="0055450F" w:rsidRPr="00070DF8">
        <w:rPr>
          <w:sz w:val="22"/>
          <w:szCs w:val="22"/>
        </w:rPr>
        <w:fldChar w:fldCharType="begin"/>
      </w:r>
      <w:r w:rsidR="0048360D" w:rsidRPr="00070DF8">
        <w:rPr>
          <w:sz w:val="22"/>
          <w:szCs w:val="22"/>
        </w:rPr>
        <w:instrText xml:space="preserve"> ADDIN ZOTERO_ITEM CSL_CITATION {"citationID":"BDB1M966","properties":{"formattedCitation":"(U.S. Department of Energy, 2023)","plainCitation":"(U.S. Department of Energy, 2023)","noteIndex":0},"citationItems":[{"id":197,"uris":["http://zotero.org/users/13598080/items/NMDUM88Y"],"itemData":{"id":197,"type":"dataset","title":"Electric Vehicle Registration by State","author":[{"family":"U.S. Department of Energy","given":""}],"issued":{"date-parts":[["2023"]]}}}],"schema":"https://github.com/citation-style-language/schema/raw/master/csl-citation.json"} </w:instrText>
      </w:r>
      <w:r w:rsidR="0055450F" w:rsidRPr="00070DF8">
        <w:rPr>
          <w:sz w:val="22"/>
          <w:szCs w:val="22"/>
        </w:rPr>
        <w:fldChar w:fldCharType="separate"/>
      </w:r>
      <w:r w:rsidR="0048360D" w:rsidRPr="00070DF8">
        <w:rPr>
          <w:sz w:val="22"/>
          <w:szCs w:val="22"/>
        </w:rPr>
        <w:t>(U.S. Department of Energy, 2023)</w:t>
      </w:r>
      <w:r w:rsidR="0055450F" w:rsidRPr="00070DF8">
        <w:rPr>
          <w:sz w:val="22"/>
          <w:szCs w:val="22"/>
        </w:rPr>
        <w:fldChar w:fldCharType="end"/>
      </w:r>
      <w:r w:rsidR="00456714" w:rsidRPr="00070DF8">
        <w:rPr>
          <w:sz w:val="22"/>
          <w:szCs w:val="22"/>
        </w:rPr>
        <w:t>.</w:t>
      </w:r>
    </w:p>
    <w:p w14:paraId="414617E6" w14:textId="6F20A87B" w:rsidR="00623E37" w:rsidRPr="00070DF8" w:rsidRDefault="003841C1" w:rsidP="00BF6766">
      <w:pPr>
        <w:pStyle w:val="BlockText"/>
        <w:ind w:left="0" w:right="0" w:firstLine="720"/>
        <w:rPr>
          <w:sz w:val="22"/>
          <w:szCs w:val="22"/>
        </w:rPr>
      </w:pPr>
      <w:r w:rsidRPr="00070DF8">
        <w:rPr>
          <w:sz w:val="22"/>
          <w:szCs w:val="22"/>
        </w:rPr>
        <w:lastRenderedPageBreak/>
        <w:t>While EVs reduce emissions compared to ICEVs, they don't eliminate them entirely. EVs still emit particulate matter through brake and tire wear. Additionally, electricity generation for EVs can involve emission-producing sources, and increased EV charging will raise emission outputs from electricity generation in Florida.</w:t>
      </w:r>
      <w:r w:rsidR="00623E37" w:rsidRPr="00070DF8">
        <w:rPr>
          <w:sz w:val="22"/>
          <w:szCs w:val="22"/>
        </w:rPr>
        <w:t xml:space="preserve"> Counties may have electricity generating resources within their regions but oftentimes also import electricity across their boundaries. </w:t>
      </w:r>
      <w:commentRangeStart w:id="4"/>
      <w:r w:rsidR="00623E37" w:rsidRPr="00070DF8">
        <w:rPr>
          <w:sz w:val="22"/>
          <w:szCs w:val="22"/>
        </w:rPr>
        <w:t>The electricity generating resources in Florida include nuclear, biomass, photovoltaic, natural gas fired combined cycle (gas-cc), natural gas combustion turbine (gas-</w:t>
      </w:r>
      <w:proofErr w:type="spellStart"/>
      <w:r w:rsidR="00623E37" w:rsidRPr="00070DF8">
        <w:rPr>
          <w:sz w:val="22"/>
          <w:szCs w:val="22"/>
        </w:rPr>
        <w:t>ct</w:t>
      </w:r>
      <w:proofErr w:type="spellEnd"/>
      <w:r w:rsidR="00623E37" w:rsidRPr="00070DF8">
        <w:rPr>
          <w:sz w:val="22"/>
          <w:szCs w:val="22"/>
        </w:rPr>
        <w:t>), coal, and hydroelectric</w:t>
      </w:r>
      <w:commentRangeEnd w:id="4"/>
      <w:r w:rsidR="00623E37" w:rsidRPr="00070DF8">
        <w:rPr>
          <w:rStyle w:val="CommentReference"/>
          <w:sz w:val="22"/>
          <w:szCs w:val="22"/>
        </w:rPr>
        <w:commentReference w:id="4"/>
      </w:r>
      <w:r w:rsidR="006458A1">
        <w:rPr>
          <w:sz w:val="22"/>
          <w:szCs w:val="22"/>
        </w:rPr>
        <w:t xml:space="preserve"> </w:t>
      </w:r>
      <w:commentRangeStart w:id="5"/>
      <w:r w:rsidR="006458A1" w:rsidRPr="00633708">
        <w:rPr>
          <w:sz w:val="22"/>
          <w:szCs w:val="22"/>
        </w:rPr>
        <w:fldChar w:fldCharType="begin"/>
      </w:r>
      <w:r w:rsidR="00633708" w:rsidRPr="00633708">
        <w:rPr>
          <w:sz w:val="22"/>
          <w:szCs w:val="22"/>
        </w:rPr>
        <w:instrText xml:space="preserve"> ADDIN ZOTERO_ITEM CSL_CITATION {"citationID":"4ljuHq8T","properties":{"formattedCitation":"(Gagnon et al., 2023)","plainCitation":"(Gagnon et al., 2023)","noteIndex":0},"citationItems":[{"id":"LgjD2cAI/RmWejxjr","uris":["http://zotero.org/users/13598080/items/2ALXWRKY"],"itemData":{"id":158,"type":"report","language":"en","note":"DOI: 10.2172/1915250","number":"NREL/TP-6A40-84916, 1915250, MainId:85689","page":"NREL/TP-6A40-84916, 1915250, MainId:85689","source":"DOI.org (Crossref)","title":"Cambium 2022 Scenario Descriptions and Documentation","URL":"https://www.osti.gov/servlets/purl/1915250/","author":[{"family":"Gagnon","given":"Pieter"},{"family":"Cowiestoll","given":"Brady"},{"family":"Schwarz","given":"Marty"}],"accessed":{"date-parts":[["2024",1,6]]},"issued":{"date-parts":[["2023",1,1]]}}}],"schema":"https://github.com/citation-style-language/schema/raw/master/csl-citation.json"} </w:instrText>
      </w:r>
      <w:r w:rsidR="006458A1" w:rsidRPr="00633708">
        <w:rPr>
          <w:sz w:val="22"/>
          <w:szCs w:val="22"/>
        </w:rPr>
        <w:fldChar w:fldCharType="separate"/>
      </w:r>
      <w:r w:rsidR="00633708" w:rsidRPr="00633708">
        <w:rPr>
          <w:sz w:val="22"/>
        </w:rPr>
        <w:t>(Gagnon et al., 2023)</w:t>
      </w:r>
      <w:r w:rsidR="006458A1" w:rsidRPr="00633708">
        <w:rPr>
          <w:sz w:val="22"/>
          <w:szCs w:val="22"/>
        </w:rPr>
        <w:fldChar w:fldCharType="end"/>
      </w:r>
      <w:r w:rsidR="00623E37" w:rsidRPr="00633708">
        <w:rPr>
          <w:sz w:val="22"/>
          <w:szCs w:val="22"/>
        </w:rPr>
        <w:t xml:space="preserve">. </w:t>
      </w:r>
      <w:commentRangeEnd w:id="5"/>
      <w:r w:rsidR="006458A1" w:rsidRPr="00633708">
        <w:rPr>
          <w:rStyle w:val="CommentReference"/>
        </w:rPr>
        <w:commentReference w:id="5"/>
      </w:r>
    </w:p>
    <w:p w14:paraId="28ED3EB0" w14:textId="245665BE" w:rsidR="0039718C" w:rsidRPr="00070DF8" w:rsidRDefault="00623E37" w:rsidP="00BF6766">
      <w:pPr>
        <w:pStyle w:val="BlockText"/>
        <w:tabs>
          <w:tab w:val="left" w:pos="1440"/>
        </w:tabs>
        <w:ind w:left="0" w:right="0" w:firstLine="720"/>
        <w:rPr>
          <w:sz w:val="22"/>
          <w:szCs w:val="22"/>
        </w:rPr>
      </w:pPr>
      <w:r w:rsidRPr="00070DF8">
        <w:rPr>
          <w:sz w:val="22"/>
          <w:szCs w:val="22"/>
        </w:rPr>
        <w:t xml:space="preserve">Air pollution-related public health costs include direct medical costs and indirect costs associated with loss of productivity </w:t>
      </w:r>
      <w:r w:rsidR="0063368B" w:rsidRPr="00070DF8">
        <w:rPr>
          <w:sz w:val="22"/>
          <w:szCs w:val="22"/>
        </w:rPr>
        <w:fldChar w:fldCharType="begin"/>
      </w:r>
      <w:r w:rsidR="0063368B" w:rsidRPr="00070DF8">
        <w:rPr>
          <w:sz w:val="22"/>
          <w:szCs w:val="22"/>
        </w:rPr>
        <w:instrText xml:space="preserve"> ADDIN ZOTERO_ITEM CSL_CITATION {"citationID":"97q0tzYp","properties":{"formattedCitation":"(Birnbaum et al., 2020)","plainCitation":"(Birnbaum et al., 2020)","noteIndex":0},"citationItems":[{"id":162,"uris":["http://zotero.org/users/13598080/items/DJ2PTN7G"],"itemData":{"id":162,"type":"article-journal","abstract":"Air pollution contributes to the development of numerous adverse human health outcomes. The Environmental Protection Agency’s Environmental Benefits Mapping and Analysis Program–Community Edition (BenMAP-CE) tool is widely used in estimating the health care costs of air pollution and in the development of federal and state regulations and policy. Its default features consider only the costs of hospital and emergency department admissions. A more complete accounting of the chain of costs would include ambulatory and other care. In this article we use employer health insurance claims data to infer additional costs that accompany hospitalizations but are not included in BenMAP-CE. Including additional categories increases BenMAP-CE health care cost estimates by approximately 40 percent for respiratory and cardiovascular patients. That is, for each dollar of health care costs captured by BenMAP-CE, a more complete accounting would include an additional 40 cents. These results suggest that because such air pollution costs are underestimated, the health care benefits associated with reducing air pollution may be much larger than previously estimated.","container-title":"Health Affairs","DOI":"10.1377/hlthaff.2020.00081","ISSN":"0278-2715","issue":"12","note":"publisher: Health Affairs","page":"2113-2119","source":"healthaffairs.org (Atypon)","title":"Measuring The Impact Of Air Pollution On Health Care Costs","volume":"39","author":[{"family":"Birnbaum","given":"Howard G."},{"family":"Carley","given":"Christopher D."},{"family":"Desai","given":"Urvi"},{"family":"Ou","given":"Susan"},{"family":"Zuckerman","given":"Peter R."}],"issued":{"date-parts":[["2020",12]]}}}],"schema":"https://github.com/citation-style-language/schema/raw/master/csl-citation.json"} </w:instrText>
      </w:r>
      <w:r w:rsidR="0063368B" w:rsidRPr="00070DF8">
        <w:rPr>
          <w:sz w:val="22"/>
          <w:szCs w:val="22"/>
        </w:rPr>
        <w:fldChar w:fldCharType="separate"/>
      </w:r>
      <w:r w:rsidR="0063368B" w:rsidRPr="00070DF8">
        <w:rPr>
          <w:sz w:val="22"/>
          <w:szCs w:val="22"/>
        </w:rPr>
        <w:t>(Birnbaum et al., 2020)</w:t>
      </w:r>
      <w:r w:rsidR="0063368B" w:rsidRPr="00070DF8">
        <w:rPr>
          <w:sz w:val="22"/>
          <w:szCs w:val="22"/>
        </w:rPr>
        <w:fldChar w:fldCharType="end"/>
      </w:r>
      <w:r w:rsidRPr="00070DF8">
        <w:rPr>
          <w:sz w:val="22"/>
          <w:szCs w:val="22"/>
        </w:rPr>
        <w:t xml:space="preserve">. Poor air quality frequently results in higher healthcare costs for hospital stays, therapies, and medication for affected individuals and communities </w:t>
      </w:r>
      <w:r w:rsidRPr="00070DF8">
        <w:rPr>
          <w:sz w:val="22"/>
          <w:szCs w:val="22"/>
        </w:rPr>
        <w:fldChar w:fldCharType="begin"/>
      </w:r>
      <w:r w:rsidR="00633708">
        <w:rPr>
          <w:sz w:val="22"/>
          <w:szCs w:val="22"/>
        </w:rPr>
        <w:instrText xml:space="preserve"> ADDIN ZOTERO_ITEM CSL_CITATION {"citationID":"yt4iOJk9","properties":{"formattedCitation":"(Liu et al., 2021)","plainCitation":"(Liu et al., 2021)","noteIndex":0},"citationItems":[{"id":"LgjD2cAI/kfOUvL2y","uris":["http://zotero.org/users/local/lgQ0pm0d/items/NF5AW7AG","http://zotero.org/users/13598080/items/NF5AW7AG"],"itemData":{"id":142,"type":"article-journal","abstract":"Background: With the development of the social economy, air pollution has resulted in increased social costs. Medical costs and health issues due to air pollution are important aspects of environmental governance in various countries., Methods: This study uses daily air pollution monitoring data from 122 cities in China to empirically investigate the impact of air pollution on residents' medical expenses using the Heckman two-stage and instrumental variable methods, matching data from the 2018 China Health and Retirement Longitudinal Study (CHARLS) survey., Results: The study found that poor air quality, measured by the air quality index (AQI), significantly increased the probability of chronic lung disease, heart disease, and self-rated poor health. Additionally, the AQI (with an effect of 4.51%) significantly impacted health-seeking behavior and medical expenses. The medical expenditure effects of mild, moderate, severe, and serious pollution days were 3.27, 7.21, 8.62, and 42.66%, respectively., Conclusion: In the long run, residents' health in areas with a higher air pollution index, indicating poor air quality, is negatively impacted. The more extreme the pollution, the higher the probability of residents' medical treatment and the subsequent increase in medical expenses. Group and regional heterogeneity also play a role in the impact of air pollution on medical expenses. Compared with the existing literature, this study is based on individuals aged 15 years and above and produces reliable research conclusions.","container-title":"Frontiers in Public Health","DOI":"10.3389/fpubh.2021.743087","ISSN":"2296-2565","journalAbbreviation":"Front Public Health","note":"PMID: 34988046\nPMCID: PMC8720779","page":"743087","source":"PubMed Central","title":"Impact of Air Pollution on Residents' Medical Expenses: A Study Based on the Survey Data of 122 Cities in China","title-short":"Impact of Air Pollution on Residents' Medical Expenses","volume":"9","author":[{"family":"Liu","given":"Huan"},{"family":"Hu","given":"Tiantian"},{"family":"Wang","given":"Meng"}],"issued":{"date-parts":[["2021",12,20]]}}}],"schema":"https://github.com/citation-style-language/schema/raw/master/csl-citation.json"} </w:instrText>
      </w:r>
      <w:r w:rsidRPr="00070DF8">
        <w:rPr>
          <w:sz w:val="22"/>
          <w:szCs w:val="22"/>
        </w:rPr>
        <w:fldChar w:fldCharType="separate"/>
      </w:r>
      <w:r w:rsidRPr="00070DF8">
        <w:rPr>
          <w:sz w:val="22"/>
          <w:szCs w:val="22"/>
        </w:rPr>
        <w:t>(Liu et al., 2021)</w:t>
      </w:r>
      <w:r w:rsidRPr="00070DF8">
        <w:rPr>
          <w:sz w:val="22"/>
          <w:szCs w:val="22"/>
        </w:rPr>
        <w:fldChar w:fldCharType="end"/>
      </w:r>
      <w:r w:rsidRPr="00070DF8">
        <w:rPr>
          <w:sz w:val="22"/>
          <w:szCs w:val="22"/>
        </w:rPr>
        <w:t xml:space="preserve">. </w:t>
      </w:r>
      <w:r w:rsidR="0039718C" w:rsidRPr="00070DF8">
        <w:rPr>
          <w:sz w:val="22"/>
          <w:szCs w:val="22"/>
        </w:rPr>
        <w:t>In this study, public health costs refer to additional expenses incurred within a county due to vehicle-generated pollutant concentrations. These costs extend beyond figures, impacting individuals with respiratory conditions or residing in areas with poor air quality, reducing their quality of life and overall well-being. Pollutant emission altitude affects dispersion and impacts. Ground-level emissions like brake and tire wear (BTW) have immediate, localized effects, while mid-level emissions from sources like EV charging or fuel production can disperse widely in the atmosphere.</w:t>
      </w:r>
    </w:p>
    <w:p w14:paraId="294F9FBC" w14:textId="124E51DA" w:rsidR="00F6221A" w:rsidRPr="00070DF8" w:rsidRDefault="00F6221A" w:rsidP="00BF6766">
      <w:pPr>
        <w:pStyle w:val="Heading2"/>
        <w:ind w:left="0" w:right="0" w:firstLine="720"/>
        <w:rPr>
          <w:b w:val="0"/>
          <w:bCs w:val="0"/>
          <w:sz w:val="22"/>
          <w:szCs w:val="22"/>
        </w:rPr>
      </w:pPr>
      <w:r w:rsidRPr="00070DF8">
        <w:rPr>
          <w:b w:val="0"/>
          <w:bCs w:val="0"/>
          <w:sz w:val="22"/>
          <w:szCs w:val="22"/>
        </w:rPr>
        <w:t>We provide a thorough examination of health implications related to current vehicle emissions in South Florida's Broward, Collier, Miami-Dade, and Monroe counties. By analyzing average emission rates of pollutants from vehicles and energy demand, we offer insights into their public health impact. Additionally, predictive analysis extending to 2050 assesses the impact of EV adoption, forecasting emissions with increasing EV usage using the</w:t>
      </w:r>
      <w:r w:rsidR="008E7FB2" w:rsidRPr="008E7FB2">
        <w:rPr>
          <w:b w:val="0"/>
          <w:bCs w:val="0"/>
          <w:sz w:val="22"/>
          <w:szCs w:val="22"/>
        </w:rPr>
        <w:t xml:space="preserve"> Estimating Air Pollution Social Impact Using Regression </w:t>
      </w:r>
      <w:r w:rsidR="008E7FB2">
        <w:rPr>
          <w:b w:val="0"/>
          <w:bCs w:val="0"/>
          <w:sz w:val="22"/>
          <w:szCs w:val="22"/>
        </w:rPr>
        <w:t>(</w:t>
      </w:r>
      <w:r w:rsidRPr="00070DF8">
        <w:rPr>
          <w:b w:val="0"/>
          <w:bCs w:val="0"/>
          <w:sz w:val="22"/>
          <w:szCs w:val="22"/>
        </w:rPr>
        <w:t>EASIUR</w:t>
      </w:r>
      <w:r w:rsidR="008E7FB2">
        <w:rPr>
          <w:b w:val="0"/>
          <w:bCs w:val="0"/>
          <w:sz w:val="22"/>
          <w:szCs w:val="22"/>
        </w:rPr>
        <w:t>)</w:t>
      </w:r>
      <w:r w:rsidRPr="00070DF8">
        <w:rPr>
          <w:b w:val="0"/>
          <w:bCs w:val="0"/>
          <w:sz w:val="22"/>
          <w:szCs w:val="22"/>
        </w:rPr>
        <w:t xml:space="preserve"> model. Our aim is to underscore the urgent need for sustainable transportation policies, including greater use of renewable resources, to protect the </w:t>
      </w:r>
      <w:r w:rsidRPr="00070DF8">
        <w:rPr>
          <w:b w:val="0"/>
          <w:bCs w:val="0"/>
          <w:sz w:val="22"/>
          <w:szCs w:val="22"/>
        </w:rPr>
        <w:lastRenderedPageBreak/>
        <w:t>region's well-being. This research enhances our understanding of pollutant impacts, informing targeted interventions and policies for a healthier, more sustainable future in South Florida.</w:t>
      </w:r>
    </w:p>
    <w:p w14:paraId="1E8A9D41" w14:textId="04D98F00" w:rsidR="00623E37" w:rsidRPr="002279C4" w:rsidRDefault="00623E37" w:rsidP="00F249CF">
      <w:pPr>
        <w:pStyle w:val="Heading2"/>
        <w:ind w:left="0" w:right="0" w:firstLine="720"/>
        <w:jc w:val="center"/>
      </w:pPr>
      <w:commentRangeStart w:id="6"/>
      <w:commentRangeStart w:id="7"/>
      <w:r w:rsidRPr="002279C4">
        <w:t>Methods</w:t>
      </w:r>
      <w:commentRangeEnd w:id="6"/>
      <w:r w:rsidRPr="002279C4">
        <w:rPr>
          <w:rStyle w:val="CommentReference"/>
          <w:sz w:val="24"/>
          <w:szCs w:val="24"/>
        </w:rPr>
        <w:commentReference w:id="6"/>
      </w:r>
      <w:commentRangeEnd w:id="7"/>
      <w:r w:rsidRPr="002279C4">
        <w:rPr>
          <w:rStyle w:val="CommentReference"/>
          <w:sz w:val="24"/>
          <w:szCs w:val="24"/>
        </w:rPr>
        <w:commentReference w:id="7"/>
      </w:r>
    </w:p>
    <w:p w14:paraId="46BF8DB8" w14:textId="77777777" w:rsidR="00623E37" w:rsidRPr="00070DF8" w:rsidRDefault="00623E37" w:rsidP="00F249CF">
      <w:pPr>
        <w:ind w:left="0" w:right="0" w:firstLine="0"/>
        <w:rPr>
          <w:b/>
          <w:bCs/>
          <w:sz w:val="22"/>
          <w:szCs w:val="22"/>
        </w:rPr>
      </w:pPr>
      <w:r w:rsidRPr="00070DF8">
        <w:rPr>
          <w:b/>
          <w:bCs/>
          <w:sz w:val="22"/>
          <w:szCs w:val="22"/>
        </w:rPr>
        <w:t>Base Emissions</w:t>
      </w:r>
    </w:p>
    <w:p w14:paraId="3DACB425" w14:textId="6A1678DE" w:rsidR="00623E37" w:rsidRPr="00070DF8" w:rsidRDefault="00623E37" w:rsidP="00F249CF">
      <w:pPr>
        <w:ind w:left="0" w:right="0" w:firstLine="720"/>
        <w:rPr>
          <w:sz w:val="22"/>
          <w:szCs w:val="22"/>
        </w:rPr>
      </w:pPr>
      <w:r w:rsidRPr="00070DF8">
        <w:rPr>
          <w:sz w:val="22"/>
          <w:szCs w:val="22"/>
        </w:rPr>
        <w:t>This study investigates the changes in emissions over time resulting from the adoption of EVs and assesses their impact on human health in the South Florida Region. To achieve this, we analyzed county travel patterns, vehicle emissions rates, grid emissions, and utilized the EASIUR model.</w:t>
      </w:r>
    </w:p>
    <w:p w14:paraId="2587C34A" w14:textId="22F24972" w:rsidR="00623E37" w:rsidRPr="00070DF8" w:rsidRDefault="00623E37" w:rsidP="00F249CF">
      <w:pPr>
        <w:ind w:left="0" w:right="0" w:firstLine="720"/>
        <w:rPr>
          <w:sz w:val="22"/>
          <w:szCs w:val="22"/>
        </w:rPr>
      </w:pPr>
      <w:r w:rsidRPr="00070DF8">
        <w:rPr>
          <w:sz w:val="22"/>
          <w:szCs w:val="22"/>
        </w:rPr>
        <w:t xml:space="preserve">The breakdown of total VMT in 2019 for various vehicle types and roadways was sourced from the Florida Department of Transportation (FDOT) </w:t>
      </w:r>
      <w:r w:rsidRPr="00070DF8">
        <w:rPr>
          <w:sz w:val="22"/>
          <w:szCs w:val="22"/>
        </w:rPr>
        <w:fldChar w:fldCharType="begin"/>
      </w:r>
      <w:r w:rsidR="003515A3" w:rsidRPr="00070DF8">
        <w:rPr>
          <w:sz w:val="22"/>
          <w:szCs w:val="22"/>
        </w:rPr>
        <w:instrText xml:space="preserve"> ADDIN ZOTERO_ITEM CSL_CITATION {"citationID":"TE6Spkdj","properties":{"formattedCitation":"(Federal Highway Administration, 2020)","plainCitation":"(Federal Highway Administration, 2020)","noteIndex":0},"citationItems":[{"id":198,"uris":["http://zotero.org/users/13598080/items/K5KP9T48"],"itemData":{"id":198,"type":"dataset","title":"DISTRIBUTION OF ANNUAL VEHICLE DISTANCE TRAVELED - 2019","URL":"https://www.fhwa.dot.gov/policyinformation/statistics/2019/vm4.cfm","author":[{"family":"Federal Highway Administration","given":""}],"issued":{"date-parts":[["2020"]]}}}],"schema":"https://github.com/citation-style-language/schema/raw/master/csl-citation.json"} </w:instrText>
      </w:r>
      <w:r w:rsidRPr="00070DF8">
        <w:rPr>
          <w:sz w:val="22"/>
          <w:szCs w:val="22"/>
        </w:rPr>
        <w:fldChar w:fldCharType="separate"/>
      </w:r>
      <w:r w:rsidR="003515A3" w:rsidRPr="00070DF8">
        <w:rPr>
          <w:sz w:val="22"/>
          <w:szCs w:val="22"/>
        </w:rPr>
        <w:t>(Federal Highway Administration, 2020)</w:t>
      </w:r>
      <w:r w:rsidRPr="00070DF8">
        <w:rPr>
          <w:sz w:val="22"/>
          <w:szCs w:val="22"/>
        </w:rPr>
        <w:fldChar w:fldCharType="end"/>
      </w:r>
      <w:r w:rsidRPr="00070DF8">
        <w:rPr>
          <w:sz w:val="22"/>
          <w:szCs w:val="22"/>
        </w:rPr>
        <w:t xml:space="preserve"> and cross referenced amongst historical county mileage in 2019</w:t>
      </w:r>
      <w:r w:rsidR="00BE3DA0" w:rsidRPr="00070DF8">
        <w:rPr>
          <w:sz w:val="22"/>
          <w:szCs w:val="22"/>
        </w:rPr>
        <w:t xml:space="preserve"> </w:t>
      </w:r>
      <w:r w:rsidR="00BE3DA0" w:rsidRPr="00070DF8">
        <w:rPr>
          <w:sz w:val="22"/>
          <w:szCs w:val="22"/>
        </w:rPr>
        <w:fldChar w:fldCharType="begin"/>
      </w:r>
      <w:r w:rsidR="00BE3DA0" w:rsidRPr="00070DF8">
        <w:rPr>
          <w:sz w:val="22"/>
          <w:szCs w:val="22"/>
        </w:rPr>
        <w:instrText xml:space="preserve"> ADDIN ZOTERO_ITEM CSL_CITATION {"citationID":"jeGZqfxi","properties":{"formattedCitation":"(Florida Department of Transportation, 2019)","plainCitation":"(Florida Department of Transportation, 2019)","noteIndex":0},"citationItems":[{"id":196,"uris":["http://zotero.org/users/13598080/items/9KSFI3VV"],"itemData":{"id":196,"type":"article-journal","title":"Public Road Mileage and Miles Traveled","URL":"https://ftp.fdot.gov/public/folder/RedkVJJQbE_ZL0_9HyAF-A/Public_Roads/2019_Public.pdf","author":[{"family":"Florida Department of Transportation","given":""}],"accessed":{"date-parts":[["2023",11,12]]},"issued":{"date-parts":[["2019"]]}}}],"schema":"https://github.com/citation-style-language/schema/raw/master/csl-citation.json"} </w:instrText>
      </w:r>
      <w:r w:rsidR="00BE3DA0" w:rsidRPr="00070DF8">
        <w:rPr>
          <w:sz w:val="22"/>
          <w:szCs w:val="22"/>
        </w:rPr>
        <w:fldChar w:fldCharType="separate"/>
      </w:r>
      <w:r w:rsidR="00BE3DA0" w:rsidRPr="00070DF8">
        <w:rPr>
          <w:sz w:val="22"/>
          <w:szCs w:val="22"/>
        </w:rPr>
        <w:t>(Florida Department of Transportation, 2019)</w:t>
      </w:r>
      <w:r w:rsidR="00BE3DA0" w:rsidRPr="00070DF8">
        <w:rPr>
          <w:sz w:val="22"/>
          <w:szCs w:val="22"/>
        </w:rPr>
        <w:fldChar w:fldCharType="end"/>
      </w:r>
      <w:r w:rsidRPr="00070DF8">
        <w:rPr>
          <w:sz w:val="22"/>
          <w:szCs w:val="22"/>
        </w:rPr>
        <w:t xml:space="preserve">. </w:t>
      </w:r>
      <w:r w:rsidR="00E3723B" w:rsidRPr="00070DF8">
        <w:rPr>
          <w:sz w:val="22"/>
          <w:szCs w:val="22"/>
        </w:rPr>
        <w:t xml:space="preserve">This study considered motorcycles, passenger cars, </w:t>
      </w:r>
      <w:r w:rsidR="007C0A6F" w:rsidRPr="00070DF8">
        <w:rPr>
          <w:sz w:val="22"/>
          <w:szCs w:val="22"/>
        </w:rPr>
        <w:t xml:space="preserve">light duty </w:t>
      </w:r>
      <w:r w:rsidR="00E3723B" w:rsidRPr="00070DF8">
        <w:rPr>
          <w:sz w:val="22"/>
          <w:szCs w:val="22"/>
        </w:rPr>
        <w:t>trucks</w:t>
      </w:r>
      <w:r w:rsidR="007C0A6F" w:rsidRPr="00070DF8">
        <w:rPr>
          <w:sz w:val="22"/>
          <w:szCs w:val="22"/>
        </w:rPr>
        <w:t xml:space="preserve"> (LDT)</w:t>
      </w:r>
      <w:r w:rsidR="00E3723B" w:rsidRPr="00070DF8">
        <w:rPr>
          <w:sz w:val="22"/>
          <w:szCs w:val="22"/>
        </w:rPr>
        <w:t xml:space="preserve">, </w:t>
      </w:r>
      <w:r w:rsidR="007C0A6F" w:rsidRPr="00070DF8">
        <w:rPr>
          <w:sz w:val="22"/>
          <w:szCs w:val="22"/>
        </w:rPr>
        <w:t>single-unit trucks (</w:t>
      </w:r>
      <w:r w:rsidR="00E3723B" w:rsidRPr="00070DF8">
        <w:rPr>
          <w:sz w:val="22"/>
          <w:szCs w:val="22"/>
        </w:rPr>
        <w:t>MHDVs</w:t>
      </w:r>
      <w:r w:rsidR="007C0A6F" w:rsidRPr="00070DF8">
        <w:rPr>
          <w:sz w:val="22"/>
          <w:szCs w:val="22"/>
        </w:rPr>
        <w:t>)</w:t>
      </w:r>
      <w:r w:rsidR="00E3723B" w:rsidRPr="00070DF8">
        <w:rPr>
          <w:sz w:val="22"/>
          <w:szCs w:val="22"/>
        </w:rPr>
        <w:t xml:space="preserve">, </w:t>
      </w:r>
      <w:r w:rsidR="007C0A6F" w:rsidRPr="00070DF8">
        <w:rPr>
          <w:sz w:val="22"/>
          <w:szCs w:val="22"/>
        </w:rPr>
        <w:t>combination trucks (</w:t>
      </w:r>
      <w:r w:rsidR="00E3723B" w:rsidRPr="00070DF8">
        <w:rPr>
          <w:sz w:val="22"/>
          <w:szCs w:val="22"/>
        </w:rPr>
        <w:t>HHDVs</w:t>
      </w:r>
      <w:r w:rsidR="007C0A6F" w:rsidRPr="00070DF8">
        <w:rPr>
          <w:sz w:val="22"/>
          <w:szCs w:val="22"/>
        </w:rPr>
        <w:t>)</w:t>
      </w:r>
      <w:r w:rsidR="00E3723B" w:rsidRPr="00070DF8">
        <w:rPr>
          <w:sz w:val="22"/>
          <w:szCs w:val="22"/>
        </w:rPr>
        <w:t>, and transit buses. Roadways included interstate systems, turnpike &amp; freeways, other principal arterials, minor arterials, major collectors, minor collectors, and local roadways as listed by the FDOT. The GREET (2022) model from Argonne National Laboratory provided a comprehensive life-cycle analysis for assessing environmental impact. It incorporated emission factors accounting for usage-related emissions, which were aggregated to quantify total pollutant output specific to each vehicle and county. Emission factors for ICEVs include BTW and exhaust, while those for EVs include BTW and charging emissions.</w:t>
      </w:r>
      <w:r w:rsidR="006466B8" w:rsidRPr="00070DF8">
        <w:rPr>
          <w:sz w:val="22"/>
          <w:szCs w:val="22"/>
        </w:rPr>
        <w:t xml:space="preserve"> </w:t>
      </w:r>
      <w:r w:rsidR="00A9655A" w:rsidRPr="00070DF8">
        <w:rPr>
          <w:sz w:val="22"/>
          <w:szCs w:val="22"/>
        </w:rPr>
        <w:t xml:space="preserve">The emissions factors for BTW and ICEV exhaust are shown in </w:t>
      </w:r>
      <w:r w:rsidR="00A9655A" w:rsidRPr="00070DF8">
        <w:rPr>
          <w:b/>
          <w:bCs/>
          <w:sz w:val="22"/>
          <w:szCs w:val="22"/>
        </w:rPr>
        <w:t>Table 1</w:t>
      </w:r>
      <w:r w:rsidR="00A9655A" w:rsidRPr="00070DF8">
        <w:rPr>
          <w:sz w:val="22"/>
          <w:szCs w:val="22"/>
        </w:rPr>
        <w:t>.</w:t>
      </w:r>
    </w:p>
    <w:p w14:paraId="25A2B332" w14:textId="77777777" w:rsidR="006D0702" w:rsidRDefault="006D0702" w:rsidP="00F249CF">
      <w:pPr>
        <w:ind w:left="0" w:right="0" w:firstLine="720"/>
        <w:rPr>
          <w:rFonts w:eastAsia="Times New Roman"/>
          <w:b/>
          <w:bCs/>
          <w:sz w:val="22"/>
          <w:szCs w:val="22"/>
        </w:rPr>
      </w:pPr>
    </w:p>
    <w:p w14:paraId="2E4C9C33" w14:textId="77777777" w:rsidR="006D0702" w:rsidRDefault="006D0702" w:rsidP="00F249CF">
      <w:pPr>
        <w:ind w:left="0" w:right="0" w:firstLine="720"/>
        <w:rPr>
          <w:rFonts w:eastAsia="Times New Roman"/>
          <w:b/>
          <w:bCs/>
          <w:sz w:val="22"/>
          <w:szCs w:val="22"/>
        </w:rPr>
      </w:pPr>
    </w:p>
    <w:p w14:paraId="4953ECAA" w14:textId="77777777" w:rsidR="006D0702" w:rsidRDefault="006D0702" w:rsidP="00F249CF">
      <w:pPr>
        <w:ind w:left="0" w:right="0" w:firstLine="720"/>
        <w:rPr>
          <w:rFonts w:eastAsia="Times New Roman"/>
          <w:b/>
          <w:bCs/>
          <w:sz w:val="22"/>
          <w:szCs w:val="22"/>
        </w:rPr>
      </w:pPr>
    </w:p>
    <w:p w14:paraId="46879AFA" w14:textId="77777777" w:rsidR="006D0702" w:rsidRDefault="006D0702" w:rsidP="00F249CF">
      <w:pPr>
        <w:ind w:left="0" w:right="0" w:firstLine="720"/>
        <w:rPr>
          <w:rFonts w:eastAsia="Times New Roman"/>
          <w:b/>
          <w:bCs/>
          <w:sz w:val="22"/>
          <w:szCs w:val="22"/>
        </w:rPr>
      </w:pPr>
    </w:p>
    <w:p w14:paraId="55777616" w14:textId="77777777" w:rsidR="006D0702" w:rsidRDefault="006D0702" w:rsidP="00F249CF">
      <w:pPr>
        <w:ind w:left="0" w:right="0" w:firstLine="720"/>
        <w:rPr>
          <w:rFonts w:eastAsia="Times New Roman"/>
          <w:b/>
          <w:bCs/>
          <w:sz w:val="22"/>
          <w:szCs w:val="22"/>
        </w:rPr>
      </w:pPr>
    </w:p>
    <w:p w14:paraId="2881B450" w14:textId="5B513552" w:rsidR="00187DCF" w:rsidRPr="00070DF8" w:rsidRDefault="00187DCF" w:rsidP="002279C4">
      <w:pPr>
        <w:ind w:right="0" w:firstLine="720"/>
        <w:rPr>
          <w:rFonts w:eastAsia="Times New Roman"/>
          <w:b/>
          <w:bCs/>
          <w:sz w:val="22"/>
          <w:szCs w:val="22"/>
        </w:rPr>
      </w:pPr>
      <w:r w:rsidRPr="00070DF8">
        <w:rPr>
          <w:rFonts w:eastAsia="Times New Roman"/>
          <w:b/>
          <w:bCs/>
          <w:sz w:val="22"/>
          <w:szCs w:val="22"/>
        </w:rPr>
        <w:lastRenderedPageBreak/>
        <w:t xml:space="preserve">Table 1. </w:t>
      </w:r>
    </w:p>
    <w:p w14:paraId="12EF1F2E" w14:textId="5CC70A1B" w:rsidR="00187DCF" w:rsidRPr="006458A1" w:rsidRDefault="00187DCF" w:rsidP="00633708">
      <w:pPr>
        <w:pStyle w:val="captiontext"/>
      </w:pPr>
      <w:r w:rsidRPr="006458A1">
        <w:t>Emissions rates from internal combustion engine vehicle (ICEV) exhaust and brake and tire wear (BTW)</w:t>
      </w:r>
      <w:r w:rsidR="00E65549" w:rsidRPr="006458A1">
        <w:t xml:space="preserve"> and </w:t>
      </w:r>
      <w:r w:rsidR="007C0A6F" w:rsidRPr="006458A1">
        <w:t xml:space="preserve">electric vehicle </w:t>
      </w:r>
      <w:r w:rsidR="00E65549" w:rsidRPr="006458A1">
        <w:t xml:space="preserve">(EV) </w:t>
      </w:r>
      <w:r w:rsidR="007C0A6F" w:rsidRPr="006458A1">
        <w:t>BTW.</w:t>
      </w:r>
    </w:p>
    <w:tbl>
      <w:tblPr>
        <w:tblStyle w:val="PlainTable3"/>
        <w:tblW w:w="10196" w:type="dxa"/>
        <w:jc w:val="center"/>
        <w:tblLayout w:type="fixed"/>
        <w:tblLook w:val="04A0" w:firstRow="1" w:lastRow="0" w:firstColumn="1" w:lastColumn="0" w:noHBand="0" w:noVBand="1"/>
      </w:tblPr>
      <w:tblGrid>
        <w:gridCol w:w="1350"/>
        <w:gridCol w:w="1710"/>
        <w:gridCol w:w="1980"/>
        <w:gridCol w:w="1890"/>
        <w:gridCol w:w="1633"/>
        <w:gridCol w:w="1633"/>
      </w:tblGrid>
      <w:tr w:rsidR="00B72F15" w:rsidRPr="00070DF8" w14:paraId="49E6D885" w14:textId="52522839" w:rsidTr="0025240C">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350" w:type="dxa"/>
          </w:tcPr>
          <w:p w14:paraId="6DE1045F" w14:textId="2DD78324" w:rsidR="00B72F15" w:rsidRPr="00070DF8" w:rsidRDefault="00B72F15" w:rsidP="00070DF8">
            <w:pPr>
              <w:pStyle w:val="captiontext"/>
              <w:spacing w:line="480" w:lineRule="auto"/>
              <w:ind w:left="0"/>
              <w:jc w:val="center"/>
              <w:rPr>
                <w:rFonts w:eastAsia="Times New Roman"/>
                <w:b w:val="0"/>
                <w:bCs w:val="0"/>
                <w:i w:val="0"/>
                <w:iCs w:val="0"/>
                <w:caps w:val="0"/>
              </w:rPr>
            </w:pPr>
            <w:r w:rsidRPr="00070DF8">
              <w:rPr>
                <w:rFonts w:eastAsia="Times New Roman"/>
                <w:b w:val="0"/>
                <w:bCs w:val="0"/>
                <w:i w:val="0"/>
                <w:iCs w:val="0"/>
                <w:caps w:val="0"/>
              </w:rPr>
              <w:t>Vehicle Type</w:t>
            </w:r>
          </w:p>
        </w:tc>
        <w:tc>
          <w:tcPr>
            <w:tcW w:w="1710" w:type="dxa"/>
          </w:tcPr>
          <w:p w14:paraId="2A2C6AE8" w14:textId="7C6C53ED"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ICEV Exhaust</w:t>
            </w:r>
          </w:p>
          <w:p w14:paraId="6C719F67" w14:textId="21E6B14C"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g-NO</w:t>
            </w:r>
            <w:r w:rsidRPr="00AD72E5">
              <w:rPr>
                <w:rFonts w:eastAsia="Times New Roman"/>
                <w:b w:val="0"/>
                <w:bCs w:val="0"/>
                <w:i w:val="0"/>
                <w:iCs w:val="0"/>
                <w:caps w:val="0"/>
                <w:vertAlign w:val="subscript"/>
              </w:rPr>
              <w:t>x</w:t>
            </w:r>
            <w:r w:rsidRPr="00070DF8">
              <w:rPr>
                <w:rFonts w:eastAsia="Times New Roman"/>
                <w:b w:val="0"/>
                <w:bCs w:val="0"/>
                <w:i w:val="0"/>
                <w:iCs w:val="0"/>
                <w:caps w:val="0"/>
              </w:rPr>
              <w:t>/mile</w:t>
            </w:r>
          </w:p>
        </w:tc>
        <w:tc>
          <w:tcPr>
            <w:tcW w:w="1980" w:type="dxa"/>
          </w:tcPr>
          <w:p w14:paraId="06050434" w14:textId="3EBEAB60"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ICEV Exhaust</w:t>
            </w:r>
          </w:p>
          <w:p w14:paraId="5DFD2C06" w14:textId="75204CC4"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g-</w:t>
            </w:r>
            <w:r w:rsidR="00AD72E5" w:rsidRPr="00AD72E5">
              <w:rPr>
                <w:rFonts w:eastAsia="Times New Roman"/>
                <w:b w:val="0"/>
                <w:bCs w:val="0"/>
                <w:i w:val="0"/>
                <w:iCs w:val="0"/>
                <w:caps w:val="0"/>
              </w:rPr>
              <w:t>PM</w:t>
            </w:r>
            <w:r w:rsidR="00AD72E5" w:rsidRPr="00AD72E5">
              <w:rPr>
                <w:rFonts w:eastAsia="Times New Roman"/>
                <w:b w:val="0"/>
                <w:bCs w:val="0"/>
                <w:i w:val="0"/>
                <w:iCs w:val="0"/>
                <w:caps w:val="0"/>
                <w:vertAlign w:val="subscript"/>
              </w:rPr>
              <w:t>2.5</w:t>
            </w:r>
            <w:r w:rsidRPr="00070DF8">
              <w:rPr>
                <w:rFonts w:eastAsia="Times New Roman"/>
                <w:b w:val="0"/>
                <w:bCs w:val="0"/>
                <w:i w:val="0"/>
                <w:iCs w:val="0"/>
                <w:caps w:val="0"/>
              </w:rPr>
              <w:t>/mile</w:t>
            </w:r>
          </w:p>
        </w:tc>
        <w:tc>
          <w:tcPr>
            <w:tcW w:w="1890" w:type="dxa"/>
          </w:tcPr>
          <w:p w14:paraId="0A4DA419" w14:textId="33C14B75"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ICEV Exhaust</w:t>
            </w:r>
          </w:p>
          <w:p w14:paraId="548EDAE3" w14:textId="3C32F77F"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g-SO</w:t>
            </w:r>
            <w:r w:rsidRPr="00AD72E5">
              <w:rPr>
                <w:rFonts w:eastAsia="Times New Roman"/>
                <w:b w:val="0"/>
                <w:bCs w:val="0"/>
                <w:i w:val="0"/>
                <w:iCs w:val="0"/>
                <w:caps w:val="0"/>
                <w:vertAlign w:val="subscript"/>
              </w:rPr>
              <w:t>2</w:t>
            </w:r>
            <w:r w:rsidRPr="00070DF8">
              <w:rPr>
                <w:rFonts w:eastAsia="Times New Roman"/>
                <w:b w:val="0"/>
                <w:bCs w:val="0"/>
                <w:i w:val="0"/>
                <w:iCs w:val="0"/>
                <w:caps w:val="0"/>
              </w:rPr>
              <w:t>/mile</w:t>
            </w:r>
          </w:p>
        </w:tc>
        <w:tc>
          <w:tcPr>
            <w:tcW w:w="1633" w:type="dxa"/>
          </w:tcPr>
          <w:p w14:paraId="2650AAC7" w14:textId="19788938"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ICEV BTW</w:t>
            </w:r>
          </w:p>
          <w:p w14:paraId="07702836" w14:textId="3C4FF268"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g- PM</w:t>
            </w:r>
            <w:r w:rsidRPr="00AD72E5">
              <w:rPr>
                <w:rFonts w:eastAsia="Times New Roman"/>
                <w:b w:val="0"/>
                <w:bCs w:val="0"/>
                <w:i w:val="0"/>
                <w:iCs w:val="0"/>
                <w:caps w:val="0"/>
                <w:vertAlign w:val="subscript"/>
              </w:rPr>
              <w:t>2.5</w:t>
            </w:r>
            <w:r w:rsidRPr="00070DF8">
              <w:rPr>
                <w:rFonts w:eastAsia="Times New Roman"/>
                <w:b w:val="0"/>
                <w:bCs w:val="0"/>
                <w:i w:val="0"/>
                <w:iCs w:val="0"/>
                <w:caps w:val="0"/>
              </w:rPr>
              <w:t>/mile</w:t>
            </w:r>
          </w:p>
        </w:tc>
        <w:tc>
          <w:tcPr>
            <w:tcW w:w="1633" w:type="dxa"/>
          </w:tcPr>
          <w:p w14:paraId="1E4C5B64" w14:textId="77777777"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EV BTW</w:t>
            </w:r>
          </w:p>
          <w:p w14:paraId="34DDE175" w14:textId="4FCF7D56" w:rsidR="00B72F15" w:rsidRPr="00070DF8" w:rsidRDefault="00B72F15" w:rsidP="00070DF8">
            <w:pPr>
              <w:pStyle w:val="captiontext"/>
              <w:spacing w:line="48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i w:val="0"/>
                <w:iCs w:val="0"/>
                <w:caps w:val="0"/>
              </w:rPr>
            </w:pPr>
            <w:r w:rsidRPr="00070DF8">
              <w:rPr>
                <w:rFonts w:eastAsia="Times New Roman"/>
                <w:b w:val="0"/>
                <w:bCs w:val="0"/>
                <w:i w:val="0"/>
                <w:iCs w:val="0"/>
                <w:caps w:val="0"/>
              </w:rPr>
              <w:t>g- PM</w:t>
            </w:r>
            <w:r w:rsidRPr="00AD72E5">
              <w:rPr>
                <w:rFonts w:eastAsia="Times New Roman"/>
                <w:b w:val="0"/>
                <w:bCs w:val="0"/>
                <w:i w:val="0"/>
                <w:iCs w:val="0"/>
                <w:caps w:val="0"/>
                <w:vertAlign w:val="subscript"/>
              </w:rPr>
              <w:t>2.5</w:t>
            </w:r>
            <w:r w:rsidRPr="00070DF8">
              <w:rPr>
                <w:rFonts w:eastAsia="Times New Roman"/>
                <w:b w:val="0"/>
                <w:bCs w:val="0"/>
                <w:i w:val="0"/>
                <w:iCs w:val="0"/>
                <w:caps w:val="0"/>
              </w:rPr>
              <w:t>/mile</w:t>
            </w:r>
          </w:p>
        </w:tc>
      </w:tr>
      <w:tr w:rsidR="00E13694" w:rsidRPr="00070DF8" w14:paraId="4DE3F72E" w14:textId="77777777" w:rsidTr="002524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Pr>
          <w:p w14:paraId="7769C05D" w14:textId="61EDCC12"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Motorcycle</w:t>
            </w:r>
          </w:p>
        </w:tc>
        <w:tc>
          <w:tcPr>
            <w:tcW w:w="1710" w:type="dxa"/>
          </w:tcPr>
          <w:p w14:paraId="2F05AF04" w14:textId="311C4976"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0.090</w:t>
            </w:r>
          </w:p>
        </w:tc>
        <w:tc>
          <w:tcPr>
            <w:tcW w:w="1980" w:type="dxa"/>
          </w:tcPr>
          <w:p w14:paraId="0817F06B" w14:textId="1EE5D5D2"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w:t>
            </w:r>
            <w:r w:rsidR="009108F1">
              <w:rPr>
                <w:rFonts w:eastAsia="Times New Roman"/>
              </w:rPr>
              <w:t>2</w:t>
            </w:r>
          </w:p>
        </w:tc>
        <w:tc>
          <w:tcPr>
            <w:tcW w:w="1890" w:type="dxa"/>
          </w:tcPr>
          <w:p w14:paraId="196EE2AF" w14:textId="647E5673"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0.002</w:t>
            </w:r>
          </w:p>
        </w:tc>
        <w:tc>
          <w:tcPr>
            <w:tcW w:w="1633" w:type="dxa"/>
          </w:tcPr>
          <w:p w14:paraId="4DFB14B0" w14:textId="5DC77927"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0.004</w:t>
            </w:r>
          </w:p>
        </w:tc>
        <w:tc>
          <w:tcPr>
            <w:tcW w:w="1633" w:type="dxa"/>
          </w:tcPr>
          <w:p w14:paraId="345577DC" w14:textId="487FC547"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0.004</w:t>
            </w:r>
          </w:p>
        </w:tc>
      </w:tr>
      <w:tr w:rsidR="00E13694" w:rsidRPr="00070DF8" w14:paraId="7A4BA9A2" w14:textId="5E95DC53" w:rsidTr="0025240C">
        <w:trPr>
          <w:jc w:val="center"/>
        </w:trPr>
        <w:tc>
          <w:tcPr>
            <w:cnfStyle w:val="001000000000" w:firstRow="0" w:lastRow="0" w:firstColumn="1" w:lastColumn="0" w:oddVBand="0" w:evenVBand="0" w:oddHBand="0" w:evenHBand="0" w:firstRowFirstColumn="0" w:firstRowLastColumn="0" w:lastRowFirstColumn="0" w:lastRowLastColumn="0"/>
            <w:tcW w:w="1350" w:type="dxa"/>
          </w:tcPr>
          <w:p w14:paraId="384A557D" w14:textId="4B54250F"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Car</w:t>
            </w:r>
          </w:p>
        </w:tc>
        <w:tc>
          <w:tcPr>
            <w:tcW w:w="1710" w:type="dxa"/>
          </w:tcPr>
          <w:p w14:paraId="16BE6A0A" w14:textId="040F8550"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0.090</w:t>
            </w:r>
          </w:p>
        </w:tc>
        <w:tc>
          <w:tcPr>
            <w:tcW w:w="1980" w:type="dxa"/>
          </w:tcPr>
          <w:p w14:paraId="21F6BC01" w14:textId="45BCF6E7"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0.00</w:t>
            </w:r>
            <w:r w:rsidR="00585CCD">
              <w:rPr>
                <w:rFonts w:eastAsia="Times New Roman"/>
              </w:rPr>
              <w:t>2</w:t>
            </w:r>
          </w:p>
        </w:tc>
        <w:tc>
          <w:tcPr>
            <w:tcW w:w="1890" w:type="dxa"/>
          </w:tcPr>
          <w:p w14:paraId="119738F3" w14:textId="2C2D0C42"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0.002</w:t>
            </w:r>
          </w:p>
        </w:tc>
        <w:tc>
          <w:tcPr>
            <w:tcW w:w="1633" w:type="dxa"/>
          </w:tcPr>
          <w:p w14:paraId="717079CC" w14:textId="21A4E69E"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0.004</w:t>
            </w:r>
          </w:p>
        </w:tc>
        <w:tc>
          <w:tcPr>
            <w:tcW w:w="1633" w:type="dxa"/>
          </w:tcPr>
          <w:p w14:paraId="36323E62" w14:textId="459A17BB"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0.004</w:t>
            </w:r>
          </w:p>
        </w:tc>
      </w:tr>
      <w:tr w:rsidR="00E13694" w:rsidRPr="00070DF8" w14:paraId="7A10CF96" w14:textId="7913D045" w:rsidTr="002524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Pr>
          <w:p w14:paraId="13129D32" w14:textId="761E899C"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LDT</w:t>
            </w:r>
          </w:p>
        </w:tc>
        <w:tc>
          <w:tcPr>
            <w:tcW w:w="1710" w:type="dxa"/>
          </w:tcPr>
          <w:p w14:paraId="4C2549ED" w14:textId="00425FA2"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0.093</w:t>
            </w:r>
          </w:p>
        </w:tc>
        <w:tc>
          <w:tcPr>
            <w:tcW w:w="1980" w:type="dxa"/>
          </w:tcPr>
          <w:p w14:paraId="4D91DCDE" w14:textId="52DD5C36"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w:t>
            </w:r>
            <w:r w:rsidR="001F3FA5">
              <w:rPr>
                <w:rFonts w:eastAsia="Times New Roman"/>
              </w:rPr>
              <w:t>3</w:t>
            </w:r>
          </w:p>
        </w:tc>
        <w:tc>
          <w:tcPr>
            <w:tcW w:w="1890" w:type="dxa"/>
          </w:tcPr>
          <w:p w14:paraId="6FD30D55" w14:textId="2CF4C163"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0.003</w:t>
            </w:r>
          </w:p>
        </w:tc>
        <w:tc>
          <w:tcPr>
            <w:tcW w:w="1633" w:type="dxa"/>
          </w:tcPr>
          <w:p w14:paraId="0EB36A2C" w14:textId="7257814B"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0.004</w:t>
            </w:r>
          </w:p>
        </w:tc>
        <w:tc>
          <w:tcPr>
            <w:tcW w:w="1633" w:type="dxa"/>
          </w:tcPr>
          <w:p w14:paraId="0829CE65" w14:textId="619C0105"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0.004</w:t>
            </w:r>
          </w:p>
        </w:tc>
      </w:tr>
      <w:tr w:rsidR="00E13694" w:rsidRPr="00070DF8" w14:paraId="0CCC9E57" w14:textId="3CDA0E85" w:rsidTr="0025240C">
        <w:trPr>
          <w:jc w:val="center"/>
        </w:trPr>
        <w:tc>
          <w:tcPr>
            <w:cnfStyle w:val="001000000000" w:firstRow="0" w:lastRow="0" w:firstColumn="1" w:lastColumn="0" w:oddVBand="0" w:evenVBand="0" w:oddHBand="0" w:evenHBand="0" w:firstRowFirstColumn="0" w:firstRowLastColumn="0" w:lastRowFirstColumn="0" w:lastRowLastColumn="0"/>
            <w:tcW w:w="1350" w:type="dxa"/>
          </w:tcPr>
          <w:p w14:paraId="7C94652B" w14:textId="0C922BB9"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Bus</w:t>
            </w:r>
          </w:p>
        </w:tc>
        <w:tc>
          <w:tcPr>
            <w:tcW w:w="1710" w:type="dxa"/>
          </w:tcPr>
          <w:p w14:paraId="63FA2452" w14:textId="44CC2B75"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2.106</w:t>
            </w:r>
          </w:p>
        </w:tc>
        <w:tc>
          <w:tcPr>
            <w:tcW w:w="1980" w:type="dxa"/>
          </w:tcPr>
          <w:p w14:paraId="0E5047D1" w14:textId="68575560"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0.00</w:t>
            </w:r>
            <w:r w:rsidR="00811A41">
              <w:rPr>
                <w:rFonts w:eastAsia="Times New Roman"/>
              </w:rPr>
              <w:t>4</w:t>
            </w:r>
          </w:p>
        </w:tc>
        <w:tc>
          <w:tcPr>
            <w:tcW w:w="1890" w:type="dxa"/>
          </w:tcPr>
          <w:p w14:paraId="38DFD13A" w14:textId="2FBA9A77"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0.011</w:t>
            </w:r>
          </w:p>
        </w:tc>
        <w:tc>
          <w:tcPr>
            <w:tcW w:w="1633" w:type="dxa"/>
          </w:tcPr>
          <w:p w14:paraId="7D6A6FAA" w14:textId="57DDFA1B"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0.013</w:t>
            </w:r>
          </w:p>
        </w:tc>
        <w:tc>
          <w:tcPr>
            <w:tcW w:w="1633" w:type="dxa"/>
          </w:tcPr>
          <w:p w14:paraId="146BE2BB" w14:textId="1598F7D5"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0.014</w:t>
            </w:r>
          </w:p>
        </w:tc>
      </w:tr>
      <w:tr w:rsidR="00E13694" w:rsidRPr="00070DF8" w14:paraId="42A79E4A" w14:textId="45FEEEC0" w:rsidTr="002524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0" w:type="dxa"/>
          </w:tcPr>
          <w:p w14:paraId="4B054834" w14:textId="5EA40A08"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MHDV</w:t>
            </w:r>
          </w:p>
        </w:tc>
        <w:tc>
          <w:tcPr>
            <w:tcW w:w="1710" w:type="dxa"/>
          </w:tcPr>
          <w:p w14:paraId="24AFBDE5" w14:textId="436C51EC"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1.105</w:t>
            </w:r>
          </w:p>
        </w:tc>
        <w:tc>
          <w:tcPr>
            <w:tcW w:w="1980" w:type="dxa"/>
          </w:tcPr>
          <w:p w14:paraId="0514CD37" w14:textId="121949F6"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w:t>
            </w:r>
            <w:r w:rsidR="000E7776">
              <w:rPr>
                <w:rFonts w:eastAsia="Times New Roman"/>
              </w:rPr>
              <w:t>10</w:t>
            </w:r>
          </w:p>
        </w:tc>
        <w:tc>
          <w:tcPr>
            <w:tcW w:w="1890" w:type="dxa"/>
          </w:tcPr>
          <w:p w14:paraId="0A11745A" w14:textId="693766C4"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0.011</w:t>
            </w:r>
          </w:p>
        </w:tc>
        <w:tc>
          <w:tcPr>
            <w:tcW w:w="1633" w:type="dxa"/>
          </w:tcPr>
          <w:p w14:paraId="5AA94B1A" w14:textId="7BC9D198"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0.015</w:t>
            </w:r>
          </w:p>
        </w:tc>
        <w:tc>
          <w:tcPr>
            <w:tcW w:w="1633" w:type="dxa"/>
          </w:tcPr>
          <w:p w14:paraId="601A16DC" w14:textId="24281729" w:rsidR="00E13694" w:rsidRPr="00070DF8" w:rsidRDefault="00E13694"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0.0</w:t>
            </w:r>
            <w:r w:rsidR="00AC53C2" w:rsidRPr="00070DF8">
              <w:rPr>
                <w:rFonts w:eastAsia="Times New Roman"/>
              </w:rPr>
              <w:t>1</w:t>
            </w:r>
            <w:r w:rsidR="00EE0B61">
              <w:rPr>
                <w:rFonts w:eastAsia="Times New Roman"/>
              </w:rPr>
              <w:t>4</w:t>
            </w:r>
          </w:p>
        </w:tc>
      </w:tr>
      <w:tr w:rsidR="00E13694" w:rsidRPr="00070DF8" w14:paraId="324356B6" w14:textId="2F13F2FF" w:rsidTr="0025240C">
        <w:trPr>
          <w:jc w:val="center"/>
        </w:trPr>
        <w:tc>
          <w:tcPr>
            <w:cnfStyle w:val="001000000000" w:firstRow="0" w:lastRow="0" w:firstColumn="1" w:lastColumn="0" w:oddVBand="0" w:evenVBand="0" w:oddHBand="0" w:evenHBand="0" w:firstRowFirstColumn="0" w:firstRowLastColumn="0" w:lastRowFirstColumn="0" w:lastRowLastColumn="0"/>
            <w:tcW w:w="1350" w:type="dxa"/>
          </w:tcPr>
          <w:p w14:paraId="5CBD1752" w14:textId="5C6262C0" w:rsidR="00E13694" w:rsidRPr="00070DF8" w:rsidRDefault="00E13694" w:rsidP="00070DF8">
            <w:pPr>
              <w:pStyle w:val="captiontext"/>
              <w:spacing w:line="480" w:lineRule="auto"/>
              <w:ind w:left="0"/>
              <w:jc w:val="right"/>
              <w:rPr>
                <w:rFonts w:eastAsia="Times New Roman"/>
                <w:b w:val="0"/>
                <w:bCs w:val="0"/>
                <w:i w:val="0"/>
                <w:iCs w:val="0"/>
                <w:caps w:val="0"/>
              </w:rPr>
            </w:pPr>
            <w:r w:rsidRPr="00070DF8">
              <w:rPr>
                <w:rFonts w:eastAsia="Times New Roman"/>
                <w:b w:val="0"/>
                <w:bCs w:val="0"/>
                <w:i w:val="0"/>
                <w:iCs w:val="0"/>
                <w:caps w:val="0"/>
              </w:rPr>
              <w:t>HHDV</w:t>
            </w:r>
          </w:p>
        </w:tc>
        <w:tc>
          <w:tcPr>
            <w:tcW w:w="1710" w:type="dxa"/>
          </w:tcPr>
          <w:p w14:paraId="5D3480BA" w14:textId="4D548BB1"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2.386</w:t>
            </w:r>
          </w:p>
        </w:tc>
        <w:tc>
          <w:tcPr>
            <w:tcW w:w="1980" w:type="dxa"/>
          </w:tcPr>
          <w:p w14:paraId="423B348A" w14:textId="36B9186A"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commentRangeStart w:id="8"/>
            <w:r w:rsidRPr="00070DF8">
              <w:rPr>
                <w:rFonts w:eastAsia="Times New Roman"/>
              </w:rPr>
              <w:t>0.0</w:t>
            </w:r>
            <w:commentRangeEnd w:id="8"/>
            <w:r w:rsidR="00AC53C2" w:rsidRPr="00070DF8">
              <w:rPr>
                <w:rStyle w:val="CommentReference"/>
                <w:i w:val="0"/>
                <w:iCs w:val="0"/>
                <w:sz w:val="22"/>
                <w:szCs w:val="22"/>
              </w:rPr>
              <w:commentReference w:id="8"/>
            </w:r>
            <w:r w:rsidR="000E7776">
              <w:rPr>
                <w:rFonts w:eastAsia="Times New Roman"/>
              </w:rPr>
              <w:t>04</w:t>
            </w:r>
          </w:p>
        </w:tc>
        <w:tc>
          <w:tcPr>
            <w:tcW w:w="1890" w:type="dxa"/>
          </w:tcPr>
          <w:p w14:paraId="745B6B38" w14:textId="534AB6FC"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0.016</w:t>
            </w:r>
          </w:p>
        </w:tc>
        <w:tc>
          <w:tcPr>
            <w:tcW w:w="1633" w:type="dxa"/>
          </w:tcPr>
          <w:p w14:paraId="722D426B" w14:textId="1B82FFF3" w:rsidR="00E13694"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0.026</w:t>
            </w:r>
          </w:p>
        </w:tc>
        <w:tc>
          <w:tcPr>
            <w:tcW w:w="1633" w:type="dxa"/>
          </w:tcPr>
          <w:p w14:paraId="2B5DFD53" w14:textId="0E3E35F4" w:rsidR="000F7AFF" w:rsidRPr="00070DF8" w:rsidRDefault="00E13694"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w:t>
            </w:r>
            <w:r w:rsidR="000F7AFF">
              <w:rPr>
                <w:rFonts w:eastAsia="Times New Roman"/>
              </w:rPr>
              <w:t>027</w:t>
            </w:r>
          </w:p>
        </w:tc>
      </w:tr>
    </w:tbl>
    <w:p w14:paraId="5F8812F7" w14:textId="18C18229" w:rsidR="00DD5569" w:rsidRPr="006458A1" w:rsidRDefault="00DD5569" w:rsidP="00633708">
      <w:pPr>
        <w:pStyle w:val="captiontext"/>
      </w:pPr>
      <w:r w:rsidRPr="006458A1">
        <w:t xml:space="preserve">Note: </w:t>
      </w:r>
      <w:r w:rsidRPr="00633708">
        <w:t>Nitrogen oxide (NO</w:t>
      </w:r>
      <w:r w:rsidRPr="00AD72E5">
        <w:rPr>
          <w:vertAlign w:val="subscript"/>
        </w:rPr>
        <w:t>x</w:t>
      </w:r>
      <w:r w:rsidRPr="00633708">
        <w:t>); particulate matter under 2.5 microns in diameter (PM</w:t>
      </w:r>
      <w:r w:rsidRPr="00AD72E5">
        <w:rPr>
          <w:vertAlign w:val="subscript"/>
        </w:rPr>
        <w:t>2.5</w:t>
      </w:r>
      <w:r w:rsidRPr="00633708">
        <w:t>); Sulfur Dioxide (SO</w:t>
      </w:r>
      <w:r w:rsidRPr="00EB29A3">
        <w:rPr>
          <w:vertAlign w:val="subscript"/>
        </w:rPr>
        <w:t>2</w:t>
      </w:r>
      <w:r w:rsidRPr="00633708">
        <w:t>); milligram (mg); Passenger car (Car); Light Duty Truck (LDT); Single-unit Truck (MHDV); Combination Truck (HHDV); all values are from GREET (2022).</w:t>
      </w:r>
    </w:p>
    <w:p w14:paraId="645BAB2C" w14:textId="77777777" w:rsidR="00623E37" w:rsidRPr="00070DF8" w:rsidRDefault="00623E37" w:rsidP="008B24E8">
      <w:pPr>
        <w:rPr>
          <w:b/>
          <w:bCs/>
          <w:sz w:val="22"/>
          <w:szCs w:val="22"/>
        </w:rPr>
      </w:pPr>
      <w:r w:rsidRPr="00070DF8">
        <w:rPr>
          <w:b/>
          <w:bCs/>
          <w:sz w:val="22"/>
          <w:szCs w:val="22"/>
        </w:rPr>
        <w:t>Electric Vehicle Charging</w:t>
      </w:r>
    </w:p>
    <w:p w14:paraId="0AB2016C" w14:textId="48EBFCB9" w:rsidR="00C37F94" w:rsidRPr="00070DF8" w:rsidRDefault="00623E37" w:rsidP="00502E7E">
      <w:pPr>
        <w:tabs>
          <w:tab w:val="left" w:pos="1440"/>
        </w:tabs>
        <w:ind w:left="0" w:right="0" w:firstLine="720"/>
        <w:rPr>
          <w:rFonts w:eastAsia="Times New Roman"/>
          <w:sz w:val="22"/>
          <w:szCs w:val="22"/>
        </w:rPr>
      </w:pPr>
      <w:r w:rsidRPr="00070DF8">
        <w:rPr>
          <w:rFonts w:eastAsia="Times New Roman"/>
          <w:sz w:val="22"/>
          <w:szCs w:val="22"/>
        </w:rPr>
        <w:t xml:space="preserve">Charging schedules for EVs were developed to account for time-of-day emissions profiles. This modeling incorporated trip and dwell time data for passenger cars and </w:t>
      </w:r>
      <w:r w:rsidR="007C0A6F" w:rsidRPr="00070DF8">
        <w:rPr>
          <w:rFonts w:eastAsia="Times New Roman"/>
          <w:sz w:val="22"/>
          <w:szCs w:val="22"/>
        </w:rPr>
        <w:t>LDTs</w:t>
      </w:r>
      <w:r w:rsidRPr="00070DF8">
        <w:rPr>
          <w:rFonts w:eastAsia="Times New Roman"/>
          <w:sz w:val="22"/>
          <w:szCs w:val="22"/>
        </w:rPr>
        <w:t xml:space="preserve"> from the National Household Travel Survey </w:t>
      </w:r>
      <w:r w:rsidR="008E7FB2">
        <w:rPr>
          <w:rFonts w:eastAsia="Times New Roman"/>
          <w:sz w:val="22"/>
          <w:szCs w:val="22"/>
        </w:rPr>
        <w:t xml:space="preserve">(NHTS) </w:t>
      </w:r>
      <w:r w:rsidRPr="00070DF8">
        <w:rPr>
          <w:rFonts w:eastAsia="Times New Roman"/>
          <w:sz w:val="22"/>
          <w:szCs w:val="22"/>
        </w:rPr>
        <w:t>(2017), while schedules for MHDV</w:t>
      </w:r>
      <w:r w:rsidR="007C0A6F" w:rsidRPr="00070DF8">
        <w:rPr>
          <w:rFonts w:eastAsia="Times New Roman"/>
          <w:sz w:val="22"/>
          <w:szCs w:val="22"/>
        </w:rPr>
        <w:t>s</w:t>
      </w:r>
      <w:r w:rsidRPr="00070DF8">
        <w:rPr>
          <w:rFonts w:eastAsia="Times New Roman"/>
          <w:sz w:val="22"/>
          <w:szCs w:val="22"/>
        </w:rPr>
        <w:t xml:space="preserve"> and HHDV</w:t>
      </w:r>
      <w:r w:rsidR="007C0A6F" w:rsidRPr="00070DF8">
        <w:rPr>
          <w:rFonts w:eastAsia="Times New Roman"/>
          <w:sz w:val="22"/>
          <w:szCs w:val="22"/>
        </w:rPr>
        <w:t>s</w:t>
      </w:r>
      <w:r w:rsidRPr="00070DF8">
        <w:rPr>
          <w:rFonts w:eastAsia="Times New Roman"/>
          <w:sz w:val="22"/>
          <w:szCs w:val="22"/>
        </w:rPr>
        <w:t xml:space="preserve"> utilized the Fleet DNA database (2022) from the National Renewable Energy Laboratory. Transit bus charging schedules were based on 2017 NHTS travel behavior data. The charging schedules are shown in</w:t>
      </w:r>
      <w:r w:rsidR="00A46F92" w:rsidRPr="00070DF8">
        <w:rPr>
          <w:rFonts w:eastAsia="Times New Roman"/>
          <w:sz w:val="22"/>
          <w:szCs w:val="22"/>
        </w:rPr>
        <w:t xml:space="preserve"> </w:t>
      </w:r>
      <w:r w:rsidR="00C37F94" w:rsidRPr="00070DF8">
        <w:rPr>
          <w:rFonts w:eastAsia="Times New Roman"/>
          <w:b/>
          <w:bCs/>
          <w:sz w:val="22"/>
          <w:szCs w:val="22"/>
        </w:rPr>
        <w:t>Figure 1</w:t>
      </w:r>
      <w:r w:rsidR="00C37F94" w:rsidRPr="00070DF8">
        <w:rPr>
          <w:rFonts w:eastAsia="Times New Roman"/>
          <w:sz w:val="22"/>
          <w:szCs w:val="22"/>
        </w:rPr>
        <w:t>.</w:t>
      </w:r>
    </w:p>
    <w:p w14:paraId="79FCBD5D" w14:textId="77777777" w:rsidR="00E51502" w:rsidRPr="00070DF8" w:rsidRDefault="00E51502" w:rsidP="00070DF8">
      <w:pPr>
        <w:pStyle w:val="Caption"/>
        <w:spacing w:line="480" w:lineRule="auto"/>
        <w:rPr>
          <w:rFonts w:eastAsia="Times New Roman"/>
          <w:b w:val="0"/>
          <w:bCs/>
          <w:i/>
          <w:iCs w:val="0"/>
          <w:color w:val="auto"/>
          <w:szCs w:val="22"/>
        </w:rPr>
      </w:pPr>
    </w:p>
    <w:p w14:paraId="7D57FD2C" w14:textId="77777777" w:rsidR="006F425F" w:rsidRPr="00070DF8" w:rsidRDefault="006F425F" w:rsidP="00070DF8">
      <w:pPr>
        <w:pStyle w:val="Caption"/>
        <w:spacing w:line="480" w:lineRule="auto"/>
        <w:rPr>
          <w:rFonts w:eastAsia="Times New Roman"/>
          <w:b w:val="0"/>
          <w:bCs/>
          <w:i/>
          <w:iCs w:val="0"/>
          <w:color w:val="auto"/>
          <w:szCs w:val="22"/>
        </w:rPr>
      </w:pPr>
    </w:p>
    <w:p w14:paraId="7D1F5A7E" w14:textId="77777777" w:rsidR="006F425F" w:rsidRPr="00070DF8" w:rsidRDefault="006F425F" w:rsidP="00070DF8">
      <w:pPr>
        <w:pStyle w:val="Caption"/>
        <w:spacing w:line="480" w:lineRule="auto"/>
        <w:rPr>
          <w:rFonts w:eastAsia="Times New Roman"/>
          <w:b w:val="0"/>
          <w:bCs/>
          <w:i/>
          <w:iCs w:val="0"/>
          <w:color w:val="auto"/>
          <w:szCs w:val="22"/>
        </w:rPr>
      </w:pPr>
    </w:p>
    <w:p w14:paraId="69ED3704" w14:textId="2E4DF33C" w:rsidR="00C37F94" w:rsidRPr="00070DF8" w:rsidRDefault="00C37F94" w:rsidP="00737715">
      <w:pPr>
        <w:pStyle w:val="Caption"/>
        <w:spacing w:line="480" w:lineRule="auto"/>
        <w:rPr>
          <w:rFonts w:eastAsia="Times New Roman"/>
          <w:b w:val="0"/>
          <w:bCs/>
          <w:i/>
          <w:iCs w:val="0"/>
          <w:color w:val="auto"/>
          <w:szCs w:val="22"/>
        </w:rPr>
      </w:pPr>
      <w:r w:rsidRPr="00070DF8">
        <w:rPr>
          <w:rFonts w:eastAsia="Times New Roman"/>
          <w:bCs/>
          <w:iCs w:val="0"/>
          <w:color w:val="auto"/>
          <w:szCs w:val="22"/>
        </w:rPr>
        <w:lastRenderedPageBreak/>
        <w:t>Figure 1.</w:t>
      </w:r>
    </w:p>
    <w:p w14:paraId="4C6489CA" w14:textId="09A7B7AA" w:rsidR="00C37F94" w:rsidRPr="00633708" w:rsidRDefault="00C37F94" w:rsidP="00633708">
      <w:pPr>
        <w:pStyle w:val="captiontext"/>
      </w:pPr>
      <w:r w:rsidRPr="00633708">
        <w:t>Charging schedule for each vehicle category.</w:t>
      </w:r>
    </w:p>
    <w:p w14:paraId="1102F08C" w14:textId="023DBA5F" w:rsidR="00136DD7" w:rsidRPr="00070DF8" w:rsidRDefault="0025240C" w:rsidP="00633708">
      <w:pPr>
        <w:pStyle w:val="Caption"/>
        <w:rPr>
          <w:bCs/>
        </w:rPr>
      </w:pPr>
      <w:r w:rsidRPr="00070DF8">
        <w:rPr>
          <w:noProof/>
        </w:rPr>
        <w:drawing>
          <wp:inline distT="0" distB="0" distL="0" distR="0" wp14:anchorId="32804315" wp14:editId="0AA4538E">
            <wp:extent cx="5257800" cy="3216522"/>
            <wp:effectExtent l="0" t="0" r="0" b="3175"/>
            <wp:docPr id="1454091723" name="Picture 1454091723"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91723" name="Picture 1454091723" descr="A graph of different colored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9484" cy="3217552"/>
                    </a:xfrm>
                    <a:prstGeom prst="rect">
                      <a:avLst/>
                    </a:prstGeom>
                  </pic:spPr>
                </pic:pic>
              </a:graphicData>
            </a:graphic>
          </wp:inline>
        </w:drawing>
      </w:r>
    </w:p>
    <w:p w14:paraId="2C214E33" w14:textId="444D5BF6" w:rsidR="00EC4EFA" w:rsidRPr="00070DF8" w:rsidRDefault="00EC4EFA" w:rsidP="00633708">
      <w:pPr>
        <w:pStyle w:val="captiontext"/>
      </w:pPr>
      <w:r w:rsidRPr="00070DF8">
        <w:t>Note:</w:t>
      </w:r>
      <w:r w:rsidRPr="007524DB">
        <w:t xml:space="preserve"> Passenger car (Car); Light Duty Truck (LDT); Single-unit Truck (MHDV); Combination Truck (HHDV)</w:t>
      </w:r>
      <w:r w:rsidRPr="00070DF8">
        <w:t>.</w:t>
      </w:r>
    </w:p>
    <w:p w14:paraId="190EB76B" w14:textId="1C45391A" w:rsidR="000A646A" w:rsidRPr="00070DF8" w:rsidRDefault="00750045" w:rsidP="00502227">
      <w:pPr>
        <w:ind w:left="0" w:right="0" w:firstLine="720"/>
        <w:rPr>
          <w:b/>
          <w:bCs/>
          <w:sz w:val="22"/>
          <w:szCs w:val="22"/>
        </w:rPr>
      </w:pPr>
      <w:r w:rsidRPr="00070DF8">
        <w:rPr>
          <w:sz w:val="22"/>
          <w:szCs w:val="22"/>
        </w:rPr>
        <w:t xml:space="preserve">The forecasted electricity grid mix from 2022 to 2050 was developed from the National Renewable Energy Laboratory's (NREL) Cambium data sets using the mid-case scenario </w:t>
      </w:r>
      <w:r w:rsidR="00D5261D" w:rsidRPr="00070DF8">
        <w:rPr>
          <w:sz w:val="22"/>
          <w:szCs w:val="22"/>
        </w:rPr>
        <w:fldChar w:fldCharType="begin"/>
      </w:r>
      <w:r w:rsidR="00633708">
        <w:rPr>
          <w:sz w:val="22"/>
          <w:szCs w:val="22"/>
        </w:rPr>
        <w:instrText xml:space="preserve"> ADDIN ZOTERO_ITEM CSL_CITATION {"citationID":"PkwhyZiO","properties":{"formattedCitation":"(Gagnon et al., 2023)","plainCitation":"(Gagnon et al., 2023)","noteIndex":0},"citationItems":[{"id":"LgjD2cAI/RmWejxjr","uris":["http://zotero.org/users/13598080/items/2ALXWRKY"],"itemData":{"id":158,"type":"report","language":"en","note":"DOI: 10.2172/1915250","number":"NREL/TP-6A40-84916, 1915250, MainId:85689","page":"NREL/TP-6A40-84916, 1915250, MainId:85689","source":"DOI.org (Crossref)","title":"Cambium 2022 Scenario Descriptions and Documentation","URL":"https://www.osti.gov/servlets/purl/1915250/","author":[{"family":"Gagnon","given":"Pieter"},{"family":"Cowiestoll","given":"Brady"},{"family":"Schwarz","given":"Marty"}],"accessed":{"date-parts":[["2024",1,6]]},"issued":{"date-parts":[["2023",1,1]]}}}],"schema":"https://github.com/citation-style-language/schema/raw/master/csl-citation.json"} </w:instrText>
      </w:r>
      <w:r w:rsidR="00D5261D" w:rsidRPr="00070DF8">
        <w:rPr>
          <w:sz w:val="22"/>
          <w:szCs w:val="22"/>
        </w:rPr>
        <w:fldChar w:fldCharType="separate"/>
      </w:r>
      <w:r w:rsidR="00D5261D" w:rsidRPr="00070DF8">
        <w:rPr>
          <w:sz w:val="22"/>
          <w:szCs w:val="22"/>
        </w:rPr>
        <w:t>(Gagnon et al., 2023)</w:t>
      </w:r>
      <w:r w:rsidR="00D5261D" w:rsidRPr="00070DF8">
        <w:rPr>
          <w:sz w:val="22"/>
          <w:szCs w:val="22"/>
        </w:rPr>
        <w:fldChar w:fldCharType="end"/>
      </w:r>
      <w:r w:rsidRPr="00070DF8">
        <w:rPr>
          <w:sz w:val="22"/>
          <w:szCs w:val="22"/>
        </w:rPr>
        <w:t xml:space="preserve">. The average grid mix from Cambium was utilized to estimate the marginal grid mix induced from EV charging. These projections were resolved hourly from each electricity producing resources (EPR) within the state of Florida as shown in </w:t>
      </w:r>
      <w:r w:rsidRPr="00070DF8">
        <w:rPr>
          <w:b/>
          <w:bCs/>
          <w:sz w:val="22"/>
          <w:szCs w:val="22"/>
        </w:rPr>
        <w:t>Figure 2</w:t>
      </w:r>
      <w:r w:rsidR="001912AB" w:rsidRPr="00070DF8">
        <w:rPr>
          <w:sz w:val="22"/>
          <w:szCs w:val="22"/>
        </w:rPr>
        <w:t>.</w:t>
      </w:r>
    </w:p>
    <w:p w14:paraId="70B348E1" w14:textId="77CC396B" w:rsidR="00ED4C72" w:rsidRPr="00070DF8" w:rsidRDefault="00ED4C72" w:rsidP="00502227">
      <w:pPr>
        <w:ind w:left="0" w:right="0" w:firstLine="720"/>
        <w:rPr>
          <w:sz w:val="22"/>
          <w:szCs w:val="22"/>
        </w:rPr>
      </w:pPr>
      <w:r w:rsidRPr="00070DF8">
        <w:rPr>
          <w:sz w:val="22"/>
          <w:szCs w:val="22"/>
        </w:rPr>
        <w:t>The electricity factor links vehicle travel to total power generation per county relative to the state total, assuming uniform EV adoption rates across counties. Emission factors for grid resources in the Southeastern Electric Reliability Council region were sourced from Ecoinvent 3.8, covering only operating emissions</w:t>
      </w:r>
      <w:r w:rsidR="00D5261D" w:rsidRPr="00070DF8">
        <w:rPr>
          <w:sz w:val="22"/>
          <w:szCs w:val="22"/>
        </w:rPr>
        <w:t xml:space="preserve"> </w:t>
      </w:r>
      <w:r w:rsidR="00D5261D" w:rsidRPr="00070DF8">
        <w:rPr>
          <w:sz w:val="22"/>
          <w:szCs w:val="22"/>
        </w:rPr>
        <w:fldChar w:fldCharType="begin"/>
      </w:r>
      <w:r w:rsidR="00633708">
        <w:rPr>
          <w:sz w:val="22"/>
          <w:szCs w:val="22"/>
        </w:rPr>
        <w:instrText xml:space="preserve"> ADDIN ZOTERO_ITEM CSL_CITATION {"citationID":"YCcCwZLG","properties":{"formattedCitation":"(Wernet et al., 2016)","plainCitation":"(Wernet et al., 2016)","noteIndex":0},"citationItems":[{"id":"LgjD2cAI/wPuncROa","uris":["http://zotero.org/users/local/lgQ0pm0d/items/J4EA2QEG","http://zotero.org/users/13598080/items/J4EA2QEG"],"itemData":{"id":166,"type":"article-journal","abstract":"Purpose\nGood background data are an important requirement in LCA. Practitioners generally make use of LCI databases for such data, and the ecoinvent database is the largest transparent unit-process LCI database worldwide. Since its first release in 2003, it has been continuously updated, and version 3 was published in 2013. The release of version 3 introduced several significant methodological and technological improvements, besides a large number of new and updated datasets. The aim was to expand the content of the database, set the foundation for a truly global database, support regionalized LCIA, offer multiple system models, allow for easier integration of data from different regions, and reduce maintenance efforts. This article describes the methodological developments.\nMethods\nModeling choices and raw data were separated in version 3, which enables the application of different sets of modeling choices, or system models, to the same raw data with little effort. This includes one system model for Consequential LCA. Flow properties were added to all exchanges in the database, giving more information on the inventory and allowing a fast calculation of mass and other balances. With version 3.1, the database is generally water-balanced, and water use and consumption can be determined. Consumption mixes called market datasets were consistently added to the database, and global background data was added, often as an extrapolation from regional data.\nResults and discussion\nIn combination with hundreds of new unit processes from regions outside Europe, these changes lead to an improved modeling of global supply chains, and a more realistic distribution of impacts in regionalized LCIA. The new mixes also facilitate further regionalization due to the availability of background data for all regions.\nConclusions\nWith version 3, the ecoinvent database substantially expands the goals and scopes of LCA studies it can support. The new system models allow new, different studies to be performed. Global supply chains and market datasets significantly increase the relevance of the database outside of Europe, and regionalized LCA is supported by the data. Datasets are more transparent, include more information, and support, e.g., water balances. The developments also support easier collaboration with other database initiatives, as demonstrated by a first successful collaboration with a data project in Québec. Version 3 has set the foundation for expanding ecoinvent from a mostly regional into a truly global database and offers many new insights beyond the thousands of new and updated datasets it also introduced.","container-title":"The International Journal of Life Cycle Assessment","DOI":"10.1007/s11367-016-1087-8","journalAbbreviation":"The International Journal of Life Cycle Assessment","page":"1-13","source":"ResearchGate","title":"The ecoinvent database version 3 (Part I): Overview and methodology","title-short":"The ecoinvent database version 3 (Part I)","volume":"21","author":[{"family":"Wernet","given":"Gregor"},{"family":"Bauer","given":"Christian"},{"family":"Steubing","given":"Bernhard"},{"family":"Reinhard","given":"Juergen"},{"family":"Moreno Ruiz","given":"Emilia"},{"family":"Weidema","given":"Bo"}],"issued":{"date-parts":[["2016",9,1]]}}}],"schema":"https://github.com/citation-style-language/schema/raw/master/csl-citation.json"} </w:instrText>
      </w:r>
      <w:r w:rsidR="00D5261D" w:rsidRPr="00070DF8">
        <w:rPr>
          <w:sz w:val="22"/>
          <w:szCs w:val="22"/>
        </w:rPr>
        <w:fldChar w:fldCharType="separate"/>
      </w:r>
      <w:r w:rsidR="00D5261D" w:rsidRPr="00070DF8">
        <w:rPr>
          <w:sz w:val="22"/>
          <w:szCs w:val="22"/>
        </w:rPr>
        <w:t>(Wernet et al., 2016)</w:t>
      </w:r>
      <w:r w:rsidR="00D5261D" w:rsidRPr="00070DF8">
        <w:rPr>
          <w:sz w:val="22"/>
          <w:szCs w:val="22"/>
        </w:rPr>
        <w:fldChar w:fldCharType="end"/>
      </w:r>
      <w:r w:rsidRPr="00070DF8">
        <w:rPr>
          <w:sz w:val="22"/>
          <w:szCs w:val="22"/>
        </w:rPr>
        <w:t>. Total power generation capacity for each EPR was determined using the U.S. Energy Atlas, which maps energy infrastructure and resources nationwide</w:t>
      </w:r>
      <w:r w:rsidR="007966D4" w:rsidRPr="00070DF8">
        <w:rPr>
          <w:sz w:val="22"/>
          <w:szCs w:val="22"/>
        </w:rPr>
        <w:t xml:space="preserve"> </w:t>
      </w:r>
      <w:r w:rsidR="007966D4" w:rsidRPr="00070DF8">
        <w:rPr>
          <w:sz w:val="22"/>
          <w:szCs w:val="22"/>
        </w:rPr>
        <w:fldChar w:fldCharType="begin"/>
      </w:r>
      <w:r w:rsidR="003677C9" w:rsidRPr="00070DF8">
        <w:rPr>
          <w:sz w:val="22"/>
          <w:szCs w:val="22"/>
        </w:rPr>
        <w:instrText xml:space="preserve"> ADDIN ZOTERO_ITEM CSL_CITATION {"citationID":"JOwawu2j","properties":{"formattedCitation":"(U.S. Energy Atlas, 2023b)","plainCitation":"(U.S. Energy Atlas, 2023b)","noteIndex":0},"citationItems":[{"id":151,"uris":["http://zotero.org/users/local/lgQ0pm0d/items/7HVBVZ8W","http://zotero.org/users/13598080/items/7HVBVZ8W"],"itemData":{"id":151,"type":"webpage","abstract":"This map includes all energy infrastructure and resources layers.","language":"en-us","title":"All Energy Infrastructure and Resources","URL":"https://atlas.eia.gov/apps/5039a1a01ec34b6bbf0ab4fd57da5eb4/explore","author":[{"family":"U.S. Energy Atlas","given":""}],"accessed":{"date-parts":[["2024",1,6]]},"issued":{"date-parts":[["2023",4,20]]}}}],"schema":"https://github.com/citation-style-language/schema/raw/master/csl-citation.json"} </w:instrText>
      </w:r>
      <w:r w:rsidR="007966D4" w:rsidRPr="00070DF8">
        <w:rPr>
          <w:sz w:val="22"/>
          <w:szCs w:val="22"/>
        </w:rPr>
        <w:fldChar w:fldCharType="separate"/>
      </w:r>
      <w:r w:rsidR="003677C9" w:rsidRPr="00070DF8">
        <w:rPr>
          <w:sz w:val="22"/>
          <w:szCs w:val="22"/>
        </w:rPr>
        <w:t>(U.S. Energy Atlas, 2023b)</w:t>
      </w:r>
      <w:r w:rsidR="007966D4" w:rsidRPr="00070DF8">
        <w:rPr>
          <w:sz w:val="22"/>
          <w:szCs w:val="22"/>
        </w:rPr>
        <w:fldChar w:fldCharType="end"/>
      </w:r>
      <w:r w:rsidRPr="00070DF8">
        <w:rPr>
          <w:sz w:val="22"/>
          <w:szCs w:val="22"/>
        </w:rPr>
        <w:t>.</w:t>
      </w:r>
    </w:p>
    <w:p w14:paraId="0A88B438" w14:textId="067FD24B" w:rsidR="008F5A56" w:rsidRPr="00070DF8" w:rsidRDefault="008F5A56" w:rsidP="00633708">
      <w:pPr>
        <w:pStyle w:val="Caption"/>
      </w:pPr>
      <w:r w:rsidRPr="00070DF8">
        <w:lastRenderedPageBreak/>
        <w:t>Figure 2.</w:t>
      </w:r>
    </w:p>
    <w:p w14:paraId="41A5BC39" w14:textId="0E32AA68" w:rsidR="006458A1" w:rsidRPr="00633708" w:rsidRDefault="008F5A56" w:rsidP="00633708">
      <w:pPr>
        <w:pStyle w:val="captiontext"/>
      </w:pPr>
      <w:r w:rsidRPr="00633708">
        <w:t>Average electricity mix in Florida from 2024 to 2050.</w:t>
      </w:r>
      <w:r w:rsidR="001C1FDD" w:rsidRPr="00633708">
        <w:t xml:space="preserve"> </w:t>
      </w:r>
    </w:p>
    <w:p w14:paraId="14A3947E" w14:textId="5F4DAAFE" w:rsidR="008F5A56" w:rsidRPr="00070DF8" w:rsidRDefault="001C1FDD" w:rsidP="00633708">
      <w:pPr>
        <w:pStyle w:val="captiontext"/>
        <w:rPr>
          <w:rFonts w:eastAsia="Times New Roman"/>
        </w:rPr>
      </w:pPr>
      <w:r w:rsidRPr="00AF0793">
        <w:rPr>
          <w:noProof/>
        </w:rPr>
        <w:drawing>
          <wp:inline distT="0" distB="0" distL="0" distR="0" wp14:anchorId="691E1D74" wp14:editId="05C813F2">
            <wp:extent cx="5486400" cy="2752253"/>
            <wp:effectExtent l="0" t="0" r="0" b="0"/>
            <wp:docPr id="1052956167" name="Picture 1052956167" descr="A graph showing different colors of the same col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56167" name="Picture 1052956167" descr="A graph showing different colors of the same colo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486400" cy="2752253"/>
                    </a:xfrm>
                    <a:prstGeom prst="rect">
                      <a:avLst/>
                    </a:prstGeom>
                  </pic:spPr>
                </pic:pic>
              </a:graphicData>
            </a:graphic>
          </wp:inline>
        </w:drawing>
      </w:r>
    </w:p>
    <w:p w14:paraId="24E4C4D7" w14:textId="68C1788E" w:rsidR="00F6604D" w:rsidRPr="00633708" w:rsidRDefault="00F6604D" w:rsidP="00633708">
      <w:pPr>
        <w:pStyle w:val="captiontext"/>
      </w:pPr>
      <w:r w:rsidRPr="00633708">
        <w:t>Note: photovoltaics (PV); natural gas combined cycle (Gas-cc); natural gas combustion turbine (Gas-</w:t>
      </w:r>
      <w:proofErr w:type="spellStart"/>
      <w:r w:rsidRPr="00633708">
        <w:t>ct</w:t>
      </w:r>
      <w:proofErr w:type="spellEnd"/>
      <w:r w:rsidRPr="00633708">
        <w:t>)</w:t>
      </w:r>
      <w:r w:rsidR="008D5003" w:rsidRPr="00633708">
        <w:t>.</w:t>
      </w:r>
    </w:p>
    <w:p w14:paraId="776037A1" w14:textId="18C66C14" w:rsidR="00F6604D" w:rsidRPr="00070DF8" w:rsidRDefault="00F6604D" w:rsidP="00070DF8">
      <w:pPr>
        <w:pStyle w:val="captiontext"/>
        <w:ind w:left="0" w:firstLine="720"/>
        <w:rPr>
          <w:rFonts w:eastAsia="Times New Roman"/>
        </w:rPr>
      </w:pPr>
      <w:r w:rsidRPr="00070DF8">
        <w:rPr>
          <w:i w:val="0"/>
          <w:iCs w:val="0"/>
        </w:rPr>
        <w:t>H</w:t>
      </w:r>
      <w:r w:rsidRPr="00070DF8">
        <w:rPr>
          <w:rFonts w:eastAsia="Times New Roman"/>
          <w:i w:val="0"/>
          <w:iCs w:val="0"/>
        </w:rPr>
        <w:t>ourly grid mixes were coupled with the hourly charging schedules to assess emissions. For the counties in this study, the EPRs with operational emissions located within the counties included biomass, gas-cc, and gas-</w:t>
      </w:r>
      <w:proofErr w:type="spellStart"/>
      <w:r w:rsidRPr="00070DF8">
        <w:rPr>
          <w:rFonts w:eastAsia="Times New Roman"/>
          <w:i w:val="0"/>
          <w:iCs w:val="0"/>
        </w:rPr>
        <w:t>ct</w:t>
      </w:r>
      <w:proofErr w:type="spellEnd"/>
      <w:r w:rsidR="007966D4" w:rsidRPr="00070DF8">
        <w:rPr>
          <w:rFonts w:eastAsia="Times New Roman"/>
          <w:i w:val="0"/>
          <w:iCs w:val="0"/>
        </w:rPr>
        <w:t xml:space="preserve"> </w:t>
      </w:r>
      <w:r w:rsidR="007966D4" w:rsidRPr="00070DF8">
        <w:rPr>
          <w:rFonts w:eastAsia="Times New Roman"/>
          <w:i w:val="0"/>
          <w:iCs w:val="0"/>
        </w:rPr>
        <w:fldChar w:fldCharType="begin"/>
      </w:r>
      <w:r w:rsidR="00633708">
        <w:rPr>
          <w:rFonts w:eastAsia="Times New Roman"/>
          <w:i w:val="0"/>
          <w:iCs w:val="0"/>
        </w:rPr>
        <w:instrText xml:space="preserve"> ADDIN ZOTERO_ITEM CSL_CITATION {"citationID":"8bLF9h98","properties":{"formattedCitation":"(Gagnon et al., 2023)","plainCitation":"(Gagnon et al., 2023)","noteIndex":0},"citationItems":[{"id":"LgjD2cAI/RmWejxjr","uris":["http://zotero.org/users/13598080/items/2ALXWRKY"],"itemData":{"id":158,"type":"report","language":"en","note":"DOI: 10.2172/1915250","number":"NREL/TP-6A40-84916, 1915250, MainId:85689","page":"NREL/TP-6A40-84916, 1915250, MainId:85689","source":"DOI.org (Crossref)","title":"Cambium 2022 Scenario Descriptions and Documentation","URL":"https://www.osti.gov/servlets/purl/1915250/","author":[{"family":"Gagnon","given":"Pieter"},{"family":"Cowiestoll","given":"Brady"},{"family":"Schwarz","given":"Marty"}],"accessed":{"date-parts":[["2024",1,6]]},"issued":{"date-parts":[["2023",1,1]]}}}],"schema":"https://github.com/citation-style-language/schema/raw/master/csl-citation.json"} </w:instrText>
      </w:r>
      <w:r w:rsidR="007966D4" w:rsidRPr="00070DF8">
        <w:rPr>
          <w:rFonts w:eastAsia="Times New Roman"/>
          <w:i w:val="0"/>
          <w:iCs w:val="0"/>
        </w:rPr>
        <w:fldChar w:fldCharType="separate"/>
      </w:r>
      <w:r w:rsidR="007966D4" w:rsidRPr="00070DF8">
        <w:t>(Gagnon et al., 2023)</w:t>
      </w:r>
      <w:r w:rsidR="007966D4" w:rsidRPr="00070DF8">
        <w:rPr>
          <w:rFonts w:eastAsia="Times New Roman"/>
          <w:i w:val="0"/>
          <w:iCs w:val="0"/>
        </w:rPr>
        <w:fldChar w:fldCharType="end"/>
      </w:r>
      <w:r w:rsidRPr="00070DF8">
        <w:rPr>
          <w:rFonts w:eastAsia="Times New Roman"/>
          <w:i w:val="0"/>
          <w:iCs w:val="0"/>
        </w:rPr>
        <w:t>. The Florida electricity mix was then used to predict electricity emissions within each county due to EV charging. An electricity factor for each county was computed to estimate the energy generation from the counties’ EPRs.</w:t>
      </w:r>
    </w:p>
    <w:p w14:paraId="41431F4A" w14:textId="061B3DE3" w:rsidR="00F6604D" w:rsidRPr="00070DF8" w:rsidRDefault="00F6604D" w:rsidP="008D4296">
      <w:pPr>
        <w:ind w:left="0" w:right="0" w:firstLine="720"/>
        <w:rPr>
          <w:rFonts w:eastAsia="Times New Roman"/>
          <w:sz w:val="22"/>
          <w:szCs w:val="22"/>
        </w:rPr>
      </w:pPr>
      <w:r w:rsidRPr="00070DF8">
        <w:rPr>
          <w:sz w:val="22"/>
          <w:szCs w:val="22"/>
        </w:rPr>
        <w:t xml:space="preserve">The electricity factor relates vehicle travel to the total electricity generation per county relative to the state total, assuming each county adopts EVs at the same rate. Emissions factors for various grid resources in the Southeastern Electric Reliability Council region were obtained from Ecoinvent 3.8, encompassing only operating emissions </w:t>
      </w:r>
      <w:r w:rsidRPr="00070DF8">
        <w:rPr>
          <w:sz w:val="22"/>
          <w:szCs w:val="22"/>
        </w:rPr>
        <w:fldChar w:fldCharType="begin"/>
      </w:r>
      <w:r w:rsidR="00633708">
        <w:rPr>
          <w:sz w:val="22"/>
          <w:szCs w:val="22"/>
        </w:rPr>
        <w:instrText xml:space="preserve"> ADDIN ZOTERO_ITEM CSL_CITATION {"citationID":"DwirBn9b","properties":{"formattedCitation":"(Wernet et al., 2016)","plainCitation":"(Wernet et al., 2016)","noteIndex":0},"citationItems":[{"id":"LgjD2cAI/wPuncROa","uris":["http://zotero.org/users/local/lgQ0pm0d/items/J4EA2QEG","http://zotero.org/users/13598080/items/J4EA2QEG"],"itemData":{"id":166,"type":"article-journal","abstract":"Purpose\nGood background data are an important requirement in LCA. Practitioners generally make use of LCI databases for such data, and the ecoinvent database is the largest transparent unit-process LCI database worldwide. Since its first release in 2003, it has been continuously updated, and version 3 was published in 2013. The release of version 3 introduced several significant methodological and technological improvements, besides a large number of new and updated datasets. The aim was to expand the content of the database, set the foundation for a truly global database, support regionalized LCIA, offer multiple system models, allow for easier integration of data from different regions, and reduce maintenance efforts. This article describes the methodological developments.\nMethods\nModeling choices and raw data were separated in version 3, which enables the application of different sets of modeling choices, or system models, to the same raw data with little effort. This includes one system model for Consequential LCA. Flow properties were added to all exchanges in the database, giving more information on the inventory and allowing a fast calculation of mass and other balances. With version 3.1, the database is generally water-balanced, and water use and consumption can be determined. Consumption mixes called market datasets were consistently added to the database, and global background data was added, often as an extrapolation from regional data.\nResults and discussion\nIn combination with hundreds of new unit processes from regions outside Europe, these changes lead to an improved modeling of global supply chains, and a more realistic distribution of impacts in regionalized LCIA. The new mixes also facilitate further regionalization due to the availability of background data for all regions.\nConclusions\nWith version 3, the ecoinvent database substantially expands the goals and scopes of LCA studies it can support. The new system models allow new, different studies to be performed. Global supply chains and market datasets significantly increase the relevance of the database outside of Europe, and regionalized LCA is supported by the data. Datasets are more transparent, include more information, and support, e.g., water balances. The developments also support easier collaboration with other database initiatives, as demonstrated by a first successful collaboration with a data project in Québec. Version 3 has set the foundation for expanding ecoinvent from a mostly regional into a truly global database and offers many new insights beyond the thousands of new and updated datasets it also introduced.","container-title":"The International Journal of Life Cycle Assessment","DOI":"10.1007/s11367-016-1087-8","journalAbbreviation":"The International Journal of Life Cycle Assessment","page":"1-13","source":"ResearchGate","title":"The ecoinvent database version 3 (Part I): Overview and methodology","title-short":"The ecoinvent database version 3 (Part I)","volume":"21","author":[{"family":"Wernet","given":"Gregor"},{"family":"Bauer","given":"Christian"},{"family":"Steubing","given":"Bernhard"},{"family":"Reinhard","given":"Juergen"},{"family":"Moreno Ruiz","given":"Emilia"},{"family":"Weidema","given":"Bo"}],"issued":{"date-parts":[["2016",9,1]]}}}],"schema":"https://github.com/citation-style-language/schema/raw/master/csl-citation.json"} </w:instrText>
      </w:r>
      <w:r w:rsidRPr="00070DF8">
        <w:rPr>
          <w:sz w:val="22"/>
          <w:szCs w:val="22"/>
        </w:rPr>
        <w:fldChar w:fldCharType="separate"/>
      </w:r>
      <w:r w:rsidRPr="00070DF8">
        <w:rPr>
          <w:sz w:val="22"/>
          <w:szCs w:val="22"/>
        </w:rPr>
        <w:t>(Wernet et al., 2016)</w:t>
      </w:r>
      <w:r w:rsidRPr="00070DF8">
        <w:rPr>
          <w:sz w:val="22"/>
          <w:szCs w:val="22"/>
        </w:rPr>
        <w:fldChar w:fldCharType="end"/>
      </w:r>
      <w:r w:rsidRPr="00070DF8">
        <w:rPr>
          <w:sz w:val="22"/>
          <w:szCs w:val="22"/>
        </w:rPr>
        <w:t xml:space="preserve">. Total power generation capacity for each EPR was determined using the U.S. Energy Atlas which shows all energy infrastructure and resources layers within the U.S. </w:t>
      </w:r>
      <w:r w:rsidRPr="00070DF8">
        <w:rPr>
          <w:sz w:val="22"/>
          <w:szCs w:val="22"/>
        </w:rPr>
        <w:fldChar w:fldCharType="begin"/>
      </w:r>
      <w:r w:rsidR="003677C9" w:rsidRPr="00070DF8">
        <w:rPr>
          <w:sz w:val="22"/>
          <w:szCs w:val="22"/>
        </w:rPr>
        <w:instrText xml:space="preserve"> ADDIN ZOTERO_ITEM CSL_CITATION {"citationID":"7E2YN2wN","properties":{"formattedCitation":"(U.S. Energy Atlas, 2023b)","plainCitation":"(U.S. Energy Atlas, 2023b)","noteIndex":0},"citationItems":[{"id":151,"uris":["http://zotero.org/users/local/lgQ0pm0d/items/7HVBVZ8W","http://zotero.org/users/13598080/items/7HVBVZ8W"],"itemData":{"id":151,"type":"webpage","abstract":"This map includes all energy infrastructure and resources layers.","language":"en-us","title":"All Energy Infrastructure and Resources","URL":"https://atlas.eia.gov/apps/5039a1a01ec34b6bbf0ab4fd57da5eb4/explore","author":[{"family":"U.S. Energy Atlas","given":""}],"accessed":{"date-parts":[["2024",1,6]]},"issued":{"date-parts":[["2023",4,20]]}}}],"schema":"https://github.com/citation-style-language/schema/raw/master/csl-citation.json"} </w:instrText>
      </w:r>
      <w:r w:rsidRPr="00070DF8">
        <w:rPr>
          <w:sz w:val="22"/>
          <w:szCs w:val="22"/>
        </w:rPr>
        <w:fldChar w:fldCharType="separate"/>
      </w:r>
      <w:r w:rsidR="003677C9" w:rsidRPr="00070DF8">
        <w:rPr>
          <w:sz w:val="22"/>
          <w:szCs w:val="22"/>
        </w:rPr>
        <w:t xml:space="preserve">(U.S. Energy Atlas, </w:t>
      </w:r>
      <w:r w:rsidR="003677C9" w:rsidRPr="00070DF8">
        <w:rPr>
          <w:sz w:val="22"/>
          <w:szCs w:val="22"/>
        </w:rPr>
        <w:lastRenderedPageBreak/>
        <w:t>2023b)</w:t>
      </w:r>
      <w:r w:rsidRPr="00070DF8">
        <w:rPr>
          <w:sz w:val="22"/>
          <w:szCs w:val="22"/>
        </w:rPr>
        <w:fldChar w:fldCharType="end"/>
      </w:r>
      <w:r w:rsidRPr="00070DF8">
        <w:rPr>
          <w:sz w:val="22"/>
          <w:szCs w:val="22"/>
        </w:rPr>
        <w:t xml:space="preserve">. The electricity factor was calculated </w:t>
      </w:r>
      <w:r w:rsidRPr="00070DF8">
        <w:rPr>
          <w:rFonts w:eastAsia="Times New Roman"/>
          <w:sz w:val="22"/>
          <w:szCs w:val="22"/>
        </w:rPr>
        <w:t>for each county (</w:t>
      </w:r>
      <w:r w:rsidRPr="00070DF8">
        <w:rPr>
          <w:rFonts w:eastAsia="Times New Roman"/>
          <w:i/>
          <w:iCs/>
          <w:sz w:val="22"/>
          <w:szCs w:val="22"/>
        </w:rPr>
        <w:t>c</w:t>
      </w:r>
      <w:r w:rsidRPr="00070DF8">
        <w:rPr>
          <w:rFonts w:eastAsia="Times New Roman"/>
          <w:sz w:val="22"/>
          <w:szCs w:val="22"/>
        </w:rPr>
        <w:t xml:space="preserve">) with </w:t>
      </w:r>
      <w:r w:rsidRPr="00070DF8">
        <w:rPr>
          <w:rFonts w:eastAsia="Times New Roman"/>
          <w:b/>
          <w:bCs/>
          <w:sz w:val="22"/>
          <w:szCs w:val="22"/>
        </w:rPr>
        <w:t>Equation 1</w:t>
      </w:r>
      <w:r w:rsidRPr="00070DF8">
        <w:rPr>
          <w:rFonts w:eastAsia="Times New Roman"/>
          <w:sz w:val="22"/>
          <w:szCs w:val="22"/>
        </w:rPr>
        <w:t xml:space="preserve"> using the </w:t>
      </w:r>
      <w:r w:rsidRPr="00070DF8">
        <w:rPr>
          <w:rFonts w:eastAsia="Times New Roman"/>
          <w:i/>
          <w:iCs/>
          <w:sz w:val="22"/>
          <w:szCs w:val="22"/>
        </w:rPr>
        <w:t>VMT</w:t>
      </w:r>
      <w:r w:rsidRPr="00070DF8">
        <w:rPr>
          <w:rFonts w:eastAsia="Times New Roman"/>
          <w:sz w:val="22"/>
          <w:szCs w:val="22"/>
        </w:rPr>
        <w:t xml:space="preserve"> and total nameplate </w:t>
      </w:r>
      <w:r w:rsidRPr="00070DF8">
        <w:rPr>
          <w:rFonts w:eastAsia="Times New Roman"/>
          <w:i/>
          <w:iCs/>
          <w:sz w:val="22"/>
          <w:szCs w:val="22"/>
        </w:rPr>
        <w:t>capacity</w:t>
      </w:r>
      <w:r w:rsidRPr="00070DF8">
        <w:rPr>
          <w:rFonts w:eastAsia="Times New Roman"/>
          <w:sz w:val="22"/>
          <w:szCs w:val="22"/>
        </w:rPr>
        <w:t xml:space="preserve"> of each EPR in the county and state (</w:t>
      </w:r>
      <w:r w:rsidRPr="00070DF8">
        <w:rPr>
          <w:rFonts w:eastAsia="Times New Roman"/>
          <w:i/>
          <w:iCs/>
          <w:sz w:val="22"/>
          <w:szCs w:val="22"/>
        </w:rPr>
        <w:t>s</w:t>
      </w:r>
      <w:r w:rsidRPr="00070DF8">
        <w:rPr>
          <w:rFonts w:eastAsia="Times New Roman"/>
          <w:sz w:val="22"/>
          <w:szCs w:val="22"/>
        </w:rPr>
        <w:t xml:space="preserve">) from </w:t>
      </w:r>
      <w:r w:rsidRPr="00070DF8">
        <w:rPr>
          <w:rFonts w:eastAsia="Times New Roman"/>
          <w:b/>
          <w:bCs/>
          <w:sz w:val="22"/>
          <w:szCs w:val="22"/>
        </w:rPr>
        <w:t xml:space="preserve">Table </w:t>
      </w:r>
      <w:r w:rsidR="00E67091" w:rsidRPr="00070DF8">
        <w:rPr>
          <w:rFonts w:eastAsia="Times New Roman"/>
          <w:b/>
          <w:bCs/>
          <w:sz w:val="22"/>
          <w:szCs w:val="22"/>
        </w:rPr>
        <w:t>2</w:t>
      </w:r>
      <w:r w:rsidRPr="00070DF8">
        <w:rPr>
          <w:rFonts w:eastAsia="Times New Roman"/>
          <w:sz w:val="22"/>
          <w:szCs w:val="22"/>
        </w:rPr>
        <w:t>.</w:t>
      </w:r>
    </w:p>
    <w:p w14:paraId="471420D7" w14:textId="730E5BEB" w:rsidR="00F6604D" w:rsidRPr="008B24E8" w:rsidRDefault="00F6604D" w:rsidP="00633708">
      <w:pPr>
        <w:pStyle w:val="Caption"/>
        <w:rPr>
          <w:rFonts w:eastAsia="Times New Roman"/>
          <w:b w:val="0"/>
          <w:bCs/>
          <w:iCs w:val="0"/>
          <w:sz w:val="16"/>
          <w:szCs w:val="16"/>
        </w:rPr>
      </w:pPr>
      <w:r w:rsidRPr="00633708">
        <w:t xml:space="preserve">Equation </w:t>
      </w:r>
      <w:r w:rsidR="00DF5A04" w:rsidRPr="00633708">
        <w:t>1</w:t>
      </w:r>
      <w:r w:rsidRPr="00633708">
        <w:t>.</w:t>
      </w:r>
      <w:r w:rsidRPr="00070DF8">
        <w:rPr>
          <w:rFonts w:eastAsia="Times New Roman"/>
          <w:bCs/>
          <w:iCs w:val="0"/>
        </w:rPr>
        <w:t xml:space="preserve"> </w:t>
      </w:r>
      <w:r w:rsidR="00A31535" w:rsidRPr="00070DF8">
        <w:rPr>
          <w:rFonts w:eastAsia="Times New Roman"/>
          <w:bCs/>
          <w:iCs w:val="0"/>
        </w:rPr>
        <w:t xml:space="preserve"> </w:t>
      </w:r>
      <m:oMath>
        <m:sSub>
          <m:sSubPr>
            <m:ctrlPr>
              <w:rPr>
                <w:rFonts w:ascii="Cambria Math" w:hAnsi="Cambria Math"/>
                <w:b w:val="0"/>
                <w:bCs/>
              </w:rPr>
            </m:ctrlPr>
          </m:sSubPr>
          <m:e>
            <m:r>
              <m:rPr>
                <m:sty m:val="bi"/>
              </m:rPr>
              <w:rPr>
                <w:rFonts w:ascii="Cambria Math" w:hAnsi="Cambria Math"/>
              </w:rPr>
              <m:t>Electricity</m:t>
            </m:r>
            <m:r>
              <m:rPr>
                <m:sty m:val="b"/>
              </m:rPr>
              <w:rPr>
                <w:rFonts w:ascii="Cambria Math" w:hAnsi="Cambria Math"/>
              </w:rPr>
              <m:t xml:space="preserve"> </m:t>
            </m:r>
            <m:r>
              <m:rPr>
                <m:sty m:val="bi"/>
              </m:rPr>
              <w:rPr>
                <w:rFonts w:ascii="Cambria Math" w:hAnsi="Cambria Math"/>
              </w:rPr>
              <m:t>Factor</m:t>
            </m:r>
          </m:e>
          <m:sub>
            <m:r>
              <m:rPr>
                <m:sty m:val="bi"/>
              </m:rPr>
              <w:rPr>
                <w:rFonts w:ascii="Cambria Math" w:hAnsi="Cambria Math"/>
              </w:rPr>
              <m:t>c</m:t>
            </m:r>
          </m:sub>
        </m:sSub>
        <m:r>
          <m:rPr>
            <m:sty m:val="b"/>
          </m:rPr>
          <w:rPr>
            <w:rFonts w:ascii="Cambria Math" w:hAnsi="Cambria Math"/>
          </w:rPr>
          <m:t>=</m:t>
        </m:r>
        <m:f>
          <m:fPr>
            <m:ctrlPr>
              <w:rPr>
                <w:rFonts w:ascii="Cambria Math" w:hAnsi="Cambria Math"/>
                <w:b w:val="0"/>
                <w:bCs/>
              </w:rPr>
            </m:ctrlPr>
          </m:fPr>
          <m:num>
            <m:sSub>
              <m:sSubPr>
                <m:ctrlPr>
                  <w:rPr>
                    <w:rFonts w:ascii="Cambria Math" w:hAnsi="Cambria Math"/>
                    <w:b w:val="0"/>
                    <w:bCs/>
                  </w:rPr>
                </m:ctrlPr>
              </m:sSubPr>
              <m:e>
                <m:r>
                  <m:rPr>
                    <m:sty m:val="bi"/>
                  </m:rPr>
                  <w:rPr>
                    <w:rFonts w:ascii="Cambria Math" w:hAnsi="Cambria Math"/>
                  </w:rPr>
                  <m:t>VMT</m:t>
                </m:r>
              </m:e>
              <m:sub>
                <m:r>
                  <m:rPr>
                    <m:sty m:val="bi"/>
                  </m:rPr>
                  <w:rPr>
                    <w:rFonts w:ascii="Cambria Math" w:hAnsi="Cambria Math"/>
                  </w:rPr>
                  <m:t>s</m:t>
                </m:r>
              </m:sub>
            </m:sSub>
          </m:num>
          <m:den>
            <m:sSub>
              <m:sSubPr>
                <m:ctrlPr>
                  <w:rPr>
                    <w:rFonts w:ascii="Cambria Math" w:hAnsi="Cambria Math"/>
                    <w:b w:val="0"/>
                    <w:bCs/>
                  </w:rPr>
                </m:ctrlPr>
              </m:sSubPr>
              <m:e>
                <m:r>
                  <m:rPr>
                    <m:sty m:val="bi"/>
                  </m:rPr>
                  <w:rPr>
                    <w:rFonts w:ascii="Cambria Math" w:hAnsi="Cambria Math"/>
                  </w:rPr>
                  <m:t>VMT</m:t>
                </m:r>
              </m:e>
              <m:sub>
                <m:r>
                  <m:rPr>
                    <m:sty m:val="bi"/>
                  </m:rPr>
                  <w:rPr>
                    <w:rFonts w:ascii="Cambria Math" w:hAnsi="Cambria Math"/>
                  </w:rPr>
                  <m:t>c</m:t>
                </m:r>
              </m:sub>
            </m:sSub>
          </m:den>
        </m:f>
        <m:r>
          <m:rPr>
            <m:sty m:val="b"/>
          </m:rPr>
          <w:rPr>
            <w:rFonts w:ascii="Cambria Math" w:hAnsi="Cambria Math"/>
          </w:rPr>
          <m:t>×</m:t>
        </m:r>
        <m:f>
          <m:fPr>
            <m:ctrlPr>
              <w:rPr>
                <w:rFonts w:ascii="Cambria Math" w:hAnsi="Cambria Math"/>
                <w:b w:val="0"/>
                <w:bCs/>
              </w:rPr>
            </m:ctrlPr>
          </m:fPr>
          <m:num>
            <m:sSub>
              <m:sSubPr>
                <m:ctrlPr>
                  <w:rPr>
                    <w:rFonts w:ascii="Cambria Math" w:hAnsi="Cambria Math"/>
                    <w:b w:val="0"/>
                    <w:bCs/>
                  </w:rPr>
                </m:ctrlPr>
              </m:sSubPr>
              <m:e>
                <m:r>
                  <m:rPr>
                    <m:sty m:val="bi"/>
                  </m:rPr>
                  <w:rPr>
                    <w:rFonts w:ascii="Cambria Math" w:hAnsi="Cambria Math"/>
                  </w:rPr>
                  <m:t>capacity</m:t>
                </m:r>
              </m:e>
              <m:sub>
                <m:r>
                  <m:rPr>
                    <m:sty m:val="bi"/>
                  </m:rPr>
                  <w:rPr>
                    <w:rFonts w:ascii="Cambria Math" w:hAnsi="Cambria Math"/>
                  </w:rPr>
                  <m:t>c</m:t>
                </m:r>
              </m:sub>
            </m:sSub>
          </m:num>
          <m:den>
            <m:sSub>
              <m:sSubPr>
                <m:ctrlPr>
                  <w:rPr>
                    <w:rFonts w:ascii="Cambria Math" w:hAnsi="Cambria Math"/>
                    <w:b w:val="0"/>
                    <w:bCs/>
                  </w:rPr>
                </m:ctrlPr>
              </m:sSubPr>
              <m:e>
                <m:r>
                  <m:rPr>
                    <m:sty m:val="bi"/>
                  </m:rPr>
                  <w:rPr>
                    <w:rFonts w:ascii="Cambria Math" w:hAnsi="Cambria Math"/>
                  </w:rPr>
                  <m:t>capacity</m:t>
                </m:r>
              </m:e>
              <m:sub>
                <m:r>
                  <m:rPr>
                    <m:sty m:val="bi"/>
                  </m:rPr>
                  <w:rPr>
                    <w:rFonts w:ascii="Cambria Math" w:hAnsi="Cambria Math"/>
                  </w:rPr>
                  <m:t>s</m:t>
                </m:r>
              </m:sub>
            </m:sSub>
          </m:den>
        </m:f>
      </m:oMath>
    </w:p>
    <w:p w14:paraId="6B189AFF" w14:textId="77777777" w:rsidR="008B24E8" w:rsidRPr="00633708" w:rsidRDefault="00F6604D" w:rsidP="00633708">
      <w:pPr>
        <w:pStyle w:val="Caption"/>
      </w:pPr>
      <w:r w:rsidRPr="00633708">
        <w:t xml:space="preserve">Table </w:t>
      </w:r>
      <w:r w:rsidR="00DF5A04" w:rsidRPr="00633708">
        <w:t>2</w:t>
      </w:r>
      <w:r w:rsidRPr="00633708">
        <w:t>.</w:t>
      </w:r>
    </w:p>
    <w:p w14:paraId="359781AE" w14:textId="53BF4075" w:rsidR="00F6604D" w:rsidRPr="00070DF8" w:rsidRDefault="00F6604D" w:rsidP="00633708">
      <w:pPr>
        <w:pStyle w:val="captiontext"/>
      </w:pPr>
      <w:r w:rsidRPr="00070DF8">
        <w:t>County and state vehicle miles traveled (VMT) and nameplate capacity of electric generation resources.</w:t>
      </w:r>
    </w:p>
    <w:tbl>
      <w:tblPr>
        <w:tblStyle w:val="PlainTable5"/>
        <w:tblW w:w="10624" w:type="dxa"/>
        <w:jc w:val="center"/>
        <w:tblLook w:val="04A0" w:firstRow="1" w:lastRow="0" w:firstColumn="1" w:lastColumn="0" w:noHBand="0" w:noVBand="1"/>
      </w:tblPr>
      <w:tblGrid>
        <w:gridCol w:w="1800"/>
        <w:gridCol w:w="1800"/>
        <w:gridCol w:w="1530"/>
        <w:gridCol w:w="2070"/>
        <w:gridCol w:w="1800"/>
        <w:gridCol w:w="1624"/>
      </w:tblGrid>
      <w:tr w:rsidR="00821944" w:rsidRPr="00070DF8" w14:paraId="056292A9" w14:textId="77777777" w:rsidTr="008D429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00" w:type="dxa"/>
          </w:tcPr>
          <w:p w14:paraId="7F6D5F88" w14:textId="2340A4F3"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Calibri" w:hAnsi="Times New Roman" w:cs="Times New Roman"/>
              </w:rPr>
              <w:t>Input</w:t>
            </w:r>
          </w:p>
        </w:tc>
        <w:tc>
          <w:tcPr>
            <w:tcW w:w="1800" w:type="dxa"/>
          </w:tcPr>
          <w:p w14:paraId="21F6D2B4" w14:textId="0204C4DD"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Calibri" w:hAnsi="Times New Roman" w:cs="Times New Roman"/>
              </w:rPr>
              <w:t>Broward County</w:t>
            </w:r>
          </w:p>
        </w:tc>
        <w:tc>
          <w:tcPr>
            <w:tcW w:w="1530" w:type="dxa"/>
          </w:tcPr>
          <w:p w14:paraId="14FE0541" w14:textId="0C0109CF"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Calibri" w:hAnsi="Times New Roman" w:cs="Times New Roman"/>
              </w:rPr>
              <w:t>Collier County</w:t>
            </w:r>
          </w:p>
        </w:tc>
        <w:tc>
          <w:tcPr>
            <w:tcW w:w="2070" w:type="dxa"/>
          </w:tcPr>
          <w:p w14:paraId="701C5B7D" w14:textId="7E6893F2"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Calibri" w:hAnsi="Times New Roman" w:cs="Times New Roman"/>
              </w:rPr>
              <w:t xml:space="preserve">Miami-Dade </w:t>
            </w:r>
            <w:r w:rsidR="008D4296">
              <w:rPr>
                <w:rFonts w:ascii="Times New Roman" w:eastAsia="Calibri" w:hAnsi="Times New Roman" w:cs="Times New Roman"/>
              </w:rPr>
              <w:t>C</w:t>
            </w:r>
            <w:r w:rsidRPr="00070DF8">
              <w:rPr>
                <w:rFonts w:ascii="Times New Roman" w:eastAsia="Calibri" w:hAnsi="Times New Roman" w:cs="Times New Roman"/>
              </w:rPr>
              <w:t>ounty</w:t>
            </w:r>
          </w:p>
        </w:tc>
        <w:tc>
          <w:tcPr>
            <w:tcW w:w="1800" w:type="dxa"/>
          </w:tcPr>
          <w:p w14:paraId="0AEEB230" w14:textId="623A7711"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Calibri" w:hAnsi="Times New Roman" w:cs="Times New Roman"/>
              </w:rPr>
              <w:t>Monroe County</w:t>
            </w:r>
          </w:p>
        </w:tc>
        <w:tc>
          <w:tcPr>
            <w:tcW w:w="1624" w:type="dxa"/>
          </w:tcPr>
          <w:p w14:paraId="0236A4F2" w14:textId="77F6B7AD"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Calibri" w:hAnsi="Times New Roman" w:cs="Times New Roman"/>
              </w:rPr>
              <w:t>Florida</w:t>
            </w:r>
          </w:p>
        </w:tc>
      </w:tr>
      <w:tr w:rsidR="00821944" w:rsidRPr="00070DF8" w14:paraId="2E40581E" w14:textId="77777777" w:rsidTr="008D4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31A12075" w14:textId="2E6468D8"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Calibri" w:hAnsi="Times New Roman" w:cs="Times New Roman"/>
              </w:rPr>
              <w:t>VMT per year</w:t>
            </w:r>
          </w:p>
        </w:tc>
        <w:tc>
          <w:tcPr>
            <w:tcW w:w="1800" w:type="dxa"/>
          </w:tcPr>
          <w:p w14:paraId="0D6708C8" w14:textId="22AD2311" w:rsidR="00821944" w:rsidRPr="00070DF8" w:rsidRDefault="00B019CE"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1.76</w:t>
            </w:r>
            <w:r w:rsidR="00AB7DF0" w:rsidRPr="00070DF8">
              <w:rPr>
                <w:rFonts w:eastAsia="Times New Roman"/>
              </w:rPr>
              <w:t xml:space="preserve"> </w:t>
            </w:r>
            <w:r w:rsidR="00D659FB" w:rsidRPr="00070DF8">
              <w:rPr>
                <w:rFonts w:eastAsia="Times New Roman"/>
              </w:rPr>
              <w:t>×10</w:t>
            </w:r>
            <w:r w:rsidR="00D659FB" w:rsidRPr="00070DF8">
              <w:rPr>
                <w:rFonts w:eastAsia="Times New Roman"/>
                <w:vertAlign w:val="superscript"/>
              </w:rPr>
              <w:t>10</w:t>
            </w:r>
            <w:r w:rsidR="00801523" w:rsidRPr="00070DF8">
              <w:rPr>
                <w:rFonts w:eastAsia="Times New Roman"/>
                <w:vertAlign w:val="superscript"/>
              </w:rPr>
              <w:t xml:space="preserve"> </w:t>
            </w:r>
            <w:r w:rsidR="00801523" w:rsidRPr="00070DF8">
              <w:rPr>
                <w:rFonts w:eastAsia="Times New Roman"/>
              </w:rPr>
              <w:t>(a)</w:t>
            </w:r>
          </w:p>
        </w:tc>
        <w:tc>
          <w:tcPr>
            <w:tcW w:w="1530" w:type="dxa"/>
          </w:tcPr>
          <w:p w14:paraId="44C8948B" w14:textId="2AA6E7C7" w:rsidR="00821944" w:rsidRPr="00070DF8" w:rsidRDefault="00D659FB"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3.88</w:t>
            </w:r>
            <w:r w:rsidR="0054196B" w:rsidRPr="00070DF8">
              <w:rPr>
                <w:rFonts w:eastAsia="Times New Roman"/>
              </w:rPr>
              <w:t>×10</w:t>
            </w:r>
            <w:r w:rsidR="0054196B" w:rsidRPr="00070DF8">
              <w:rPr>
                <w:rFonts w:eastAsia="Times New Roman"/>
                <w:vertAlign w:val="superscript"/>
              </w:rPr>
              <w:t>9</w:t>
            </w:r>
            <w:r w:rsidR="00801523" w:rsidRPr="00070DF8">
              <w:rPr>
                <w:rFonts w:eastAsia="Times New Roman"/>
                <w:vertAlign w:val="superscript"/>
              </w:rPr>
              <w:t xml:space="preserve"> </w:t>
            </w:r>
            <w:r w:rsidR="00801523" w:rsidRPr="00070DF8">
              <w:rPr>
                <w:rFonts w:eastAsia="Times New Roman"/>
              </w:rPr>
              <w:t>(a)</w:t>
            </w:r>
          </w:p>
        </w:tc>
        <w:tc>
          <w:tcPr>
            <w:tcW w:w="2070" w:type="dxa"/>
          </w:tcPr>
          <w:p w14:paraId="5DF77D50" w14:textId="59E530BC" w:rsidR="00821944" w:rsidRPr="00070DF8" w:rsidRDefault="0054196B"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2.04 ×10</w:t>
            </w:r>
            <w:r w:rsidRPr="00070DF8">
              <w:rPr>
                <w:rFonts w:eastAsia="Times New Roman"/>
                <w:vertAlign w:val="superscript"/>
              </w:rPr>
              <w:t>10</w:t>
            </w:r>
            <w:r w:rsidR="00801523" w:rsidRPr="00070DF8">
              <w:rPr>
                <w:rFonts w:eastAsia="Times New Roman"/>
                <w:vertAlign w:val="superscript"/>
              </w:rPr>
              <w:t xml:space="preserve"> </w:t>
            </w:r>
            <w:r w:rsidR="00801523" w:rsidRPr="00070DF8">
              <w:rPr>
                <w:rFonts w:eastAsia="Times New Roman"/>
              </w:rPr>
              <w:t>(a)</w:t>
            </w:r>
          </w:p>
        </w:tc>
        <w:tc>
          <w:tcPr>
            <w:tcW w:w="1800" w:type="dxa"/>
          </w:tcPr>
          <w:p w14:paraId="7A8F3BED" w14:textId="2D5A811B" w:rsidR="00821944" w:rsidRPr="00070DF8" w:rsidRDefault="00A662DE"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1.13 ×10</w:t>
            </w:r>
            <w:r w:rsidRPr="00070DF8">
              <w:rPr>
                <w:rFonts w:eastAsia="Times New Roman"/>
                <w:vertAlign w:val="superscript"/>
              </w:rPr>
              <w:t>9</w:t>
            </w:r>
            <w:r w:rsidR="00801523" w:rsidRPr="00070DF8">
              <w:rPr>
                <w:rFonts w:eastAsia="Times New Roman"/>
                <w:vertAlign w:val="superscript"/>
              </w:rPr>
              <w:t xml:space="preserve"> </w:t>
            </w:r>
            <w:r w:rsidR="00801523" w:rsidRPr="00070DF8">
              <w:rPr>
                <w:rFonts w:eastAsia="Times New Roman"/>
              </w:rPr>
              <w:t>(a)</w:t>
            </w:r>
          </w:p>
        </w:tc>
        <w:tc>
          <w:tcPr>
            <w:tcW w:w="1624" w:type="dxa"/>
          </w:tcPr>
          <w:p w14:paraId="63FAF971" w14:textId="14A45797" w:rsidR="00FE3C25" w:rsidRPr="00070DF8" w:rsidRDefault="00BE0D69"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2.26</w:t>
            </w:r>
            <w:r w:rsidR="00FE3C25" w:rsidRPr="00070DF8">
              <w:rPr>
                <w:rFonts w:eastAsia="Times New Roman"/>
              </w:rPr>
              <w:t xml:space="preserve"> ×10</w:t>
            </w:r>
            <w:r w:rsidRPr="00070DF8">
              <w:rPr>
                <w:rFonts w:eastAsia="Times New Roman"/>
                <w:vertAlign w:val="superscript"/>
              </w:rPr>
              <w:t>11</w:t>
            </w:r>
            <w:r w:rsidR="00801523" w:rsidRPr="00070DF8">
              <w:rPr>
                <w:rFonts w:eastAsia="Times New Roman"/>
                <w:vertAlign w:val="superscript"/>
              </w:rPr>
              <w:t xml:space="preserve"> </w:t>
            </w:r>
            <w:r w:rsidR="00801523" w:rsidRPr="00070DF8">
              <w:rPr>
                <w:rFonts w:eastAsia="Times New Roman"/>
              </w:rPr>
              <w:t>(a)</w:t>
            </w:r>
          </w:p>
        </w:tc>
      </w:tr>
      <w:tr w:rsidR="00821944" w:rsidRPr="00070DF8" w14:paraId="17AA2FC5" w14:textId="77777777" w:rsidTr="008D4296">
        <w:trPr>
          <w:jc w:val="center"/>
        </w:trPr>
        <w:tc>
          <w:tcPr>
            <w:cnfStyle w:val="001000000000" w:firstRow="0" w:lastRow="0" w:firstColumn="1" w:lastColumn="0" w:oddVBand="0" w:evenVBand="0" w:oddHBand="0" w:evenHBand="0" w:firstRowFirstColumn="0" w:firstRowLastColumn="0" w:lastRowFirstColumn="0" w:lastRowLastColumn="0"/>
            <w:tcW w:w="1800" w:type="dxa"/>
          </w:tcPr>
          <w:p w14:paraId="7581383C" w14:textId="5D16E87B"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Calibri" w:hAnsi="Times New Roman" w:cs="Times New Roman"/>
              </w:rPr>
              <w:t>Gas-cc capacity</w:t>
            </w:r>
          </w:p>
        </w:tc>
        <w:tc>
          <w:tcPr>
            <w:tcW w:w="1800" w:type="dxa"/>
          </w:tcPr>
          <w:p w14:paraId="79573E9E" w14:textId="7C9EAFB8" w:rsidR="0028765A" w:rsidRPr="00070DF8" w:rsidRDefault="00AB2F49"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1</w:t>
            </w:r>
            <w:r w:rsidR="0028765A" w:rsidRPr="00070DF8">
              <w:rPr>
                <w:rFonts w:eastAsia="Times New Roman"/>
              </w:rPr>
              <w:t>4896.2</w:t>
            </w:r>
            <w:r w:rsidR="00FE570F" w:rsidRPr="00070DF8">
              <w:rPr>
                <w:rFonts w:eastAsia="Times New Roman"/>
              </w:rPr>
              <w:t xml:space="preserve"> </w:t>
            </w:r>
            <w:r w:rsidR="00801523" w:rsidRPr="00070DF8">
              <w:rPr>
                <w:rFonts w:eastAsia="Times New Roman"/>
              </w:rPr>
              <w:t>(b)</w:t>
            </w:r>
          </w:p>
        </w:tc>
        <w:tc>
          <w:tcPr>
            <w:tcW w:w="1530" w:type="dxa"/>
          </w:tcPr>
          <w:p w14:paraId="230A3819" w14:textId="22EDE7D8" w:rsidR="00821944" w:rsidRPr="00070DF8" w:rsidRDefault="0028765A"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w:t>
            </w:r>
            <w:r w:rsidR="00801523" w:rsidRPr="00070DF8">
              <w:rPr>
                <w:rFonts w:eastAsia="Times New Roman"/>
              </w:rPr>
              <w:t xml:space="preserve"> (b)</w:t>
            </w:r>
          </w:p>
        </w:tc>
        <w:tc>
          <w:tcPr>
            <w:tcW w:w="2070" w:type="dxa"/>
          </w:tcPr>
          <w:p w14:paraId="5A16E4EE" w14:textId="1956A8F2" w:rsidR="00821944" w:rsidRPr="00070DF8" w:rsidRDefault="0028765A"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w:t>
            </w:r>
            <w:r w:rsidR="00801523" w:rsidRPr="00070DF8">
              <w:rPr>
                <w:rFonts w:eastAsia="Times New Roman"/>
              </w:rPr>
              <w:t xml:space="preserve"> (b)</w:t>
            </w:r>
          </w:p>
        </w:tc>
        <w:tc>
          <w:tcPr>
            <w:tcW w:w="1800" w:type="dxa"/>
          </w:tcPr>
          <w:p w14:paraId="3B597419" w14:textId="77457523" w:rsidR="00821944" w:rsidRPr="00070DF8" w:rsidRDefault="00FF48EE"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w:t>
            </w:r>
            <w:r w:rsidR="00801523" w:rsidRPr="00070DF8">
              <w:rPr>
                <w:rFonts w:eastAsia="Times New Roman"/>
              </w:rPr>
              <w:t xml:space="preserve"> (b)</w:t>
            </w:r>
          </w:p>
        </w:tc>
        <w:tc>
          <w:tcPr>
            <w:tcW w:w="1624" w:type="dxa"/>
          </w:tcPr>
          <w:p w14:paraId="71C7C3A9" w14:textId="690ADE9B" w:rsidR="00821944" w:rsidRPr="00070DF8" w:rsidRDefault="00D04AD3"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53942.6</w:t>
            </w:r>
            <w:r w:rsidR="007F2F2F" w:rsidRPr="00070DF8">
              <w:rPr>
                <w:rFonts w:eastAsia="Times New Roman"/>
              </w:rPr>
              <w:t xml:space="preserve"> </w:t>
            </w:r>
            <w:r w:rsidR="0098578F" w:rsidRPr="00070DF8">
              <w:rPr>
                <w:rFonts w:eastAsia="Times New Roman"/>
              </w:rPr>
              <w:t>(c)</w:t>
            </w:r>
          </w:p>
        </w:tc>
      </w:tr>
      <w:tr w:rsidR="00821944" w:rsidRPr="00070DF8" w14:paraId="64062D63" w14:textId="77777777" w:rsidTr="008D42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tcPr>
          <w:p w14:paraId="76F75854" w14:textId="52E1917F"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Calibri" w:hAnsi="Times New Roman" w:cs="Times New Roman"/>
              </w:rPr>
              <w:t>Gas-</w:t>
            </w:r>
            <w:proofErr w:type="spellStart"/>
            <w:r w:rsidRPr="00070DF8">
              <w:rPr>
                <w:rFonts w:ascii="Times New Roman" w:eastAsia="Calibri" w:hAnsi="Times New Roman" w:cs="Times New Roman"/>
              </w:rPr>
              <w:t>ct</w:t>
            </w:r>
            <w:proofErr w:type="spellEnd"/>
            <w:r w:rsidRPr="00070DF8">
              <w:rPr>
                <w:rFonts w:ascii="Times New Roman" w:eastAsia="Calibri" w:hAnsi="Times New Roman" w:cs="Times New Roman"/>
              </w:rPr>
              <w:t xml:space="preserve"> capacity</w:t>
            </w:r>
          </w:p>
        </w:tc>
        <w:tc>
          <w:tcPr>
            <w:tcW w:w="1800" w:type="dxa"/>
          </w:tcPr>
          <w:p w14:paraId="0A047E76" w14:textId="68580E58" w:rsidR="00821944" w:rsidRPr="00070DF8" w:rsidRDefault="0028765A"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1215.9</w:t>
            </w:r>
            <w:r w:rsidR="00792DE7" w:rsidRPr="00070DF8">
              <w:rPr>
                <w:rFonts w:eastAsia="Times New Roman"/>
              </w:rPr>
              <w:t xml:space="preserve"> (b)</w:t>
            </w:r>
          </w:p>
        </w:tc>
        <w:tc>
          <w:tcPr>
            <w:tcW w:w="1530" w:type="dxa"/>
          </w:tcPr>
          <w:p w14:paraId="697436BA" w14:textId="33EB88CD" w:rsidR="00821944" w:rsidRPr="00070DF8" w:rsidRDefault="0028765A"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w:t>
            </w:r>
            <w:r w:rsidR="00792DE7" w:rsidRPr="00070DF8">
              <w:rPr>
                <w:rFonts w:eastAsia="Times New Roman"/>
              </w:rPr>
              <w:t xml:space="preserve"> (b)</w:t>
            </w:r>
          </w:p>
        </w:tc>
        <w:tc>
          <w:tcPr>
            <w:tcW w:w="2070" w:type="dxa"/>
          </w:tcPr>
          <w:p w14:paraId="2A6470D0" w14:textId="05F65AC5" w:rsidR="00821944" w:rsidRPr="00070DF8" w:rsidRDefault="0028765A"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w:t>
            </w:r>
            <w:r w:rsidR="00634E02" w:rsidRPr="00070DF8">
              <w:rPr>
                <w:rFonts w:eastAsia="Times New Roman"/>
              </w:rPr>
              <w:t xml:space="preserve"> (b)</w:t>
            </w:r>
          </w:p>
        </w:tc>
        <w:tc>
          <w:tcPr>
            <w:tcW w:w="1800" w:type="dxa"/>
          </w:tcPr>
          <w:p w14:paraId="6A489CF9" w14:textId="73692EC7" w:rsidR="00821944" w:rsidRPr="00070DF8" w:rsidRDefault="00FF48EE"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0</w:t>
            </w:r>
            <w:r w:rsidR="00634E02" w:rsidRPr="00070DF8">
              <w:rPr>
                <w:rFonts w:eastAsia="Times New Roman"/>
              </w:rPr>
              <w:t xml:space="preserve"> (b)</w:t>
            </w:r>
          </w:p>
        </w:tc>
        <w:tc>
          <w:tcPr>
            <w:tcW w:w="1624" w:type="dxa"/>
          </w:tcPr>
          <w:p w14:paraId="7EBAEC3F" w14:textId="4DEA31E5" w:rsidR="00821944" w:rsidRPr="00070DF8" w:rsidRDefault="00D04AD3"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rPr>
            </w:pPr>
            <w:r w:rsidRPr="00070DF8">
              <w:rPr>
                <w:rFonts w:eastAsia="Times New Roman"/>
              </w:rPr>
              <w:t>53942.6</w:t>
            </w:r>
            <w:r w:rsidR="0098578F" w:rsidRPr="00070DF8">
              <w:rPr>
                <w:rFonts w:eastAsia="Times New Roman"/>
              </w:rPr>
              <w:t xml:space="preserve"> (c)</w:t>
            </w:r>
          </w:p>
        </w:tc>
      </w:tr>
      <w:tr w:rsidR="00821944" w:rsidRPr="00070DF8" w14:paraId="582F6D23" w14:textId="77777777" w:rsidTr="008D4296">
        <w:trPr>
          <w:jc w:val="center"/>
        </w:trPr>
        <w:tc>
          <w:tcPr>
            <w:cnfStyle w:val="001000000000" w:firstRow="0" w:lastRow="0" w:firstColumn="1" w:lastColumn="0" w:oddVBand="0" w:evenVBand="0" w:oddHBand="0" w:evenHBand="0" w:firstRowFirstColumn="0" w:firstRowLastColumn="0" w:lastRowFirstColumn="0" w:lastRowLastColumn="0"/>
            <w:tcW w:w="1800" w:type="dxa"/>
          </w:tcPr>
          <w:p w14:paraId="5C081C95" w14:textId="329794AC"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Calibri" w:hAnsi="Times New Roman" w:cs="Times New Roman"/>
              </w:rPr>
              <w:t>Biomass capacity</w:t>
            </w:r>
          </w:p>
        </w:tc>
        <w:tc>
          <w:tcPr>
            <w:tcW w:w="1800" w:type="dxa"/>
          </w:tcPr>
          <w:p w14:paraId="3E3D765E" w14:textId="0FD4ED69" w:rsidR="00821944" w:rsidRPr="00070DF8" w:rsidRDefault="0028765A"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77.2</w:t>
            </w:r>
            <w:r w:rsidR="00792DE7" w:rsidRPr="00070DF8">
              <w:rPr>
                <w:rFonts w:eastAsia="Times New Roman"/>
              </w:rPr>
              <w:t xml:space="preserve"> (b)</w:t>
            </w:r>
          </w:p>
        </w:tc>
        <w:tc>
          <w:tcPr>
            <w:tcW w:w="1530" w:type="dxa"/>
          </w:tcPr>
          <w:p w14:paraId="56F2BFC0" w14:textId="2410EB4B" w:rsidR="00821944" w:rsidRPr="00070DF8" w:rsidRDefault="0028765A"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4</w:t>
            </w:r>
            <w:r w:rsidR="00792DE7" w:rsidRPr="00070DF8">
              <w:rPr>
                <w:rFonts w:eastAsia="Times New Roman"/>
              </w:rPr>
              <w:t xml:space="preserve"> (b)</w:t>
            </w:r>
          </w:p>
        </w:tc>
        <w:tc>
          <w:tcPr>
            <w:tcW w:w="2070" w:type="dxa"/>
          </w:tcPr>
          <w:p w14:paraId="39B30D28" w14:textId="7FC5EB97" w:rsidR="00821944" w:rsidRPr="00070DF8" w:rsidRDefault="0028765A" w:rsidP="00070DF8">
            <w:pPr>
              <w:pStyle w:val="captiontext"/>
              <w:tabs>
                <w:tab w:val="left" w:pos="792"/>
              </w:tabs>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89.8</w:t>
            </w:r>
            <w:r w:rsidR="00634E02" w:rsidRPr="00070DF8">
              <w:rPr>
                <w:rFonts w:eastAsia="Times New Roman"/>
              </w:rPr>
              <w:t xml:space="preserve"> (b)</w:t>
            </w:r>
          </w:p>
        </w:tc>
        <w:tc>
          <w:tcPr>
            <w:tcW w:w="1800" w:type="dxa"/>
          </w:tcPr>
          <w:p w14:paraId="250C7A4B" w14:textId="68268755" w:rsidR="00821944" w:rsidRPr="00070DF8" w:rsidRDefault="00FF48EE"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0</w:t>
            </w:r>
            <w:r w:rsidR="00634E02" w:rsidRPr="00070DF8">
              <w:rPr>
                <w:rFonts w:eastAsia="Times New Roman"/>
              </w:rPr>
              <w:t xml:space="preserve"> (b)</w:t>
            </w:r>
          </w:p>
        </w:tc>
        <w:tc>
          <w:tcPr>
            <w:tcW w:w="1624" w:type="dxa"/>
          </w:tcPr>
          <w:p w14:paraId="6ABC6303" w14:textId="1F3B2A16" w:rsidR="00821944" w:rsidRPr="00070DF8" w:rsidRDefault="00C30407"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rPr>
            </w:pPr>
            <w:r w:rsidRPr="00070DF8">
              <w:rPr>
                <w:rFonts w:eastAsia="Times New Roman"/>
              </w:rPr>
              <w:t>814.10</w:t>
            </w:r>
            <w:r w:rsidR="0098578F" w:rsidRPr="00070DF8">
              <w:rPr>
                <w:rFonts w:eastAsia="Times New Roman"/>
              </w:rPr>
              <w:t xml:space="preserve"> (c)</w:t>
            </w:r>
          </w:p>
        </w:tc>
      </w:tr>
    </w:tbl>
    <w:p w14:paraId="3BE7F2A1" w14:textId="1BF16A92" w:rsidR="001F0220" w:rsidRPr="00633708" w:rsidRDefault="001F0220" w:rsidP="00633708">
      <w:pPr>
        <w:pStyle w:val="captiontext"/>
      </w:pPr>
      <w:r w:rsidRPr="008D5003">
        <w:t xml:space="preserve">Note: </w:t>
      </w:r>
      <w:r w:rsidRPr="00633708">
        <w:t>natural gas combined cycle (Gas-cc); natural gas combustion turbine (Gas-</w:t>
      </w:r>
      <w:proofErr w:type="spellStart"/>
      <w:r w:rsidRPr="00633708">
        <w:t>ct</w:t>
      </w:r>
      <w:proofErr w:type="spellEnd"/>
      <w:r w:rsidRPr="00633708">
        <w:t xml:space="preserve">); megawatt (MW); a </w:t>
      </w:r>
      <w:r w:rsidR="009A23AA" w:rsidRPr="00633708">
        <w:t xml:space="preserve"> </w:t>
      </w:r>
      <w:r w:rsidRPr="00633708">
        <w:fldChar w:fldCharType="begin"/>
      </w:r>
      <w:r w:rsidR="00254646" w:rsidRPr="00633708">
        <w:instrText xml:space="preserve"> ADDIN ZOTERO_ITEM CSL_CITATION {"citationID":"bInkj1RH","properties":{"formattedCitation":"(Florida Department of Transportation, 2019)","plainCitation":"(Florida Department of Transportation, 2019)","noteIndex":0},"citationItems":[{"id":196,"uris":["http://zotero.org/users/13598080/items/9KSFI3VV"],"itemData":{"id":196,"type":"article-journal","title":"Public Road Mileage and Miles Traveled","URL":"https://ftp.fdot.gov/public/folder/RedkVJJQbE_ZL0_9HyAF-A/Public_Roads/2019_Public.pdf","author":[{"family":"Florida Department of Transportation","given":""}],"accessed":{"date-parts":[["2023",11,12]]},"issued":{"date-parts":[["2019"]]}}}],"schema":"https://github.com/citation-style-language/schema/raw/master/csl-citation.json"} </w:instrText>
      </w:r>
      <w:r w:rsidRPr="00633708">
        <w:fldChar w:fldCharType="separate"/>
      </w:r>
      <w:r w:rsidR="00254646" w:rsidRPr="00633708">
        <w:t>(Florida Department of Transportation, 2019)</w:t>
      </w:r>
      <w:r w:rsidRPr="00633708">
        <w:fldChar w:fldCharType="end"/>
      </w:r>
      <w:r w:rsidRPr="00633708">
        <w:t xml:space="preserve">; b </w:t>
      </w:r>
      <w:r w:rsidRPr="00633708">
        <w:fldChar w:fldCharType="begin"/>
      </w:r>
      <w:r w:rsidR="003677C9" w:rsidRPr="00633708">
        <w:instrText xml:space="preserve"> ADDIN ZOTERO_ITEM CSL_CITATION {"citationID":"Of6E0bAM","properties":{"formattedCitation":"(U.S. Energy Atlas, 2023b)","plainCitation":"(U.S. Energy Atlas, 2023b)","noteIndex":0},"citationItems":[{"id":151,"uris":["http://zotero.org/users/local/lgQ0pm0d/items/7HVBVZ8W","http://zotero.org/users/13598080/items/7HVBVZ8W"],"itemData":{"id":151,"type":"webpage","abstract":"This map includes all energy infrastructure and resources layers.","language":"en-us","title":"All Energy Infrastructure and Resources","URL":"https://atlas.eia.gov/apps/5039a1a01ec34b6bbf0ab4fd57da5eb4/explore","author":[{"family":"U.S. Energy Atlas","given":""}],"accessed":{"date-parts":[["2024",1,6]]},"issued":{"date-parts":[["2023",4,20]]}}}],"schema":"https://github.com/citation-style-language/schema/raw/master/csl-citation.json"} </w:instrText>
      </w:r>
      <w:r w:rsidRPr="00633708">
        <w:fldChar w:fldCharType="separate"/>
      </w:r>
      <w:r w:rsidR="003677C9" w:rsidRPr="00633708">
        <w:t>(U.S. Energy Atlas, 2023b)</w:t>
      </w:r>
      <w:r w:rsidRPr="00633708">
        <w:fldChar w:fldCharType="end"/>
      </w:r>
      <w:r w:rsidRPr="00633708">
        <w:t xml:space="preserve">; c </w:t>
      </w:r>
      <w:r w:rsidRPr="00633708">
        <w:fldChar w:fldCharType="begin"/>
      </w:r>
      <w:r w:rsidR="003677C9" w:rsidRPr="00633708">
        <w:instrText xml:space="preserve"> ADDIN ZOTERO_ITEM CSL_CITATION {"citationID":"YVZ0ICJu","properties":{"formattedCitation":"(U.S. Energy Atlas, 2023a)","plainCitation":"(U.S. Energy Atlas, 2023a)","noteIndex":0},"citationItems":[{"id":175,"uris":["http://zotero.org/users/local/lgQ0pm0d/items/Y8U3953E","http://zotero.org/users/13598080/items/Y8U3953E"],"itemData":{"id":175,"type":"webpage","title":"Existing Nameplate and Net Summer Capacity by Energy Source, Producer Type and State","URL":"https://www.eia.gov/electricity/data/state/","author":[{"family":"U.S. Energy Atlas","given":""}],"accessed":{"date-parts":[["2024",2,8]]},"issued":{"date-parts":[["2023"]]}}}],"schema":"https://github.com/citation-style-language/schema/raw/master/csl-citation.json"} </w:instrText>
      </w:r>
      <w:r w:rsidRPr="00633708">
        <w:fldChar w:fldCharType="separate"/>
      </w:r>
      <w:r w:rsidR="003677C9" w:rsidRPr="00633708">
        <w:t>(U.S. Energy Atlas, 2023a)</w:t>
      </w:r>
      <w:r w:rsidRPr="00633708">
        <w:fldChar w:fldCharType="end"/>
      </w:r>
      <w:r w:rsidRPr="00633708">
        <w:t>.</w:t>
      </w:r>
    </w:p>
    <w:p w14:paraId="21AC5E3A" w14:textId="2D3A209F" w:rsidR="00F6604D" w:rsidRPr="00070DF8" w:rsidRDefault="00F6604D" w:rsidP="008D4296">
      <w:pPr>
        <w:ind w:left="0" w:right="0" w:firstLine="720"/>
        <w:rPr>
          <w:sz w:val="22"/>
          <w:szCs w:val="22"/>
        </w:rPr>
      </w:pPr>
      <w:r w:rsidRPr="00070DF8">
        <w:rPr>
          <w:rFonts w:eastAsia="Times New Roman"/>
          <w:sz w:val="22"/>
          <w:szCs w:val="22"/>
        </w:rPr>
        <w:t xml:space="preserve">The </w:t>
      </w:r>
      <w:r w:rsidRPr="00633708">
        <w:rPr>
          <w:rFonts w:eastAsia="Times New Roman"/>
          <w:sz w:val="22"/>
          <w:szCs w:val="22"/>
        </w:rPr>
        <w:t>charging</w:t>
      </w:r>
      <w:r w:rsidRPr="00070DF8">
        <w:rPr>
          <w:rFonts w:eastAsia="Times New Roman"/>
          <w:i/>
          <w:iCs/>
          <w:sz w:val="22"/>
          <w:szCs w:val="22"/>
        </w:rPr>
        <w:t xml:space="preserve"> </w:t>
      </w:r>
      <w:r w:rsidRPr="00633708">
        <w:rPr>
          <w:rFonts w:eastAsia="Times New Roman"/>
          <w:sz w:val="22"/>
          <w:szCs w:val="22"/>
        </w:rPr>
        <w:t>emissions per kWh</w:t>
      </w:r>
      <w:r w:rsidR="008D5003">
        <w:rPr>
          <w:rFonts w:eastAsia="Times New Roman"/>
          <w:sz w:val="22"/>
          <w:szCs w:val="22"/>
        </w:rPr>
        <w:t xml:space="preserve"> (</w:t>
      </w:r>
      <w:r w:rsidR="008D5003" w:rsidRPr="00633708">
        <w:rPr>
          <w:rFonts w:eastAsia="Times New Roman"/>
          <w:i/>
          <w:iCs/>
          <w:sz w:val="22"/>
          <w:szCs w:val="22"/>
        </w:rPr>
        <w:t>Charging</w:t>
      </w:r>
      <w:r w:rsidR="008D5003">
        <w:rPr>
          <w:rFonts w:eastAsia="Times New Roman"/>
          <w:sz w:val="22"/>
          <w:szCs w:val="22"/>
        </w:rPr>
        <w:t>)</w:t>
      </w:r>
      <w:r w:rsidRPr="00070DF8">
        <w:rPr>
          <w:rFonts w:eastAsia="Times New Roman"/>
          <w:sz w:val="22"/>
          <w:szCs w:val="22"/>
        </w:rPr>
        <w:t xml:space="preserve"> were calculated based the electricity factor (</w:t>
      </w:r>
      <w:r w:rsidRPr="00070DF8">
        <w:rPr>
          <w:rFonts w:eastAsia="Times New Roman"/>
          <w:i/>
          <w:iCs/>
          <w:sz w:val="22"/>
          <w:szCs w:val="22"/>
        </w:rPr>
        <w:t>EF</w:t>
      </w:r>
      <w:r w:rsidRPr="00070DF8">
        <w:rPr>
          <w:rFonts w:eastAsia="Times New Roman"/>
          <w:sz w:val="22"/>
          <w:szCs w:val="22"/>
        </w:rPr>
        <w:t>), portion of the grid mix</w:t>
      </w:r>
      <w:r w:rsidRPr="00070DF8">
        <w:rPr>
          <w:rFonts w:eastAsia="Times New Roman"/>
          <w:i/>
          <w:iCs/>
          <w:sz w:val="22"/>
          <w:szCs w:val="22"/>
        </w:rPr>
        <w:t xml:space="preserve"> (mix%) </w:t>
      </w:r>
      <w:r w:rsidRPr="00070DF8">
        <w:rPr>
          <w:rFonts w:eastAsia="Times New Roman"/>
          <w:sz w:val="22"/>
          <w:szCs w:val="22"/>
        </w:rPr>
        <w:t>by year</w:t>
      </w:r>
      <w:r w:rsidRPr="00070DF8">
        <w:rPr>
          <w:rFonts w:eastAsia="Times New Roman"/>
          <w:i/>
          <w:iCs/>
          <w:sz w:val="22"/>
          <w:szCs w:val="22"/>
        </w:rPr>
        <w:t xml:space="preserve"> </w:t>
      </w:r>
      <w:r w:rsidRPr="00070DF8">
        <w:rPr>
          <w:rFonts w:eastAsia="Times New Roman"/>
          <w:sz w:val="22"/>
          <w:szCs w:val="22"/>
        </w:rPr>
        <w:t>(</w:t>
      </w:r>
      <w:r w:rsidRPr="00070DF8">
        <w:rPr>
          <w:rFonts w:eastAsia="Times New Roman"/>
          <w:i/>
          <w:iCs/>
          <w:sz w:val="22"/>
          <w:szCs w:val="22"/>
        </w:rPr>
        <w:t>y</w:t>
      </w:r>
      <w:r w:rsidRPr="00070DF8">
        <w:rPr>
          <w:rFonts w:eastAsia="Times New Roman"/>
          <w:sz w:val="22"/>
          <w:szCs w:val="22"/>
        </w:rPr>
        <w:t>) and time-of-day (</w:t>
      </w:r>
      <w:r w:rsidRPr="00070DF8">
        <w:rPr>
          <w:rFonts w:eastAsia="Times New Roman"/>
          <w:i/>
          <w:iCs/>
          <w:sz w:val="22"/>
          <w:szCs w:val="22"/>
        </w:rPr>
        <w:t>h</w:t>
      </w:r>
      <w:r w:rsidRPr="00070DF8">
        <w:rPr>
          <w:rFonts w:eastAsia="Times New Roman"/>
          <w:sz w:val="22"/>
          <w:szCs w:val="22"/>
        </w:rPr>
        <w:t>), portion of daily charging (</w:t>
      </w:r>
      <w:proofErr w:type="spellStart"/>
      <w:r w:rsidRPr="00070DF8">
        <w:rPr>
          <w:rFonts w:eastAsia="Times New Roman"/>
          <w:i/>
          <w:iCs/>
          <w:sz w:val="22"/>
          <w:szCs w:val="22"/>
        </w:rPr>
        <w:t>chg</w:t>
      </w:r>
      <w:proofErr w:type="spellEnd"/>
      <w:r w:rsidRPr="00070DF8">
        <w:rPr>
          <w:rFonts w:eastAsia="Times New Roman"/>
          <w:sz w:val="22"/>
          <w:szCs w:val="22"/>
        </w:rPr>
        <w:t>) by each vehicle category (</w:t>
      </w:r>
      <w:r w:rsidRPr="00070DF8">
        <w:rPr>
          <w:rFonts w:eastAsia="Times New Roman"/>
          <w:i/>
          <w:iCs/>
          <w:sz w:val="22"/>
          <w:szCs w:val="22"/>
        </w:rPr>
        <w:t>v</w:t>
      </w:r>
      <w:r w:rsidRPr="00070DF8">
        <w:rPr>
          <w:rFonts w:eastAsia="Times New Roman"/>
          <w:sz w:val="22"/>
          <w:szCs w:val="22"/>
        </w:rPr>
        <w:t xml:space="preserve">), </w:t>
      </w:r>
      <w:r w:rsidRPr="00070DF8">
        <w:rPr>
          <w:rFonts w:eastAsia="Times New Roman"/>
          <w:i/>
          <w:iCs/>
          <w:sz w:val="22"/>
          <w:szCs w:val="22"/>
        </w:rPr>
        <w:t>VMT</w:t>
      </w:r>
      <w:r w:rsidRPr="00070DF8">
        <w:rPr>
          <w:rFonts w:eastAsia="Times New Roman"/>
          <w:sz w:val="22"/>
          <w:szCs w:val="22"/>
        </w:rPr>
        <w:t xml:space="preserve"> of each vehicle category, energy efficiency (</w:t>
      </w:r>
      <w:r w:rsidRPr="00070DF8">
        <w:rPr>
          <w:rFonts w:eastAsia="Times New Roman"/>
          <w:i/>
          <w:iCs/>
          <w:sz w:val="22"/>
          <w:szCs w:val="22"/>
        </w:rPr>
        <w:t>EE</w:t>
      </w:r>
      <w:r w:rsidRPr="00070DF8">
        <w:rPr>
          <w:rFonts w:eastAsia="Times New Roman"/>
          <w:sz w:val="22"/>
          <w:szCs w:val="22"/>
        </w:rPr>
        <w:t>) of each vehicle category (car: 0.31 kWh/mile; LDT: 0.48 kWh/mile; Bus: 2.2 kWh/mile; MHDV: 1.1 kWh/mile; HHDV: 2.2 kWh/mile), and emissions intensity (</w:t>
      </w:r>
      <w:r w:rsidRPr="00070DF8">
        <w:rPr>
          <w:rFonts w:eastAsia="Times New Roman"/>
          <w:i/>
          <w:iCs/>
          <w:sz w:val="22"/>
          <w:szCs w:val="22"/>
        </w:rPr>
        <w:t>int</w:t>
      </w:r>
      <w:r w:rsidRPr="00070DF8">
        <w:rPr>
          <w:rFonts w:eastAsia="Times New Roman"/>
          <w:sz w:val="22"/>
          <w:szCs w:val="22"/>
        </w:rPr>
        <w:t>) for each EPR</w:t>
      </w:r>
      <w:r w:rsidR="001F0220" w:rsidRPr="00070DF8">
        <w:rPr>
          <w:rFonts w:eastAsia="Times New Roman"/>
          <w:sz w:val="22"/>
          <w:szCs w:val="22"/>
        </w:rPr>
        <w:t xml:space="preserve"> (R)</w:t>
      </w:r>
      <w:r w:rsidRPr="00070DF8">
        <w:rPr>
          <w:rFonts w:eastAsia="Times New Roman"/>
          <w:sz w:val="22"/>
          <w:szCs w:val="22"/>
        </w:rPr>
        <w:t xml:space="preserve"> and county (</w:t>
      </w:r>
      <w:r w:rsidRPr="00070DF8">
        <w:rPr>
          <w:rFonts w:eastAsia="Times New Roman"/>
          <w:i/>
          <w:iCs/>
          <w:sz w:val="22"/>
          <w:szCs w:val="22"/>
        </w:rPr>
        <w:t>c</w:t>
      </w:r>
      <w:r w:rsidRPr="00070DF8">
        <w:rPr>
          <w:rFonts w:eastAsia="Times New Roman"/>
          <w:sz w:val="22"/>
          <w:szCs w:val="22"/>
        </w:rPr>
        <w:t xml:space="preserve">) using </w:t>
      </w:r>
      <w:r w:rsidRPr="00070DF8">
        <w:rPr>
          <w:rFonts w:eastAsia="Times New Roman"/>
          <w:b/>
          <w:bCs/>
          <w:sz w:val="22"/>
          <w:szCs w:val="22"/>
        </w:rPr>
        <w:t>Equation 2</w:t>
      </w:r>
      <w:r w:rsidRPr="00070DF8">
        <w:rPr>
          <w:rFonts w:eastAsia="Times New Roman"/>
          <w:sz w:val="22"/>
          <w:szCs w:val="22"/>
        </w:rPr>
        <w:t>. The charging emissions were calculated for the following pollutants (</w:t>
      </w:r>
      <w:r w:rsidRPr="00070DF8">
        <w:rPr>
          <w:rFonts w:eastAsia="Times New Roman"/>
          <w:i/>
          <w:iCs/>
          <w:sz w:val="22"/>
          <w:szCs w:val="22"/>
        </w:rPr>
        <w:t>p</w:t>
      </w:r>
      <w:r w:rsidRPr="00070DF8">
        <w:rPr>
          <w:rFonts w:eastAsia="Times New Roman"/>
          <w:sz w:val="22"/>
          <w:szCs w:val="22"/>
        </w:rPr>
        <w:t xml:space="preserve">) with emissions intensities shown in </w:t>
      </w:r>
      <w:r w:rsidRPr="00070DF8">
        <w:rPr>
          <w:rFonts w:eastAsia="Times New Roman"/>
          <w:b/>
          <w:bCs/>
          <w:sz w:val="22"/>
          <w:szCs w:val="22"/>
        </w:rPr>
        <w:t xml:space="preserve">Table </w:t>
      </w:r>
      <w:r w:rsidR="00DF5A04" w:rsidRPr="00070DF8">
        <w:rPr>
          <w:rFonts w:eastAsia="Times New Roman"/>
          <w:b/>
          <w:bCs/>
          <w:sz w:val="22"/>
          <w:szCs w:val="22"/>
        </w:rPr>
        <w:t>3</w:t>
      </w:r>
      <w:r w:rsidRPr="00070DF8">
        <w:rPr>
          <w:rFonts w:eastAsia="Times New Roman"/>
          <w:sz w:val="22"/>
          <w:szCs w:val="22"/>
        </w:rPr>
        <w:t>: PM</w:t>
      </w:r>
      <w:r w:rsidRPr="00070DF8">
        <w:rPr>
          <w:rFonts w:eastAsia="Times New Roman"/>
          <w:sz w:val="22"/>
          <w:szCs w:val="22"/>
          <w:vertAlign w:val="subscript"/>
        </w:rPr>
        <w:t>2.5</w:t>
      </w:r>
      <w:r w:rsidRPr="00070DF8">
        <w:rPr>
          <w:rFonts w:eastAsia="Times New Roman"/>
          <w:sz w:val="22"/>
          <w:szCs w:val="22"/>
        </w:rPr>
        <w:t>,</w:t>
      </w:r>
      <w:r w:rsidRPr="00070DF8">
        <w:rPr>
          <w:rFonts w:eastAsia="Times New Roman"/>
          <w:sz w:val="22"/>
          <w:szCs w:val="22"/>
          <w:vertAlign w:val="subscript"/>
        </w:rPr>
        <w:t xml:space="preserve"> </w:t>
      </w:r>
      <w:r w:rsidRPr="00070DF8">
        <w:rPr>
          <w:rFonts w:eastAsia="Times New Roman"/>
          <w:sz w:val="22"/>
          <w:szCs w:val="22"/>
        </w:rPr>
        <w:t>NO</w:t>
      </w:r>
      <w:r w:rsidRPr="00070DF8">
        <w:rPr>
          <w:rFonts w:eastAsia="Times New Roman"/>
          <w:sz w:val="22"/>
          <w:szCs w:val="22"/>
          <w:vertAlign w:val="subscript"/>
        </w:rPr>
        <w:t>x</w:t>
      </w:r>
      <w:r w:rsidRPr="00070DF8">
        <w:rPr>
          <w:rFonts w:eastAsia="Times New Roman"/>
          <w:sz w:val="22"/>
          <w:szCs w:val="22"/>
        </w:rPr>
        <w:t>, and SO</w:t>
      </w:r>
      <w:r w:rsidR="001F0220" w:rsidRPr="00070DF8">
        <w:rPr>
          <w:rFonts w:eastAsia="Times New Roman"/>
          <w:sz w:val="22"/>
          <w:szCs w:val="22"/>
          <w:vertAlign w:val="subscript"/>
        </w:rPr>
        <w:t>2</w:t>
      </w:r>
      <w:r w:rsidRPr="00070DF8">
        <w:rPr>
          <w:rFonts w:eastAsia="Times New Roman"/>
          <w:sz w:val="22"/>
          <w:szCs w:val="22"/>
        </w:rPr>
        <w:t>.</w:t>
      </w:r>
    </w:p>
    <w:p w14:paraId="7408612D" w14:textId="285DB470" w:rsidR="00FF6BDC" w:rsidRPr="00070DF8" w:rsidRDefault="00FF6BDC" w:rsidP="00633708">
      <w:pPr>
        <w:ind w:right="0" w:firstLine="720"/>
        <w:rPr>
          <w:sz w:val="22"/>
          <w:szCs w:val="22"/>
        </w:rPr>
      </w:pPr>
      <w:r w:rsidRPr="00070DF8">
        <w:rPr>
          <w:rFonts w:eastAsia="Times New Roman"/>
          <w:b/>
          <w:bCs/>
          <w:sz w:val="22"/>
          <w:szCs w:val="22"/>
        </w:rPr>
        <w:t>Equation</w:t>
      </w:r>
      <w:r w:rsidRPr="00070DF8">
        <w:rPr>
          <w:rFonts w:eastAsia="Times New Roman"/>
          <w:sz w:val="22"/>
          <w:szCs w:val="22"/>
        </w:rPr>
        <w:t xml:space="preserve"> </w:t>
      </w:r>
      <w:r w:rsidRPr="00070DF8">
        <w:rPr>
          <w:rFonts w:eastAsia="Times New Roman"/>
          <w:b/>
          <w:bCs/>
          <w:sz w:val="22"/>
          <w:szCs w:val="22"/>
        </w:rPr>
        <w:t xml:space="preserve">2. </w:t>
      </w:r>
      <m:oMath>
        <m:sSub>
          <m:sSubPr>
            <m:ctrlPr>
              <w:rPr>
                <w:rFonts w:ascii="Cambria Math" w:hAnsi="Cambria Math"/>
                <w:sz w:val="22"/>
                <w:szCs w:val="22"/>
              </w:rPr>
            </m:ctrlPr>
          </m:sSubPr>
          <m:e>
            <m:r>
              <w:rPr>
                <w:rFonts w:ascii="Cambria Math" w:hAnsi="Cambria Math"/>
                <w:sz w:val="22"/>
                <w:szCs w:val="22"/>
              </w:rPr>
              <m:t>Charging</m:t>
            </m:r>
          </m:e>
          <m:sub>
            <m:r>
              <w:rPr>
                <w:rFonts w:ascii="Cambria Math" w:hAnsi="Cambria Math"/>
                <w:sz w:val="22"/>
                <w:szCs w:val="22"/>
              </w:rPr>
              <m:t>p</m:t>
            </m:r>
            <m:r>
              <m:rPr>
                <m:sty m:val="p"/>
              </m:rPr>
              <w:rPr>
                <w:rFonts w:ascii="Cambria Math" w:hAnsi="Cambria Math"/>
                <w:sz w:val="22"/>
                <w:szCs w:val="22"/>
              </w:rPr>
              <m:t xml:space="preserve">, </m:t>
            </m:r>
            <m:r>
              <w:rPr>
                <w:rFonts w:ascii="Cambria Math" w:hAnsi="Cambria Math"/>
                <w:sz w:val="22"/>
                <w:szCs w:val="22"/>
              </w:rPr>
              <m:t>y</m:t>
            </m:r>
          </m:sub>
        </m:sSub>
        <m:r>
          <m:rPr>
            <m:sty m:val="p"/>
          </m:rPr>
          <w:rPr>
            <w:rFonts w:ascii="Cambria Math" w:hAnsi="Cambria Math"/>
            <w:sz w:val="22"/>
            <w:szCs w:val="22"/>
          </w:rPr>
          <m:t>=</m:t>
        </m:r>
        <m:nary>
          <m:naryPr>
            <m:chr m:val="∑"/>
            <m:limLoc m:val="undOvr"/>
            <m:supHide m:val="1"/>
            <m:ctrlPr>
              <w:rPr>
                <w:rFonts w:ascii="Cambria Math" w:hAnsi="Cambria Math"/>
                <w:sz w:val="22"/>
                <w:szCs w:val="22"/>
              </w:rPr>
            </m:ctrlPr>
          </m:naryPr>
          <m:sub>
            <m:r>
              <w:rPr>
                <w:rFonts w:ascii="Cambria Math" w:hAnsi="Cambria Math"/>
                <w:sz w:val="22"/>
                <w:szCs w:val="22"/>
              </w:rPr>
              <m:t>h</m:t>
            </m:r>
            <m:r>
              <m:rPr>
                <m:sty m:val="p"/>
              </m:rPr>
              <w:rPr>
                <w:rFonts w:ascii="Cambria Math" w:hAnsi="Cambria Math"/>
                <w:sz w:val="22"/>
                <w:szCs w:val="22"/>
              </w:rPr>
              <m:t>,</m:t>
            </m:r>
            <m:r>
              <w:rPr>
                <w:rFonts w:ascii="Cambria Math" w:hAnsi="Cambria Math"/>
                <w:sz w:val="22"/>
                <w:szCs w:val="22"/>
              </w:rPr>
              <m:t>v,R</m:t>
            </m:r>
          </m:sub>
          <m:sup/>
          <m:e>
            <m:sSub>
              <m:sSubPr>
                <m:ctrlPr>
                  <w:rPr>
                    <w:rFonts w:ascii="Cambria Math" w:hAnsi="Cambria Math"/>
                    <w:sz w:val="22"/>
                    <w:szCs w:val="22"/>
                  </w:rPr>
                </m:ctrlPr>
              </m:sSubPr>
              <m:e>
                <m:r>
                  <w:rPr>
                    <w:rFonts w:ascii="Cambria Math" w:hAnsi="Cambria Math"/>
                    <w:sz w:val="22"/>
                    <w:szCs w:val="22"/>
                  </w:rPr>
                  <m:t>EF</m:t>
                </m:r>
              </m:e>
              <m:sub>
                <m:r>
                  <w:rPr>
                    <w:rFonts w:ascii="Cambria Math" w:hAnsi="Cambria Math"/>
                    <w:sz w:val="22"/>
                    <w:szCs w:val="22"/>
                  </w:rPr>
                  <m:t>c,R</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mix</m:t>
                </m:r>
                <m:r>
                  <m:rPr>
                    <m:sty m:val="p"/>
                  </m:rPr>
                  <w:rPr>
                    <w:rFonts w:ascii="Cambria Math" w:hAnsi="Cambria Math"/>
                    <w:sz w:val="22"/>
                    <w:szCs w:val="22"/>
                  </w:rPr>
                  <m:t>%</m:t>
                </m:r>
              </m:e>
              <m:sub>
                <m:r>
                  <w:rPr>
                    <w:rFonts w:ascii="Cambria Math" w:hAnsi="Cambria Math"/>
                    <w:sz w:val="22"/>
                    <w:szCs w:val="22"/>
                  </w:rPr>
                  <m:t>y</m:t>
                </m:r>
                <m:r>
                  <m:rPr>
                    <m:sty m:val="p"/>
                  </m:rPr>
                  <w:rPr>
                    <w:rFonts w:ascii="Cambria Math" w:hAnsi="Cambria Math"/>
                    <w:sz w:val="22"/>
                    <w:szCs w:val="22"/>
                  </w:rPr>
                  <m:t>,</m:t>
                </m:r>
                <m:r>
                  <w:rPr>
                    <w:rFonts w:ascii="Cambria Math" w:hAnsi="Cambria Math"/>
                    <w:sz w:val="22"/>
                    <w:szCs w:val="22"/>
                  </w:rPr>
                  <m:t>h,R</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chg</m:t>
                </m:r>
              </m:e>
              <m:sub>
                <m:r>
                  <w:rPr>
                    <w:rFonts w:ascii="Cambria Math" w:hAnsi="Cambria Math"/>
                    <w:sz w:val="22"/>
                    <w:szCs w:val="22"/>
                  </w:rPr>
                  <m:t>v</m:t>
                </m:r>
                <m:r>
                  <m:rPr>
                    <m:sty m:val="p"/>
                  </m:rPr>
                  <w:rPr>
                    <w:rFonts w:ascii="Cambria Math" w:hAnsi="Cambria Math"/>
                    <w:sz w:val="22"/>
                    <w:szCs w:val="22"/>
                  </w:rPr>
                  <m:t>,</m:t>
                </m:r>
                <m:r>
                  <w:rPr>
                    <w:rFonts w:ascii="Cambria Math" w:hAnsi="Cambria Math"/>
                    <w:sz w:val="22"/>
                    <w:szCs w:val="22"/>
                  </w:rPr>
                  <m:t>h</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int</m:t>
                </m:r>
              </m:e>
              <m:sub>
                <m:r>
                  <w:rPr>
                    <w:rFonts w:ascii="Cambria Math" w:hAnsi="Cambria Math"/>
                    <w:sz w:val="22"/>
                    <w:szCs w:val="22"/>
                  </w:rPr>
                  <m:t>p,R</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VMT</m:t>
                </m:r>
              </m:e>
              <m:sub>
                <m:r>
                  <w:rPr>
                    <w:rFonts w:ascii="Cambria Math" w:hAnsi="Cambria Math"/>
                    <w:sz w:val="22"/>
                    <w:szCs w:val="22"/>
                  </w:rPr>
                  <m:t>v</m:t>
                </m:r>
                <m:r>
                  <m:rPr>
                    <m:sty m:val="p"/>
                  </m:rPr>
                  <w:rPr>
                    <w:rFonts w:ascii="Cambria Math" w:hAnsi="Cambria Math"/>
                    <w:sz w:val="22"/>
                    <w:szCs w:val="22"/>
                  </w:rPr>
                  <m:t>,</m:t>
                </m:r>
                <m:r>
                  <w:rPr>
                    <w:rFonts w:ascii="Cambria Math" w:hAnsi="Cambria Math"/>
                    <w:sz w:val="22"/>
                    <w:szCs w:val="22"/>
                  </w:rPr>
                  <m:t>y</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EE</m:t>
                </m:r>
              </m:e>
              <m:sub>
                <m:r>
                  <w:rPr>
                    <w:rFonts w:ascii="Cambria Math" w:hAnsi="Cambria Math"/>
                    <w:sz w:val="22"/>
                    <w:szCs w:val="22"/>
                  </w:rPr>
                  <m:t>v</m:t>
                </m:r>
              </m:sub>
            </m:sSub>
          </m:e>
        </m:nary>
      </m:oMath>
    </w:p>
    <w:p w14:paraId="2247136C" w14:textId="77777777" w:rsidR="002B3B70" w:rsidRPr="00070DF8" w:rsidRDefault="002B3B70" w:rsidP="00070DF8">
      <w:pPr>
        <w:pStyle w:val="Caption"/>
        <w:spacing w:line="480" w:lineRule="auto"/>
        <w:rPr>
          <w:rFonts w:eastAsia="Times New Roman"/>
          <w:b w:val="0"/>
          <w:bCs/>
          <w:i/>
          <w:iCs w:val="0"/>
          <w:color w:val="auto"/>
          <w:szCs w:val="22"/>
        </w:rPr>
      </w:pPr>
    </w:p>
    <w:p w14:paraId="53651EF8" w14:textId="77777777" w:rsidR="002B3B70" w:rsidRPr="00070DF8" w:rsidRDefault="002B3B70" w:rsidP="0004471E">
      <w:pPr>
        <w:pStyle w:val="Caption"/>
        <w:spacing w:line="480" w:lineRule="auto"/>
        <w:ind w:left="0"/>
        <w:rPr>
          <w:rFonts w:eastAsia="Times New Roman"/>
          <w:b w:val="0"/>
          <w:bCs/>
          <w:i/>
          <w:iCs w:val="0"/>
          <w:color w:val="auto"/>
          <w:szCs w:val="22"/>
        </w:rPr>
      </w:pPr>
    </w:p>
    <w:p w14:paraId="723D214F" w14:textId="5BF358AA" w:rsidR="00F6604D" w:rsidRPr="00633708" w:rsidRDefault="00F6604D" w:rsidP="00633708">
      <w:pPr>
        <w:pStyle w:val="Caption"/>
      </w:pPr>
      <w:r w:rsidRPr="00633708">
        <w:lastRenderedPageBreak/>
        <w:t xml:space="preserve">Table </w:t>
      </w:r>
      <w:r w:rsidR="00DF5A04" w:rsidRPr="00633708">
        <w:t>3</w:t>
      </w:r>
      <w:r w:rsidRPr="00633708">
        <w:t>.</w:t>
      </w:r>
    </w:p>
    <w:p w14:paraId="2E33CC43" w14:textId="17AAAC0A" w:rsidR="00F6604D" w:rsidRPr="00633708" w:rsidRDefault="00F6604D" w:rsidP="00633708">
      <w:pPr>
        <w:pStyle w:val="captiontext"/>
      </w:pPr>
      <w:r w:rsidRPr="00633708">
        <w:t>Emissions intensity of electric power resources.</w:t>
      </w:r>
    </w:p>
    <w:tbl>
      <w:tblPr>
        <w:tblStyle w:val="PlainTable5"/>
        <w:tblW w:w="0" w:type="auto"/>
        <w:jc w:val="center"/>
        <w:tblLook w:val="04A0" w:firstRow="1" w:lastRow="0" w:firstColumn="1" w:lastColumn="0" w:noHBand="0" w:noVBand="1"/>
      </w:tblPr>
      <w:tblGrid>
        <w:gridCol w:w="2262"/>
        <w:gridCol w:w="2122"/>
        <w:gridCol w:w="2123"/>
        <w:gridCol w:w="2123"/>
      </w:tblGrid>
      <w:tr w:rsidR="00821944" w:rsidRPr="00070DF8" w14:paraId="0588B4E9" w14:textId="77777777" w:rsidTr="001C1FD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62" w:type="dxa"/>
          </w:tcPr>
          <w:p w14:paraId="743D6EAE" w14:textId="415A49ED" w:rsidR="00821944" w:rsidRPr="00070DF8" w:rsidRDefault="00821944" w:rsidP="00070DF8">
            <w:pPr>
              <w:pStyle w:val="captiontext"/>
              <w:spacing w:line="480" w:lineRule="auto"/>
              <w:ind w:left="0"/>
              <w:rPr>
                <w:rFonts w:ascii="Times New Roman" w:eastAsia="Times New Roman" w:hAnsi="Times New Roman" w:cs="Times New Roman"/>
              </w:rPr>
            </w:pPr>
            <w:r w:rsidRPr="00070DF8">
              <w:rPr>
                <w:rFonts w:ascii="Times New Roman" w:eastAsia="Times New Roman" w:hAnsi="Times New Roman" w:cs="Times New Roman"/>
              </w:rPr>
              <w:t>Resource</w:t>
            </w:r>
          </w:p>
        </w:tc>
        <w:tc>
          <w:tcPr>
            <w:tcW w:w="2122" w:type="dxa"/>
          </w:tcPr>
          <w:p w14:paraId="73CC11BA" w14:textId="587F6ECF"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Times New Roman" w:hAnsi="Times New Roman" w:cs="Times New Roman"/>
                <w:b/>
                <w:bCs/>
              </w:rPr>
              <w:t>tonnes-NO</w:t>
            </w:r>
            <w:r w:rsidRPr="00070DF8">
              <w:rPr>
                <w:rFonts w:ascii="Times New Roman" w:eastAsia="Times New Roman" w:hAnsi="Times New Roman" w:cs="Times New Roman"/>
                <w:b/>
                <w:bCs/>
                <w:vertAlign w:val="subscript"/>
              </w:rPr>
              <w:t>x</w:t>
            </w:r>
            <w:r w:rsidRPr="00070DF8">
              <w:rPr>
                <w:rFonts w:ascii="Times New Roman" w:eastAsia="Times New Roman" w:hAnsi="Times New Roman" w:cs="Times New Roman"/>
                <w:b/>
                <w:bCs/>
              </w:rPr>
              <w:t>/MWh</w:t>
            </w:r>
          </w:p>
        </w:tc>
        <w:tc>
          <w:tcPr>
            <w:tcW w:w="2123" w:type="dxa"/>
          </w:tcPr>
          <w:p w14:paraId="76D10AF9" w14:textId="2BCAD2A4"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Times New Roman" w:hAnsi="Times New Roman" w:cs="Times New Roman"/>
                <w:b/>
                <w:bCs/>
              </w:rPr>
              <w:t>tonnes-PM</w:t>
            </w:r>
            <w:r w:rsidRPr="00070DF8">
              <w:rPr>
                <w:rFonts w:ascii="Times New Roman" w:eastAsia="Times New Roman" w:hAnsi="Times New Roman" w:cs="Times New Roman"/>
                <w:b/>
                <w:bCs/>
                <w:vertAlign w:val="subscript"/>
              </w:rPr>
              <w:t>2.5</w:t>
            </w:r>
            <w:r w:rsidRPr="00070DF8">
              <w:rPr>
                <w:rFonts w:ascii="Times New Roman" w:eastAsia="Times New Roman" w:hAnsi="Times New Roman" w:cs="Times New Roman"/>
                <w:b/>
                <w:bCs/>
              </w:rPr>
              <w:t>/MWh</w:t>
            </w:r>
          </w:p>
        </w:tc>
        <w:tc>
          <w:tcPr>
            <w:tcW w:w="2123" w:type="dxa"/>
          </w:tcPr>
          <w:p w14:paraId="4C9EDCC8" w14:textId="1EFFB672" w:rsidR="00821944" w:rsidRPr="00070DF8" w:rsidRDefault="00821944" w:rsidP="00070DF8">
            <w:pPr>
              <w:pStyle w:val="captiontext"/>
              <w:spacing w:line="480" w:lineRule="auto"/>
              <w:ind w:left="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070DF8">
              <w:rPr>
                <w:rFonts w:ascii="Times New Roman" w:eastAsia="Times New Roman" w:hAnsi="Times New Roman" w:cs="Times New Roman"/>
                <w:b/>
                <w:bCs/>
              </w:rPr>
              <w:t>tonnes-SO</w:t>
            </w:r>
            <w:r w:rsidRPr="00070DF8">
              <w:rPr>
                <w:rFonts w:ascii="Times New Roman" w:eastAsia="Times New Roman" w:hAnsi="Times New Roman" w:cs="Times New Roman"/>
                <w:b/>
                <w:bCs/>
                <w:vertAlign w:val="subscript"/>
              </w:rPr>
              <w:t>2</w:t>
            </w:r>
            <w:r w:rsidRPr="00070DF8">
              <w:rPr>
                <w:rFonts w:ascii="Times New Roman" w:eastAsia="Times New Roman" w:hAnsi="Times New Roman" w:cs="Times New Roman"/>
                <w:b/>
                <w:bCs/>
              </w:rPr>
              <w:t>/MWh</w:t>
            </w:r>
          </w:p>
        </w:tc>
      </w:tr>
      <w:tr w:rsidR="008F5C96" w:rsidRPr="00070DF8" w14:paraId="4C287B36" w14:textId="77777777" w:rsidTr="001C1F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2" w:type="dxa"/>
          </w:tcPr>
          <w:p w14:paraId="1683E6E9" w14:textId="2696CCDE" w:rsidR="008F5C96" w:rsidRPr="00070DF8" w:rsidRDefault="008F5C96" w:rsidP="00070DF8">
            <w:pPr>
              <w:pStyle w:val="captiontext"/>
              <w:spacing w:line="480" w:lineRule="auto"/>
              <w:ind w:left="0"/>
              <w:rPr>
                <w:rFonts w:ascii="Times New Roman" w:eastAsia="Times New Roman" w:hAnsi="Times New Roman" w:cs="Times New Roman"/>
              </w:rPr>
            </w:pPr>
            <w:r w:rsidRPr="00070DF8">
              <w:rPr>
                <w:rFonts w:ascii="Times New Roman" w:eastAsia="Times New Roman" w:hAnsi="Times New Roman" w:cs="Times New Roman"/>
              </w:rPr>
              <w:t>Gas-cc</w:t>
            </w:r>
          </w:p>
        </w:tc>
        <w:tc>
          <w:tcPr>
            <w:tcW w:w="2122" w:type="dxa"/>
          </w:tcPr>
          <w:p w14:paraId="5D3E41EC" w14:textId="6F7E8E40" w:rsidR="008F5C96" w:rsidRPr="00070DF8" w:rsidRDefault="008F5C96"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3.07×10</w:t>
            </w:r>
            <w:r w:rsidRPr="00070DF8">
              <w:rPr>
                <w:rStyle w:val="normaltextrun"/>
                <w:vertAlign w:val="superscript"/>
              </w:rPr>
              <w:t>-4</w:t>
            </w:r>
            <w:r w:rsidRPr="00070DF8">
              <w:rPr>
                <w:rStyle w:val="eop"/>
              </w:rPr>
              <w:t> </w:t>
            </w:r>
          </w:p>
        </w:tc>
        <w:tc>
          <w:tcPr>
            <w:tcW w:w="2123" w:type="dxa"/>
          </w:tcPr>
          <w:p w14:paraId="3873ED4D" w14:textId="65242881" w:rsidR="008F5C96" w:rsidRPr="00070DF8" w:rsidRDefault="008F5C96"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1.69×10</w:t>
            </w:r>
            <w:r w:rsidRPr="00070DF8">
              <w:rPr>
                <w:rStyle w:val="normaltextrun"/>
                <w:vertAlign w:val="superscript"/>
              </w:rPr>
              <w:t>-5</w:t>
            </w:r>
            <w:r w:rsidRPr="00070DF8">
              <w:rPr>
                <w:rStyle w:val="eop"/>
              </w:rPr>
              <w:t> </w:t>
            </w:r>
          </w:p>
        </w:tc>
        <w:tc>
          <w:tcPr>
            <w:tcW w:w="2123" w:type="dxa"/>
          </w:tcPr>
          <w:p w14:paraId="52637265" w14:textId="3732D56C" w:rsidR="008F5C96" w:rsidRPr="00070DF8" w:rsidRDefault="008F5C96"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3.23×10</w:t>
            </w:r>
            <w:r w:rsidRPr="00070DF8">
              <w:rPr>
                <w:rStyle w:val="normaltextrun"/>
                <w:vertAlign w:val="superscript"/>
              </w:rPr>
              <w:t>-4</w:t>
            </w:r>
            <w:r w:rsidRPr="00070DF8">
              <w:rPr>
                <w:rStyle w:val="eop"/>
              </w:rPr>
              <w:t> </w:t>
            </w:r>
          </w:p>
        </w:tc>
      </w:tr>
      <w:tr w:rsidR="009E300B" w:rsidRPr="00070DF8" w14:paraId="6C1730D3" w14:textId="77777777" w:rsidTr="001C1FDD">
        <w:trPr>
          <w:jc w:val="center"/>
        </w:trPr>
        <w:tc>
          <w:tcPr>
            <w:cnfStyle w:val="001000000000" w:firstRow="0" w:lastRow="0" w:firstColumn="1" w:lastColumn="0" w:oddVBand="0" w:evenVBand="0" w:oddHBand="0" w:evenHBand="0" w:firstRowFirstColumn="0" w:firstRowLastColumn="0" w:lastRowFirstColumn="0" w:lastRowLastColumn="0"/>
            <w:tcW w:w="2262" w:type="dxa"/>
          </w:tcPr>
          <w:p w14:paraId="6233EA65" w14:textId="023E359F" w:rsidR="009E300B" w:rsidRPr="00070DF8" w:rsidRDefault="009E300B" w:rsidP="00070DF8">
            <w:pPr>
              <w:pStyle w:val="captiontext"/>
              <w:spacing w:line="480" w:lineRule="auto"/>
              <w:ind w:left="0"/>
              <w:rPr>
                <w:rFonts w:ascii="Times New Roman" w:eastAsia="Times New Roman" w:hAnsi="Times New Roman" w:cs="Times New Roman"/>
              </w:rPr>
            </w:pPr>
            <w:r w:rsidRPr="00070DF8">
              <w:rPr>
                <w:rFonts w:ascii="Times New Roman" w:eastAsia="Times New Roman" w:hAnsi="Times New Roman" w:cs="Times New Roman"/>
              </w:rPr>
              <w:t>Gas-</w:t>
            </w:r>
            <w:proofErr w:type="spellStart"/>
            <w:r w:rsidRPr="00070DF8">
              <w:rPr>
                <w:rFonts w:ascii="Times New Roman" w:eastAsia="Times New Roman" w:hAnsi="Times New Roman" w:cs="Times New Roman"/>
              </w:rPr>
              <w:t>ct</w:t>
            </w:r>
            <w:proofErr w:type="spellEnd"/>
          </w:p>
        </w:tc>
        <w:tc>
          <w:tcPr>
            <w:tcW w:w="2122" w:type="dxa"/>
          </w:tcPr>
          <w:p w14:paraId="7CB41501" w14:textId="6DF8E57B" w:rsidR="009E300B" w:rsidRPr="00070DF8" w:rsidRDefault="009E300B"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b/>
                <w:bCs/>
              </w:rPr>
            </w:pPr>
            <w:r w:rsidRPr="00070DF8">
              <w:rPr>
                <w:rStyle w:val="normaltextrun"/>
              </w:rPr>
              <w:t>5.69×10</w:t>
            </w:r>
            <w:r w:rsidRPr="00070DF8">
              <w:rPr>
                <w:rStyle w:val="normaltextrun"/>
                <w:vertAlign w:val="superscript"/>
              </w:rPr>
              <w:t>-4</w:t>
            </w:r>
            <w:r w:rsidRPr="00070DF8">
              <w:rPr>
                <w:rStyle w:val="eop"/>
              </w:rPr>
              <w:t> </w:t>
            </w:r>
          </w:p>
        </w:tc>
        <w:tc>
          <w:tcPr>
            <w:tcW w:w="2123" w:type="dxa"/>
          </w:tcPr>
          <w:p w14:paraId="2396D248" w14:textId="0088958D" w:rsidR="009E300B" w:rsidRPr="00070DF8" w:rsidRDefault="009E300B"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b/>
                <w:bCs/>
              </w:rPr>
            </w:pPr>
            <w:r w:rsidRPr="00070DF8">
              <w:rPr>
                <w:rStyle w:val="normaltextrun"/>
              </w:rPr>
              <w:t>3.04×10</w:t>
            </w:r>
            <w:r w:rsidRPr="00070DF8">
              <w:rPr>
                <w:rStyle w:val="normaltextrun"/>
                <w:vertAlign w:val="superscript"/>
              </w:rPr>
              <w:t>-5</w:t>
            </w:r>
            <w:r w:rsidRPr="00070DF8">
              <w:rPr>
                <w:rStyle w:val="eop"/>
              </w:rPr>
              <w:t> </w:t>
            </w:r>
          </w:p>
        </w:tc>
        <w:tc>
          <w:tcPr>
            <w:tcW w:w="2123" w:type="dxa"/>
          </w:tcPr>
          <w:p w14:paraId="6C0DE500" w14:textId="12DDEB10" w:rsidR="009E300B" w:rsidRPr="00070DF8" w:rsidRDefault="009E300B" w:rsidP="00070DF8">
            <w:pPr>
              <w:pStyle w:val="captiontext"/>
              <w:spacing w:line="480" w:lineRule="auto"/>
              <w:ind w:left="0"/>
              <w:cnfStyle w:val="000000000000" w:firstRow="0" w:lastRow="0" w:firstColumn="0" w:lastColumn="0" w:oddVBand="0" w:evenVBand="0" w:oddHBand="0" w:evenHBand="0" w:firstRowFirstColumn="0" w:firstRowLastColumn="0" w:lastRowFirstColumn="0" w:lastRowLastColumn="0"/>
              <w:rPr>
                <w:rFonts w:eastAsia="Times New Roman"/>
                <w:b/>
                <w:bCs/>
              </w:rPr>
            </w:pPr>
            <w:r w:rsidRPr="00070DF8">
              <w:rPr>
                <w:rStyle w:val="normaltextrun"/>
              </w:rPr>
              <w:t>5.65×10</w:t>
            </w:r>
            <w:r w:rsidRPr="00070DF8">
              <w:rPr>
                <w:rStyle w:val="normaltextrun"/>
                <w:vertAlign w:val="superscript"/>
              </w:rPr>
              <w:t>-4</w:t>
            </w:r>
            <w:r w:rsidRPr="00070DF8">
              <w:rPr>
                <w:rStyle w:val="eop"/>
              </w:rPr>
              <w:t> </w:t>
            </w:r>
          </w:p>
        </w:tc>
      </w:tr>
      <w:tr w:rsidR="009E300B" w:rsidRPr="00070DF8" w14:paraId="1B62B536" w14:textId="77777777" w:rsidTr="001C1F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2" w:type="dxa"/>
          </w:tcPr>
          <w:p w14:paraId="42DD628E" w14:textId="279BC77D" w:rsidR="009E300B" w:rsidRPr="00070DF8" w:rsidRDefault="009E300B" w:rsidP="00070DF8">
            <w:pPr>
              <w:pStyle w:val="captiontext"/>
              <w:spacing w:line="480" w:lineRule="auto"/>
              <w:ind w:left="0"/>
              <w:rPr>
                <w:rFonts w:ascii="Times New Roman" w:eastAsia="Times New Roman" w:hAnsi="Times New Roman" w:cs="Times New Roman"/>
              </w:rPr>
            </w:pPr>
            <w:r w:rsidRPr="00070DF8">
              <w:rPr>
                <w:rFonts w:ascii="Times New Roman" w:eastAsia="Times New Roman" w:hAnsi="Times New Roman" w:cs="Times New Roman"/>
              </w:rPr>
              <w:t>Biomass</w:t>
            </w:r>
          </w:p>
        </w:tc>
        <w:tc>
          <w:tcPr>
            <w:tcW w:w="2122" w:type="dxa"/>
          </w:tcPr>
          <w:p w14:paraId="421AB2BC" w14:textId="668F7810" w:rsidR="009E300B" w:rsidRPr="00070DF8" w:rsidRDefault="009E300B"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9.48×10</w:t>
            </w:r>
            <w:r w:rsidRPr="00070DF8">
              <w:rPr>
                <w:rStyle w:val="normaltextrun"/>
                <w:vertAlign w:val="superscript"/>
              </w:rPr>
              <w:t>-4</w:t>
            </w:r>
            <w:r w:rsidRPr="00070DF8">
              <w:rPr>
                <w:rStyle w:val="eop"/>
              </w:rPr>
              <w:t> </w:t>
            </w:r>
          </w:p>
        </w:tc>
        <w:tc>
          <w:tcPr>
            <w:tcW w:w="2123" w:type="dxa"/>
          </w:tcPr>
          <w:p w14:paraId="1547A546" w14:textId="28FDEC72" w:rsidR="009E300B" w:rsidRPr="00070DF8" w:rsidRDefault="009E300B"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6.73×10</w:t>
            </w:r>
            <w:r w:rsidRPr="00070DF8">
              <w:rPr>
                <w:rStyle w:val="normaltextrun"/>
                <w:vertAlign w:val="superscript"/>
              </w:rPr>
              <w:t>-5</w:t>
            </w:r>
            <w:r w:rsidRPr="00070DF8">
              <w:rPr>
                <w:rStyle w:val="eop"/>
              </w:rPr>
              <w:t> </w:t>
            </w:r>
          </w:p>
        </w:tc>
        <w:tc>
          <w:tcPr>
            <w:tcW w:w="2123" w:type="dxa"/>
          </w:tcPr>
          <w:p w14:paraId="789C3323" w14:textId="30649F7E" w:rsidR="009E300B" w:rsidRPr="00070DF8" w:rsidRDefault="009E300B" w:rsidP="00070DF8">
            <w:pPr>
              <w:pStyle w:val="captiontext"/>
              <w:spacing w:line="480" w:lineRule="auto"/>
              <w:ind w:left="0"/>
              <w:cnfStyle w:val="000000100000" w:firstRow="0" w:lastRow="0" w:firstColumn="0" w:lastColumn="0" w:oddVBand="0" w:evenVBand="0" w:oddHBand="1" w:evenHBand="0" w:firstRowFirstColumn="0" w:firstRowLastColumn="0" w:lastRowFirstColumn="0" w:lastRowLastColumn="0"/>
              <w:rPr>
                <w:rFonts w:eastAsia="Times New Roman"/>
                <w:b/>
                <w:bCs/>
              </w:rPr>
            </w:pPr>
            <w:r w:rsidRPr="00070DF8">
              <w:rPr>
                <w:rStyle w:val="normaltextrun"/>
              </w:rPr>
              <w:t>8.29×10</w:t>
            </w:r>
            <w:r w:rsidRPr="00070DF8">
              <w:rPr>
                <w:rStyle w:val="normaltextrun"/>
                <w:vertAlign w:val="superscript"/>
              </w:rPr>
              <w:t>-5</w:t>
            </w:r>
            <w:r w:rsidRPr="00070DF8">
              <w:rPr>
                <w:rStyle w:val="eop"/>
              </w:rPr>
              <w:t> </w:t>
            </w:r>
          </w:p>
        </w:tc>
      </w:tr>
    </w:tbl>
    <w:p w14:paraId="5E1532A6" w14:textId="77777777" w:rsidR="00F6604D" w:rsidRPr="002F130D" w:rsidRDefault="00F6604D" w:rsidP="00633708">
      <w:pPr>
        <w:pStyle w:val="captiontext"/>
      </w:pPr>
      <w:r w:rsidRPr="00070DF8">
        <w:t>Note</w:t>
      </w:r>
      <w:r w:rsidRPr="002F130D">
        <w:t>: Megawatt-hour (MWh); nitrogen oxides (NO</w:t>
      </w:r>
      <w:r w:rsidRPr="00AD72E5">
        <w:rPr>
          <w:vertAlign w:val="subscript"/>
        </w:rPr>
        <w:t>x</w:t>
      </w:r>
      <w:r w:rsidRPr="002F130D">
        <w:t>); particulate matter under 2.5 microns in diameter (PM</w:t>
      </w:r>
      <w:r w:rsidRPr="002F130D">
        <w:rPr>
          <w:vertAlign w:val="subscript"/>
        </w:rPr>
        <w:t>2.5</w:t>
      </w:r>
      <w:r w:rsidRPr="002F130D">
        <w:t>); sulfur dioxide (SO</w:t>
      </w:r>
      <w:r w:rsidRPr="00EB29A3">
        <w:rPr>
          <w:vertAlign w:val="subscript"/>
        </w:rPr>
        <w:t>2</w:t>
      </w:r>
      <w:r w:rsidRPr="002F130D">
        <w:t>); natural gas combined cycle (Gas-cc); natural gas combustion turbine (Gas-</w:t>
      </w:r>
      <w:proofErr w:type="spellStart"/>
      <w:r w:rsidRPr="002F130D">
        <w:t>ct</w:t>
      </w:r>
      <w:proofErr w:type="spellEnd"/>
      <w:r w:rsidRPr="002F130D">
        <w:t>).</w:t>
      </w:r>
    </w:p>
    <w:p w14:paraId="44AD8AE5" w14:textId="77777777" w:rsidR="00F66ABB" w:rsidRPr="00070DF8" w:rsidRDefault="00F66ABB" w:rsidP="002F130D">
      <w:pPr>
        <w:pStyle w:val="Heading1"/>
        <w:ind w:right="0"/>
        <w:rPr>
          <w:b/>
          <w:bCs/>
          <w:sz w:val="22"/>
          <w:szCs w:val="22"/>
        </w:rPr>
      </w:pPr>
      <w:r w:rsidRPr="00070DF8">
        <w:rPr>
          <w:b/>
          <w:bCs/>
          <w:sz w:val="22"/>
          <w:szCs w:val="22"/>
        </w:rPr>
        <w:t>Electric Vehicle Adoption</w:t>
      </w:r>
    </w:p>
    <w:p w14:paraId="50B65785" w14:textId="32A933CB" w:rsidR="00F66ABB" w:rsidRPr="00070DF8" w:rsidRDefault="005042E6" w:rsidP="008D4296">
      <w:pPr>
        <w:ind w:left="0" w:right="0" w:firstLine="720"/>
        <w:rPr>
          <w:rFonts w:eastAsia="Times New Roman"/>
          <w:color w:val="000000" w:themeColor="text1"/>
          <w:sz w:val="22"/>
          <w:szCs w:val="22"/>
        </w:rPr>
      </w:pPr>
      <w:r w:rsidRPr="00070DF8">
        <w:rPr>
          <w:rFonts w:eastAsia="Times New Roman"/>
          <w:color w:val="000000" w:themeColor="text1"/>
          <w:sz w:val="22"/>
          <w:szCs w:val="22"/>
        </w:rPr>
        <w:t xml:space="preserve">Predictive insights on electric vehicle adoption were obtained from </w:t>
      </w:r>
      <w:r w:rsidR="0055450F" w:rsidRPr="00070DF8">
        <w:rPr>
          <w:rFonts w:eastAsia="Times New Roman"/>
          <w:color w:val="000000" w:themeColor="text1"/>
          <w:sz w:val="22"/>
          <w:szCs w:val="22"/>
        </w:rPr>
        <w:t xml:space="preserve">NREL </w:t>
      </w:r>
      <w:r w:rsidR="0055450F" w:rsidRPr="00070DF8">
        <w:rPr>
          <w:rFonts w:eastAsia="Times New Roman"/>
          <w:color w:val="000000" w:themeColor="text1"/>
          <w:sz w:val="22"/>
          <w:szCs w:val="22"/>
        </w:rPr>
        <w:fldChar w:fldCharType="begin"/>
      </w:r>
      <w:r w:rsidR="0055450F" w:rsidRPr="00070DF8">
        <w:rPr>
          <w:rFonts w:eastAsia="Times New Roman"/>
          <w:color w:val="000000" w:themeColor="text1"/>
          <w:sz w:val="22"/>
          <w:szCs w:val="22"/>
        </w:rPr>
        <w:instrText xml:space="preserve"> ADDIN ZOTERO_ITEM CSL_CITATION {"citationID":"JsiGLzHY","properties":{"formattedCitation":"(Mai et al., 2018)","plainCitation":"(Mai et al., 2018)","noteIndex":0},"citationItems":[{"id":147,"uris":["http://zotero.org/users/13598080/items/E4WP29PK"],"itemData":{"id":147,"type":"report","abstract":"This report is the second in a series of Electrification Futures Study (EFS) publications, a multi-year research project to explore widespread electrification in the future energy system of the United States. The report presents scenarios of electric end-use technology adoption and resulting electricity consumption in the United States. The scenarios are used to characterize changes to end-use sectors under futures with increased electrification and to quantify how those changes might impact the amount and shape of electricity consumption. These scenarios were developed primarily using expert judgment and an energy system accounting framework. Of course, technology adoption will ultimately depend on a set of complex considerations that are not fully assessed using our methodology, but which are discussed extensively throughout the report. These interacting factors include technology and fuel cost trade-offs, infrastructure needs, environmental policies, and consumer preference. Within each of these factors are barriers that might challenge increased electrification - such as higher upfront costs or unfamiliarity with new electric technologies - but also opportunities that could yield greater adoption - such as increased productivity or expanded value streams enabled by electric and/or grid-connected technologies. Understanding and quantifying these factors are needed to both evaluate the implications of a potential increased electrification future and to influence the degree of future electrification. Overall, the report represents an initial step to inform researchers and decision-makers with data and context to plan for a potential future in which electricity powers an expanded share of the U.S. energy economy.This report is the second in a series of Electrification Futures Study (EFS) publications, a multi-year research project to explore widespread electrification in the future energy system of the United States. The report presents scenarios of electric end-use technology adoption in all major sectors - transportation, commercial and residential buildings, and industry - and resulting electricity consumption in the United States. The scenarios are used to characterize changes to end-use sectors under futures with increased electrification and to quantify how those changes might impact the amount and shape of electricity consumption. These scenarios were developed primarily using expert judgment and an energy system accounting framework. Of course, technology adoption will ultimately depend on a set of complex considerations that are not fully assessed using our methodology, but which are discussed extensively throughout the report. These interacting factors include technology and fuel cost trade-offs, infrastructure needs, environmental policies, and consumer preference. Within each of these factors are barriers that might challenge increased electrification - such as higher upfront costs or unfamiliarity with new electric technologies - but also opportunities that could yield greater adoption, such as increased productivity or expanded value streams enabled by electric and grid-connected technologies. Understanding and quantifying these factors are needed to both evaluate the implications of a potential increased electrification future and to influence the degree of future electrification. Overall, the report represents an initial step to inform researchers and decision-makers with data and context to plan for a potential future in which electricity powers an expanded share of the U.S. energy economy.","language":"English","note":"DOI: 10.2172/1459351","number":"NREL/TP-6A20-71500","publisher":"National Renewable Energy Lab. (NREL), Golden, CO (United States)","source":"www.osti.gov","title":"Electrification Futures Study: Scenarios of Electric Technology Adoption and Power Consumption for the United States","title-short":"Electrification Futures Study","URL":"https://www.osti.gov/biblio/1459351","author":[{"family":"Mai","given":"Trieu T."},{"family":"Jadun","given":"Paige"},{"family":"Logan","given":"Jeffrey S."},{"family":"McMillan","given":"Colin A."},{"family":"Muratori","given":"Matteo"},{"family":"Steinberg","given":"Daniel C."},{"family":"Vimmerstedt","given":"Laura J."},{"family":"Haley","given":"Benjamin"},{"family":"Jones","given":"Ryan"},{"family":"Nelson","given":"Brent"}],"accessed":{"date-parts":[["2023",12,23]]},"issued":{"date-parts":[["2018",6,29]]}}}],"schema":"https://github.com/citation-style-language/schema/raw/master/csl-citation.json"} </w:instrText>
      </w:r>
      <w:r w:rsidR="0055450F" w:rsidRPr="00070DF8">
        <w:rPr>
          <w:rFonts w:eastAsia="Times New Roman"/>
          <w:color w:val="000000" w:themeColor="text1"/>
          <w:sz w:val="22"/>
          <w:szCs w:val="22"/>
        </w:rPr>
        <w:fldChar w:fldCharType="separate"/>
      </w:r>
      <w:r w:rsidR="0055450F" w:rsidRPr="00070DF8">
        <w:rPr>
          <w:sz w:val="22"/>
          <w:szCs w:val="22"/>
        </w:rPr>
        <w:t>(Mai et al., 2018)</w:t>
      </w:r>
      <w:r w:rsidR="0055450F" w:rsidRPr="00070DF8">
        <w:rPr>
          <w:rFonts w:eastAsia="Times New Roman"/>
          <w:color w:val="000000" w:themeColor="text1"/>
          <w:sz w:val="22"/>
          <w:szCs w:val="22"/>
        </w:rPr>
        <w:fldChar w:fldCharType="end"/>
      </w:r>
      <w:r w:rsidRPr="00070DF8">
        <w:rPr>
          <w:rFonts w:eastAsia="Times New Roman"/>
          <w:color w:val="000000" w:themeColor="text1"/>
          <w:sz w:val="22"/>
          <w:szCs w:val="22"/>
        </w:rPr>
        <w:t>. This predictive model compared anticipated electric vehicle adoption (Figure 3) with historical county VMT data from 2019 (Figure 4). Forecasting through 2050 included projections for both EVs and ICEVs</w:t>
      </w:r>
      <w:r w:rsidR="00A240E1" w:rsidRPr="00070DF8">
        <w:rPr>
          <w:rFonts w:eastAsia="Times New Roman"/>
          <w:color w:val="000000" w:themeColor="text1"/>
          <w:sz w:val="22"/>
          <w:szCs w:val="22"/>
        </w:rPr>
        <w:t xml:space="preserve"> based on 2019 VMT</w:t>
      </w:r>
      <w:r w:rsidRPr="00070DF8">
        <w:rPr>
          <w:rFonts w:eastAsia="Times New Roman"/>
          <w:color w:val="000000" w:themeColor="text1"/>
          <w:sz w:val="22"/>
          <w:szCs w:val="22"/>
        </w:rPr>
        <w:t>, capturing the evolving vehicular landscape and its impact on emissions trajectories.</w:t>
      </w:r>
      <w:r w:rsidR="00F66ABB" w:rsidRPr="00070DF8">
        <w:rPr>
          <w:rFonts w:eastAsia="Times New Roman"/>
          <w:color w:val="000000" w:themeColor="text1"/>
          <w:sz w:val="22"/>
          <w:szCs w:val="22"/>
        </w:rPr>
        <w:t xml:space="preserve"> </w:t>
      </w:r>
    </w:p>
    <w:p w14:paraId="7E486B78" w14:textId="6C7532C1" w:rsidR="00F66ABB" w:rsidRPr="00633708" w:rsidRDefault="00F66ABB" w:rsidP="00633708">
      <w:pPr>
        <w:pStyle w:val="Caption"/>
      </w:pPr>
      <w:r w:rsidRPr="00633708">
        <w:t>Figure 3.</w:t>
      </w:r>
    </w:p>
    <w:p w14:paraId="3B4FD8D9" w14:textId="77777777" w:rsidR="00F66ABB" w:rsidRPr="00633708" w:rsidRDefault="00F66ABB" w:rsidP="00633708">
      <w:pPr>
        <w:pStyle w:val="captiontext"/>
      </w:pPr>
      <w:r w:rsidRPr="00633708">
        <w:t>Electric vehicle adoption projection by vehicle category.</w:t>
      </w:r>
    </w:p>
    <w:p w14:paraId="6B0796DB" w14:textId="77777777" w:rsidR="00B22908" w:rsidRPr="00070DF8" w:rsidRDefault="001239E0" w:rsidP="00633708">
      <w:pPr>
        <w:pStyle w:val="captiontext"/>
        <w:rPr>
          <w:rFonts w:eastAsia="Times New Roman"/>
        </w:rPr>
      </w:pPr>
      <w:r w:rsidRPr="00070DF8">
        <w:rPr>
          <w:noProof/>
        </w:rPr>
        <w:drawing>
          <wp:inline distT="0" distB="0" distL="0" distR="0" wp14:anchorId="1BF5F157" wp14:editId="2D91C8C4">
            <wp:extent cx="4967278" cy="2583712"/>
            <wp:effectExtent l="0" t="0" r="5080" b="7620"/>
            <wp:docPr id="14087377" name="Picture 1408737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7377" name="Picture 14087377" descr="A graph of different colored lin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73906" cy="2587160"/>
                    </a:xfrm>
                    <a:prstGeom prst="rect">
                      <a:avLst/>
                    </a:prstGeom>
                  </pic:spPr>
                </pic:pic>
              </a:graphicData>
            </a:graphic>
          </wp:inline>
        </w:drawing>
      </w:r>
    </w:p>
    <w:p w14:paraId="4BD9FC0E" w14:textId="5CEC29AC" w:rsidR="00CE472C" w:rsidRPr="00070DF8" w:rsidRDefault="00CE472C" w:rsidP="00633708">
      <w:pPr>
        <w:pStyle w:val="captiontext"/>
      </w:pPr>
      <w:r w:rsidRPr="00070DF8">
        <w:lastRenderedPageBreak/>
        <w:t>Note: Passenger car (Car); Light Duty Truck (LDT); Single-unit Truck (MHDV); Combination Truck (HHDV); vehicle miles traveled (VMT); electric vehicle (EV).</w:t>
      </w:r>
    </w:p>
    <w:p w14:paraId="01C90CAB" w14:textId="00B2F12B" w:rsidR="00BB2D8C" w:rsidRPr="00070DF8" w:rsidRDefault="00BB2D8C" w:rsidP="002F130D">
      <w:pPr>
        <w:pStyle w:val="Heading1"/>
        <w:rPr>
          <w:b/>
          <w:bCs/>
          <w:sz w:val="22"/>
          <w:szCs w:val="22"/>
        </w:rPr>
      </w:pPr>
      <w:r w:rsidRPr="00070DF8">
        <w:rPr>
          <w:b/>
          <w:bCs/>
          <w:sz w:val="22"/>
          <w:szCs w:val="22"/>
        </w:rPr>
        <w:t>Health Impact</w:t>
      </w:r>
    </w:p>
    <w:p w14:paraId="753727AF" w14:textId="5FBDA581" w:rsidR="00DF1F6F" w:rsidRPr="00070DF8" w:rsidRDefault="00DF1F6F" w:rsidP="00027F32">
      <w:pPr>
        <w:pStyle w:val="ListParagraph"/>
        <w:ind w:left="0" w:right="0" w:firstLine="720"/>
        <w:rPr>
          <w:sz w:val="22"/>
          <w:szCs w:val="22"/>
        </w:rPr>
      </w:pPr>
      <w:r w:rsidRPr="00070DF8">
        <w:rPr>
          <w:sz w:val="22"/>
          <w:szCs w:val="22"/>
        </w:rPr>
        <w:t xml:space="preserve">Incremental change in societal well-being resulting from a change in ambient air quality in the United States was modeled using </w:t>
      </w:r>
      <w:r w:rsidR="008E7FB2">
        <w:rPr>
          <w:sz w:val="22"/>
          <w:szCs w:val="22"/>
        </w:rPr>
        <w:t>the</w:t>
      </w:r>
      <w:r w:rsidRPr="00070DF8">
        <w:rPr>
          <w:sz w:val="22"/>
          <w:szCs w:val="22"/>
        </w:rPr>
        <w:t xml:space="preserve"> EASIUR model </w:t>
      </w:r>
      <w:r w:rsidRPr="00070DF8">
        <w:rPr>
          <w:sz w:val="22"/>
          <w:szCs w:val="22"/>
        </w:rPr>
        <w:fldChar w:fldCharType="begin"/>
      </w:r>
      <w:r w:rsidR="003C04D1" w:rsidRPr="00070DF8">
        <w:rPr>
          <w:sz w:val="22"/>
          <w:szCs w:val="22"/>
        </w:rPr>
        <w:instrText xml:space="preserve"> ADDIN ZOTERO_ITEM CSL_CITATION {"citationID":"vBoJC8ng","properties":{"formattedCitation":"(Heo et al., 2016)","plainCitation":"(Heo et al., 2016)","noteIndex":0},"citationItems":[{"id":199,"uris":["http://zotero.org/users/13598080/items/XGTZUEXS"],"itemData":{"id":199,"type":"article-journal","title":"Reduced-form modeling of public health impacts of inorganic PM2.5 and precursor emissions","URL":"https://www.sciencedirect.com/science/article/pii/S1352231016303090","author":[{"family":"Heo","given":"Jinhyok"},{"family":"Adams","given":"Peter J"},{"family":"Gao","given":"Oliver"}],"issued":{"date-parts":[["2016"]]}}}],"schema":"https://github.com/citation-style-language/schema/raw/master/csl-citation.json"} </w:instrText>
      </w:r>
      <w:r w:rsidRPr="00070DF8">
        <w:rPr>
          <w:sz w:val="22"/>
          <w:szCs w:val="22"/>
        </w:rPr>
        <w:fldChar w:fldCharType="separate"/>
      </w:r>
      <w:r w:rsidR="003C04D1" w:rsidRPr="00070DF8">
        <w:rPr>
          <w:sz w:val="22"/>
          <w:szCs w:val="22"/>
        </w:rPr>
        <w:t>(Heo et al., 2016)</w:t>
      </w:r>
      <w:r w:rsidRPr="00070DF8">
        <w:rPr>
          <w:sz w:val="22"/>
          <w:szCs w:val="22"/>
        </w:rPr>
        <w:fldChar w:fldCharType="end"/>
      </w:r>
      <w:r w:rsidRPr="00070DF8">
        <w:rPr>
          <w:sz w:val="22"/>
          <w:szCs w:val="22"/>
        </w:rPr>
        <w:t>. This study focused on 3 pollutants: primary 2.5 (Elemental Carbon: EC), sulfur dioxide (</w:t>
      </w:r>
      <w:r w:rsidR="00467110" w:rsidRPr="00070DF8">
        <w:rPr>
          <w:sz w:val="22"/>
          <w:szCs w:val="22"/>
        </w:rPr>
        <w:t>SO</w:t>
      </w:r>
      <w:r w:rsidR="00467110" w:rsidRPr="00070DF8">
        <w:rPr>
          <w:sz w:val="22"/>
          <w:szCs w:val="22"/>
          <w:vertAlign w:val="subscript"/>
        </w:rPr>
        <w:t>2</w:t>
      </w:r>
      <w:r w:rsidRPr="00070DF8">
        <w:rPr>
          <w:sz w:val="22"/>
          <w:szCs w:val="22"/>
        </w:rPr>
        <w:t>), and nitrogen oxides (NO</w:t>
      </w:r>
      <w:r w:rsidRPr="00070DF8">
        <w:rPr>
          <w:sz w:val="22"/>
          <w:szCs w:val="22"/>
          <w:vertAlign w:val="subscript"/>
        </w:rPr>
        <w:t>x</w:t>
      </w:r>
      <w:r w:rsidRPr="00070DF8">
        <w:rPr>
          <w:sz w:val="22"/>
          <w:szCs w:val="22"/>
        </w:rPr>
        <w:t xml:space="preserve">). EC represents </w:t>
      </w:r>
      <w:r w:rsidR="003E4800">
        <w:rPr>
          <w:sz w:val="22"/>
          <w:szCs w:val="22"/>
        </w:rPr>
        <w:t xml:space="preserve">particulate matter </w:t>
      </w:r>
      <w:r w:rsidR="004C13A6">
        <w:rPr>
          <w:sz w:val="22"/>
          <w:szCs w:val="22"/>
        </w:rPr>
        <w:t xml:space="preserve">with </w:t>
      </w:r>
      <w:r w:rsidR="00186DA0">
        <w:rPr>
          <w:sz w:val="22"/>
          <w:szCs w:val="22"/>
        </w:rPr>
        <w:t>2.5</w:t>
      </w:r>
      <w:r w:rsidR="004C13A6">
        <w:rPr>
          <w:sz w:val="22"/>
          <w:szCs w:val="22"/>
        </w:rPr>
        <w:t xml:space="preserve"> </w:t>
      </w:r>
      <w:proofErr w:type="spellStart"/>
      <w:r w:rsidR="004C13A6" w:rsidRPr="004C13A6">
        <w:rPr>
          <w:sz w:val="22"/>
          <w:szCs w:val="22"/>
        </w:rPr>
        <w:t>μm</w:t>
      </w:r>
      <w:proofErr w:type="spellEnd"/>
      <w:r w:rsidR="004C13A6">
        <w:rPr>
          <w:sz w:val="22"/>
          <w:szCs w:val="22"/>
        </w:rPr>
        <w:t xml:space="preserve"> diameter (</w:t>
      </w:r>
      <w:r w:rsidRPr="00070DF8">
        <w:rPr>
          <w:sz w:val="22"/>
          <w:szCs w:val="22"/>
        </w:rPr>
        <w:t>PM</w:t>
      </w:r>
      <w:r w:rsidRPr="00AD72E5">
        <w:rPr>
          <w:sz w:val="22"/>
          <w:szCs w:val="22"/>
          <w:vertAlign w:val="subscript"/>
        </w:rPr>
        <w:t>2.5</w:t>
      </w:r>
      <w:r w:rsidR="004C13A6">
        <w:rPr>
          <w:sz w:val="22"/>
          <w:szCs w:val="22"/>
        </w:rPr>
        <w:t>)</w:t>
      </w:r>
      <w:r w:rsidRPr="00070DF8">
        <w:rPr>
          <w:sz w:val="22"/>
          <w:szCs w:val="22"/>
        </w:rPr>
        <w:t xml:space="preserve"> that is being directly emitted into the atmosphere as opposed to being emitted as a combination of a gaseous form of another pollutant that later produces PM</w:t>
      </w:r>
      <w:r w:rsidRPr="00AD72E5">
        <w:rPr>
          <w:sz w:val="22"/>
          <w:szCs w:val="22"/>
          <w:vertAlign w:val="subscript"/>
        </w:rPr>
        <w:t>2.5</w:t>
      </w:r>
      <w:r w:rsidRPr="00070DF8">
        <w:rPr>
          <w:sz w:val="22"/>
          <w:szCs w:val="22"/>
        </w:rPr>
        <w:t xml:space="preserve"> in the atmosphere. </w:t>
      </w:r>
    </w:p>
    <w:p w14:paraId="5FFA5D95" w14:textId="77ABE218" w:rsidR="00DF1F6F" w:rsidRPr="00070DF8" w:rsidRDefault="00DD798E" w:rsidP="00027F32">
      <w:pPr>
        <w:pStyle w:val="ListParagraph"/>
        <w:ind w:left="0" w:right="0" w:firstLine="720"/>
        <w:rPr>
          <w:sz w:val="22"/>
          <w:szCs w:val="22"/>
        </w:rPr>
      </w:pPr>
      <w:r w:rsidRPr="00070DF8">
        <w:rPr>
          <w:sz w:val="22"/>
          <w:szCs w:val="22"/>
        </w:rPr>
        <w:t>Marginal damages (MD) are calculated based on 2005 meteorological conditions and emissions, categorized by county and emission height. The height of pollutant emissions influences dispersion, impacting exposure levels and health effects on nearby populations. Ground-level area emissions include BTW and exhaust, while EV charging emissions are considered mid-level.</w:t>
      </w:r>
      <w:commentRangeStart w:id="9"/>
      <w:r w:rsidR="00DF1F6F" w:rsidRPr="00070DF8">
        <w:rPr>
          <w:sz w:val="22"/>
          <w:szCs w:val="22"/>
        </w:rPr>
        <w:t xml:space="preserve"> </w:t>
      </w:r>
      <w:commentRangeEnd w:id="9"/>
      <w:r w:rsidR="00DF1F6F" w:rsidRPr="00070DF8">
        <w:rPr>
          <w:rStyle w:val="CommentReference"/>
          <w:sz w:val="22"/>
          <w:szCs w:val="22"/>
        </w:rPr>
        <w:commentReference w:id="9"/>
      </w:r>
      <w:r w:rsidR="00DF1F6F" w:rsidRPr="00070DF8">
        <w:rPr>
          <w:sz w:val="22"/>
          <w:szCs w:val="22"/>
        </w:rPr>
        <w:t xml:space="preserve">EASIUR marginal damages were published using a value of $8.8M 2010 </w:t>
      </w:r>
      <w:r w:rsidR="00300448">
        <w:rPr>
          <w:sz w:val="22"/>
          <w:szCs w:val="22"/>
        </w:rPr>
        <w:t>U.S. Dollar (</w:t>
      </w:r>
      <w:r w:rsidR="00DF1F6F" w:rsidRPr="00070DF8">
        <w:rPr>
          <w:sz w:val="22"/>
          <w:szCs w:val="22"/>
        </w:rPr>
        <w:t>USD</w:t>
      </w:r>
      <w:r w:rsidR="00300448">
        <w:rPr>
          <w:sz w:val="22"/>
          <w:szCs w:val="22"/>
        </w:rPr>
        <w:t>)</w:t>
      </w:r>
      <w:r w:rsidR="00DF1F6F" w:rsidRPr="00070DF8">
        <w:rPr>
          <w:sz w:val="22"/>
          <w:szCs w:val="22"/>
        </w:rPr>
        <w:t xml:space="preserve"> for value of statistical life (</w:t>
      </w:r>
      <w:r w:rsidR="00DF1F6F" w:rsidRPr="00070DF8">
        <w:rPr>
          <w:i/>
          <w:iCs/>
          <w:sz w:val="22"/>
          <w:szCs w:val="22"/>
        </w:rPr>
        <w:t>VSL</w:t>
      </w:r>
      <w:r w:rsidR="00DF1F6F" w:rsidRPr="00070DF8">
        <w:rPr>
          <w:sz w:val="22"/>
          <w:szCs w:val="22"/>
        </w:rPr>
        <w:t xml:space="preserve">) and a relative risk of 1.06 for CR. An adjusted EASIUR marginal damage (MD’) using a different </w:t>
      </w:r>
      <w:r w:rsidR="00DF1F6F" w:rsidRPr="00070DF8">
        <w:rPr>
          <w:i/>
          <w:iCs/>
          <w:sz w:val="22"/>
          <w:szCs w:val="22"/>
        </w:rPr>
        <w:t>VSL</w:t>
      </w:r>
      <w:r w:rsidR="00DF1F6F" w:rsidRPr="00070DF8">
        <w:rPr>
          <w:sz w:val="22"/>
          <w:szCs w:val="22"/>
        </w:rPr>
        <w:t xml:space="preserve"> was calculated with </w:t>
      </w:r>
      <w:r w:rsidR="007C0A6F" w:rsidRPr="00070DF8">
        <w:rPr>
          <w:b/>
          <w:bCs/>
          <w:sz w:val="22"/>
          <w:szCs w:val="22"/>
        </w:rPr>
        <w:t>Equation 3</w:t>
      </w:r>
      <w:r w:rsidR="00DF1F6F" w:rsidRPr="00070DF8">
        <w:rPr>
          <w:sz w:val="22"/>
          <w:szCs w:val="22"/>
        </w:rPr>
        <w:t xml:space="preserve"> </w:t>
      </w:r>
      <w:r w:rsidR="00DF1F6F" w:rsidRPr="00070DF8">
        <w:rPr>
          <w:sz w:val="22"/>
          <w:szCs w:val="22"/>
        </w:rPr>
        <w:fldChar w:fldCharType="begin"/>
      </w:r>
      <w:r w:rsidR="000546E4" w:rsidRPr="00070DF8">
        <w:rPr>
          <w:sz w:val="22"/>
          <w:szCs w:val="22"/>
        </w:rPr>
        <w:instrText xml:space="preserve"> ADDIN ZOTERO_ITEM CSL_CITATION {"citationID":"UYIxYSwF","properties":{"formattedCitation":"(Heo &amp; Adams, n.d.)","plainCitation":"(Heo &amp; Adams, n.d.)","dontUpdate":true,"noteIndex":0},"citationItems":[{"id":116,"uris":["http://zotero.org/users/local/lgQ0pm0d/items/27DWYTLZ","http://zotero.org/users/13598080/items/27DWYTLZ"],"itemData":{"id":116,"type":"article-journal","language":"en","source":"Zotero","title":"EASIUR User’s Guide Version 0.2","URL":"https://barney.ce.cmu.edu/~jinhyok/easiur/EASIUR-Users-Guide-200505-Jinhyok.pdf","author":[{"family":"Heo","given":"Jinhyok"},{"family":"Adams","given":"Peter J"}],"issued":{"date-parts":[["2015"]]}}}],"schema":"https://github.com/citation-style-language/schema/raw/master/csl-citation.json"} </w:instrText>
      </w:r>
      <w:r w:rsidR="00DF1F6F" w:rsidRPr="00070DF8">
        <w:rPr>
          <w:sz w:val="22"/>
          <w:szCs w:val="22"/>
        </w:rPr>
        <w:fldChar w:fldCharType="separate"/>
      </w:r>
      <w:r w:rsidR="00DF1F6F" w:rsidRPr="00070DF8">
        <w:rPr>
          <w:sz w:val="22"/>
          <w:szCs w:val="22"/>
        </w:rPr>
        <w:t>(Heo &amp; Adams, 2015.)</w:t>
      </w:r>
      <w:r w:rsidR="00DF1F6F" w:rsidRPr="00070DF8">
        <w:rPr>
          <w:sz w:val="22"/>
          <w:szCs w:val="22"/>
        </w:rPr>
        <w:fldChar w:fldCharType="end"/>
      </w:r>
      <w:r w:rsidR="00DF1F6F" w:rsidRPr="00070DF8">
        <w:rPr>
          <w:sz w:val="22"/>
          <w:szCs w:val="22"/>
        </w:rPr>
        <w:t>.</w:t>
      </w:r>
    </w:p>
    <w:p w14:paraId="22E50475" w14:textId="6F4A4377" w:rsidR="00DF1F6F" w:rsidRPr="00070DF8" w:rsidRDefault="00DF1F6F" w:rsidP="00633708">
      <w:pPr>
        <w:pStyle w:val="ListParagraph"/>
        <w:ind w:right="0" w:firstLine="720"/>
        <w:rPr>
          <w:rFonts w:eastAsiaTheme="minorEastAsia"/>
          <w:sz w:val="22"/>
          <w:szCs w:val="22"/>
        </w:rPr>
      </w:pPr>
      <w:r w:rsidRPr="00070DF8">
        <w:rPr>
          <w:rFonts w:eastAsia="Times New Roman"/>
          <w:b/>
          <w:bCs/>
          <w:sz w:val="22"/>
          <w:szCs w:val="22"/>
        </w:rPr>
        <w:t xml:space="preserve">Equation </w:t>
      </w:r>
      <w:r w:rsidR="001E5B80" w:rsidRPr="00070DF8">
        <w:rPr>
          <w:rFonts w:eastAsia="Times New Roman"/>
          <w:b/>
          <w:bCs/>
          <w:sz w:val="22"/>
          <w:szCs w:val="22"/>
        </w:rPr>
        <w:t>3</w:t>
      </w:r>
      <w:r w:rsidRPr="00070DF8">
        <w:rPr>
          <w:rFonts w:eastAsia="Times New Roman"/>
          <w:b/>
          <w:bCs/>
          <w:sz w:val="22"/>
          <w:szCs w:val="22"/>
        </w:rPr>
        <w:t xml:space="preserve">. </w:t>
      </w:r>
      <m:oMath>
        <m:r>
          <w:rPr>
            <w:rFonts w:ascii="Cambria Math" w:hAnsi="Cambria Math"/>
            <w:sz w:val="22"/>
            <w:szCs w:val="22"/>
          </w:rPr>
          <m:t>M</m:t>
        </m:r>
        <m:sSup>
          <m:sSupPr>
            <m:ctrlPr>
              <w:rPr>
                <w:rFonts w:ascii="Cambria Math" w:hAnsi="Cambria Math"/>
                <w:i/>
                <w:sz w:val="22"/>
                <w:szCs w:val="22"/>
              </w:rPr>
            </m:ctrlPr>
          </m:sSupPr>
          <m:e>
            <m:r>
              <w:rPr>
                <w:rFonts w:ascii="Cambria Math" w:hAnsi="Cambria Math"/>
                <w:sz w:val="22"/>
                <w:szCs w:val="22"/>
              </w:rPr>
              <m:t>D</m:t>
            </m:r>
          </m:e>
          <m:sup>
            <m:r>
              <w:rPr>
                <w:rFonts w:ascii="Cambria Math" w:hAnsi="Cambria Math"/>
                <w:sz w:val="22"/>
                <w:szCs w:val="22"/>
              </w:rPr>
              <m:t>'</m:t>
            </m:r>
          </m:sup>
        </m:sSup>
        <m:r>
          <w:rPr>
            <w:rFonts w:ascii="Cambria Math" w:hAnsi="Cambria Math"/>
            <w:sz w:val="22"/>
            <w:szCs w:val="22"/>
          </w:rPr>
          <m:t xml:space="preserve">=MD* </m:t>
        </m:r>
        <m:f>
          <m:fPr>
            <m:ctrlPr>
              <w:rPr>
                <w:rFonts w:ascii="Cambria Math" w:hAnsi="Cambria Math"/>
                <w:i/>
                <w:sz w:val="22"/>
                <w:szCs w:val="22"/>
              </w:rPr>
            </m:ctrlPr>
          </m:fPr>
          <m:num>
            <m:r>
              <w:rPr>
                <w:rFonts w:ascii="Cambria Math" w:hAnsi="Cambria Math"/>
                <w:sz w:val="22"/>
                <w:szCs w:val="22"/>
              </w:rPr>
              <m:t>VSL</m:t>
            </m:r>
          </m:num>
          <m:den>
            <m:r>
              <w:rPr>
                <w:rFonts w:ascii="Cambria Math" w:hAnsi="Cambria Math"/>
                <w:sz w:val="22"/>
                <w:szCs w:val="22"/>
              </w:rPr>
              <m:t>$8.8M</m:t>
            </m:r>
          </m:den>
        </m:f>
      </m:oMath>
    </w:p>
    <w:p w14:paraId="46E8C27D" w14:textId="0F248A95" w:rsidR="00DF1F6F" w:rsidRPr="00070DF8" w:rsidRDefault="00DF1F6F" w:rsidP="00027F32">
      <w:pPr>
        <w:pStyle w:val="ListParagraph"/>
        <w:ind w:left="0" w:right="0" w:firstLine="720"/>
        <w:rPr>
          <w:rFonts w:eastAsiaTheme="minorEastAsia"/>
          <w:sz w:val="22"/>
          <w:szCs w:val="22"/>
        </w:rPr>
      </w:pPr>
      <w:r w:rsidRPr="00070DF8">
        <w:rPr>
          <w:rFonts w:eastAsiaTheme="minorEastAsia"/>
          <w:sz w:val="22"/>
          <w:szCs w:val="22"/>
        </w:rPr>
        <w:t>The U.S. EPA’s official VSL is reflected in this model, which is $4.8M in 1990 USD and income level. (</w:t>
      </w:r>
      <w:r w:rsidRPr="00070DF8">
        <w:rPr>
          <w:rFonts w:eastAsiaTheme="minorEastAsia"/>
          <w:i/>
          <w:iCs/>
          <w:sz w:val="22"/>
          <w:szCs w:val="22"/>
        </w:rPr>
        <w:t>G</w:t>
      </w:r>
      <w:r w:rsidRPr="00070DF8">
        <w:rPr>
          <w:rFonts w:eastAsiaTheme="minorEastAsia"/>
          <w:sz w:val="22"/>
          <w:szCs w:val="22"/>
        </w:rPr>
        <w:t>) represents the Gross Domestic Product (GDP) deflators adopted from the Bureau of Economic Analysis (BEA Interactive Data Application, n.d.) and (</w:t>
      </w:r>
      <w:r w:rsidRPr="00070DF8">
        <w:rPr>
          <w:rFonts w:eastAsiaTheme="minorEastAsia"/>
          <w:i/>
          <w:iCs/>
          <w:sz w:val="22"/>
          <w:szCs w:val="22"/>
        </w:rPr>
        <w:t>I</w:t>
      </w:r>
      <w:r w:rsidRPr="00070DF8">
        <w:rPr>
          <w:rFonts w:eastAsiaTheme="minorEastAsia"/>
          <w:sz w:val="22"/>
          <w:szCs w:val="22"/>
        </w:rPr>
        <w:t xml:space="preserve">) represent income level adjustments adopted from the EASIUR manual. The total emission from vehicle usage between 2019 and 2050 for each county was multiplied by the adjusted public health cost.    To adjust for the 2019-dollar year and accommodate variations in income levels and inflation, factors were modified to ensure data is reflective of economic changes over time. The adjusted VSL (VSL’) was calculated using </w:t>
      </w:r>
      <w:r w:rsidR="007C0A6F" w:rsidRPr="00070DF8">
        <w:rPr>
          <w:rFonts w:eastAsiaTheme="minorEastAsia"/>
          <w:b/>
          <w:bCs/>
          <w:sz w:val="22"/>
          <w:szCs w:val="22"/>
        </w:rPr>
        <w:t>Equation 4</w:t>
      </w:r>
      <w:r w:rsidR="007C0A6F" w:rsidRPr="00070DF8">
        <w:rPr>
          <w:rFonts w:eastAsiaTheme="minorEastAsia"/>
          <w:sz w:val="22"/>
          <w:szCs w:val="22"/>
        </w:rPr>
        <w:t>.</w:t>
      </w:r>
    </w:p>
    <w:p w14:paraId="6F8F55BE" w14:textId="2AF48C3D" w:rsidR="00AA0348" w:rsidRPr="00070DF8" w:rsidRDefault="00DF1F6F" w:rsidP="00633708">
      <w:pPr>
        <w:pStyle w:val="ListParagraph"/>
        <w:ind w:right="0" w:firstLine="720"/>
        <w:contextualSpacing w:val="0"/>
        <w:rPr>
          <w:rFonts w:eastAsiaTheme="minorEastAsia"/>
          <w:sz w:val="22"/>
          <w:szCs w:val="22"/>
        </w:rPr>
      </w:pPr>
      <w:r w:rsidRPr="00070DF8">
        <w:rPr>
          <w:rFonts w:eastAsia="Times New Roman"/>
          <w:b/>
          <w:bCs/>
          <w:sz w:val="22"/>
          <w:szCs w:val="22"/>
        </w:rPr>
        <w:t xml:space="preserve">Equation </w:t>
      </w:r>
      <w:r w:rsidR="001E5B80" w:rsidRPr="00070DF8">
        <w:rPr>
          <w:rFonts w:eastAsia="Times New Roman"/>
          <w:b/>
          <w:bCs/>
          <w:sz w:val="22"/>
          <w:szCs w:val="22"/>
        </w:rPr>
        <w:t>4</w:t>
      </w:r>
      <w:r w:rsidRPr="00070DF8">
        <w:rPr>
          <w:rFonts w:eastAsia="Times New Roman"/>
          <w:b/>
          <w:bCs/>
          <w:sz w:val="22"/>
          <w:szCs w:val="22"/>
        </w:rPr>
        <w:t xml:space="preserve">.  </w:t>
      </w:r>
      <m:oMath>
        <m:r>
          <w:rPr>
            <w:rFonts w:ascii="Cambria Math" w:hAnsi="Cambria Math"/>
            <w:sz w:val="22"/>
            <w:szCs w:val="22"/>
          </w:rPr>
          <m:t>VS</m:t>
        </m:r>
        <m:sSup>
          <m:sSupPr>
            <m:ctrlPr>
              <w:rPr>
                <w:rFonts w:ascii="Cambria Math" w:hAnsi="Cambria Math"/>
                <w:i/>
                <w:sz w:val="22"/>
                <w:szCs w:val="22"/>
              </w:rPr>
            </m:ctrlPr>
          </m:sSupPr>
          <m:e>
            <m:r>
              <w:rPr>
                <w:rFonts w:ascii="Cambria Math" w:hAnsi="Cambria Math"/>
                <w:sz w:val="22"/>
                <w:szCs w:val="22"/>
              </w:rPr>
              <m:t>L</m:t>
            </m:r>
          </m:e>
          <m:sup>
            <m:r>
              <w:rPr>
                <w:rFonts w:ascii="Cambria Math" w:hAnsi="Cambria Math"/>
                <w:sz w:val="22"/>
                <w:szCs w:val="22"/>
              </w:rPr>
              <m:t>'</m:t>
            </m:r>
          </m:sup>
        </m:sSup>
        <m:r>
          <w:rPr>
            <w:rFonts w:ascii="Cambria Math" w:hAnsi="Cambria Math"/>
            <w:sz w:val="22"/>
            <w:szCs w:val="22"/>
          </w:rPr>
          <m:t xml:space="preserve">=$4.8M*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2019</m:t>
                </m:r>
              </m:sub>
            </m:sSub>
          </m:num>
          <m:den>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1990</m:t>
                </m:r>
              </m:sub>
            </m:sSub>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2019</m:t>
                </m:r>
              </m:sub>
            </m:sSub>
          </m:num>
          <m:den>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1990</m:t>
                </m:r>
              </m:sub>
            </m:sSub>
          </m:den>
        </m:f>
      </m:oMath>
      <w:r w:rsidR="00A865F0" w:rsidRPr="00070DF8">
        <w:rPr>
          <w:rFonts w:eastAsiaTheme="minorEastAsia"/>
          <w:sz w:val="22"/>
          <w:szCs w:val="22"/>
        </w:rPr>
        <w:t xml:space="preserve"> </w:t>
      </w:r>
    </w:p>
    <w:p w14:paraId="3FB8AF29" w14:textId="60F83B2D" w:rsidR="00FF2A83" w:rsidRPr="002F130D" w:rsidRDefault="00FD129B" w:rsidP="00070DF8">
      <w:pPr>
        <w:pStyle w:val="Heading2"/>
        <w:jc w:val="center"/>
        <w:rPr>
          <w:rFonts w:eastAsiaTheme="minorEastAsia"/>
          <w:b w:val="0"/>
          <w:bCs w:val="0"/>
        </w:rPr>
      </w:pPr>
      <w:commentRangeStart w:id="10"/>
      <w:r w:rsidRPr="002F130D">
        <w:lastRenderedPageBreak/>
        <w:t>Results</w:t>
      </w:r>
      <w:commentRangeEnd w:id="10"/>
      <w:r w:rsidR="00FA3438" w:rsidRPr="002F130D">
        <w:rPr>
          <w:rStyle w:val="CommentReference"/>
          <w:sz w:val="24"/>
          <w:szCs w:val="24"/>
        </w:rPr>
        <w:commentReference w:id="10"/>
      </w:r>
    </w:p>
    <w:p w14:paraId="399B3057" w14:textId="77777777" w:rsidR="008F0E1F" w:rsidRPr="00070DF8" w:rsidRDefault="008F0E1F" w:rsidP="0003781B">
      <w:pPr>
        <w:ind w:left="0" w:right="0" w:firstLine="720"/>
        <w:rPr>
          <w:sz w:val="22"/>
          <w:szCs w:val="22"/>
        </w:rPr>
      </w:pPr>
      <w:r w:rsidRPr="00070DF8">
        <w:rPr>
          <w:rFonts w:eastAsiaTheme="minorEastAsia"/>
          <w:sz w:val="22"/>
          <w:szCs w:val="22"/>
        </w:rPr>
        <w:t xml:space="preserve">The results from this study are presented in two sections: pollutant inventory and public health cost. </w:t>
      </w:r>
      <w:r w:rsidRPr="00070DF8">
        <w:rPr>
          <w:rFonts w:eastAsia="Times New Roman"/>
          <w:sz w:val="22"/>
          <w:szCs w:val="22"/>
        </w:rPr>
        <w:t>The pollutant inventory section presents the change to emissions levels from 2022 to 2050 with varying levels of EV adoption. The public health costs are then determined for 2022 and 2050 based on the pollutant inventory of each county.</w:t>
      </w:r>
    </w:p>
    <w:p w14:paraId="119A5A1E" w14:textId="212B868B" w:rsidR="008F0E1F" w:rsidRPr="00070DF8" w:rsidRDefault="008F0E1F" w:rsidP="002F130D">
      <w:pPr>
        <w:pStyle w:val="Heading1"/>
        <w:rPr>
          <w:b/>
          <w:bCs/>
          <w:sz w:val="22"/>
          <w:szCs w:val="22"/>
        </w:rPr>
      </w:pPr>
      <w:r w:rsidRPr="00070DF8">
        <w:rPr>
          <w:b/>
          <w:bCs/>
          <w:sz w:val="22"/>
          <w:szCs w:val="22"/>
        </w:rPr>
        <w:t>Pollutant Inventory</w:t>
      </w:r>
    </w:p>
    <w:p w14:paraId="697FE293" w14:textId="77777777" w:rsidR="008F0E1F" w:rsidRPr="00070DF8" w:rsidRDefault="008F0E1F" w:rsidP="0003781B">
      <w:pPr>
        <w:ind w:left="0" w:right="0" w:firstLine="720"/>
        <w:rPr>
          <w:rFonts w:eastAsia="Times New Roman"/>
          <w:sz w:val="22"/>
          <w:szCs w:val="22"/>
        </w:rPr>
      </w:pPr>
      <w:r w:rsidRPr="00070DF8">
        <w:rPr>
          <w:rFonts w:eastAsia="Times New Roman"/>
          <w:sz w:val="22"/>
          <w:szCs w:val="22"/>
        </w:rPr>
        <w:t>This section includes the emissions of PM</w:t>
      </w:r>
      <w:r w:rsidRPr="00070DF8">
        <w:rPr>
          <w:rFonts w:eastAsia="Times New Roman"/>
          <w:sz w:val="22"/>
          <w:szCs w:val="22"/>
          <w:vertAlign w:val="subscript"/>
        </w:rPr>
        <w:t>2.5</w:t>
      </w:r>
      <w:r w:rsidRPr="00070DF8">
        <w:rPr>
          <w:rFonts w:eastAsia="Times New Roman"/>
          <w:sz w:val="22"/>
          <w:szCs w:val="22"/>
        </w:rPr>
        <w:t>, NO</w:t>
      </w:r>
      <w:r w:rsidRPr="00070DF8">
        <w:rPr>
          <w:rFonts w:eastAsia="Times New Roman"/>
          <w:sz w:val="22"/>
          <w:szCs w:val="22"/>
          <w:vertAlign w:val="subscript"/>
        </w:rPr>
        <w:t>x</w:t>
      </w:r>
      <w:r w:rsidRPr="00070DF8">
        <w:rPr>
          <w:rFonts w:eastAsia="Times New Roman"/>
          <w:sz w:val="22"/>
          <w:szCs w:val="22"/>
        </w:rPr>
        <w:t>, and SO</w:t>
      </w:r>
      <w:r w:rsidRPr="00070DF8">
        <w:rPr>
          <w:rFonts w:eastAsia="Times New Roman"/>
          <w:sz w:val="22"/>
          <w:szCs w:val="22"/>
          <w:vertAlign w:val="subscript"/>
        </w:rPr>
        <w:t>2</w:t>
      </w:r>
      <w:r w:rsidRPr="00070DF8">
        <w:rPr>
          <w:rFonts w:eastAsia="Times New Roman"/>
          <w:sz w:val="22"/>
          <w:szCs w:val="22"/>
        </w:rPr>
        <w:t xml:space="preserve"> induced from vehicle travel in Broward, Collier, Miami-Dade, and Monroe counties. The emissions from vehicle travel are due to BTW, exhaust from ICEVs, and BTW and charging from EVs. The respective amount of vehicle travel from ICEVs and EVs was determined based on EV adoption projections (</w:t>
      </w:r>
      <w:r w:rsidRPr="00070DF8">
        <w:rPr>
          <w:rFonts w:eastAsia="Times New Roman"/>
          <w:b/>
          <w:bCs/>
          <w:sz w:val="22"/>
          <w:szCs w:val="22"/>
        </w:rPr>
        <w:t>Figure 3</w:t>
      </w:r>
      <w:r w:rsidRPr="00070DF8">
        <w:rPr>
          <w:rFonts w:eastAsia="Times New Roman"/>
          <w:sz w:val="22"/>
          <w:szCs w:val="22"/>
        </w:rPr>
        <w:t>) and county level VMT (</w:t>
      </w:r>
      <w:r w:rsidRPr="00070DF8">
        <w:rPr>
          <w:rFonts w:eastAsia="Times New Roman"/>
          <w:b/>
          <w:bCs/>
          <w:sz w:val="22"/>
          <w:szCs w:val="22"/>
        </w:rPr>
        <w:t>Table 1</w:t>
      </w:r>
      <w:r w:rsidRPr="00070DF8">
        <w:rPr>
          <w:rFonts w:eastAsia="Times New Roman"/>
          <w:sz w:val="22"/>
          <w:szCs w:val="22"/>
        </w:rPr>
        <w:t xml:space="preserve">). The change to emissions levels varies by county due to the different EPRs within each county as shown in </w:t>
      </w:r>
      <w:r w:rsidRPr="00070DF8">
        <w:rPr>
          <w:rFonts w:eastAsia="Times New Roman"/>
          <w:b/>
          <w:bCs/>
          <w:sz w:val="22"/>
          <w:szCs w:val="22"/>
        </w:rPr>
        <w:t>Figure 4</w:t>
      </w:r>
      <w:r w:rsidRPr="00070DF8">
        <w:rPr>
          <w:rFonts w:eastAsia="Times New Roman"/>
          <w:sz w:val="22"/>
          <w:szCs w:val="22"/>
        </w:rPr>
        <w:t xml:space="preserve">, </w:t>
      </w:r>
      <w:r w:rsidRPr="00070DF8">
        <w:rPr>
          <w:rFonts w:eastAsia="Times New Roman"/>
          <w:b/>
          <w:bCs/>
          <w:sz w:val="22"/>
          <w:szCs w:val="22"/>
        </w:rPr>
        <w:t>Figure 5</w:t>
      </w:r>
      <w:r w:rsidRPr="00070DF8">
        <w:rPr>
          <w:rFonts w:eastAsia="Times New Roman"/>
          <w:sz w:val="22"/>
          <w:szCs w:val="22"/>
        </w:rPr>
        <w:t xml:space="preserve">, and </w:t>
      </w:r>
      <w:r w:rsidRPr="00070DF8">
        <w:rPr>
          <w:rFonts w:eastAsia="Times New Roman"/>
          <w:b/>
          <w:bCs/>
          <w:sz w:val="22"/>
          <w:szCs w:val="22"/>
        </w:rPr>
        <w:t>Figure 6.</w:t>
      </w:r>
    </w:p>
    <w:p w14:paraId="6A240BA6" w14:textId="398FA227" w:rsidR="008F0E1F" w:rsidRPr="00633708" w:rsidRDefault="008F0E1F" w:rsidP="00633708">
      <w:pPr>
        <w:pStyle w:val="Caption"/>
      </w:pPr>
      <w:r w:rsidRPr="00633708">
        <w:t>Figure 4.</w:t>
      </w:r>
    </w:p>
    <w:p w14:paraId="03DFCEE0" w14:textId="50AE9A9D" w:rsidR="008F0E1F" w:rsidRPr="00633708" w:rsidRDefault="008F0E1F" w:rsidP="00633708">
      <w:pPr>
        <w:pStyle w:val="captiontext"/>
      </w:pPr>
      <w:bookmarkStart w:id="11" w:name="_Hlk158323106"/>
      <w:r w:rsidRPr="00633708">
        <w:t xml:space="preserve">Sulfur </w:t>
      </w:r>
      <w:r w:rsidR="0028306B" w:rsidRPr="00633708">
        <w:t>di</w:t>
      </w:r>
      <w:r w:rsidRPr="00633708">
        <w:t>oxide emissions in Broward, Collier, Miami-Dade, and Monroe counties from 2022 to 2050.</w:t>
      </w:r>
      <w:bookmarkEnd w:id="11"/>
    </w:p>
    <w:p w14:paraId="05AD3EB2" w14:textId="6F18C551" w:rsidR="00197F82" w:rsidRPr="00070DF8" w:rsidRDefault="00DA48B7" w:rsidP="00633708">
      <w:pPr>
        <w:pStyle w:val="captiontext"/>
      </w:pPr>
      <w:r w:rsidRPr="00633708">
        <w:rPr>
          <w:noProof/>
        </w:rPr>
        <w:drawing>
          <wp:inline distT="0" distB="0" distL="0" distR="0" wp14:anchorId="1C13AA86" wp14:editId="55B5D8E6">
            <wp:extent cx="5156790" cy="2581375"/>
            <wp:effectExtent l="0" t="0" r="6350" b="0"/>
            <wp:docPr id="2125571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7240" cy="2611635"/>
                    </a:xfrm>
                    <a:prstGeom prst="rect">
                      <a:avLst/>
                    </a:prstGeom>
                    <a:noFill/>
                  </pic:spPr>
                </pic:pic>
              </a:graphicData>
            </a:graphic>
          </wp:inline>
        </w:drawing>
      </w:r>
    </w:p>
    <w:p w14:paraId="03250B34" w14:textId="355CF70B" w:rsidR="00C809CD" w:rsidRPr="00070DF8" w:rsidRDefault="00C809CD" w:rsidP="00633708">
      <w:pPr>
        <w:pStyle w:val="captiontext"/>
      </w:pPr>
      <w:r w:rsidRPr="00070DF8">
        <w:lastRenderedPageBreak/>
        <w:t xml:space="preserve">Note: </w:t>
      </w:r>
      <w:r w:rsidR="009C3FFD" w:rsidRPr="00070DF8">
        <w:t xml:space="preserve">Blue – Broward, Orange </w:t>
      </w:r>
      <w:r w:rsidR="00323F77" w:rsidRPr="00070DF8">
        <w:t>–</w:t>
      </w:r>
      <w:r w:rsidR="009C3FFD" w:rsidRPr="00070DF8">
        <w:t xml:space="preserve"> </w:t>
      </w:r>
      <w:r w:rsidR="00323F77" w:rsidRPr="00070DF8">
        <w:t xml:space="preserve">Collier, </w:t>
      </w:r>
      <w:r w:rsidR="009C3FFD" w:rsidRPr="00070DF8">
        <w:t xml:space="preserve">Green – Miami-Dade, Yellow – Monroe. </w:t>
      </w:r>
    </w:p>
    <w:p w14:paraId="501EFF68" w14:textId="3320DB83" w:rsidR="00166DB1" w:rsidRPr="00070DF8" w:rsidRDefault="00077E56" w:rsidP="00633708">
      <w:pPr>
        <w:pStyle w:val="Caption"/>
        <w:rPr>
          <w:noProof/>
        </w:rPr>
      </w:pPr>
      <w:r w:rsidRPr="00070DF8">
        <w:t xml:space="preserve">Figure </w:t>
      </w:r>
      <w:r w:rsidR="00F36076" w:rsidRPr="00070DF8">
        <w:t>5</w:t>
      </w:r>
      <w:r w:rsidRPr="00070DF8">
        <w:t>.</w:t>
      </w:r>
      <w:r w:rsidR="009801BE" w:rsidRPr="00070DF8">
        <w:rPr>
          <w:noProof/>
        </w:rPr>
        <w:t xml:space="preserve"> </w:t>
      </w:r>
    </w:p>
    <w:p w14:paraId="1C8A45FE" w14:textId="0384BD38" w:rsidR="00774041" w:rsidRPr="00070DF8" w:rsidRDefault="00620286" w:rsidP="00633708">
      <w:pPr>
        <w:pStyle w:val="captiontext"/>
        <w:rPr>
          <w:b/>
          <w:bCs/>
          <w:noProof/>
        </w:rPr>
      </w:pPr>
      <w:r w:rsidRPr="00070DF8">
        <w:t>Nitro</w:t>
      </w:r>
      <w:r w:rsidR="0028306B" w:rsidRPr="00070DF8">
        <w:t xml:space="preserve">gen </w:t>
      </w:r>
      <w:r w:rsidR="003A492E" w:rsidRPr="00070DF8">
        <w:t>O</w:t>
      </w:r>
      <w:r w:rsidRPr="00070DF8">
        <w:t>xide</w:t>
      </w:r>
      <w:r w:rsidR="00774041" w:rsidRPr="00070DF8">
        <w:t xml:space="preserve"> emissions in Broward, Collier, Miami-Dade, and Monroe counties from 2022 to 2050</w:t>
      </w:r>
      <w:r w:rsidR="00774041" w:rsidRPr="00070DF8">
        <w:rPr>
          <w:b/>
          <w:bCs/>
          <w:noProof/>
        </w:rPr>
        <w:t>.</w:t>
      </w:r>
    </w:p>
    <w:p w14:paraId="1D2B9807" w14:textId="0AE2E9D8" w:rsidR="00E04467" w:rsidRPr="00070DF8" w:rsidRDefault="00EA0ED3" w:rsidP="00633708">
      <w:pPr>
        <w:pStyle w:val="captiontext"/>
      </w:pPr>
      <w:r w:rsidRPr="00070DF8">
        <w:rPr>
          <w:noProof/>
        </w:rPr>
        <w:drawing>
          <wp:inline distT="0" distB="0" distL="0" distR="0" wp14:anchorId="44B88964" wp14:editId="70A91FA1">
            <wp:extent cx="4914900" cy="2460290"/>
            <wp:effectExtent l="0" t="0" r="0" b="0"/>
            <wp:docPr id="540681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8329" cy="2477024"/>
                    </a:xfrm>
                    <a:prstGeom prst="rect">
                      <a:avLst/>
                    </a:prstGeom>
                    <a:noFill/>
                  </pic:spPr>
                </pic:pic>
              </a:graphicData>
            </a:graphic>
          </wp:inline>
        </w:drawing>
      </w:r>
    </w:p>
    <w:p w14:paraId="443CDE94" w14:textId="77777777" w:rsidR="00051659" w:rsidRPr="00070DF8" w:rsidRDefault="00051659" w:rsidP="00633708">
      <w:pPr>
        <w:pStyle w:val="captiontext"/>
      </w:pPr>
      <w:r w:rsidRPr="00070DF8">
        <w:t xml:space="preserve">Note: Blue – Broward, Orange – Collier, Green – Miami-Dade, Yellow – Monroe. </w:t>
      </w:r>
    </w:p>
    <w:p w14:paraId="32BEA7B2" w14:textId="7D728199" w:rsidR="00774041" w:rsidRPr="00633708" w:rsidRDefault="00774041" w:rsidP="00633708">
      <w:pPr>
        <w:pStyle w:val="Caption"/>
      </w:pPr>
      <w:r w:rsidRPr="00633708">
        <w:t xml:space="preserve">Figure </w:t>
      </w:r>
      <w:r w:rsidR="00F36076" w:rsidRPr="00633708">
        <w:t>6</w:t>
      </w:r>
      <w:r w:rsidRPr="00633708">
        <w:t>.</w:t>
      </w:r>
    </w:p>
    <w:p w14:paraId="42606042" w14:textId="2A0238B3" w:rsidR="00774041" w:rsidRPr="00070DF8" w:rsidRDefault="00620286" w:rsidP="00633708">
      <w:pPr>
        <w:pStyle w:val="captiontext"/>
      </w:pPr>
      <w:r w:rsidRPr="00070DF8">
        <w:t>Particulate Matter 2.5</w:t>
      </w:r>
      <w:r w:rsidR="00774041" w:rsidRPr="00070DF8">
        <w:t xml:space="preserve"> emissions in Broward, Collier, Miami-Dade, and Monroe counties from 2022 to 2050</w:t>
      </w:r>
      <w:r w:rsidR="008D5003">
        <w:t>.</w:t>
      </w:r>
    </w:p>
    <w:p w14:paraId="1491DC27" w14:textId="51551E2F" w:rsidR="00B77CC3" w:rsidRPr="00070DF8" w:rsidRDefault="00393A8E" w:rsidP="00633708">
      <w:pPr>
        <w:pStyle w:val="captiontext"/>
      </w:pPr>
      <w:r w:rsidRPr="00070DF8">
        <w:rPr>
          <w:noProof/>
        </w:rPr>
        <w:drawing>
          <wp:inline distT="0" distB="0" distL="0" distR="0" wp14:anchorId="7B48856E" wp14:editId="5FD8DF3F">
            <wp:extent cx="5138184" cy="2563158"/>
            <wp:effectExtent l="0" t="0" r="5715" b="8890"/>
            <wp:docPr id="1450337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92265" cy="2590136"/>
                    </a:xfrm>
                    <a:prstGeom prst="rect">
                      <a:avLst/>
                    </a:prstGeom>
                    <a:noFill/>
                  </pic:spPr>
                </pic:pic>
              </a:graphicData>
            </a:graphic>
          </wp:inline>
        </w:drawing>
      </w:r>
    </w:p>
    <w:p w14:paraId="01528C42" w14:textId="77777777" w:rsidR="00051659" w:rsidRPr="00070DF8" w:rsidRDefault="00051659" w:rsidP="00633708">
      <w:pPr>
        <w:pStyle w:val="captiontext"/>
      </w:pPr>
      <w:r w:rsidRPr="00070DF8">
        <w:lastRenderedPageBreak/>
        <w:t xml:space="preserve">Note: Blue – Broward, Orange – Collier, Green – Miami-Dade, Yellow – Monroe. </w:t>
      </w:r>
    </w:p>
    <w:p w14:paraId="3350123D" w14:textId="15DFFBC0" w:rsidR="00FC1820" w:rsidRPr="00070DF8" w:rsidRDefault="00FC1820" w:rsidP="002F130D">
      <w:pPr>
        <w:pStyle w:val="Heading1"/>
        <w:ind w:right="0"/>
        <w:rPr>
          <w:b/>
          <w:bCs/>
          <w:sz w:val="22"/>
          <w:szCs w:val="22"/>
        </w:rPr>
      </w:pPr>
      <w:r w:rsidRPr="00070DF8">
        <w:rPr>
          <w:b/>
          <w:bCs/>
          <w:sz w:val="22"/>
          <w:szCs w:val="22"/>
        </w:rPr>
        <w:t>Health Impacts</w:t>
      </w:r>
    </w:p>
    <w:p w14:paraId="0C97B97C" w14:textId="07E53932" w:rsidR="00606138" w:rsidRPr="00070DF8" w:rsidRDefault="00D43794" w:rsidP="0003781B">
      <w:pPr>
        <w:tabs>
          <w:tab w:val="left" w:pos="2250"/>
        </w:tabs>
        <w:ind w:left="0" w:right="0" w:firstLine="720"/>
        <w:rPr>
          <w:sz w:val="22"/>
          <w:szCs w:val="22"/>
        </w:rPr>
      </w:pPr>
      <w:r w:rsidRPr="00070DF8">
        <w:rPr>
          <w:sz w:val="22"/>
          <w:szCs w:val="22"/>
        </w:rPr>
        <w:t>The health impact associated with the adoption of EVs was det</w:t>
      </w:r>
      <w:r w:rsidR="00950856" w:rsidRPr="00070DF8">
        <w:rPr>
          <w:sz w:val="22"/>
          <w:szCs w:val="22"/>
        </w:rPr>
        <w:t>ermined using the EASIUR model</w:t>
      </w:r>
      <w:r w:rsidR="0098578F" w:rsidRPr="00070DF8">
        <w:rPr>
          <w:sz w:val="22"/>
          <w:szCs w:val="22"/>
        </w:rPr>
        <w:t xml:space="preserve"> in 2022 and 2050</w:t>
      </w:r>
      <w:r w:rsidR="00950856" w:rsidRPr="00070DF8">
        <w:rPr>
          <w:sz w:val="22"/>
          <w:szCs w:val="22"/>
        </w:rPr>
        <w:t xml:space="preserve">. </w:t>
      </w:r>
      <w:r w:rsidR="002A7D2B" w:rsidRPr="00070DF8">
        <w:rPr>
          <w:sz w:val="22"/>
          <w:szCs w:val="22"/>
        </w:rPr>
        <w:t xml:space="preserve">Values have been updated to reflect current Value of Statistical Life (VSL) and adjusted to the 2019-dollar </w:t>
      </w:r>
      <w:r w:rsidRPr="00070DF8">
        <w:rPr>
          <w:sz w:val="22"/>
          <w:szCs w:val="22"/>
        </w:rPr>
        <w:t>year</w:t>
      </w:r>
      <w:r w:rsidR="002A7D2B" w:rsidRPr="00070DF8">
        <w:rPr>
          <w:sz w:val="22"/>
          <w:szCs w:val="22"/>
        </w:rPr>
        <w:t>.</w:t>
      </w:r>
      <w:r w:rsidR="00606138" w:rsidRPr="00070DF8">
        <w:rPr>
          <w:sz w:val="22"/>
          <w:szCs w:val="22"/>
        </w:rPr>
        <w:t xml:space="preserve"> </w:t>
      </w:r>
      <w:r w:rsidR="0098578F" w:rsidRPr="00070DF8">
        <w:rPr>
          <w:sz w:val="22"/>
          <w:szCs w:val="22"/>
        </w:rPr>
        <w:t xml:space="preserve">The adoption of EVs is shown to reduce total human health impact costs from on-road vehicles in 2050 for each county, as shown in </w:t>
      </w:r>
      <w:r w:rsidR="0098578F" w:rsidRPr="00070DF8">
        <w:rPr>
          <w:b/>
          <w:bCs/>
          <w:sz w:val="22"/>
          <w:szCs w:val="22"/>
        </w:rPr>
        <w:t>Figure 7</w:t>
      </w:r>
      <w:r w:rsidR="0098578F" w:rsidRPr="00070DF8">
        <w:rPr>
          <w:sz w:val="22"/>
          <w:szCs w:val="22"/>
        </w:rPr>
        <w:t xml:space="preserve">. </w:t>
      </w:r>
    </w:p>
    <w:p w14:paraId="3F894D46" w14:textId="3CCE6900" w:rsidR="00D104A7" w:rsidRPr="00070DF8" w:rsidRDefault="00D104A7" w:rsidP="00633708">
      <w:pPr>
        <w:pStyle w:val="Caption"/>
      </w:pPr>
      <w:r w:rsidRPr="00070DF8">
        <w:t xml:space="preserve">Figure </w:t>
      </w:r>
      <w:r w:rsidR="00F36076" w:rsidRPr="00070DF8">
        <w:t>7</w:t>
      </w:r>
      <w:r w:rsidRPr="00070DF8">
        <w:t>.</w:t>
      </w:r>
      <w:r w:rsidR="003B355B" w:rsidRPr="00070DF8">
        <w:t xml:space="preserve"> </w:t>
      </w:r>
    </w:p>
    <w:p w14:paraId="57DC5A96" w14:textId="4471A3F9" w:rsidR="002C39EA" w:rsidRPr="00070DF8" w:rsidRDefault="00D14E88" w:rsidP="00633708">
      <w:pPr>
        <w:pStyle w:val="captiontext"/>
        <w:rPr>
          <w:rFonts w:eastAsiaTheme="minorEastAsia"/>
          <w:b/>
          <w:bCs/>
        </w:rPr>
      </w:pPr>
      <w:r w:rsidRPr="00070DF8">
        <w:t>Assessment of the Public Health Impact of EV adoption in each county for 2022 and 2050.</w:t>
      </w:r>
    </w:p>
    <w:p w14:paraId="6103B89B" w14:textId="293DC54F" w:rsidR="00784113" w:rsidRPr="00633708" w:rsidRDefault="008A4CA8" w:rsidP="00633708">
      <w:pPr>
        <w:pStyle w:val="captiontext"/>
      </w:pPr>
      <w:r w:rsidRPr="00070DF8">
        <w:rPr>
          <w:i w:val="0"/>
          <w:iCs w:val="0"/>
          <w:noProof/>
        </w:rPr>
        <w:drawing>
          <wp:inline distT="0" distB="0" distL="0" distR="0" wp14:anchorId="05587528" wp14:editId="26F9EDF1">
            <wp:extent cx="5486400" cy="3533503"/>
            <wp:effectExtent l="0" t="0" r="0" b="0"/>
            <wp:docPr id="1993684660" name="Picture 1" descr="A group of blue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684660" name="Picture 1" descr="A group of blue and orange bar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86400" cy="3533503"/>
                    </a:xfrm>
                    <a:prstGeom prst="rect">
                      <a:avLst/>
                    </a:prstGeom>
                  </pic:spPr>
                </pic:pic>
              </a:graphicData>
            </a:graphic>
          </wp:inline>
        </w:drawing>
      </w:r>
      <w:r w:rsidR="0055526F" w:rsidRPr="00AF0793">
        <w:t xml:space="preserve">Note: </w:t>
      </w:r>
      <w:r w:rsidR="0055529D" w:rsidRPr="00AF0793">
        <w:t xml:space="preserve">Public health </w:t>
      </w:r>
      <w:r w:rsidR="00B20E8F" w:rsidRPr="00AF0793">
        <w:t xml:space="preserve">costs of emissions </w:t>
      </w:r>
      <w:r w:rsidR="003B355B" w:rsidRPr="00AF0793">
        <w:t>in 2022 and 2050.</w:t>
      </w:r>
      <w:r w:rsidR="000E7ABC" w:rsidRPr="00633708">
        <w:rPr>
          <w:i w:val="0"/>
        </w:rPr>
        <w:t xml:space="preserve"> </w:t>
      </w:r>
      <w:r w:rsidR="0020571C" w:rsidRPr="00633708">
        <w:rPr>
          <w:i w:val="0"/>
        </w:rPr>
        <w:t>USD represents U.S. dollar</w:t>
      </w:r>
      <w:r w:rsidR="008D5003">
        <w:t>.</w:t>
      </w:r>
    </w:p>
    <w:p w14:paraId="56332626" w14:textId="77777777" w:rsidR="00AF0793" w:rsidRDefault="00AF0793" w:rsidP="0003781B">
      <w:pPr>
        <w:pStyle w:val="ListParagraph"/>
        <w:ind w:left="0" w:right="0" w:firstLine="720"/>
        <w:contextualSpacing w:val="0"/>
        <w:jc w:val="center"/>
        <w:rPr>
          <w:rFonts w:eastAsiaTheme="minorEastAsia"/>
          <w:b/>
          <w:bCs/>
          <w:sz w:val="22"/>
          <w:szCs w:val="22"/>
        </w:rPr>
      </w:pPr>
    </w:p>
    <w:p w14:paraId="0097B421" w14:textId="77777777" w:rsidR="00AF0793" w:rsidRDefault="00AF0793" w:rsidP="0003781B">
      <w:pPr>
        <w:pStyle w:val="ListParagraph"/>
        <w:ind w:left="0" w:right="0" w:firstLine="720"/>
        <w:contextualSpacing w:val="0"/>
        <w:jc w:val="center"/>
        <w:rPr>
          <w:rFonts w:eastAsiaTheme="minorEastAsia"/>
          <w:b/>
          <w:bCs/>
          <w:sz w:val="22"/>
          <w:szCs w:val="22"/>
        </w:rPr>
      </w:pPr>
    </w:p>
    <w:p w14:paraId="5239C092" w14:textId="77777777" w:rsidR="00AF0793" w:rsidRDefault="00AF0793" w:rsidP="0003781B">
      <w:pPr>
        <w:pStyle w:val="ListParagraph"/>
        <w:ind w:left="0" w:right="0" w:firstLine="720"/>
        <w:contextualSpacing w:val="0"/>
        <w:jc w:val="center"/>
        <w:rPr>
          <w:rFonts w:eastAsiaTheme="minorEastAsia"/>
          <w:b/>
          <w:bCs/>
          <w:sz w:val="22"/>
          <w:szCs w:val="22"/>
        </w:rPr>
      </w:pPr>
    </w:p>
    <w:p w14:paraId="6982D740" w14:textId="56E60AD0" w:rsidR="00371FBE" w:rsidRPr="00070DF8" w:rsidRDefault="003678C9" w:rsidP="0003781B">
      <w:pPr>
        <w:pStyle w:val="ListParagraph"/>
        <w:ind w:left="0" w:right="0" w:firstLine="720"/>
        <w:contextualSpacing w:val="0"/>
        <w:jc w:val="center"/>
        <w:rPr>
          <w:rFonts w:eastAsiaTheme="minorEastAsia"/>
          <w:b/>
          <w:bCs/>
          <w:sz w:val="22"/>
          <w:szCs w:val="22"/>
        </w:rPr>
      </w:pPr>
      <w:commentRangeStart w:id="12"/>
      <w:commentRangeStart w:id="13"/>
      <w:r w:rsidRPr="00070DF8">
        <w:rPr>
          <w:rFonts w:eastAsiaTheme="minorEastAsia"/>
          <w:b/>
          <w:bCs/>
          <w:sz w:val="22"/>
          <w:szCs w:val="22"/>
        </w:rPr>
        <w:lastRenderedPageBreak/>
        <w:t>Discussion</w:t>
      </w:r>
      <w:commentRangeEnd w:id="12"/>
      <w:r w:rsidR="00A074DA" w:rsidRPr="00070DF8">
        <w:rPr>
          <w:rStyle w:val="CommentReference"/>
          <w:b/>
          <w:bCs/>
          <w:sz w:val="22"/>
          <w:szCs w:val="22"/>
        </w:rPr>
        <w:commentReference w:id="12"/>
      </w:r>
      <w:commentRangeEnd w:id="13"/>
      <w:r w:rsidR="00A074DA" w:rsidRPr="00070DF8">
        <w:rPr>
          <w:rStyle w:val="CommentReference"/>
          <w:b/>
          <w:bCs/>
          <w:sz w:val="22"/>
          <w:szCs w:val="22"/>
        </w:rPr>
        <w:commentReference w:id="13"/>
      </w:r>
    </w:p>
    <w:p w14:paraId="06FECA81" w14:textId="6354AFD4" w:rsidR="000D03B3" w:rsidRPr="00070DF8" w:rsidRDefault="000D03B3" w:rsidP="001C1FDD">
      <w:pPr>
        <w:pStyle w:val="ListParagraph"/>
        <w:ind w:left="0" w:right="90" w:firstLine="720"/>
        <w:rPr>
          <w:rFonts w:eastAsiaTheme="minorEastAsia"/>
          <w:bCs/>
          <w:sz w:val="22"/>
          <w:szCs w:val="22"/>
        </w:rPr>
      </w:pPr>
      <w:r w:rsidRPr="00070DF8">
        <w:rPr>
          <w:rFonts w:eastAsiaTheme="minorEastAsia"/>
          <w:bCs/>
          <w:sz w:val="22"/>
          <w:szCs w:val="22"/>
        </w:rPr>
        <w:t xml:space="preserve">The findings of this study shed light on the crucial intersection of vehicle emissions, EV adoption, and their impact on human health. Our analysis reveals insights into the public health implications of transitioning to EVs and underscores the potential health benefits associated with such a shift in South Florida. </w:t>
      </w:r>
    </w:p>
    <w:p w14:paraId="77AB74D3" w14:textId="31BA7FDD" w:rsidR="000D03B3" w:rsidRPr="00070DF8" w:rsidRDefault="000D03B3" w:rsidP="00AD5E38">
      <w:pPr>
        <w:ind w:left="0" w:right="0" w:firstLine="720"/>
        <w:rPr>
          <w:rFonts w:eastAsiaTheme="minorEastAsia"/>
          <w:sz w:val="22"/>
          <w:szCs w:val="22"/>
        </w:rPr>
      </w:pPr>
      <w:r w:rsidRPr="00070DF8">
        <w:rPr>
          <w:rFonts w:eastAsiaTheme="minorEastAsia"/>
          <w:sz w:val="22"/>
          <w:szCs w:val="22"/>
        </w:rPr>
        <w:t>In all counties examined, the total pollutant output of both PM</w:t>
      </w:r>
      <w:r w:rsidRPr="00AD72E5">
        <w:rPr>
          <w:rFonts w:eastAsiaTheme="minorEastAsia"/>
          <w:sz w:val="22"/>
          <w:szCs w:val="22"/>
          <w:vertAlign w:val="subscript"/>
        </w:rPr>
        <w:t>2.5</w:t>
      </w:r>
      <w:r w:rsidRPr="00070DF8">
        <w:rPr>
          <w:rFonts w:eastAsiaTheme="minorEastAsia"/>
          <w:sz w:val="22"/>
          <w:szCs w:val="22"/>
        </w:rPr>
        <w:t xml:space="preserve"> and NO</w:t>
      </w:r>
      <w:r w:rsidRPr="00EB29A3">
        <w:rPr>
          <w:rFonts w:eastAsiaTheme="minorEastAsia"/>
          <w:sz w:val="22"/>
          <w:szCs w:val="22"/>
          <w:vertAlign w:val="subscript"/>
        </w:rPr>
        <w:t>x</w:t>
      </w:r>
      <w:r w:rsidRPr="00070DF8">
        <w:rPr>
          <w:rFonts w:eastAsiaTheme="minorEastAsia"/>
          <w:sz w:val="22"/>
          <w:szCs w:val="22"/>
        </w:rPr>
        <w:t xml:space="preserve"> </w:t>
      </w:r>
      <w:r w:rsidR="00EE37D5" w:rsidRPr="00070DF8">
        <w:rPr>
          <w:rFonts w:eastAsiaTheme="minorEastAsia"/>
          <w:sz w:val="22"/>
          <w:szCs w:val="22"/>
        </w:rPr>
        <w:t>are</w:t>
      </w:r>
      <w:r w:rsidRPr="00070DF8">
        <w:rPr>
          <w:rFonts w:eastAsiaTheme="minorEastAsia"/>
          <w:sz w:val="22"/>
          <w:szCs w:val="22"/>
        </w:rPr>
        <w:t xml:space="preserve"> projected to decrease by nearly half by 2050 compared to 2022 levels</w:t>
      </w:r>
      <w:r w:rsidR="00EE37D5" w:rsidRPr="00070DF8">
        <w:rPr>
          <w:rFonts w:eastAsiaTheme="minorEastAsia"/>
          <w:sz w:val="22"/>
          <w:szCs w:val="22"/>
        </w:rPr>
        <w:t xml:space="preserve"> due to the adoption of EVs.</w:t>
      </w:r>
      <w:r w:rsidRPr="00070DF8">
        <w:rPr>
          <w:rFonts w:eastAsiaTheme="minorEastAsia"/>
          <w:sz w:val="22"/>
          <w:szCs w:val="22"/>
        </w:rPr>
        <w:t xml:space="preserve"> The trends depicted in </w:t>
      </w:r>
      <w:r w:rsidR="00EE37D5" w:rsidRPr="00070DF8">
        <w:rPr>
          <w:rFonts w:eastAsiaTheme="minorEastAsia"/>
          <w:b/>
          <w:sz w:val="22"/>
          <w:szCs w:val="22"/>
        </w:rPr>
        <w:t>F</w:t>
      </w:r>
      <w:r w:rsidRPr="00070DF8">
        <w:rPr>
          <w:rFonts w:eastAsiaTheme="minorEastAsia"/>
          <w:b/>
          <w:sz w:val="22"/>
          <w:szCs w:val="22"/>
        </w:rPr>
        <w:t xml:space="preserve">igures </w:t>
      </w:r>
      <w:r w:rsidR="00E66CD9" w:rsidRPr="00070DF8">
        <w:rPr>
          <w:rFonts w:eastAsiaTheme="minorEastAsia"/>
          <w:b/>
          <w:sz w:val="22"/>
          <w:szCs w:val="22"/>
        </w:rPr>
        <w:t>4</w:t>
      </w:r>
      <w:r w:rsidRPr="00070DF8">
        <w:rPr>
          <w:rFonts w:eastAsiaTheme="minorEastAsia"/>
          <w:b/>
          <w:sz w:val="22"/>
          <w:szCs w:val="22"/>
        </w:rPr>
        <w:t>-</w:t>
      </w:r>
      <w:r w:rsidR="00E66CD9" w:rsidRPr="00070DF8">
        <w:rPr>
          <w:rFonts w:eastAsiaTheme="minorEastAsia"/>
          <w:b/>
          <w:sz w:val="22"/>
          <w:szCs w:val="22"/>
        </w:rPr>
        <w:t>6</w:t>
      </w:r>
      <w:r w:rsidRPr="00070DF8">
        <w:rPr>
          <w:rFonts w:eastAsiaTheme="minorEastAsia"/>
          <w:sz w:val="22"/>
          <w:szCs w:val="22"/>
        </w:rPr>
        <w:t xml:space="preserve"> suggest that this decline in emissions may continue beyond the analyzed timeframe. Specifically, </w:t>
      </w:r>
      <w:r w:rsidRPr="00070DF8">
        <w:rPr>
          <w:rFonts w:eastAsiaTheme="minorEastAsia"/>
          <w:b/>
          <w:sz w:val="22"/>
          <w:szCs w:val="22"/>
        </w:rPr>
        <w:t xml:space="preserve">Figure </w:t>
      </w:r>
      <w:r w:rsidR="004B3CD8" w:rsidRPr="00070DF8">
        <w:rPr>
          <w:rFonts w:eastAsiaTheme="minorEastAsia"/>
          <w:b/>
          <w:sz w:val="22"/>
          <w:szCs w:val="22"/>
        </w:rPr>
        <w:t>6</w:t>
      </w:r>
      <w:r w:rsidRPr="00070DF8">
        <w:rPr>
          <w:rFonts w:eastAsiaTheme="minorEastAsia"/>
          <w:sz w:val="22"/>
          <w:szCs w:val="22"/>
        </w:rPr>
        <w:t xml:space="preserve"> illustrates a consistent downward trend in PM</w:t>
      </w:r>
      <w:r w:rsidRPr="00AD72E5">
        <w:rPr>
          <w:rFonts w:eastAsiaTheme="minorEastAsia"/>
          <w:sz w:val="22"/>
          <w:szCs w:val="22"/>
          <w:vertAlign w:val="subscript"/>
        </w:rPr>
        <w:t>2.5</w:t>
      </w:r>
      <w:r w:rsidRPr="00070DF8">
        <w:rPr>
          <w:rFonts w:eastAsiaTheme="minorEastAsia"/>
          <w:sz w:val="22"/>
          <w:szCs w:val="22"/>
        </w:rPr>
        <w:t xml:space="preserve"> emissions in Collier, Miami-Dade, and Monroe counties. This reduction is attributed not only to decreased emissions from </w:t>
      </w:r>
      <w:r w:rsidR="00EE37D5" w:rsidRPr="00070DF8">
        <w:rPr>
          <w:rFonts w:eastAsiaTheme="minorEastAsia"/>
          <w:sz w:val="22"/>
          <w:szCs w:val="22"/>
        </w:rPr>
        <w:t>IC</w:t>
      </w:r>
      <w:r w:rsidRPr="00070DF8">
        <w:rPr>
          <w:rFonts w:eastAsiaTheme="minorEastAsia"/>
          <w:sz w:val="22"/>
          <w:szCs w:val="22"/>
        </w:rPr>
        <w:t>EVs but also to a reduced dependency on gas-cc as a source of electricity</w:t>
      </w:r>
      <w:r w:rsidR="00EE37D5" w:rsidRPr="00070DF8">
        <w:rPr>
          <w:rFonts w:eastAsiaTheme="minorEastAsia"/>
          <w:sz w:val="22"/>
          <w:szCs w:val="22"/>
        </w:rPr>
        <w:t xml:space="preserve"> for EVs.</w:t>
      </w:r>
      <w:r w:rsidRPr="00070DF8">
        <w:rPr>
          <w:rFonts w:eastAsiaTheme="minorEastAsia"/>
          <w:sz w:val="22"/>
          <w:szCs w:val="22"/>
        </w:rPr>
        <w:t xml:space="preserve"> Counties with higher total VMT, such as Broward and Miami-Dade County, exhibit larger declines in total emissions, subsequently yielding greater benefits in emission reduction within the region. When analyzing </w:t>
      </w:r>
      <w:r w:rsidR="00E167B3" w:rsidRPr="00070DF8">
        <w:rPr>
          <w:sz w:val="22"/>
          <w:szCs w:val="22"/>
        </w:rPr>
        <w:t>SO</w:t>
      </w:r>
      <w:r w:rsidR="00E167B3" w:rsidRPr="00070DF8">
        <w:rPr>
          <w:sz w:val="22"/>
          <w:szCs w:val="22"/>
          <w:vertAlign w:val="subscript"/>
        </w:rPr>
        <w:t xml:space="preserve">2 </w:t>
      </w:r>
      <w:r w:rsidRPr="00070DF8">
        <w:rPr>
          <w:rFonts w:eastAsiaTheme="minorEastAsia"/>
          <w:sz w:val="22"/>
          <w:szCs w:val="22"/>
        </w:rPr>
        <w:t xml:space="preserve">emissions, Collier, Miami-Dade, and Monroe counties demonstrate a consistent decline over time. However, Broward County experiences a sharp increase upon the introduction of EVs. This can be attributed to the distribution of EPRs within the county, which heavily relies on gas-cc as a primary electricity source. Gas-cc in Broward alone accounts for 28% of Florida’s gas-cc mix. </w:t>
      </w:r>
      <w:r w:rsidR="00EF0312" w:rsidRPr="00070DF8">
        <w:rPr>
          <w:rFonts w:eastAsiaTheme="minorEastAsia"/>
          <w:sz w:val="22"/>
          <w:szCs w:val="22"/>
        </w:rPr>
        <w:t xml:space="preserve">Natural gas often contains up to 20% sulfur content and its combustion may lead to </w:t>
      </w:r>
      <w:r w:rsidR="00E176F4" w:rsidRPr="00070DF8">
        <w:rPr>
          <w:rFonts w:eastAsiaTheme="minorEastAsia"/>
          <w:sz w:val="22"/>
          <w:szCs w:val="22"/>
        </w:rPr>
        <w:t xml:space="preserve">its release into the ambient atmosphere despite </w:t>
      </w:r>
      <w:r w:rsidR="00541FE9" w:rsidRPr="00070DF8">
        <w:rPr>
          <w:rFonts w:eastAsiaTheme="minorEastAsia"/>
          <w:sz w:val="22"/>
          <w:szCs w:val="22"/>
        </w:rPr>
        <w:t xml:space="preserve">regulated </w:t>
      </w:r>
      <w:r w:rsidR="006A5E85" w:rsidRPr="00070DF8">
        <w:rPr>
          <w:rFonts w:eastAsiaTheme="minorEastAsia"/>
          <w:sz w:val="22"/>
          <w:szCs w:val="22"/>
        </w:rPr>
        <w:t>pipelines.</w:t>
      </w:r>
      <w:r w:rsidR="00EF0312" w:rsidRPr="00070DF8">
        <w:rPr>
          <w:rFonts w:eastAsiaTheme="minorEastAsia"/>
          <w:sz w:val="22"/>
          <w:szCs w:val="22"/>
        </w:rPr>
        <w:t xml:space="preserve"> </w:t>
      </w:r>
      <w:r w:rsidR="000A5656" w:rsidRPr="00070DF8">
        <w:rPr>
          <w:rFonts w:eastAsiaTheme="minorEastAsia"/>
          <w:sz w:val="22"/>
          <w:szCs w:val="22"/>
        </w:rPr>
        <w:fldChar w:fldCharType="begin"/>
      </w:r>
      <w:r w:rsidR="004B212B" w:rsidRPr="00070DF8">
        <w:rPr>
          <w:rFonts w:eastAsiaTheme="minorEastAsia"/>
          <w:sz w:val="22"/>
          <w:szCs w:val="22"/>
        </w:rPr>
        <w:instrText xml:space="preserve"> ADDIN ZOTERO_ITEM CSL_CITATION {"citationID":"DQxz7hIA","properties":{"formattedCitation":"(Jafarinejad, 2016)","plainCitation":"(Jafarinejad, 2016)","noteIndex":0},"citationItems":[{"id":181,"uris":["http://zotero.org/users/local/lgQ0pm0d/items/68UNK8ZC","http://zotero.org/users/13598080/items/68UNK8ZC"],"itemData":{"id":181,"type":"article-journal","abstract":"Sulfur compounds such as sulfur oxides (SOx) are generated and emitted from operations in the petroleum industry which have negative effects on the environment. This study gives a critical and detailed introduction to the control and treatment of sulfur compounds specially sulfur oxides (SOx) emissions from the petroleum industry. It begins with the sectors, main sources, and type of operations that generate SOx emissions; maximum effluent level of them from the petroleum industry; minimization, control, prevention and treatment techniques of these emissions from the petroleum industry. Among these techniques, sulfur recovery unit (SRU) which most often consists of a Claus process for bulk sulfur removal and subsequently a tail gas treatment unit (TGTU) for the remaining H2S removal (SCOT process, Beavon sulfur removal (BSR) process, and Wellman-Lord process) and flue-gas desulfurization (FGD) processes (once-through or regenerable) have been discussed in detail; and removal efficiencies and technical and economical aspects have been compared.","container-title":"Chemistry International","journalAbbreviation":"Chemistry International","page":"242-253","source":"ResearchGate","title":"Control and treatment of sulfur compounds specially sulfur oxides (SOx) emissions from the petroleum industry: A review","title-short":"Control and treatment of sulfur compounds specially sulfur oxides (SOx) emissions from the petroleum industry","volume":"2","author":[{"family":"Jafarinejad","given":"Shahryar"}],"issued":{"date-parts":[["2016",10,1]]}}}],"schema":"https://github.com/citation-style-language/schema/raw/master/csl-citation.json"} </w:instrText>
      </w:r>
      <w:r w:rsidR="000A5656" w:rsidRPr="00070DF8">
        <w:rPr>
          <w:rFonts w:eastAsiaTheme="minorEastAsia"/>
          <w:sz w:val="22"/>
          <w:szCs w:val="22"/>
        </w:rPr>
        <w:fldChar w:fldCharType="separate"/>
      </w:r>
      <w:r w:rsidR="000A5656" w:rsidRPr="00070DF8">
        <w:rPr>
          <w:sz w:val="22"/>
          <w:szCs w:val="22"/>
        </w:rPr>
        <w:t>(Jafarinejad, 2016)</w:t>
      </w:r>
      <w:r w:rsidR="000A5656" w:rsidRPr="00070DF8">
        <w:rPr>
          <w:rFonts w:eastAsiaTheme="minorEastAsia"/>
          <w:sz w:val="22"/>
          <w:szCs w:val="22"/>
        </w:rPr>
        <w:fldChar w:fldCharType="end"/>
      </w:r>
      <w:r w:rsidR="00EF0312" w:rsidRPr="00070DF8">
        <w:rPr>
          <w:rFonts w:eastAsiaTheme="minorEastAsia"/>
          <w:sz w:val="22"/>
          <w:szCs w:val="22"/>
        </w:rPr>
        <w:t>.</w:t>
      </w:r>
      <w:r w:rsidRPr="00070DF8">
        <w:rPr>
          <w:rFonts w:eastAsiaTheme="minorEastAsia"/>
          <w:sz w:val="22"/>
          <w:szCs w:val="22"/>
        </w:rPr>
        <w:t xml:space="preserve"> </w:t>
      </w:r>
    </w:p>
    <w:p w14:paraId="7F6F2B09" w14:textId="0983306A" w:rsidR="00BD1ADF" w:rsidRPr="00070DF8" w:rsidRDefault="004902FC" w:rsidP="0003781B">
      <w:pPr>
        <w:pStyle w:val="Heading2"/>
        <w:ind w:left="0" w:right="0" w:firstLine="720"/>
        <w:rPr>
          <w:rFonts w:eastAsiaTheme="minorEastAsia"/>
          <w:b w:val="0"/>
          <w:bCs w:val="0"/>
          <w:sz w:val="22"/>
          <w:szCs w:val="22"/>
        </w:rPr>
      </w:pPr>
      <w:r w:rsidRPr="00070DF8">
        <w:rPr>
          <w:rFonts w:eastAsiaTheme="minorEastAsia"/>
          <w:b w:val="0"/>
          <w:bCs w:val="0"/>
          <w:sz w:val="22"/>
          <w:szCs w:val="22"/>
        </w:rPr>
        <w:t xml:space="preserve">The reduction in vehicular pollution has led to a </w:t>
      </w:r>
      <w:r w:rsidR="008856A7" w:rsidRPr="00070DF8">
        <w:rPr>
          <w:rFonts w:eastAsiaTheme="minorEastAsia"/>
          <w:b w:val="0"/>
          <w:bCs w:val="0"/>
          <w:sz w:val="22"/>
          <w:szCs w:val="22"/>
        </w:rPr>
        <w:t xml:space="preserve">considerable </w:t>
      </w:r>
      <w:r w:rsidRPr="00070DF8">
        <w:rPr>
          <w:rFonts w:eastAsiaTheme="minorEastAsia"/>
          <w:b w:val="0"/>
          <w:bCs w:val="0"/>
          <w:sz w:val="22"/>
          <w:szCs w:val="22"/>
        </w:rPr>
        <w:t>decrease in the public health costs associated with ambient air quality across the region</w:t>
      </w:r>
      <w:r w:rsidR="006B6125" w:rsidRPr="00070DF8">
        <w:rPr>
          <w:rFonts w:eastAsiaTheme="minorEastAsia"/>
          <w:b w:val="0"/>
          <w:bCs w:val="0"/>
          <w:sz w:val="22"/>
          <w:szCs w:val="22"/>
        </w:rPr>
        <w:t xml:space="preserve">, as show in </w:t>
      </w:r>
      <w:r w:rsidR="00E167B3" w:rsidRPr="00070DF8">
        <w:rPr>
          <w:rFonts w:eastAsiaTheme="minorEastAsia"/>
          <w:sz w:val="22"/>
          <w:szCs w:val="22"/>
        </w:rPr>
        <w:t>F</w:t>
      </w:r>
      <w:r w:rsidR="006B6125" w:rsidRPr="00070DF8">
        <w:rPr>
          <w:rFonts w:eastAsiaTheme="minorEastAsia"/>
          <w:sz w:val="22"/>
          <w:szCs w:val="22"/>
        </w:rPr>
        <w:t xml:space="preserve">igure </w:t>
      </w:r>
      <w:r w:rsidR="0089230F" w:rsidRPr="00070DF8">
        <w:rPr>
          <w:rFonts w:eastAsiaTheme="minorEastAsia"/>
          <w:sz w:val="22"/>
          <w:szCs w:val="22"/>
        </w:rPr>
        <w:t>7</w:t>
      </w:r>
      <w:r w:rsidRPr="00070DF8">
        <w:rPr>
          <w:rFonts w:eastAsiaTheme="minorEastAsia"/>
          <w:b w:val="0"/>
          <w:bCs w:val="0"/>
          <w:sz w:val="22"/>
          <w:szCs w:val="22"/>
        </w:rPr>
        <w:t>.</w:t>
      </w:r>
      <w:r w:rsidR="00314CA0" w:rsidRPr="00070DF8">
        <w:rPr>
          <w:rFonts w:eastAsiaTheme="minorEastAsia"/>
          <w:b w:val="0"/>
          <w:bCs w:val="0"/>
          <w:sz w:val="22"/>
          <w:szCs w:val="22"/>
        </w:rPr>
        <w:t xml:space="preserve"> Particularly noteworthy is the significant savings in public health costs attributed to NO</w:t>
      </w:r>
      <w:r w:rsidR="00314CA0" w:rsidRPr="00EB29A3">
        <w:rPr>
          <w:rFonts w:eastAsiaTheme="minorEastAsia"/>
          <w:b w:val="0"/>
          <w:bCs w:val="0"/>
          <w:sz w:val="22"/>
          <w:szCs w:val="22"/>
          <w:vertAlign w:val="subscript"/>
        </w:rPr>
        <w:t>x</w:t>
      </w:r>
      <w:r w:rsidR="00314CA0" w:rsidRPr="00070DF8">
        <w:rPr>
          <w:rFonts w:eastAsiaTheme="minorEastAsia"/>
          <w:b w:val="0"/>
          <w:bCs w:val="0"/>
          <w:sz w:val="22"/>
          <w:szCs w:val="22"/>
        </w:rPr>
        <w:t xml:space="preserve"> emissions in each county.</w:t>
      </w:r>
      <w:r w:rsidRPr="00070DF8">
        <w:rPr>
          <w:rFonts w:eastAsiaTheme="minorEastAsia"/>
          <w:b w:val="0"/>
          <w:bCs w:val="0"/>
          <w:sz w:val="22"/>
          <w:szCs w:val="22"/>
        </w:rPr>
        <w:t xml:space="preserve"> For instance, Miami-Dade alone saved $4.9 million USD </w:t>
      </w:r>
      <w:r w:rsidR="003B30E8" w:rsidRPr="00070DF8">
        <w:rPr>
          <w:rFonts w:eastAsiaTheme="minorEastAsia"/>
          <w:b w:val="0"/>
          <w:bCs w:val="0"/>
          <w:sz w:val="22"/>
          <w:szCs w:val="22"/>
        </w:rPr>
        <w:t>from NO</w:t>
      </w:r>
      <w:r w:rsidR="003B30E8" w:rsidRPr="00EB29A3">
        <w:rPr>
          <w:rFonts w:eastAsiaTheme="minorEastAsia"/>
          <w:b w:val="0"/>
          <w:bCs w:val="0"/>
          <w:sz w:val="22"/>
          <w:szCs w:val="22"/>
          <w:vertAlign w:val="subscript"/>
        </w:rPr>
        <w:t>x</w:t>
      </w:r>
      <w:r w:rsidR="003B30E8" w:rsidRPr="00070DF8">
        <w:rPr>
          <w:rFonts w:eastAsiaTheme="minorEastAsia"/>
          <w:b w:val="0"/>
          <w:bCs w:val="0"/>
          <w:sz w:val="22"/>
          <w:szCs w:val="22"/>
        </w:rPr>
        <w:t xml:space="preserve"> emissions </w:t>
      </w:r>
      <w:r w:rsidR="00FF6AB3" w:rsidRPr="00070DF8">
        <w:rPr>
          <w:rFonts w:eastAsiaTheme="minorEastAsia"/>
          <w:b w:val="0"/>
          <w:bCs w:val="0"/>
          <w:sz w:val="22"/>
          <w:szCs w:val="22"/>
        </w:rPr>
        <w:t>in 2050 compared to 2022</w:t>
      </w:r>
      <w:r w:rsidRPr="00070DF8">
        <w:rPr>
          <w:rFonts w:eastAsiaTheme="minorEastAsia"/>
          <w:b w:val="0"/>
          <w:bCs w:val="0"/>
          <w:sz w:val="22"/>
          <w:szCs w:val="22"/>
        </w:rPr>
        <w:t>.</w:t>
      </w:r>
      <w:r w:rsidR="00FD7ECE" w:rsidRPr="00070DF8">
        <w:rPr>
          <w:rFonts w:eastAsiaTheme="minorEastAsia"/>
          <w:b w:val="0"/>
          <w:bCs w:val="0"/>
          <w:sz w:val="22"/>
          <w:szCs w:val="22"/>
        </w:rPr>
        <w:t xml:space="preserve"> </w:t>
      </w:r>
      <w:r w:rsidR="00B937DD" w:rsidRPr="00070DF8">
        <w:rPr>
          <w:rFonts w:eastAsiaTheme="minorEastAsia"/>
          <w:b w:val="0"/>
          <w:bCs w:val="0"/>
          <w:sz w:val="22"/>
          <w:szCs w:val="22"/>
        </w:rPr>
        <w:t>The results indicate that PM</w:t>
      </w:r>
      <w:r w:rsidR="00B937DD" w:rsidRPr="00AD72E5">
        <w:rPr>
          <w:rFonts w:eastAsiaTheme="minorEastAsia"/>
          <w:b w:val="0"/>
          <w:bCs w:val="0"/>
          <w:sz w:val="22"/>
          <w:szCs w:val="22"/>
          <w:vertAlign w:val="subscript"/>
        </w:rPr>
        <w:t>2.5</w:t>
      </w:r>
      <w:r w:rsidR="00B937DD" w:rsidRPr="00070DF8">
        <w:rPr>
          <w:rFonts w:eastAsiaTheme="minorEastAsia"/>
          <w:b w:val="0"/>
          <w:bCs w:val="0"/>
          <w:sz w:val="22"/>
          <w:szCs w:val="22"/>
        </w:rPr>
        <w:t xml:space="preserve"> is the most significant pollutant burden across all counties.</w:t>
      </w:r>
      <w:r w:rsidR="009718EA" w:rsidRPr="00070DF8">
        <w:rPr>
          <w:rFonts w:eastAsiaTheme="minorEastAsia"/>
          <w:b w:val="0"/>
          <w:bCs w:val="0"/>
          <w:sz w:val="22"/>
          <w:szCs w:val="22"/>
        </w:rPr>
        <w:t xml:space="preserve"> </w:t>
      </w:r>
      <w:r w:rsidR="003B30E8" w:rsidRPr="00070DF8">
        <w:rPr>
          <w:rFonts w:eastAsiaTheme="minorEastAsia"/>
          <w:b w:val="0"/>
          <w:bCs w:val="0"/>
          <w:sz w:val="22"/>
          <w:szCs w:val="22"/>
        </w:rPr>
        <w:t xml:space="preserve">Broward’s heightened dependence on gas-cc </w:t>
      </w:r>
      <w:r w:rsidR="00EB2331" w:rsidRPr="00070DF8">
        <w:rPr>
          <w:rFonts w:eastAsiaTheme="minorEastAsia"/>
          <w:b w:val="0"/>
          <w:bCs w:val="0"/>
          <w:sz w:val="22"/>
          <w:szCs w:val="22"/>
        </w:rPr>
        <w:t>increased</w:t>
      </w:r>
      <w:r w:rsidR="004519C6" w:rsidRPr="00070DF8">
        <w:rPr>
          <w:rFonts w:eastAsiaTheme="minorEastAsia"/>
          <w:b w:val="0"/>
          <w:bCs w:val="0"/>
          <w:sz w:val="22"/>
          <w:szCs w:val="22"/>
        </w:rPr>
        <w:t xml:space="preserve"> </w:t>
      </w:r>
      <w:r w:rsidR="004519C6" w:rsidRPr="00070DF8">
        <w:rPr>
          <w:rFonts w:eastAsiaTheme="minorEastAsia"/>
          <w:b w:val="0"/>
          <w:bCs w:val="0"/>
          <w:sz w:val="22"/>
          <w:szCs w:val="22"/>
        </w:rPr>
        <w:lastRenderedPageBreak/>
        <w:t>SO</w:t>
      </w:r>
      <w:r w:rsidR="004519C6" w:rsidRPr="00070DF8">
        <w:rPr>
          <w:rFonts w:eastAsiaTheme="minorEastAsia"/>
          <w:b w:val="0"/>
          <w:bCs w:val="0"/>
          <w:sz w:val="22"/>
          <w:szCs w:val="22"/>
          <w:vertAlign w:val="subscript"/>
        </w:rPr>
        <w:t>2</w:t>
      </w:r>
      <w:r w:rsidR="00EB2331" w:rsidRPr="00070DF8">
        <w:rPr>
          <w:rFonts w:eastAsiaTheme="minorEastAsia"/>
          <w:b w:val="0"/>
          <w:bCs w:val="0"/>
          <w:sz w:val="22"/>
          <w:szCs w:val="22"/>
        </w:rPr>
        <w:t xml:space="preserve"> emissions and </w:t>
      </w:r>
      <w:r w:rsidR="004519C6" w:rsidRPr="00070DF8">
        <w:rPr>
          <w:rFonts w:eastAsiaTheme="minorEastAsia"/>
          <w:b w:val="0"/>
          <w:bCs w:val="0"/>
          <w:sz w:val="22"/>
          <w:szCs w:val="22"/>
        </w:rPr>
        <w:t>the associated</w:t>
      </w:r>
      <w:r w:rsidR="00EB2331" w:rsidRPr="00070DF8">
        <w:rPr>
          <w:rFonts w:eastAsiaTheme="minorEastAsia"/>
          <w:b w:val="0"/>
          <w:bCs w:val="0"/>
          <w:sz w:val="22"/>
          <w:szCs w:val="22"/>
        </w:rPr>
        <w:t xml:space="preserve"> public health cost </w:t>
      </w:r>
      <w:r w:rsidR="004519C6" w:rsidRPr="00070DF8">
        <w:rPr>
          <w:rFonts w:eastAsiaTheme="minorEastAsia"/>
          <w:b w:val="0"/>
          <w:bCs w:val="0"/>
          <w:sz w:val="22"/>
          <w:szCs w:val="22"/>
        </w:rPr>
        <w:t>from SO</w:t>
      </w:r>
      <w:r w:rsidR="004519C6" w:rsidRPr="00070DF8">
        <w:rPr>
          <w:rFonts w:eastAsiaTheme="minorEastAsia"/>
          <w:b w:val="0"/>
          <w:bCs w:val="0"/>
          <w:sz w:val="22"/>
          <w:szCs w:val="22"/>
          <w:vertAlign w:val="subscript"/>
        </w:rPr>
        <w:t xml:space="preserve">2 </w:t>
      </w:r>
      <w:r w:rsidR="00EB2331" w:rsidRPr="00070DF8">
        <w:rPr>
          <w:rFonts w:eastAsiaTheme="minorEastAsia"/>
          <w:b w:val="0"/>
          <w:bCs w:val="0"/>
          <w:sz w:val="22"/>
          <w:szCs w:val="22"/>
        </w:rPr>
        <w:t xml:space="preserve">within the region. </w:t>
      </w:r>
      <w:r w:rsidR="00BD1ADF" w:rsidRPr="00070DF8">
        <w:rPr>
          <w:rFonts w:eastAsiaTheme="minorEastAsia"/>
          <w:b w:val="0"/>
          <w:bCs w:val="0"/>
          <w:sz w:val="22"/>
          <w:szCs w:val="22"/>
        </w:rPr>
        <w:t>However, in combination with NO</w:t>
      </w:r>
      <w:r w:rsidR="00BD1ADF" w:rsidRPr="00EB29A3">
        <w:rPr>
          <w:rFonts w:eastAsiaTheme="minorEastAsia"/>
          <w:b w:val="0"/>
          <w:bCs w:val="0"/>
          <w:sz w:val="22"/>
          <w:szCs w:val="22"/>
          <w:vertAlign w:val="subscript"/>
        </w:rPr>
        <w:t>x</w:t>
      </w:r>
      <w:r w:rsidR="00BD1ADF" w:rsidRPr="00070DF8">
        <w:rPr>
          <w:rFonts w:eastAsiaTheme="minorEastAsia"/>
          <w:b w:val="0"/>
          <w:bCs w:val="0"/>
          <w:sz w:val="22"/>
          <w:szCs w:val="22"/>
        </w:rPr>
        <w:t xml:space="preserve"> and PM</w:t>
      </w:r>
      <w:r w:rsidR="00BD1ADF" w:rsidRPr="00AD72E5">
        <w:rPr>
          <w:rFonts w:eastAsiaTheme="minorEastAsia"/>
          <w:b w:val="0"/>
          <w:bCs w:val="0"/>
          <w:sz w:val="22"/>
          <w:szCs w:val="22"/>
          <w:vertAlign w:val="subscript"/>
        </w:rPr>
        <w:t>2.5</w:t>
      </w:r>
      <w:r w:rsidR="00BD1ADF" w:rsidRPr="00070DF8">
        <w:rPr>
          <w:rFonts w:eastAsiaTheme="minorEastAsia"/>
          <w:b w:val="0"/>
          <w:bCs w:val="0"/>
          <w:sz w:val="22"/>
          <w:szCs w:val="22"/>
        </w:rPr>
        <w:t xml:space="preserve"> reductions, the total public health cost is reduced in Broward. </w:t>
      </w:r>
    </w:p>
    <w:p w14:paraId="59C2032B" w14:textId="3F6E2430" w:rsidR="004902FC" w:rsidRPr="00070DF8" w:rsidRDefault="00A92737" w:rsidP="0003781B">
      <w:pPr>
        <w:pStyle w:val="Heading2"/>
        <w:ind w:left="0" w:right="0" w:firstLine="720"/>
        <w:rPr>
          <w:rFonts w:eastAsiaTheme="minorEastAsia"/>
          <w:b w:val="0"/>
          <w:bCs w:val="0"/>
          <w:sz w:val="22"/>
          <w:szCs w:val="22"/>
        </w:rPr>
      </w:pPr>
      <w:r w:rsidRPr="00070DF8">
        <w:rPr>
          <w:rFonts w:eastAsiaTheme="minorEastAsia"/>
          <w:b w:val="0"/>
          <w:bCs w:val="0"/>
          <w:sz w:val="22"/>
          <w:szCs w:val="22"/>
        </w:rPr>
        <w:t>Switching to renewable sources of electricity, as observed in other counties throughout Florida, holds the potential to alleviate the burden of polluting EPRs.</w:t>
      </w:r>
      <w:r w:rsidR="004902FC" w:rsidRPr="00070DF8">
        <w:rPr>
          <w:rFonts w:eastAsiaTheme="minorEastAsia"/>
          <w:b w:val="0"/>
          <w:bCs w:val="0"/>
          <w:sz w:val="22"/>
          <w:szCs w:val="22"/>
        </w:rPr>
        <w:t xml:space="preserve"> This </w:t>
      </w:r>
      <w:r w:rsidR="00887FFD" w:rsidRPr="00070DF8">
        <w:rPr>
          <w:rFonts w:eastAsiaTheme="minorEastAsia"/>
          <w:b w:val="0"/>
          <w:bCs w:val="0"/>
          <w:sz w:val="22"/>
          <w:szCs w:val="22"/>
        </w:rPr>
        <w:t xml:space="preserve">would </w:t>
      </w:r>
      <w:r w:rsidR="004902FC" w:rsidRPr="00070DF8">
        <w:rPr>
          <w:rFonts w:eastAsiaTheme="minorEastAsia"/>
          <w:b w:val="0"/>
          <w:bCs w:val="0"/>
          <w:sz w:val="22"/>
          <w:szCs w:val="22"/>
        </w:rPr>
        <w:t>ultimately translate to better public health outcomes and an improved quality of life for residents. Cleaner air fosters healthier communities and alleviates the strain on healthcare systems, enabling individuals to flourish in a more conducive environment.</w:t>
      </w:r>
      <w:r w:rsidR="00314CA0" w:rsidRPr="00070DF8">
        <w:rPr>
          <w:rFonts w:eastAsiaTheme="minorEastAsia"/>
          <w:b w:val="0"/>
          <w:bCs w:val="0"/>
          <w:sz w:val="22"/>
          <w:szCs w:val="22"/>
        </w:rPr>
        <w:t xml:space="preserve"> </w:t>
      </w:r>
    </w:p>
    <w:p w14:paraId="5EDED61F" w14:textId="54FBC504" w:rsidR="00FF2A83" w:rsidRPr="00070DF8" w:rsidRDefault="00FF2A83" w:rsidP="00AD5E38">
      <w:pPr>
        <w:pStyle w:val="Heading2"/>
        <w:ind w:left="0" w:right="0" w:firstLine="720"/>
        <w:jc w:val="center"/>
        <w:rPr>
          <w:rFonts w:eastAsiaTheme="minorEastAsia"/>
          <w:b w:val="0"/>
          <w:bCs w:val="0"/>
          <w:sz w:val="22"/>
          <w:szCs w:val="22"/>
        </w:rPr>
      </w:pPr>
      <w:commentRangeStart w:id="14"/>
      <w:r w:rsidRPr="00070DF8">
        <w:rPr>
          <w:sz w:val="22"/>
          <w:szCs w:val="22"/>
        </w:rPr>
        <w:t>Conclusion</w:t>
      </w:r>
      <w:commentRangeEnd w:id="14"/>
      <w:r w:rsidR="009412B9" w:rsidRPr="00070DF8">
        <w:rPr>
          <w:rStyle w:val="CommentReference"/>
          <w:sz w:val="22"/>
          <w:szCs w:val="22"/>
        </w:rPr>
        <w:commentReference w:id="14"/>
      </w:r>
    </w:p>
    <w:p w14:paraId="68B3A71B" w14:textId="738DA74C" w:rsidR="00B15AC7" w:rsidRPr="00070DF8" w:rsidRDefault="000C4CEC" w:rsidP="00AD5E38">
      <w:pPr>
        <w:ind w:left="0" w:right="0" w:firstLine="720"/>
        <w:rPr>
          <w:rFonts w:eastAsiaTheme="minorEastAsia"/>
          <w:sz w:val="22"/>
          <w:szCs w:val="22"/>
        </w:rPr>
      </w:pPr>
      <w:r w:rsidRPr="00070DF8">
        <w:rPr>
          <w:rFonts w:eastAsiaTheme="minorEastAsia"/>
          <w:sz w:val="22"/>
          <w:szCs w:val="22"/>
        </w:rPr>
        <w:t>In the pursuit of understanding and mitigating the environmental impact of vehicular emissions</w:t>
      </w:r>
      <w:r w:rsidR="009B5493" w:rsidRPr="00070DF8">
        <w:rPr>
          <w:rFonts w:eastAsiaTheme="minorEastAsia"/>
          <w:sz w:val="22"/>
          <w:szCs w:val="22"/>
        </w:rPr>
        <w:t xml:space="preserve">, this study employed a comprehensive approach that utilizes historical data in conjunction with predictive models </w:t>
      </w:r>
      <w:r w:rsidR="008777EE" w:rsidRPr="00070DF8">
        <w:rPr>
          <w:rFonts w:eastAsiaTheme="minorEastAsia"/>
          <w:sz w:val="22"/>
          <w:szCs w:val="22"/>
        </w:rPr>
        <w:t xml:space="preserve">to shed light on the dynamics between transportation habits, emissions, and their </w:t>
      </w:r>
      <w:r w:rsidR="0053686B" w:rsidRPr="00070DF8">
        <w:rPr>
          <w:rFonts w:eastAsiaTheme="minorEastAsia"/>
          <w:sz w:val="22"/>
          <w:szCs w:val="22"/>
        </w:rPr>
        <w:t>societal costs</w:t>
      </w:r>
      <w:r w:rsidR="006D0E46" w:rsidRPr="00070DF8">
        <w:rPr>
          <w:rFonts w:eastAsiaTheme="minorEastAsia"/>
          <w:sz w:val="22"/>
          <w:szCs w:val="22"/>
        </w:rPr>
        <w:t xml:space="preserve"> in the South Florida region. The </w:t>
      </w:r>
      <w:r w:rsidR="000456DD" w:rsidRPr="00070DF8">
        <w:rPr>
          <w:rFonts w:eastAsiaTheme="minorEastAsia"/>
          <w:sz w:val="22"/>
          <w:szCs w:val="22"/>
        </w:rPr>
        <w:t xml:space="preserve">adoption of EVs </w:t>
      </w:r>
      <w:r w:rsidR="00BD1ADF" w:rsidRPr="00070DF8">
        <w:rPr>
          <w:rFonts w:eastAsiaTheme="minorEastAsia"/>
          <w:sz w:val="22"/>
          <w:szCs w:val="22"/>
        </w:rPr>
        <w:t xml:space="preserve">can be </w:t>
      </w:r>
      <w:r w:rsidR="00330763" w:rsidRPr="00070DF8">
        <w:rPr>
          <w:rFonts w:eastAsiaTheme="minorEastAsia"/>
          <w:sz w:val="22"/>
          <w:szCs w:val="22"/>
        </w:rPr>
        <w:t>an impactful approach in curbing</w:t>
      </w:r>
      <w:r w:rsidR="00835E74" w:rsidRPr="00070DF8">
        <w:rPr>
          <w:rFonts w:eastAsiaTheme="minorEastAsia"/>
          <w:sz w:val="22"/>
          <w:szCs w:val="22"/>
        </w:rPr>
        <w:t xml:space="preserve"> </w:t>
      </w:r>
      <w:r w:rsidR="00790848" w:rsidRPr="00070DF8">
        <w:rPr>
          <w:rFonts w:eastAsiaTheme="minorEastAsia"/>
          <w:sz w:val="22"/>
          <w:szCs w:val="22"/>
        </w:rPr>
        <w:t>NO</w:t>
      </w:r>
      <w:r w:rsidR="00790848" w:rsidRPr="00AD72E5">
        <w:rPr>
          <w:rFonts w:eastAsiaTheme="minorEastAsia"/>
          <w:sz w:val="22"/>
          <w:szCs w:val="22"/>
          <w:vertAlign w:val="subscript"/>
        </w:rPr>
        <w:t>x</w:t>
      </w:r>
      <w:r w:rsidR="00561669" w:rsidRPr="00070DF8">
        <w:rPr>
          <w:rFonts w:eastAsiaTheme="minorEastAsia"/>
          <w:sz w:val="22"/>
          <w:szCs w:val="22"/>
        </w:rPr>
        <w:t xml:space="preserve">, </w:t>
      </w:r>
      <w:r w:rsidR="00111E9F" w:rsidRPr="00070DF8">
        <w:rPr>
          <w:rFonts w:eastAsiaTheme="minorEastAsia"/>
          <w:sz w:val="22"/>
          <w:szCs w:val="22"/>
        </w:rPr>
        <w:t>SO</w:t>
      </w:r>
      <w:r w:rsidR="00111E9F" w:rsidRPr="00070DF8">
        <w:rPr>
          <w:rFonts w:eastAsiaTheme="minorEastAsia"/>
          <w:sz w:val="22"/>
          <w:szCs w:val="22"/>
          <w:vertAlign w:val="subscript"/>
        </w:rPr>
        <w:t>2</w:t>
      </w:r>
      <w:r w:rsidR="00561669" w:rsidRPr="00070DF8">
        <w:rPr>
          <w:rFonts w:eastAsiaTheme="minorEastAsia"/>
          <w:sz w:val="22"/>
          <w:szCs w:val="22"/>
        </w:rPr>
        <w:t xml:space="preserve">, </w:t>
      </w:r>
      <w:r w:rsidR="00790848" w:rsidRPr="00070DF8">
        <w:rPr>
          <w:rFonts w:eastAsiaTheme="minorEastAsia"/>
          <w:sz w:val="22"/>
          <w:szCs w:val="22"/>
        </w:rPr>
        <w:t>PM</w:t>
      </w:r>
      <w:r w:rsidR="00790848" w:rsidRPr="00AD72E5">
        <w:rPr>
          <w:rFonts w:eastAsiaTheme="minorEastAsia"/>
          <w:sz w:val="22"/>
          <w:szCs w:val="22"/>
          <w:vertAlign w:val="subscript"/>
        </w:rPr>
        <w:t>2.5</w:t>
      </w:r>
      <w:r w:rsidR="001C459B" w:rsidRPr="00070DF8">
        <w:rPr>
          <w:rFonts w:eastAsiaTheme="minorEastAsia"/>
          <w:sz w:val="22"/>
          <w:szCs w:val="22"/>
        </w:rPr>
        <w:t xml:space="preserve"> emissions</w:t>
      </w:r>
      <w:r w:rsidR="00790848" w:rsidRPr="00070DF8">
        <w:rPr>
          <w:rFonts w:eastAsiaTheme="minorEastAsia"/>
          <w:sz w:val="22"/>
          <w:szCs w:val="22"/>
        </w:rPr>
        <w:t>, resulting in considerable health-related cost savings</w:t>
      </w:r>
      <w:r w:rsidR="006949CF" w:rsidRPr="00070DF8">
        <w:rPr>
          <w:rFonts w:eastAsiaTheme="minorEastAsia"/>
          <w:sz w:val="22"/>
          <w:szCs w:val="22"/>
        </w:rPr>
        <w:t xml:space="preserve"> across all the counties. </w:t>
      </w:r>
      <w:r w:rsidR="001C459B" w:rsidRPr="00070DF8">
        <w:rPr>
          <w:rFonts w:eastAsiaTheme="minorEastAsia"/>
          <w:sz w:val="22"/>
          <w:szCs w:val="22"/>
        </w:rPr>
        <w:t xml:space="preserve">This study not only anticipates </w:t>
      </w:r>
      <w:r w:rsidR="006F31D3" w:rsidRPr="00070DF8">
        <w:rPr>
          <w:rFonts w:eastAsiaTheme="minorEastAsia"/>
          <w:sz w:val="22"/>
          <w:szCs w:val="22"/>
        </w:rPr>
        <w:t xml:space="preserve">the future of emissions but also advocates for a </w:t>
      </w:r>
      <w:r w:rsidR="00543237" w:rsidRPr="00070DF8">
        <w:rPr>
          <w:rFonts w:eastAsiaTheme="minorEastAsia"/>
          <w:sz w:val="22"/>
          <w:szCs w:val="22"/>
        </w:rPr>
        <w:t>conscious shift towards cleaner technologies and habits to improve</w:t>
      </w:r>
      <w:r w:rsidR="00FD5C2E" w:rsidRPr="00070DF8">
        <w:rPr>
          <w:rFonts w:eastAsiaTheme="minorEastAsia"/>
          <w:sz w:val="22"/>
          <w:szCs w:val="22"/>
        </w:rPr>
        <w:t xml:space="preserve"> ambient air quality. </w:t>
      </w:r>
    </w:p>
    <w:p w14:paraId="15F2F811" w14:textId="794C32CC" w:rsidR="0085671C" w:rsidRPr="002F130D" w:rsidRDefault="0085671C" w:rsidP="00070DF8">
      <w:pPr>
        <w:pStyle w:val="Heading2"/>
        <w:jc w:val="center"/>
        <w:rPr>
          <w:rFonts w:eastAsiaTheme="minorEastAsia"/>
          <w:b w:val="0"/>
          <w:bCs w:val="0"/>
        </w:rPr>
      </w:pPr>
      <w:r w:rsidRPr="002F130D">
        <w:t>References</w:t>
      </w:r>
    </w:p>
    <w:p w14:paraId="466FB144" w14:textId="77777777" w:rsidR="00633708" w:rsidRPr="00633708" w:rsidRDefault="0085671C" w:rsidP="00633708">
      <w:pPr>
        <w:pStyle w:val="Bibliography"/>
        <w:rPr>
          <w:sz w:val="22"/>
        </w:rPr>
      </w:pPr>
      <w:r w:rsidRPr="00070DF8">
        <w:rPr>
          <w:rFonts w:eastAsiaTheme="minorEastAsia"/>
          <w:sz w:val="22"/>
          <w:szCs w:val="22"/>
        </w:rPr>
        <w:fldChar w:fldCharType="begin"/>
      </w:r>
      <w:r w:rsidR="00633708">
        <w:rPr>
          <w:rFonts w:eastAsiaTheme="minorEastAsia"/>
          <w:sz w:val="22"/>
          <w:szCs w:val="22"/>
        </w:rPr>
        <w:instrText xml:space="preserve"> ADDIN ZOTERO_BIBL {"uncited":[],"omitted":[],"custom":[]} CSL_BIBLIOGRAPHY </w:instrText>
      </w:r>
      <w:r w:rsidRPr="00070DF8">
        <w:rPr>
          <w:rFonts w:eastAsiaTheme="minorEastAsia"/>
          <w:sz w:val="22"/>
          <w:szCs w:val="22"/>
        </w:rPr>
        <w:fldChar w:fldCharType="separate"/>
      </w:r>
      <w:r w:rsidR="00633708" w:rsidRPr="00633708">
        <w:rPr>
          <w:sz w:val="22"/>
        </w:rPr>
        <w:t xml:space="preserve">Adeyanju, A. A. (2018). Effects of Vehicular Emissions on Human Health. </w:t>
      </w:r>
      <w:r w:rsidR="00633708" w:rsidRPr="00633708">
        <w:rPr>
          <w:i/>
          <w:iCs/>
          <w:sz w:val="22"/>
        </w:rPr>
        <w:t>Journal of Clean Energy Technologies</w:t>
      </w:r>
      <w:r w:rsidR="00633708" w:rsidRPr="00633708">
        <w:rPr>
          <w:sz w:val="22"/>
        </w:rPr>
        <w:t>, 411–420. https://doi.org/10.18178/JOCET.2018.6.6.499</w:t>
      </w:r>
    </w:p>
    <w:p w14:paraId="45F04CAD" w14:textId="77777777" w:rsidR="00633708" w:rsidRPr="00633708" w:rsidRDefault="00633708" w:rsidP="00633708">
      <w:pPr>
        <w:pStyle w:val="Bibliography"/>
        <w:rPr>
          <w:sz w:val="22"/>
        </w:rPr>
      </w:pPr>
      <w:r w:rsidRPr="00633708">
        <w:rPr>
          <w:sz w:val="22"/>
        </w:rPr>
        <w:t xml:space="preserve">Birnbaum, H. G., Carley, C. D., Desai, U., Ou, S., &amp; Zuckerman, P. R. (2020). Measuring The Impact Of Air Pollution On Health Care Costs. </w:t>
      </w:r>
      <w:r w:rsidRPr="00633708">
        <w:rPr>
          <w:i/>
          <w:iCs/>
          <w:sz w:val="22"/>
        </w:rPr>
        <w:t>Health Affairs</w:t>
      </w:r>
      <w:r w:rsidRPr="00633708">
        <w:rPr>
          <w:sz w:val="22"/>
        </w:rPr>
        <w:t xml:space="preserve">, </w:t>
      </w:r>
      <w:r w:rsidRPr="00633708">
        <w:rPr>
          <w:i/>
          <w:iCs/>
          <w:sz w:val="22"/>
        </w:rPr>
        <w:t>39</w:t>
      </w:r>
      <w:r w:rsidRPr="00633708">
        <w:rPr>
          <w:sz w:val="22"/>
        </w:rPr>
        <w:t>(12), 2113–2119. https://doi.org/10.1377/hlthaff.2020.00081</w:t>
      </w:r>
    </w:p>
    <w:p w14:paraId="2EBA73EC" w14:textId="77777777" w:rsidR="00633708" w:rsidRPr="00633708" w:rsidRDefault="00633708" w:rsidP="00633708">
      <w:pPr>
        <w:pStyle w:val="Bibliography"/>
        <w:rPr>
          <w:sz w:val="22"/>
        </w:rPr>
      </w:pPr>
      <w:r w:rsidRPr="00633708">
        <w:rPr>
          <w:sz w:val="22"/>
        </w:rPr>
        <w:t xml:space="preserve">Choma, E. F., Evans, J. S., Hammitt, J. K., Gómez-Ibáñez, J. A., &amp; Spengler, J. D. (2020). Assessing the health impacts of electric vehicles through air pollution in the United States. </w:t>
      </w:r>
      <w:r w:rsidRPr="00633708">
        <w:rPr>
          <w:i/>
          <w:iCs/>
          <w:sz w:val="22"/>
        </w:rPr>
        <w:t>Environment International</w:t>
      </w:r>
      <w:r w:rsidRPr="00633708">
        <w:rPr>
          <w:sz w:val="22"/>
        </w:rPr>
        <w:t xml:space="preserve">, </w:t>
      </w:r>
      <w:r w:rsidRPr="00633708">
        <w:rPr>
          <w:i/>
          <w:iCs/>
          <w:sz w:val="22"/>
        </w:rPr>
        <w:t>144</w:t>
      </w:r>
      <w:r w:rsidRPr="00633708">
        <w:rPr>
          <w:sz w:val="22"/>
        </w:rPr>
        <w:t>, 106015. https://doi.org/10.1016/j.envint.2020.106015</w:t>
      </w:r>
    </w:p>
    <w:p w14:paraId="41FDEDDD" w14:textId="77777777" w:rsidR="00633708" w:rsidRPr="00633708" w:rsidRDefault="00633708" w:rsidP="00633708">
      <w:pPr>
        <w:pStyle w:val="Bibliography"/>
        <w:rPr>
          <w:sz w:val="22"/>
        </w:rPr>
      </w:pPr>
      <w:r w:rsidRPr="00633708">
        <w:rPr>
          <w:sz w:val="22"/>
        </w:rPr>
        <w:lastRenderedPageBreak/>
        <w:t xml:space="preserve">Federal Highway Administration. (2020). </w:t>
      </w:r>
      <w:r w:rsidRPr="00633708">
        <w:rPr>
          <w:i/>
          <w:iCs/>
          <w:sz w:val="22"/>
        </w:rPr>
        <w:t>DISTRIBUTION OF ANNUAL VEHICLE DISTANCE TRAVELED - 2019</w:t>
      </w:r>
      <w:r w:rsidRPr="00633708">
        <w:rPr>
          <w:sz w:val="22"/>
        </w:rPr>
        <w:t xml:space="preserve"> [dataset]. https://www.fhwa.dot.gov/policyinformation/statistics/2019/vm4.cfm</w:t>
      </w:r>
    </w:p>
    <w:p w14:paraId="459B1BEA" w14:textId="77777777" w:rsidR="00633708" w:rsidRPr="00633708" w:rsidRDefault="00633708" w:rsidP="00633708">
      <w:pPr>
        <w:pStyle w:val="Bibliography"/>
        <w:rPr>
          <w:sz w:val="22"/>
        </w:rPr>
      </w:pPr>
      <w:r w:rsidRPr="00633708">
        <w:rPr>
          <w:sz w:val="22"/>
        </w:rPr>
        <w:t xml:space="preserve">Florida Department of Transportation. (2019). </w:t>
      </w:r>
      <w:r w:rsidRPr="00633708">
        <w:rPr>
          <w:i/>
          <w:iCs/>
          <w:sz w:val="22"/>
        </w:rPr>
        <w:t>Public Road Mileage and Miles Traveled</w:t>
      </w:r>
      <w:r w:rsidRPr="00633708">
        <w:rPr>
          <w:sz w:val="22"/>
        </w:rPr>
        <w:t>. https://ftp.fdot.gov/public/folder/RedkVJJQbE_ZL0_9HyAF-A/Public_Roads/2019_Public.pdf</w:t>
      </w:r>
    </w:p>
    <w:p w14:paraId="6A8AB7AC" w14:textId="77777777" w:rsidR="00633708" w:rsidRPr="00633708" w:rsidRDefault="00633708" w:rsidP="00633708">
      <w:pPr>
        <w:pStyle w:val="Bibliography"/>
        <w:rPr>
          <w:sz w:val="22"/>
        </w:rPr>
      </w:pPr>
      <w:r w:rsidRPr="00633708">
        <w:rPr>
          <w:sz w:val="22"/>
        </w:rPr>
        <w:t xml:space="preserve">Gagnon, P., Cowiestoll, B., &amp; Schwarz, M. (2023). </w:t>
      </w:r>
      <w:r w:rsidRPr="00633708">
        <w:rPr>
          <w:i/>
          <w:iCs/>
          <w:sz w:val="22"/>
        </w:rPr>
        <w:t>Cambium 2022 Scenario Descriptions and Documentation</w:t>
      </w:r>
      <w:r w:rsidRPr="00633708">
        <w:rPr>
          <w:sz w:val="22"/>
        </w:rPr>
        <w:t xml:space="preserve"> (NREL/TP-6A40-84916, 1915250, MainId:85689; p. NREL/TP-6A40-84916, 1915250, MainId:85689). https://doi.org/10.2172/1915250</w:t>
      </w:r>
    </w:p>
    <w:p w14:paraId="66B52F41" w14:textId="77777777" w:rsidR="00633708" w:rsidRPr="00633708" w:rsidRDefault="00633708" w:rsidP="00633708">
      <w:pPr>
        <w:pStyle w:val="Bibliography"/>
        <w:rPr>
          <w:sz w:val="22"/>
        </w:rPr>
      </w:pPr>
      <w:r w:rsidRPr="00633708">
        <w:rPr>
          <w:sz w:val="22"/>
        </w:rPr>
        <w:t xml:space="preserve">Heo, J., &amp; Adams, P. J. (2015). </w:t>
      </w:r>
      <w:r w:rsidRPr="00633708">
        <w:rPr>
          <w:i/>
          <w:iCs/>
          <w:sz w:val="22"/>
        </w:rPr>
        <w:t>EASIUR User’s Guide Version 0.2</w:t>
      </w:r>
      <w:r w:rsidRPr="00633708">
        <w:rPr>
          <w:sz w:val="22"/>
        </w:rPr>
        <w:t>. https://barney.ce.cmu.edu/~jinhyok/easiur/EASIUR-Users-Guide-200505-Jinhyok.pdf</w:t>
      </w:r>
    </w:p>
    <w:p w14:paraId="4FE2AE6C" w14:textId="77777777" w:rsidR="00633708" w:rsidRPr="00633708" w:rsidRDefault="00633708" w:rsidP="00633708">
      <w:pPr>
        <w:pStyle w:val="Bibliography"/>
        <w:rPr>
          <w:sz w:val="22"/>
        </w:rPr>
      </w:pPr>
      <w:r w:rsidRPr="00633708">
        <w:rPr>
          <w:sz w:val="22"/>
        </w:rPr>
        <w:t xml:space="preserve">Heo, J., Adams, P. J., &amp; Gao, O. (2016). </w:t>
      </w:r>
      <w:r w:rsidRPr="00633708">
        <w:rPr>
          <w:i/>
          <w:iCs/>
          <w:sz w:val="22"/>
        </w:rPr>
        <w:t>Reduced-form modeling of public health impacts of inorganic PM2.5 and precursor emissions</w:t>
      </w:r>
      <w:r w:rsidRPr="00633708">
        <w:rPr>
          <w:sz w:val="22"/>
        </w:rPr>
        <w:t>. https://www.sciencedirect.com/science/article/pii/S1352231016303090</w:t>
      </w:r>
    </w:p>
    <w:p w14:paraId="464A4EF5" w14:textId="77777777" w:rsidR="00633708" w:rsidRPr="00633708" w:rsidRDefault="00633708" w:rsidP="00633708">
      <w:pPr>
        <w:pStyle w:val="Bibliography"/>
        <w:rPr>
          <w:sz w:val="22"/>
        </w:rPr>
      </w:pPr>
      <w:r w:rsidRPr="00633708">
        <w:rPr>
          <w:sz w:val="22"/>
        </w:rPr>
        <w:t xml:space="preserve">House, T. W. (2023, April 17). </w:t>
      </w:r>
      <w:r w:rsidRPr="00633708">
        <w:rPr>
          <w:i/>
          <w:iCs/>
          <w:sz w:val="22"/>
        </w:rPr>
        <w:t>FACT SHEET: Biden-Harris Administration Announces New Private and Public Sector Investments for Affordable Electric Vehicles</w:t>
      </w:r>
      <w:r w:rsidRPr="00633708">
        <w:rPr>
          <w:sz w:val="22"/>
        </w:rPr>
        <w:t>. The White House. https://www.whitehouse.gov/briefing-room/statements-releases/2023/04/17/fact-sheet-biden-harris-administration-announces-new-private-and-public-sector-investments-for-affordable-electric-vehicles/</w:t>
      </w:r>
    </w:p>
    <w:p w14:paraId="2BC3F229" w14:textId="77777777" w:rsidR="00633708" w:rsidRPr="00633708" w:rsidRDefault="00633708" w:rsidP="00633708">
      <w:pPr>
        <w:pStyle w:val="Bibliography"/>
        <w:rPr>
          <w:sz w:val="22"/>
        </w:rPr>
      </w:pPr>
      <w:r w:rsidRPr="00633708">
        <w:rPr>
          <w:sz w:val="22"/>
        </w:rPr>
        <w:t xml:space="preserve">Jacquemin, B., Kauffmann, F., Pin, I., Le Moual, N., Bousquet, J., Gormand, F., Just, J., Nadif, R., Pison, C., Vervloet, D., Künzli, N., Siroux, V., &amp; Epidemiological study on the Genetics and Environment of Asthma (EGEA). (2012). Air pollution and asthma control in the Epidemiological study on the Genetics and Environment of Asthma. </w:t>
      </w:r>
      <w:r w:rsidRPr="00633708">
        <w:rPr>
          <w:i/>
          <w:iCs/>
          <w:sz w:val="22"/>
        </w:rPr>
        <w:t>Journal of Epidemiology and Community Health</w:t>
      </w:r>
      <w:r w:rsidRPr="00633708">
        <w:rPr>
          <w:sz w:val="22"/>
        </w:rPr>
        <w:t xml:space="preserve">, </w:t>
      </w:r>
      <w:r w:rsidRPr="00633708">
        <w:rPr>
          <w:i/>
          <w:iCs/>
          <w:sz w:val="22"/>
        </w:rPr>
        <w:t>66</w:t>
      </w:r>
      <w:r w:rsidRPr="00633708">
        <w:rPr>
          <w:sz w:val="22"/>
        </w:rPr>
        <w:t>(9), 796–802. https://doi.org/10.1136/jech.2010.130229</w:t>
      </w:r>
    </w:p>
    <w:p w14:paraId="172DCA9D" w14:textId="77777777" w:rsidR="00633708" w:rsidRPr="00633708" w:rsidRDefault="00633708" w:rsidP="00633708">
      <w:pPr>
        <w:pStyle w:val="Bibliography"/>
        <w:rPr>
          <w:sz w:val="22"/>
        </w:rPr>
      </w:pPr>
      <w:r w:rsidRPr="00633708">
        <w:rPr>
          <w:sz w:val="22"/>
        </w:rPr>
        <w:t xml:space="preserve">Jafarinejad, S. (2016). Control and treatment of sulfur compounds specially sulfur oxides (SOx) emissions from the petroleum industry: A review. </w:t>
      </w:r>
      <w:r w:rsidRPr="00633708">
        <w:rPr>
          <w:i/>
          <w:iCs/>
          <w:sz w:val="22"/>
        </w:rPr>
        <w:t>Chemistry International</w:t>
      </w:r>
      <w:r w:rsidRPr="00633708">
        <w:rPr>
          <w:sz w:val="22"/>
        </w:rPr>
        <w:t xml:space="preserve">, </w:t>
      </w:r>
      <w:r w:rsidRPr="00633708">
        <w:rPr>
          <w:i/>
          <w:iCs/>
          <w:sz w:val="22"/>
        </w:rPr>
        <w:t>2</w:t>
      </w:r>
      <w:r w:rsidRPr="00633708">
        <w:rPr>
          <w:sz w:val="22"/>
        </w:rPr>
        <w:t>, 242–253.</w:t>
      </w:r>
    </w:p>
    <w:p w14:paraId="52C2B9F5" w14:textId="77777777" w:rsidR="00633708" w:rsidRPr="00633708" w:rsidRDefault="00633708" w:rsidP="00633708">
      <w:pPr>
        <w:pStyle w:val="Bibliography"/>
        <w:rPr>
          <w:sz w:val="22"/>
        </w:rPr>
      </w:pPr>
      <w:r w:rsidRPr="00633708">
        <w:rPr>
          <w:sz w:val="22"/>
        </w:rPr>
        <w:lastRenderedPageBreak/>
        <w:t xml:space="preserve">Lewis, M. (2019, October 15). </w:t>
      </w:r>
      <w:r w:rsidRPr="00633708">
        <w:rPr>
          <w:i/>
          <w:iCs/>
          <w:sz w:val="22"/>
        </w:rPr>
        <w:t>Florida’s auto emissions have skyrocketed since 1990</w:t>
      </w:r>
      <w:r w:rsidRPr="00633708">
        <w:rPr>
          <w:sz w:val="22"/>
        </w:rPr>
        <w:t>. Electrek. https://electrek.co/2019/10/15/florida-auto-emissions-skyrocket-since-1990/</w:t>
      </w:r>
    </w:p>
    <w:p w14:paraId="1364CC71" w14:textId="77777777" w:rsidR="00633708" w:rsidRPr="00633708" w:rsidRDefault="00633708" w:rsidP="00633708">
      <w:pPr>
        <w:pStyle w:val="Bibliography"/>
        <w:rPr>
          <w:sz w:val="22"/>
        </w:rPr>
      </w:pPr>
      <w:r w:rsidRPr="00633708">
        <w:rPr>
          <w:sz w:val="22"/>
        </w:rPr>
        <w:t xml:space="preserve">Liu, H., Hu, T., &amp; Wang, M. (2021). Impact of Air Pollution on Residents’ Medical Expenses: A Study Based on the Survey Data of 122 Cities in China. </w:t>
      </w:r>
      <w:r w:rsidRPr="00633708">
        <w:rPr>
          <w:i/>
          <w:iCs/>
          <w:sz w:val="22"/>
        </w:rPr>
        <w:t>Frontiers in Public Health</w:t>
      </w:r>
      <w:r w:rsidRPr="00633708">
        <w:rPr>
          <w:sz w:val="22"/>
        </w:rPr>
        <w:t xml:space="preserve">, </w:t>
      </w:r>
      <w:r w:rsidRPr="00633708">
        <w:rPr>
          <w:i/>
          <w:iCs/>
          <w:sz w:val="22"/>
        </w:rPr>
        <w:t>9</w:t>
      </w:r>
      <w:r w:rsidRPr="00633708">
        <w:rPr>
          <w:sz w:val="22"/>
        </w:rPr>
        <w:t>, 743087. https://doi.org/10.3389/fpubh.2021.743087</w:t>
      </w:r>
    </w:p>
    <w:p w14:paraId="1D03B5C3" w14:textId="77777777" w:rsidR="00633708" w:rsidRPr="00633708" w:rsidRDefault="00633708" w:rsidP="00633708">
      <w:pPr>
        <w:pStyle w:val="Bibliography"/>
        <w:rPr>
          <w:sz w:val="22"/>
        </w:rPr>
      </w:pPr>
      <w:r w:rsidRPr="00633708">
        <w:rPr>
          <w:sz w:val="22"/>
        </w:rPr>
        <w:t xml:space="preserve">Mai, T. T., Jadun, P., Logan, J. S., McMillan, C. A., Muratori, M., Steinberg, D. C., Vimmerstedt, L. J., Haley, B., Jones, R., &amp; Nelson, B. (2018). </w:t>
      </w:r>
      <w:r w:rsidRPr="00633708">
        <w:rPr>
          <w:i/>
          <w:iCs/>
          <w:sz w:val="22"/>
        </w:rPr>
        <w:t>Electrification Futures Study: Scenarios of Electric Technology Adoption and Power Consumption for the United States</w:t>
      </w:r>
      <w:r w:rsidRPr="00633708">
        <w:rPr>
          <w:sz w:val="22"/>
        </w:rPr>
        <w:t xml:space="preserve"> (NREL/TP-6A20-71500). National Renewable Energy Lab. (NREL), Golden, CO (United States). https://doi.org/10.2172/1459351</w:t>
      </w:r>
    </w:p>
    <w:p w14:paraId="3260C1D9" w14:textId="77777777" w:rsidR="00633708" w:rsidRPr="00633708" w:rsidRDefault="00633708" w:rsidP="00633708">
      <w:pPr>
        <w:pStyle w:val="Bibliography"/>
        <w:rPr>
          <w:sz w:val="22"/>
        </w:rPr>
      </w:pPr>
      <w:r w:rsidRPr="00633708">
        <w:rPr>
          <w:sz w:val="22"/>
        </w:rPr>
        <w:t xml:space="preserve">National Cancer Institute. (2023, September 13). </w:t>
      </w:r>
      <w:r w:rsidRPr="00633708">
        <w:rPr>
          <w:i/>
          <w:iCs/>
          <w:sz w:val="22"/>
        </w:rPr>
        <w:t>High Levels of Particulate Air Pollution Associated with Increased Breast Cancer Incidence—NCI</w:t>
      </w:r>
      <w:r w:rsidRPr="00633708">
        <w:rPr>
          <w:sz w:val="22"/>
        </w:rPr>
        <w:t xml:space="preserve"> (nciglobal,ncienterprise) [cgvBlogPost]. https://dceg.cancer.gov/news-events/news/2023/particulate-air-pollution-breast-cancer-risk</w:t>
      </w:r>
    </w:p>
    <w:p w14:paraId="44F96AAA" w14:textId="77777777" w:rsidR="00633708" w:rsidRPr="00633708" w:rsidRDefault="00633708" w:rsidP="00633708">
      <w:pPr>
        <w:pStyle w:val="Bibliography"/>
        <w:rPr>
          <w:sz w:val="22"/>
        </w:rPr>
      </w:pPr>
      <w:r w:rsidRPr="00633708">
        <w:rPr>
          <w:sz w:val="22"/>
        </w:rPr>
        <w:t xml:space="preserve">Ogur, E., &amp; Kariuki, S. (2014). Effect of Car Emissions on Human Health and the Environment. </w:t>
      </w:r>
      <w:r w:rsidRPr="00633708">
        <w:rPr>
          <w:i/>
          <w:iCs/>
          <w:sz w:val="22"/>
        </w:rPr>
        <w:t>International Journal of Applied Engineering Research</w:t>
      </w:r>
      <w:r w:rsidRPr="00633708">
        <w:rPr>
          <w:sz w:val="22"/>
        </w:rPr>
        <w:t xml:space="preserve">, </w:t>
      </w:r>
      <w:r w:rsidRPr="00633708">
        <w:rPr>
          <w:i/>
          <w:iCs/>
          <w:sz w:val="22"/>
        </w:rPr>
        <w:t>9</w:t>
      </w:r>
      <w:r w:rsidRPr="00633708">
        <w:rPr>
          <w:sz w:val="22"/>
        </w:rPr>
        <w:t>, 11121–11128.</w:t>
      </w:r>
    </w:p>
    <w:p w14:paraId="2F7DC484" w14:textId="77777777" w:rsidR="00633708" w:rsidRPr="00633708" w:rsidRDefault="00633708" w:rsidP="00633708">
      <w:pPr>
        <w:pStyle w:val="Bibliography"/>
        <w:rPr>
          <w:sz w:val="22"/>
        </w:rPr>
      </w:pPr>
      <w:r w:rsidRPr="00633708">
        <w:rPr>
          <w:sz w:val="22"/>
        </w:rPr>
        <w:t xml:space="preserve">U.S. Department of Energy. (2023). </w:t>
      </w:r>
      <w:r w:rsidRPr="00633708">
        <w:rPr>
          <w:i/>
          <w:iCs/>
          <w:sz w:val="22"/>
        </w:rPr>
        <w:t>Electric Vehicle Registration by State</w:t>
      </w:r>
      <w:r w:rsidRPr="00633708">
        <w:rPr>
          <w:sz w:val="22"/>
        </w:rPr>
        <w:t xml:space="preserve"> [dataset].</w:t>
      </w:r>
    </w:p>
    <w:p w14:paraId="06E8BDBE" w14:textId="77777777" w:rsidR="00633708" w:rsidRPr="00633708" w:rsidRDefault="00633708" w:rsidP="00633708">
      <w:pPr>
        <w:pStyle w:val="Bibliography"/>
        <w:rPr>
          <w:sz w:val="22"/>
        </w:rPr>
      </w:pPr>
      <w:r w:rsidRPr="00633708">
        <w:rPr>
          <w:sz w:val="22"/>
        </w:rPr>
        <w:t xml:space="preserve">U.S. Energy Atlas. (2023a). </w:t>
      </w:r>
      <w:r w:rsidRPr="00633708">
        <w:rPr>
          <w:i/>
          <w:iCs/>
          <w:sz w:val="22"/>
        </w:rPr>
        <w:t>Existing Nameplate and Net Summer Capacity by Energy Source, Producer Type and State</w:t>
      </w:r>
      <w:r w:rsidRPr="00633708">
        <w:rPr>
          <w:sz w:val="22"/>
        </w:rPr>
        <w:t>. https://www.eia.gov/electricity/data/state/</w:t>
      </w:r>
    </w:p>
    <w:p w14:paraId="29C3E7EF" w14:textId="77777777" w:rsidR="00633708" w:rsidRPr="00633708" w:rsidRDefault="00633708" w:rsidP="00633708">
      <w:pPr>
        <w:pStyle w:val="Bibliography"/>
        <w:rPr>
          <w:sz w:val="22"/>
        </w:rPr>
      </w:pPr>
      <w:r w:rsidRPr="00633708">
        <w:rPr>
          <w:sz w:val="22"/>
        </w:rPr>
        <w:t xml:space="preserve">U.S. Energy Atlas. (2023b, April 20). </w:t>
      </w:r>
      <w:r w:rsidRPr="00633708">
        <w:rPr>
          <w:i/>
          <w:iCs/>
          <w:sz w:val="22"/>
        </w:rPr>
        <w:t>All Energy Infrastructure and Resources</w:t>
      </w:r>
      <w:r w:rsidRPr="00633708">
        <w:rPr>
          <w:sz w:val="22"/>
        </w:rPr>
        <w:t>. https://atlas.eia.gov/apps/5039a1a01ec34b6bbf0ab4fd57da5eb4/explore</w:t>
      </w:r>
    </w:p>
    <w:p w14:paraId="5BA5815B" w14:textId="77777777" w:rsidR="00633708" w:rsidRPr="00633708" w:rsidRDefault="00633708" w:rsidP="00633708">
      <w:pPr>
        <w:pStyle w:val="Bibliography"/>
        <w:rPr>
          <w:sz w:val="22"/>
        </w:rPr>
      </w:pPr>
      <w:r w:rsidRPr="00633708">
        <w:rPr>
          <w:sz w:val="22"/>
        </w:rPr>
        <w:t xml:space="preserve">US EPA, O. (2017). </w:t>
      </w:r>
      <w:r w:rsidRPr="00633708">
        <w:rPr>
          <w:i/>
          <w:iCs/>
          <w:sz w:val="22"/>
        </w:rPr>
        <w:t>Air Emissions Sources</w:t>
      </w:r>
      <w:r w:rsidRPr="00633708">
        <w:rPr>
          <w:sz w:val="22"/>
        </w:rPr>
        <w:t xml:space="preserve"> [Policies and Guidance]. https://19january2017snapshot.epa.gov/air-emissions-inventories/air-emissions-sources</w:t>
      </w:r>
    </w:p>
    <w:p w14:paraId="77606F79" w14:textId="77777777" w:rsidR="00633708" w:rsidRPr="00633708" w:rsidRDefault="00633708" w:rsidP="00633708">
      <w:pPr>
        <w:pStyle w:val="Bibliography"/>
        <w:rPr>
          <w:sz w:val="22"/>
        </w:rPr>
      </w:pPr>
      <w:r w:rsidRPr="00633708">
        <w:rPr>
          <w:sz w:val="22"/>
        </w:rPr>
        <w:t xml:space="preserve">Wernet, G., Bauer, C., Steubing, B., Reinhard, J., Moreno Ruiz, E., &amp; Weidema, B. (2016). The ecoinvent database version 3 (Part I): Overview and methodology. </w:t>
      </w:r>
      <w:r w:rsidRPr="00633708">
        <w:rPr>
          <w:i/>
          <w:iCs/>
          <w:sz w:val="22"/>
        </w:rPr>
        <w:t>The International Journal of Life Cycle Assessment</w:t>
      </w:r>
      <w:r w:rsidRPr="00633708">
        <w:rPr>
          <w:sz w:val="22"/>
        </w:rPr>
        <w:t xml:space="preserve">, </w:t>
      </w:r>
      <w:r w:rsidRPr="00633708">
        <w:rPr>
          <w:i/>
          <w:iCs/>
          <w:sz w:val="22"/>
        </w:rPr>
        <w:t>21</w:t>
      </w:r>
      <w:r w:rsidRPr="00633708">
        <w:rPr>
          <w:sz w:val="22"/>
        </w:rPr>
        <w:t>, 1–13. https://doi.org/10.1007/s11367-016-1087-8</w:t>
      </w:r>
    </w:p>
    <w:p w14:paraId="49A178FB" w14:textId="77777777" w:rsidR="00633708" w:rsidRPr="00633708" w:rsidRDefault="00633708" w:rsidP="00633708">
      <w:pPr>
        <w:pStyle w:val="Bibliography"/>
        <w:rPr>
          <w:sz w:val="22"/>
        </w:rPr>
      </w:pPr>
      <w:r w:rsidRPr="00633708">
        <w:rPr>
          <w:sz w:val="22"/>
        </w:rPr>
        <w:lastRenderedPageBreak/>
        <w:t xml:space="preserve">Zhang, K., &amp; Batterman, S. (2013). Air pollution and health risks due to vehicle traffic. </w:t>
      </w:r>
      <w:r w:rsidRPr="00633708">
        <w:rPr>
          <w:i/>
          <w:iCs/>
          <w:sz w:val="22"/>
        </w:rPr>
        <w:t>The Science of the Total Environment</w:t>
      </w:r>
      <w:r w:rsidRPr="00633708">
        <w:rPr>
          <w:sz w:val="22"/>
        </w:rPr>
        <w:t xml:space="preserve">, </w:t>
      </w:r>
      <w:r w:rsidRPr="00633708">
        <w:rPr>
          <w:i/>
          <w:iCs/>
          <w:sz w:val="22"/>
        </w:rPr>
        <w:t>0</w:t>
      </w:r>
      <w:r w:rsidRPr="00633708">
        <w:rPr>
          <w:sz w:val="22"/>
        </w:rPr>
        <w:t>, 307–316. https://doi.org/10.1016/j.scitotenv.2013.01.074</w:t>
      </w:r>
    </w:p>
    <w:p w14:paraId="14AB0289" w14:textId="07BCA73C" w:rsidR="0085671C" w:rsidRPr="00070DF8" w:rsidRDefault="0085671C" w:rsidP="00070DF8">
      <w:pPr>
        <w:rPr>
          <w:rFonts w:eastAsiaTheme="minorEastAsia"/>
          <w:sz w:val="22"/>
          <w:szCs w:val="22"/>
        </w:rPr>
      </w:pPr>
      <w:r w:rsidRPr="00070DF8">
        <w:rPr>
          <w:rFonts w:eastAsiaTheme="minorEastAsia"/>
          <w:sz w:val="22"/>
          <w:szCs w:val="22"/>
        </w:rPr>
        <w:fldChar w:fldCharType="end"/>
      </w:r>
    </w:p>
    <w:sectPr w:rsidR="0085671C" w:rsidRPr="00070DF8" w:rsidSect="00E45154">
      <w:headerReference w:type="default" r:id="rId18"/>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nelle Ducheine" w:date="2024-01-03T19:13:00Z" w:initials="JD">
    <w:p w14:paraId="258C23EC" w14:textId="77777777" w:rsidR="00623E37" w:rsidRDefault="00623E37" w:rsidP="00623E37">
      <w:pPr>
        <w:pStyle w:val="CommentText"/>
        <w:ind w:left="0" w:firstLine="0"/>
      </w:pPr>
      <w:r>
        <w:rPr>
          <w:rStyle w:val="CommentReference"/>
        </w:rPr>
        <w:annotationRef/>
      </w:r>
      <w:r>
        <w:t>Potentially add a limitations section</w:t>
      </w:r>
    </w:p>
  </w:comment>
  <w:comment w:id="1" w:author="Janelle Ducheine" w:date="2024-01-29T17:26:00Z" w:initials="JD">
    <w:p w14:paraId="0C4ADE78" w14:textId="77777777" w:rsidR="00623E37" w:rsidRDefault="00623E37" w:rsidP="00623E37">
      <w:pPr>
        <w:pStyle w:val="CommentText"/>
        <w:ind w:left="0" w:firstLine="0"/>
      </w:pPr>
      <w:r>
        <w:rPr>
          <w:rStyle w:val="CommentReference"/>
        </w:rPr>
        <w:annotationRef/>
      </w:r>
      <w:r>
        <w:rPr>
          <w:b/>
          <w:bCs/>
        </w:rPr>
        <w:t>Re-include data from cambium files in proper formatting</w:t>
      </w:r>
    </w:p>
  </w:comment>
  <w:comment w:id="2" w:author="Janelle Ducheine" w:date="2024-01-03T17:59:00Z" w:initials="JD">
    <w:p w14:paraId="2F454AE1" w14:textId="6C4B751E" w:rsidR="00623E37" w:rsidRDefault="00623E37" w:rsidP="00623E37">
      <w:pPr>
        <w:pStyle w:val="CommentText"/>
        <w:ind w:left="0" w:firstLine="0"/>
      </w:pPr>
      <w:r>
        <w:rPr>
          <w:rStyle w:val="CommentReference"/>
        </w:rPr>
        <w:annotationRef/>
      </w:r>
      <w:r>
        <w:t xml:space="preserve">Vanessa recommended adding back quote about biden administration but to rephrase instead. </w:t>
      </w:r>
    </w:p>
    <w:p w14:paraId="105676CD" w14:textId="77777777" w:rsidR="00623E37" w:rsidRDefault="00623E37" w:rsidP="00623E37">
      <w:pPr>
        <w:pStyle w:val="CommentText"/>
        <w:ind w:left="0" w:firstLine="0"/>
      </w:pPr>
      <w:r>
        <w:t xml:space="preserve">***Check OG reviewer's notes abt this.  </w:t>
      </w:r>
    </w:p>
    <w:p w14:paraId="601860E0" w14:textId="77777777" w:rsidR="00623E37" w:rsidRDefault="00623E37" w:rsidP="00623E37">
      <w:pPr>
        <w:pStyle w:val="CommentText"/>
        <w:ind w:left="0" w:firstLine="0"/>
      </w:pPr>
    </w:p>
    <w:p w14:paraId="22495961" w14:textId="77777777" w:rsidR="00623E37" w:rsidRDefault="00623E37" w:rsidP="00623E37">
      <w:pPr>
        <w:pStyle w:val="CommentText"/>
        <w:ind w:left="0" w:firstLine="0"/>
      </w:pPr>
      <w:r>
        <w:rPr>
          <w:color w:val="262626"/>
          <w:highlight w:val="white"/>
        </w:rPr>
        <w:t> “Instead of quoting this, specifically mention the ways that the US in supporting the introduction of Evs</w:t>
      </w:r>
    </w:p>
    <w:p w14:paraId="72F69635" w14:textId="77777777" w:rsidR="00623E37" w:rsidRDefault="00623E37" w:rsidP="00623E37">
      <w:pPr>
        <w:pStyle w:val="CommentText"/>
        <w:ind w:left="0" w:firstLine="0"/>
      </w:pPr>
      <w:r>
        <w:rPr>
          <w:color w:val="262626"/>
          <w:highlight w:val="white"/>
        </w:rPr>
        <w:t> </w:t>
      </w:r>
    </w:p>
    <w:p w14:paraId="78ED6364" w14:textId="77777777" w:rsidR="00623E37" w:rsidRDefault="00623E37" w:rsidP="00623E37">
      <w:pPr>
        <w:pStyle w:val="CommentText"/>
        <w:ind w:left="0" w:firstLine="0"/>
      </w:pPr>
      <w:r>
        <w:rPr>
          <w:b/>
          <w:bCs/>
          <w:color w:val="262626"/>
          <w:highlight w:val="white"/>
        </w:rPr>
        <w:t>Ex- The US has implemented a plan to supoport Evs through tax credits and incentives for individuals and businesses utilizing Evs. This plan also includes support for installing chargers for Evs.”</w:t>
      </w:r>
    </w:p>
  </w:comment>
  <w:comment w:id="3" w:author="Janelle Ducheine" w:date="2024-01-03T18:01:00Z" w:initials="JD">
    <w:p w14:paraId="460AE226" w14:textId="77777777" w:rsidR="00623E37" w:rsidRDefault="00623E37" w:rsidP="00623E37">
      <w:pPr>
        <w:pStyle w:val="CommentText"/>
        <w:ind w:left="0" w:firstLine="0"/>
      </w:pPr>
      <w:r>
        <w:rPr>
          <w:rStyle w:val="CommentReference"/>
        </w:rPr>
        <w:annotationRef/>
      </w:r>
      <w:r>
        <w:t xml:space="preserve">Vanessa recommended to move away from footnotes and use parenthesis instead, and to talk abt it w Alex.  </w:t>
      </w:r>
    </w:p>
  </w:comment>
  <w:comment w:id="4" w:author="Janelle Ducheine" w:date="2024-02-08T13:08:00Z" w:initials="JD">
    <w:p w14:paraId="4CDBF81B" w14:textId="77777777" w:rsidR="00623E37" w:rsidRDefault="00623E37" w:rsidP="00623E37">
      <w:pPr>
        <w:pStyle w:val="CommentText"/>
      </w:pPr>
      <w:r>
        <w:t xml:space="preserve">Add abbreviations. </w:t>
      </w:r>
      <w:r>
        <w:rPr>
          <w:rStyle w:val="CommentReference"/>
        </w:rPr>
        <w:annotationRef/>
      </w:r>
    </w:p>
  </w:comment>
  <w:comment w:id="5" w:author="Horesh,Noah" w:date="2024-02-11T12:27:00Z" w:initials="H">
    <w:p w14:paraId="7DE78FFA" w14:textId="0F822BAA" w:rsidR="006458A1" w:rsidRDefault="006458A1">
      <w:pPr>
        <w:pStyle w:val="CommentText"/>
      </w:pPr>
      <w:r>
        <w:rPr>
          <w:rStyle w:val="CommentReference"/>
        </w:rPr>
        <w:annotationRef/>
      </w:r>
      <w:r>
        <w:t>I think we want to refer to cambium since that is what we use for our grid mix</w:t>
      </w:r>
    </w:p>
  </w:comment>
  <w:comment w:id="6" w:author="Janelle Ducheine" w:date="2023-12-22T08:56:00Z" w:initials="JD">
    <w:p w14:paraId="2DC9FB54" w14:textId="77777777" w:rsidR="00623E37" w:rsidRDefault="00623E37" w:rsidP="00623E37">
      <w:pPr>
        <w:pStyle w:val="CommentText"/>
        <w:ind w:left="0" w:firstLine="0"/>
      </w:pPr>
      <w:r>
        <w:rPr>
          <w:rStyle w:val="CommentReference"/>
        </w:rPr>
        <w:annotationRef/>
      </w:r>
      <w:r>
        <w:rPr>
          <w:color w:val="262626"/>
          <w:highlight w:val="white"/>
        </w:rPr>
        <w:t xml:space="preserve">One thing that I think is missing is detail on where additional electricity is coming from. Is there coal, natural gas, oil, or anything else that produces emissions? How are you handling electric vehicle charging? </w:t>
      </w:r>
      <w:hyperlink r:id="rId1" w:history="1">
        <w:r w:rsidRPr="003E65A2">
          <w:rPr>
            <w:rStyle w:val="Hyperlink"/>
            <w:highlight w:val="white"/>
          </w:rPr>
          <w:t>https://atlas.eia.gov/apps/5039a1a01ec34b6bbf0ab4fd57da5eb4/explore</w:t>
        </w:r>
      </w:hyperlink>
    </w:p>
  </w:comment>
  <w:comment w:id="7" w:author="Janelle Ducheine" w:date="2024-01-03T18:10:00Z" w:initials="JD">
    <w:p w14:paraId="38BB7EFD" w14:textId="77777777" w:rsidR="00623E37" w:rsidRDefault="00623E37" w:rsidP="00623E37">
      <w:pPr>
        <w:pStyle w:val="CommentText"/>
        <w:ind w:left="0" w:firstLine="0"/>
      </w:pPr>
      <w:r>
        <w:rPr>
          <w:rStyle w:val="CommentReference"/>
        </w:rPr>
        <w:annotationRef/>
      </w:r>
      <w:r>
        <w:t>Also include in the background</w:t>
      </w:r>
    </w:p>
  </w:comment>
  <w:comment w:id="8" w:author="Horesh,Noah" w:date="2024-02-11T10:38:00Z" w:initials="H">
    <w:p w14:paraId="60456A46" w14:textId="0726A34E" w:rsidR="00AC53C2" w:rsidRDefault="00AC53C2">
      <w:pPr>
        <w:pStyle w:val="CommentText"/>
      </w:pPr>
      <w:r>
        <w:rPr>
          <w:rStyle w:val="CommentReference"/>
        </w:rPr>
        <w:annotationRef/>
      </w:r>
      <w:r>
        <w:t>Can you double check this column? It seems like Bus, MHDV, and HHDV have higher emissions than cars and LDTs for every other pollutant.</w:t>
      </w:r>
    </w:p>
  </w:comment>
  <w:comment w:id="9" w:author="Janelle Ducheine" w:date="2024-01-19T20:35:00Z" w:initials="JD">
    <w:p w14:paraId="65A832F1" w14:textId="77777777" w:rsidR="00DF1F6F" w:rsidRDefault="00DF1F6F" w:rsidP="00DF1F6F">
      <w:pPr>
        <w:pStyle w:val="CommentText"/>
        <w:ind w:left="0" w:firstLine="0"/>
      </w:pPr>
      <w:r>
        <w:rPr>
          <w:rStyle w:val="CommentReference"/>
        </w:rPr>
        <w:annotationRef/>
      </w:r>
      <w:r>
        <w:t>Same as before</w:t>
      </w:r>
    </w:p>
  </w:comment>
  <w:comment w:id="10" w:author="Janelle Ducheine [2]" w:date="2024-01-03T17:55:00Z" w:initials="JD">
    <w:p w14:paraId="740295BC" w14:textId="78F4C082" w:rsidR="00FA3438" w:rsidRDefault="00FA3438" w:rsidP="00A75310">
      <w:pPr>
        <w:pStyle w:val="CommentText"/>
        <w:ind w:left="0" w:firstLine="0"/>
      </w:pPr>
      <w:r>
        <w:rPr>
          <w:rStyle w:val="CommentReference"/>
        </w:rPr>
        <w:annotationRef/>
      </w:r>
      <w:r>
        <w:t>Add a sentence or 2 to introduce graphs</w:t>
      </w:r>
    </w:p>
  </w:comment>
  <w:comment w:id="12" w:author="Janelle Ducheine [2]" w:date="2023-12-22T09:03:00Z" w:initials="JD">
    <w:p w14:paraId="29B37803" w14:textId="358868D6" w:rsidR="00A074DA" w:rsidRDefault="00A074DA" w:rsidP="00CB7437">
      <w:pPr>
        <w:pStyle w:val="CommentText"/>
        <w:ind w:left="0" w:firstLine="0"/>
      </w:pPr>
      <w:r>
        <w:rPr>
          <w:rStyle w:val="CommentReference"/>
        </w:rPr>
        <w:annotationRef/>
      </w:r>
      <w:r>
        <w:t>Keep numbers in the results, and meaning of the numbers in the discussion.</w:t>
      </w:r>
    </w:p>
  </w:comment>
  <w:comment w:id="13" w:author="Janelle Ducheine [2]" w:date="2023-12-22T09:03:00Z" w:initials="JD">
    <w:p w14:paraId="529B79F8" w14:textId="77777777" w:rsidR="00A074DA" w:rsidRDefault="00A074DA" w:rsidP="009A4A4C">
      <w:pPr>
        <w:pStyle w:val="CommentText"/>
        <w:ind w:left="0" w:firstLine="0"/>
      </w:pPr>
      <w:r>
        <w:rPr>
          <w:rStyle w:val="CommentReference"/>
        </w:rPr>
        <w:annotationRef/>
      </w:r>
      <w:r>
        <w:t>Round the numbers***</w:t>
      </w:r>
    </w:p>
  </w:comment>
  <w:comment w:id="14" w:author="Janelle Ducheine [2]" w:date="2023-12-22T08:51:00Z" w:initials="JD">
    <w:p w14:paraId="74E08340" w14:textId="391F3664" w:rsidR="009412B9" w:rsidRDefault="009412B9" w:rsidP="00871AB3">
      <w:pPr>
        <w:pStyle w:val="CommentText"/>
        <w:ind w:left="0" w:firstLine="0"/>
      </w:pPr>
      <w:r>
        <w:rPr>
          <w:rStyle w:val="CommentReference"/>
        </w:rPr>
        <w:annotationRef/>
      </w:r>
      <w:r>
        <w:t>Add more substance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8C23EC" w15:done="1"/>
  <w15:commentEx w15:paraId="0C4ADE78" w15:done="1"/>
  <w15:commentEx w15:paraId="78ED6364" w15:done="1"/>
  <w15:commentEx w15:paraId="460AE226" w15:done="1"/>
  <w15:commentEx w15:paraId="4CDBF81B" w15:done="1"/>
  <w15:commentEx w15:paraId="7DE78FFA" w15:done="1"/>
  <w15:commentEx w15:paraId="2DC9FB54" w15:done="1"/>
  <w15:commentEx w15:paraId="38BB7EFD" w15:paraIdParent="2DC9FB54" w15:done="1"/>
  <w15:commentEx w15:paraId="60456A46" w15:done="0"/>
  <w15:commentEx w15:paraId="65A832F1" w15:done="1"/>
  <w15:commentEx w15:paraId="740295BC" w15:done="1"/>
  <w15:commentEx w15:paraId="29B37803" w15:done="1"/>
  <w15:commentEx w15:paraId="529B79F8" w15:paraIdParent="29B37803" w15:done="1"/>
  <w15:commentEx w15:paraId="74E083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C3DA7" w16cex:dateUtc="2024-01-04T00:13:00Z">
    <w16cex:extLst>
      <w16:ext w16:uri="{CE6994B0-6A32-4C9F-8C6B-6E91EDA988CE}">
        <cr:reactions xmlns:cr="http://schemas.microsoft.com/office/comments/2020/reactions">
          <cr:reaction reactionType="1">
            <cr:reactionInfo dateUtc="2024-02-09T02:56:15Z">
              <cr:user userId="6cf373c43b88e7fc" userProvider="Windows Live" userName="Janelle Ducheine"/>
            </cr:reactionInfo>
          </cr:reaction>
        </cr:reactions>
      </w16:ext>
    </w16cex:extLst>
  </w16cex:commentExtensible>
  <w16cex:commentExtensible w16cex:durableId="11004BE1" w16cex:dateUtc="2024-01-29T22:26:00Z">
    <w16cex:extLst>
      <w16:ext w16:uri="{CE6994B0-6A32-4C9F-8C6B-6E91EDA988CE}">
        <cr:reactions xmlns:cr="http://schemas.microsoft.com/office/comments/2020/reactions">
          <cr:reaction reactionType="1">
            <cr:reactionInfo dateUtc="2024-02-09T02:56:17Z">
              <cr:user userId="6cf373c43b88e7fc" userProvider="Windows Live" userName="Janelle Ducheine"/>
            </cr:reactionInfo>
          </cr:reaction>
        </cr:reactions>
      </w16:ext>
    </w16cex:extLst>
  </w16cex:commentExtensible>
  <w16cex:commentExtensible w16cex:durableId="312B92A1" w16cex:dateUtc="2024-01-03T22:59:00Z">
    <w16cex:extLst>
      <w16:ext w16:uri="{CE6994B0-6A32-4C9F-8C6B-6E91EDA988CE}">
        <cr:reactions xmlns:cr="http://schemas.microsoft.com/office/comments/2020/reactions">
          <cr:reaction reactionType="1">
            <cr:reactionInfo dateUtc="2024-01-04T00:54:11Z">
              <cr:user userId="6cf373c43b88e7fc" userProvider="Windows Live" userName="Janelle Ducheine"/>
            </cr:reactionInfo>
          </cr:reaction>
        </cr:reactions>
      </w16:ext>
    </w16cex:extLst>
  </w16cex:commentExtensible>
  <w16cex:commentExtensible w16cex:durableId="372C9D91" w16cex:dateUtc="2024-01-03T23:01:00Z">
    <w16cex:extLst>
      <w16:ext w16:uri="{CE6994B0-6A32-4C9F-8C6B-6E91EDA988CE}">
        <cr:reactions xmlns:cr="http://schemas.microsoft.com/office/comments/2020/reactions">
          <cr:reaction reactionType="1">
            <cr:reactionInfo dateUtc="2024-01-03T23:23:38Z">
              <cr:user userId="6cf373c43b88e7fc" userProvider="Windows Live" userName="Janelle Ducheine"/>
            </cr:reactionInfo>
          </cr:reaction>
        </cr:reactions>
      </w16:ext>
    </w16cex:extLst>
  </w16cex:commentExtensible>
  <w16cex:commentExtensible w16cex:durableId="04D64816" w16cex:dateUtc="2024-02-08T18:08:00Z">
    <w16cex:extLst>
      <w16:ext w16:uri="{CE6994B0-6A32-4C9F-8C6B-6E91EDA988CE}">
        <cr:reactions xmlns:cr="http://schemas.microsoft.com/office/comments/2020/reactions">
          <cr:reaction reactionType="1">
            <cr:reactionInfo dateUtc="2024-02-09T05:25:31Z">
              <cr:user userId="6cf373c43b88e7fc" userProvider="Windows Live" userName="Janelle Ducheine"/>
            </cr:reactionInfo>
          </cr:reaction>
        </cr:reactions>
      </w16:ext>
    </w16cex:extLst>
  </w16cex:commentExtensible>
  <w16cex:commentExtensible w16cex:durableId="29733B9A" w16cex:dateUtc="2024-02-11T19:27:00Z"/>
  <w16cex:commentExtensible w16cex:durableId="25543DF2" w16cex:dateUtc="2023-12-22T13:56:00Z">
    <w16cex:extLst>
      <w16:ext w16:uri="{CE6994B0-6A32-4C9F-8C6B-6E91EDA988CE}">
        <cr:reactions xmlns:cr="http://schemas.microsoft.com/office/comments/2020/reactions">
          <cr:reaction reactionType="1">
            <cr:reactionInfo dateUtc="2024-01-07T15:59:44Z">
              <cr:user userId="6cf373c43b88e7fc" userProvider="Windows Live" userName="Janelle Ducheine"/>
            </cr:reactionInfo>
          </cr:reaction>
        </cr:reactions>
      </w16:ext>
    </w16cex:extLst>
  </w16cex:commentExtensible>
  <w16cex:commentExtensible w16cex:durableId="1CD4F8D7" w16cex:dateUtc="2024-01-03T23:10:00Z"/>
  <w16cex:commentExtensible w16cex:durableId="29732215" w16cex:dateUtc="2024-02-11T17:38:00Z"/>
  <w16cex:commentExtensible w16cex:durableId="450C6D1C" w16cex:dateUtc="2024-01-20T01:35:00Z">
    <w16cex:extLst>
      <w16:ext w16:uri="{CE6994B0-6A32-4C9F-8C6B-6E91EDA988CE}">
        <cr:reactions xmlns:cr="http://schemas.microsoft.com/office/comments/2020/reactions">
          <cr:reaction reactionType="1">
            <cr:reactionInfo dateUtc="2024-01-20T03:37:59Z">
              <cr:user userId="6cf373c43b88e7fc" userProvider="Windows Live" userName="Janelle Ducheine"/>
            </cr:reactionInfo>
          </cr:reaction>
        </cr:reactions>
      </w16:ext>
    </w16cex:extLst>
  </w16cex:commentExtensible>
  <w16cex:commentExtensible w16cex:durableId="138551F3" w16cex:dateUtc="2024-01-03T22:55:00Z">
    <w16cex:extLst>
      <w16:ext w16:uri="{CE6994B0-6A32-4C9F-8C6B-6E91EDA988CE}">
        <cr:reactions xmlns:cr="http://schemas.microsoft.com/office/comments/2020/reactions">
          <cr:reaction reactionType="1">
            <cr:reactionInfo dateUtc="2024-01-04T00:11:15Z">
              <cr:user userId="6cf373c43b88e7fc" userProvider="Windows Live" userName="Janelle Ducheine"/>
            </cr:reactionInfo>
          </cr:reaction>
        </cr:reactions>
      </w16:ext>
    </w16cex:extLst>
  </w16cex:commentExtensible>
  <w16cex:commentExtensible w16cex:durableId="7B71D288" w16cex:dateUtc="2023-12-22T14:03:00Z">
    <w16cex:extLst>
      <w16:ext w16:uri="{CE6994B0-6A32-4C9F-8C6B-6E91EDA988CE}">
        <cr:reactions xmlns:cr="http://schemas.microsoft.com/office/comments/2020/reactions">
          <cr:reaction reactionType="1">
            <cr:reactionInfo dateUtc="2024-01-08T03:45:30Z">
              <cr:user userId="6cf373c43b88e7fc" userProvider="Windows Live" userName="Janelle Ducheine"/>
            </cr:reactionInfo>
          </cr:reaction>
        </cr:reactions>
      </w16:ext>
    </w16cex:extLst>
  </w16cex:commentExtensible>
  <w16cex:commentExtensible w16cex:durableId="534808E0" w16cex:dateUtc="2023-12-22T14:03:00Z"/>
  <w16cex:commentExtensible w16cex:durableId="7AD2069C" w16cex:dateUtc="2023-12-22T13:51:00Z">
    <w16cex:extLst>
      <w16:ext w16:uri="{CE6994B0-6A32-4C9F-8C6B-6E91EDA988CE}">
        <cr:reactions xmlns:cr="http://schemas.microsoft.com/office/comments/2020/reactions">
          <cr:reaction reactionType="1">
            <cr:reactionInfo dateUtc="2024-01-08T03:54:51Z">
              <cr:user userId="6cf373c43b88e7fc" userProvider="Windows Live" userName="Janelle Duchei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8C23EC" w16cid:durableId="44DC3DA7"/>
  <w16cid:commentId w16cid:paraId="0C4ADE78" w16cid:durableId="11004BE1"/>
  <w16cid:commentId w16cid:paraId="78ED6364" w16cid:durableId="312B92A1"/>
  <w16cid:commentId w16cid:paraId="460AE226" w16cid:durableId="372C9D91"/>
  <w16cid:commentId w16cid:paraId="4CDBF81B" w16cid:durableId="04D64816"/>
  <w16cid:commentId w16cid:paraId="7DE78FFA" w16cid:durableId="29733B9A"/>
  <w16cid:commentId w16cid:paraId="2DC9FB54" w16cid:durableId="25543DF2"/>
  <w16cid:commentId w16cid:paraId="38BB7EFD" w16cid:durableId="1CD4F8D7"/>
  <w16cid:commentId w16cid:paraId="60456A46" w16cid:durableId="29732215"/>
  <w16cid:commentId w16cid:paraId="65A832F1" w16cid:durableId="450C6D1C"/>
  <w16cid:commentId w16cid:paraId="740295BC" w16cid:durableId="138551F3"/>
  <w16cid:commentId w16cid:paraId="29B37803" w16cid:durableId="7B71D288"/>
  <w16cid:commentId w16cid:paraId="529B79F8" w16cid:durableId="534808E0"/>
  <w16cid:commentId w16cid:paraId="74E08340" w16cid:durableId="7AD20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DD686" w14:textId="77777777" w:rsidR="009A2F8B" w:rsidRDefault="009A2F8B" w:rsidP="0016601F">
      <w:pPr>
        <w:spacing w:after="0" w:line="240" w:lineRule="auto"/>
      </w:pPr>
      <w:r>
        <w:separator/>
      </w:r>
    </w:p>
  </w:endnote>
  <w:endnote w:type="continuationSeparator" w:id="0">
    <w:p w14:paraId="763D2EB9" w14:textId="77777777" w:rsidR="009A2F8B" w:rsidRDefault="009A2F8B" w:rsidP="0016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550E" w14:textId="77777777" w:rsidR="009A2F8B" w:rsidRDefault="009A2F8B" w:rsidP="0016601F">
      <w:pPr>
        <w:spacing w:after="0" w:line="240" w:lineRule="auto"/>
      </w:pPr>
      <w:r>
        <w:separator/>
      </w:r>
    </w:p>
  </w:footnote>
  <w:footnote w:type="continuationSeparator" w:id="0">
    <w:p w14:paraId="5CE7F03D" w14:textId="77777777" w:rsidR="009A2F8B" w:rsidRDefault="009A2F8B" w:rsidP="0016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F772" w14:textId="63A5CC24" w:rsidR="0016601F" w:rsidRDefault="0016601F">
    <w:pPr>
      <w:pStyle w:val="Header"/>
    </w:pPr>
    <w:r>
      <w:t xml:space="preserve">Understanding the health </w:t>
    </w:r>
    <w:r w:rsidR="00F86736">
      <w:t>impacts of vehicular emissions in South Florida: A comprehensive analysis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elle Ducheine">
    <w15:presenceInfo w15:providerId="AD" w15:userId="S::jduch009@fiu.edu::155b354a-a95e-4d2c-9046-9b691cc01ddc"/>
  </w15:person>
  <w15:person w15:author="Horesh,Noah">
    <w15:presenceInfo w15:providerId="AD" w15:userId="S::nthoresh@colostate.edu::b8d6b691-9368-4ab1-b987-b9c8963c7e11"/>
  </w15:person>
  <w15:person w15:author="Janelle Ducheine [2]">
    <w15:presenceInfo w15:providerId="Windows Live" w15:userId="6cf373c43b88e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AD"/>
    <w:rsid w:val="0000057A"/>
    <w:rsid w:val="00004035"/>
    <w:rsid w:val="000079CB"/>
    <w:rsid w:val="000132EF"/>
    <w:rsid w:val="00016D6F"/>
    <w:rsid w:val="000200BB"/>
    <w:rsid w:val="00025137"/>
    <w:rsid w:val="00025EF1"/>
    <w:rsid w:val="00025F56"/>
    <w:rsid w:val="00026853"/>
    <w:rsid w:val="000271ED"/>
    <w:rsid w:val="00027218"/>
    <w:rsid w:val="00027720"/>
    <w:rsid w:val="00027F32"/>
    <w:rsid w:val="00030129"/>
    <w:rsid w:val="0003600F"/>
    <w:rsid w:val="000364B9"/>
    <w:rsid w:val="0003781B"/>
    <w:rsid w:val="00037B16"/>
    <w:rsid w:val="0004362C"/>
    <w:rsid w:val="0004471E"/>
    <w:rsid w:val="00045042"/>
    <w:rsid w:val="000456DD"/>
    <w:rsid w:val="00045955"/>
    <w:rsid w:val="000469F5"/>
    <w:rsid w:val="000503DD"/>
    <w:rsid w:val="000511B8"/>
    <w:rsid w:val="00051659"/>
    <w:rsid w:val="00052849"/>
    <w:rsid w:val="000528E5"/>
    <w:rsid w:val="00052ECB"/>
    <w:rsid w:val="000546E4"/>
    <w:rsid w:val="00055FF4"/>
    <w:rsid w:val="00056187"/>
    <w:rsid w:val="00057D4F"/>
    <w:rsid w:val="000613E8"/>
    <w:rsid w:val="00061457"/>
    <w:rsid w:val="00062C1F"/>
    <w:rsid w:val="0006365A"/>
    <w:rsid w:val="000649D3"/>
    <w:rsid w:val="0006523F"/>
    <w:rsid w:val="00065BC2"/>
    <w:rsid w:val="000660F0"/>
    <w:rsid w:val="00067CC1"/>
    <w:rsid w:val="00070925"/>
    <w:rsid w:val="00070DF8"/>
    <w:rsid w:val="000726E6"/>
    <w:rsid w:val="0007291B"/>
    <w:rsid w:val="000734C8"/>
    <w:rsid w:val="0007406F"/>
    <w:rsid w:val="000741FA"/>
    <w:rsid w:val="00074207"/>
    <w:rsid w:val="000749FA"/>
    <w:rsid w:val="00077E56"/>
    <w:rsid w:val="0008098C"/>
    <w:rsid w:val="00080E3A"/>
    <w:rsid w:val="00082176"/>
    <w:rsid w:val="00084D44"/>
    <w:rsid w:val="0008644E"/>
    <w:rsid w:val="00086AB9"/>
    <w:rsid w:val="000879FE"/>
    <w:rsid w:val="00087EA4"/>
    <w:rsid w:val="0009117B"/>
    <w:rsid w:val="000913A2"/>
    <w:rsid w:val="00094318"/>
    <w:rsid w:val="000972F9"/>
    <w:rsid w:val="000A2C5E"/>
    <w:rsid w:val="000A4852"/>
    <w:rsid w:val="000A5072"/>
    <w:rsid w:val="000A5656"/>
    <w:rsid w:val="000A5936"/>
    <w:rsid w:val="000A646A"/>
    <w:rsid w:val="000B0270"/>
    <w:rsid w:val="000B2F9A"/>
    <w:rsid w:val="000B5209"/>
    <w:rsid w:val="000C1219"/>
    <w:rsid w:val="000C3CBF"/>
    <w:rsid w:val="000C4CEC"/>
    <w:rsid w:val="000C7469"/>
    <w:rsid w:val="000D03B3"/>
    <w:rsid w:val="000D2925"/>
    <w:rsid w:val="000D4011"/>
    <w:rsid w:val="000D40A5"/>
    <w:rsid w:val="000D420E"/>
    <w:rsid w:val="000D7080"/>
    <w:rsid w:val="000E0220"/>
    <w:rsid w:val="000E0903"/>
    <w:rsid w:val="000E54E9"/>
    <w:rsid w:val="000E6030"/>
    <w:rsid w:val="000E7776"/>
    <w:rsid w:val="000E7ABC"/>
    <w:rsid w:val="000E7C3E"/>
    <w:rsid w:val="000F0973"/>
    <w:rsid w:val="000F1F4B"/>
    <w:rsid w:val="000F340C"/>
    <w:rsid w:val="000F3EF3"/>
    <w:rsid w:val="000F4907"/>
    <w:rsid w:val="000F588C"/>
    <w:rsid w:val="000F5E89"/>
    <w:rsid w:val="000F7AFF"/>
    <w:rsid w:val="001036D7"/>
    <w:rsid w:val="001049F1"/>
    <w:rsid w:val="00105526"/>
    <w:rsid w:val="00105887"/>
    <w:rsid w:val="00105953"/>
    <w:rsid w:val="00111890"/>
    <w:rsid w:val="00111E9F"/>
    <w:rsid w:val="001134A6"/>
    <w:rsid w:val="001142E9"/>
    <w:rsid w:val="00116134"/>
    <w:rsid w:val="001175EA"/>
    <w:rsid w:val="0011789D"/>
    <w:rsid w:val="001179D5"/>
    <w:rsid w:val="00121458"/>
    <w:rsid w:val="001215B8"/>
    <w:rsid w:val="00122199"/>
    <w:rsid w:val="00123898"/>
    <w:rsid w:val="001239E0"/>
    <w:rsid w:val="00125017"/>
    <w:rsid w:val="001256BC"/>
    <w:rsid w:val="00125F81"/>
    <w:rsid w:val="00126989"/>
    <w:rsid w:val="001307C6"/>
    <w:rsid w:val="001316B7"/>
    <w:rsid w:val="001318A8"/>
    <w:rsid w:val="0013191C"/>
    <w:rsid w:val="00131AA0"/>
    <w:rsid w:val="00134F6D"/>
    <w:rsid w:val="00135E80"/>
    <w:rsid w:val="00135EB1"/>
    <w:rsid w:val="00135F8A"/>
    <w:rsid w:val="00136DD7"/>
    <w:rsid w:val="001378EE"/>
    <w:rsid w:val="0013797E"/>
    <w:rsid w:val="00140B5F"/>
    <w:rsid w:val="0014235C"/>
    <w:rsid w:val="001440B7"/>
    <w:rsid w:val="00144A03"/>
    <w:rsid w:val="00144DDC"/>
    <w:rsid w:val="001450B2"/>
    <w:rsid w:val="001453A4"/>
    <w:rsid w:val="0014609F"/>
    <w:rsid w:val="00146456"/>
    <w:rsid w:val="00147D43"/>
    <w:rsid w:val="00151CB9"/>
    <w:rsid w:val="0015474B"/>
    <w:rsid w:val="00154A18"/>
    <w:rsid w:val="001552EE"/>
    <w:rsid w:val="001568C6"/>
    <w:rsid w:val="00157576"/>
    <w:rsid w:val="001575AA"/>
    <w:rsid w:val="00157F2F"/>
    <w:rsid w:val="0016062E"/>
    <w:rsid w:val="0016203C"/>
    <w:rsid w:val="001642ED"/>
    <w:rsid w:val="00164A0B"/>
    <w:rsid w:val="001655B3"/>
    <w:rsid w:val="0016601F"/>
    <w:rsid w:val="00166DB1"/>
    <w:rsid w:val="001716F2"/>
    <w:rsid w:val="00171CDD"/>
    <w:rsid w:val="00172852"/>
    <w:rsid w:val="00173980"/>
    <w:rsid w:val="00173F34"/>
    <w:rsid w:val="00174A70"/>
    <w:rsid w:val="0017626A"/>
    <w:rsid w:val="00176288"/>
    <w:rsid w:val="0018411D"/>
    <w:rsid w:val="001851A8"/>
    <w:rsid w:val="001859E5"/>
    <w:rsid w:val="00185B0F"/>
    <w:rsid w:val="00186DA0"/>
    <w:rsid w:val="001873F0"/>
    <w:rsid w:val="00187DCF"/>
    <w:rsid w:val="00190AAB"/>
    <w:rsid w:val="00190BB2"/>
    <w:rsid w:val="001912AB"/>
    <w:rsid w:val="001912CF"/>
    <w:rsid w:val="001925F3"/>
    <w:rsid w:val="00192F1E"/>
    <w:rsid w:val="0019582E"/>
    <w:rsid w:val="00196719"/>
    <w:rsid w:val="00197F82"/>
    <w:rsid w:val="001A1788"/>
    <w:rsid w:val="001A1FE4"/>
    <w:rsid w:val="001A2482"/>
    <w:rsid w:val="001A30CD"/>
    <w:rsid w:val="001A55FF"/>
    <w:rsid w:val="001A6DF9"/>
    <w:rsid w:val="001B26CB"/>
    <w:rsid w:val="001B56CF"/>
    <w:rsid w:val="001B5B0C"/>
    <w:rsid w:val="001B7FDC"/>
    <w:rsid w:val="001C1FDD"/>
    <w:rsid w:val="001C2947"/>
    <w:rsid w:val="001C2B24"/>
    <w:rsid w:val="001C459B"/>
    <w:rsid w:val="001C501D"/>
    <w:rsid w:val="001C6378"/>
    <w:rsid w:val="001D090E"/>
    <w:rsid w:val="001D0BA0"/>
    <w:rsid w:val="001D14DF"/>
    <w:rsid w:val="001D2389"/>
    <w:rsid w:val="001D24D6"/>
    <w:rsid w:val="001D5A76"/>
    <w:rsid w:val="001D6E55"/>
    <w:rsid w:val="001E099C"/>
    <w:rsid w:val="001E09AC"/>
    <w:rsid w:val="001E1AA4"/>
    <w:rsid w:val="001E2565"/>
    <w:rsid w:val="001E495D"/>
    <w:rsid w:val="001E4FA8"/>
    <w:rsid w:val="001E5B80"/>
    <w:rsid w:val="001F0220"/>
    <w:rsid w:val="001F13AD"/>
    <w:rsid w:val="001F1DAA"/>
    <w:rsid w:val="001F3280"/>
    <w:rsid w:val="001F3FA5"/>
    <w:rsid w:val="001F5C7D"/>
    <w:rsid w:val="001F5EDF"/>
    <w:rsid w:val="00200A19"/>
    <w:rsid w:val="00203D72"/>
    <w:rsid w:val="0020571C"/>
    <w:rsid w:val="0021010A"/>
    <w:rsid w:val="002204E7"/>
    <w:rsid w:val="00221E21"/>
    <w:rsid w:val="00223F41"/>
    <w:rsid w:val="00224149"/>
    <w:rsid w:val="00224706"/>
    <w:rsid w:val="00224A10"/>
    <w:rsid w:val="00224A47"/>
    <w:rsid w:val="00224BB5"/>
    <w:rsid w:val="00224C1B"/>
    <w:rsid w:val="00226C4F"/>
    <w:rsid w:val="00227086"/>
    <w:rsid w:val="002279C4"/>
    <w:rsid w:val="00227A39"/>
    <w:rsid w:val="00227C75"/>
    <w:rsid w:val="00231762"/>
    <w:rsid w:val="00232565"/>
    <w:rsid w:val="002328AA"/>
    <w:rsid w:val="0023371E"/>
    <w:rsid w:val="0023384D"/>
    <w:rsid w:val="002348F0"/>
    <w:rsid w:val="00234BAA"/>
    <w:rsid w:val="00236D2B"/>
    <w:rsid w:val="00240270"/>
    <w:rsid w:val="0025240C"/>
    <w:rsid w:val="00253664"/>
    <w:rsid w:val="00254646"/>
    <w:rsid w:val="0026384F"/>
    <w:rsid w:val="002645E4"/>
    <w:rsid w:val="00265B02"/>
    <w:rsid w:val="002665F4"/>
    <w:rsid w:val="00270743"/>
    <w:rsid w:val="00271F7D"/>
    <w:rsid w:val="00272245"/>
    <w:rsid w:val="00274F86"/>
    <w:rsid w:val="002762C3"/>
    <w:rsid w:val="00276DFA"/>
    <w:rsid w:val="002814DA"/>
    <w:rsid w:val="0028292E"/>
    <w:rsid w:val="00282AD6"/>
    <w:rsid w:val="0028306B"/>
    <w:rsid w:val="00283613"/>
    <w:rsid w:val="00284A6A"/>
    <w:rsid w:val="00285C16"/>
    <w:rsid w:val="002866A0"/>
    <w:rsid w:val="00286BCC"/>
    <w:rsid w:val="0028765A"/>
    <w:rsid w:val="00287834"/>
    <w:rsid w:val="002922B5"/>
    <w:rsid w:val="002931FC"/>
    <w:rsid w:val="00293DC3"/>
    <w:rsid w:val="0029509C"/>
    <w:rsid w:val="00297AA0"/>
    <w:rsid w:val="00297D87"/>
    <w:rsid w:val="002A2B6D"/>
    <w:rsid w:val="002A2C27"/>
    <w:rsid w:val="002A4715"/>
    <w:rsid w:val="002A5054"/>
    <w:rsid w:val="002A5C57"/>
    <w:rsid w:val="002A5EC8"/>
    <w:rsid w:val="002A657B"/>
    <w:rsid w:val="002A7D2B"/>
    <w:rsid w:val="002B0034"/>
    <w:rsid w:val="002B2DF5"/>
    <w:rsid w:val="002B3300"/>
    <w:rsid w:val="002B3B70"/>
    <w:rsid w:val="002B4D58"/>
    <w:rsid w:val="002B6EDC"/>
    <w:rsid w:val="002B7043"/>
    <w:rsid w:val="002B7AFE"/>
    <w:rsid w:val="002C11FE"/>
    <w:rsid w:val="002C39EA"/>
    <w:rsid w:val="002C7BBA"/>
    <w:rsid w:val="002D1A6F"/>
    <w:rsid w:val="002D2223"/>
    <w:rsid w:val="002D2AD8"/>
    <w:rsid w:val="002D3FB7"/>
    <w:rsid w:val="002D46DB"/>
    <w:rsid w:val="002D4CCA"/>
    <w:rsid w:val="002D5E69"/>
    <w:rsid w:val="002D67C9"/>
    <w:rsid w:val="002E05D2"/>
    <w:rsid w:val="002E326A"/>
    <w:rsid w:val="002E4428"/>
    <w:rsid w:val="002E4969"/>
    <w:rsid w:val="002E7212"/>
    <w:rsid w:val="002E7966"/>
    <w:rsid w:val="002F0706"/>
    <w:rsid w:val="002F0D8D"/>
    <w:rsid w:val="002F130D"/>
    <w:rsid w:val="002F590E"/>
    <w:rsid w:val="002F68A4"/>
    <w:rsid w:val="002F71EE"/>
    <w:rsid w:val="00300448"/>
    <w:rsid w:val="00300E40"/>
    <w:rsid w:val="00303FE5"/>
    <w:rsid w:val="00304B42"/>
    <w:rsid w:val="00304FB2"/>
    <w:rsid w:val="00305F23"/>
    <w:rsid w:val="00306F8B"/>
    <w:rsid w:val="00307179"/>
    <w:rsid w:val="00307C1C"/>
    <w:rsid w:val="0031084A"/>
    <w:rsid w:val="00312950"/>
    <w:rsid w:val="00313CB2"/>
    <w:rsid w:val="00314BDE"/>
    <w:rsid w:val="00314CA0"/>
    <w:rsid w:val="00315280"/>
    <w:rsid w:val="0031635B"/>
    <w:rsid w:val="003171FB"/>
    <w:rsid w:val="0032002E"/>
    <w:rsid w:val="00320942"/>
    <w:rsid w:val="00321185"/>
    <w:rsid w:val="00323F77"/>
    <w:rsid w:val="003257BE"/>
    <w:rsid w:val="00330100"/>
    <w:rsid w:val="0033059B"/>
    <w:rsid w:val="00330763"/>
    <w:rsid w:val="00331D7F"/>
    <w:rsid w:val="00331E14"/>
    <w:rsid w:val="00332FA6"/>
    <w:rsid w:val="0033570D"/>
    <w:rsid w:val="00336549"/>
    <w:rsid w:val="00342CD3"/>
    <w:rsid w:val="00342D63"/>
    <w:rsid w:val="00343EC3"/>
    <w:rsid w:val="0034493E"/>
    <w:rsid w:val="00344EBC"/>
    <w:rsid w:val="00347A08"/>
    <w:rsid w:val="003515A3"/>
    <w:rsid w:val="0035160B"/>
    <w:rsid w:val="00353C13"/>
    <w:rsid w:val="00355768"/>
    <w:rsid w:val="0035716B"/>
    <w:rsid w:val="0035731B"/>
    <w:rsid w:val="00360DE4"/>
    <w:rsid w:val="00361C7E"/>
    <w:rsid w:val="0036386F"/>
    <w:rsid w:val="0036404D"/>
    <w:rsid w:val="0036504C"/>
    <w:rsid w:val="003650BA"/>
    <w:rsid w:val="00365E08"/>
    <w:rsid w:val="00366293"/>
    <w:rsid w:val="003666FB"/>
    <w:rsid w:val="003677C9"/>
    <w:rsid w:val="003678C9"/>
    <w:rsid w:val="00371FBE"/>
    <w:rsid w:val="00372E61"/>
    <w:rsid w:val="003735F7"/>
    <w:rsid w:val="0037385C"/>
    <w:rsid w:val="0037417D"/>
    <w:rsid w:val="003746F2"/>
    <w:rsid w:val="00376526"/>
    <w:rsid w:val="00376B44"/>
    <w:rsid w:val="00382B11"/>
    <w:rsid w:val="00382FE7"/>
    <w:rsid w:val="00383A43"/>
    <w:rsid w:val="00383C68"/>
    <w:rsid w:val="003841A8"/>
    <w:rsid w:val="003841C1"/>
    <w:rsid w:val="00384C28"/>
    <w:rsid w:val="00385F67"/>
    <w:rsid w:val="00392910"/>
    <w:rsid w:val="00393837"/>
    <w:rsid w:val="00393A8E"/>
    <w:rsid w:val="00395D5E"/>
    <w:rsid w:val="00395D82"/>
    <w:rsid w:val="0039718C"/>
    <w:rsid w:val="003A0D5A"/>
    <w:rsid w:val="003A1512"/>
    <w:rsid w:val="003A3D73"/>
    <w:rsid w:val="003A4457"/>
    <w:rsid w:val="003A492E"/>
    <w:rsid w:val="003A4D26"/>
    <w:rsid w:val="003A68AC"/>
    <w:rsid w:val="003B1FFB"/>
    <w:rsid w:val="003B30E8"/>
    <w:rsid w:val="003B355B"/>
    <w:rsid w:val="003C04D1"/>
    <w:rsid w:val="003C0DE7"/>
    <w:rsid w:val="003C1173"/>
    <w:rsid w:val="003C2B9A"/>
    <w:rsid w:val="003C372E"/>
    <w:rsid w:val="003C48E6"/>
    <w:rsid w:val="003D038B"/>
    <w:rsid w:val="003D0A0C"/>
    <w:rsid w:val="003D259D"/>
    <w:rsid w:val="003D338F"/>
    <w:rsid w:val="003D34CE"/>
    <w:rsid w:val="003D472F"/>
    <w:rsid w:val="003D4E60"/>
    <w:rsid w:val="003D5B18"/>
    <w:rsid w:val="003D655D"/>
    <w:rsid w:val="003D67EF"/>
    <w:rsid w:val="003E1A65"/>
    <w:rsid w:val="003E37CA"/>
    <w:rsid w:val="003E44B0"/>
    <w:rsid w:val="003E4800"/>
    <w:rsid w:val="003E4B87"/>
    <w:rsid w:val="003E7073"/>
    <w:rsid w:val="003E7502"/>
    <w:rsid w:val="003F03A0"/>
    <w:rsid w:val="003F4D30"/>
    <w:rsid w:val="003F5575"/>
    <w:rsid w:val="003F7103"/>
    <w:rsid w:val="00400915"/>
    <w:rsid w:val="00400A91"/>
    <w:rsid w:val="004010DA"/>
    <w:rsid w:val="00401444"/>
    <w:rsid w:val="00402E7B"/>
    <w:rsid w:val="004034F7"/>
    <w:rsid w:val="004039F4"/>
    <w:rsid w:val="004041B2"/>
    <w:rsid w:val="00404AAA"/>
    <w:rsid w:val="0040641D"/>
    <w:rsid w:val="004069CB"/>
    <w:rsid w:val="004079A6"/>
    <w:rsid w:val="00407AD1"/>
    <w:rsid w:val="00407FD8"/>
    <w:rsid w:val="00413DFF"/>
    <w:rsid w:val="00413F83"/>
    <w:rsid w:val="00414159"/>
    <w:rsid w:val="00416105"/>
    <w:rsid w:val="0041619D"/>
    <w:rsid w:val="00421842"/>
    <w:rsid w:val="00421FB9"/>
    <w:rsid w:val="004231F1"/>
    <w:rsid w:val="004256E3"/>
    <w:rsid w:val="004257A0"/>
    <w:rsid w:val="00427EA2"/>
    <w:rsid w:val="00427F5E"/>
    <w:rsid w:val="00430CBC"/>
    <w:rsid w:val="00432C41"/>
    <w:rsid w:val="00433078"/>
    <w:rsid w:val="00434F10"/>
    <w:rsid w:val="00436248"/>
    <w:rsid w:val="00436A66"/>
    <w:rsid w:val="0043785B"/>
    <w:rsid w:val="0044166C"/>
    <w:rsid w:val="00442CBB"/>
    <w:rsid w:val="00444041"/>
    <w:rsid w:val="00445DBC"/>
    <w:rsid w:val="004519C6"/>
    <w:rsid w:val="00451C3B"/>
    <w:rsid w:val="00453344"/>
    <w:rsid w:val="00453855"/>
    <w:rsid w:val="00455FEB"/>
    <w:rsid w:val="004562A4"/>
    <w:rsid w:val="00456714"/>
    <w:rsid w:val="00460130"/>
    <w:rsid w:val="00460BB2"/>
    <w:rsid w:val="0046269B"/>
    <w:rsid w:val="004643E1"/>
    <w:rsid w:val="0046493D"/>
    <w:rsid w:val="00464E69"/>
    <w:rsid w:val="004653CF"/>
    <w:rsid w:val="004659EB"/>
    <w:rsid w:val="00467110"/>
    <w:rsid w:val="0047060A"/>
    <w:rsid w:val="00470CC6"/>
    <w:rsid w:val="00471935"/>
    <w:rsid w:val="00472C5B"/>
    <w:rsid w:val="00473BB7"/>
    <w:rsid w:val="00474AB1"/>
    <w:rsid w:val="00476768"/>
    <w:rsid w:val="0048064F"/>
    <w:rsid w:val="004811F5"/>
    <w:rsid w:val="004814CC"/>
    <w:rsid w:val="0048360D"/>
    <w:rsid w:val="00485B22"/>
    <w:rsid w:val="00486D9D"/>
    <w:rsid w:val="00487C93"/>
    <w:rsid w:val="004902FC"/>
    <w:rsid w:val="004906CC"/>
    <w:rsid w:val="0049251D"/>
    <w:rsid w:val="00494244"/>
    <w:rsid w:val="004968C5"/>
    <w:rsid w:val="004976E7"/>
    <w:rsid w:val="00497956"/>
    <w:rsid w:val="004A1269"/>
    <w:rsid w:val="004A2484"/>
    <w:rsid w:val="004A37F8"/>
    <w:rsid w:val="004A4441"/>
    <w:rsid w:val="004A7868"/>
    <w:rsid w:val="004B1521"/>
    <w:rsid w:val="004B1A87"/>
    <w:rsid w:val="004B212B"/>
    <w:rsid w:val="004B3065"/>
    <w:rsid w:val="004B3CD8"/>
    <w:rsid w:val="004B42AE"/>
    <w:rsid w:val="004B4953"/>
    <w:rsid w:val="004B5A8F"/>
    <w:rsid w:val="004B6688"/>
    <w:rsid w:val="004B75A5"/>
    <w:rsid w:val="004C13A6"/>
    <w:rsid w:val="004C26B2"/>
    <w:rsid w:val="004C3323"/>
    <w:rsid w:val="004C33E3"/>
    <w:rsid w:val="004C39E3"/>
    <w:rsid w:val="004C3DBC"/>
    <w:rsid w:val="004C5988"/>
    <w:rsid w:val="004D75D5"/>
    <w:rsid w:val="004E3B4E"/>
    <w:rsid w:val="004E440A"/>
    <w:rsid w:val="004F1938"/>
    <w:rsid w:val="004F1C11"/>
    <w:rsid w:val="004F1C97"/>
    <w:rsid w:val="004F6723"/>
    <w:rsid w:val="004F6FB0"/>
    <w:rsid w:val="004F7288"/>
    <w:rsid w:val="00500E1D"/>
    <w:rsid w:val="005018AE"/>
    <w:rsid w:val="00502212"/>
    <w:rsid w:val="00502227"/>
    <w:rsid w:val="00502E7E"/>
    <w:rsid w:val="005042E6"/>
    <w:rsid w:val="00506CDB"/>
    <w:rsid w:val="0051003B"/>
    <w:rsid w:val="00512334"/>
    <w:rsid w:val="00513912"/>
    <w:rsid w:val="00513D97"/>
    <w:rsid w:val="005149EA"/>
    <w:rsid w:val="00515D60"/>
    <w:rsid w:val="00516307"/>
    <w:rsid w:val="005215E1"/>
    <w:rsid w:val="00522F6E"/>
    <w:rsid w:val="005232BB"/>
    <w:rsid w:val="005233AE"/>
    <w:rsid w:val="00524882"/>
    <w:rsid w:val="005254D3"/>
    <w:rsid w:val="00526FAE"/>
    <w:rsid w:val="00530317"/>
    <w:rsid w:val="00530C05"/>
    <w:rsid w:val="005329FB"/>
    <w:rsid w:val="005348F2"/>
    <w:rsid w:val="0053686B"/>
    <w:rsid w:val="00536A89"/>
    <w:rsid w:val="0054196B"/>
    <w:rsid w:val="00541FE9"/>
    <w:rsid w:val="00543237"/>
    <w:rsid w:val="00543CCC"/>
    <w:rsid w:val="005442C8"/>
    <w:rsid w:val="00544A8A"/>
    <w:rsid w:val="00545FD4"/>
    <w:rsid w:val="005501AD"/>
    <w:rsid w:val="0055074F"/>
    <w:rsid w:val="005522A7"/>
    <w:rsid w:val="00553750"/>
    <w:rsid w:val="005537DA"/>
    <w:rsid w:val="0055450F"/>
    <w:rsid w:val="0055526F"/>
    <w:rsid w:val="0055529D"/>
    <w:rsid w:val="005571E5"/>
    <w:rsid w:val="0056025B"/>
    <w:rsid w:val="00561669"/>
    <w:rsid w:val="00561AAD"/>
    <w:rsid w:val="00561DFD"/>
    <w:rsid w:val="00561F36"/>
    <w:rsid w:val="00563213"/>
    <w:rsid w:val="0056598C"/>
    <w:rsid w:val="005719C4"/>
    <w:rsid w:val="00576A66"/>
    <w:rsid w:val="0057753A"/>
    <w:rsid w:val="00577BC4"/>
    <w:rsid w:val="0058069D"/>
    <w:rsid w:val="00581BDA"/>
    <w:rsid w:val="0058255C"/>
    <w:rsid w:val="00585CCD"/>
    <w:rsid w:val="0058613D"/>
    <w:rsid w:val="00591615"/>
    <w:rsid w:val="00592888"/>
    <w:rsid w:val="00594569"/>
    <w:rsid w:val="00595A74"/>
    <w:rsid w:val="00595FF0"/>
    <w:rsid w:val="00597263"/>
    <w:rsid w:val="005A332D"/>
    <w:rsid w:val="005A6939"/>
    <w:rsid w:val="005A6EF2"/>
    <w:rsid w:val="005B1C7C"/>
    <w:rsid w:val="005B1CE6"/>
    <w:rsid w:val="005B283C"/>
    <w:rsid w:val="005B36A4"/>
    <w:rsid w:val="005B3EE3"/>
    <w:rsid w:val="005B5F01"/>
    <w:rsid w:val="005B6FDF"/>
    <w:rsid w:val="005B75B1"/>
    <w:rsid w:val="005B7AE9"/>
    <w:rsid w:val="005C1310"/>
    <w:rsid w:val="005C188C"/>
    <w:rsid w:val="005C324C"/>
    <w:rsid w:val="005C5155"/>
    <w:rsid w:val="005C59F2"/>
    <w:rsid w:val="005C69A1"/>
    <w:rsid w:val="005C7C85"/>
    <w:rsid w:val="005D0879"/>
    <w:rsid w:val="005D0A28"/>
    <w:rsid w:val="005D0D1D"/>
    <w:rsid w:val="005D0E4A"/>
    <w:rsid w:val="005D10DF"/>
    <w:rsid w:val="005D148D"/>
    <w:rsid w:val="005D1AD5"/>
    <w:rsid w:val="005D4529"/>
    <w:rsid w:val="005D5315"/>
    <w:rsid w:val="005D6273"/>
    <w:rsid w:val="005D6385"/>
    <w:rsid w:val="005D75E0"/>
    <w:rsid w:val="005E04D6"/>
    <w:rsid w:val="005E070F"/>
    <w:rsid w:val="005E491E"/>
    <w:rsid w:val="005F1A01"/>
    <w:rsid w:val="005F2362"/>
    <w:rsid w:val="00606138"/>
    <w:rsid w:val="00606557"/>
    <w:rsid w:val="00606923"/>
    <w:rsid w:val="00606AE7"/>
    <w:rsid w:val="00606F26"/>
    <w:rsid w:val="00607372"/>
    <w:rsid w:val="00610CF9"/>
    <w:rsid w:val="00611039"/>
    <w:rsid w:val="006141FD"/>
    <w:rsid w:val="0061511F"/>
    <w:rsid w:val="0061673E"/>
    <w:rsid w:val="00620286"/>
    <w:rsid w:val="00623E37"/>
    <w:rsid w:val="00625B9A"/>
    <w:rsid w:val="00625CB1"/>
    <w:rsid w:val="00626702"/>
    <w:rsid w:val="00626B61"/>
    <w:rsid w:val="0063109D"/>
    <w:rsid w:val="006311BF"/>
    <w:rsid w:val="006313B6"/>
    <w:rsid w:val="00631B24"/>
    <w:rsid w:val="00632117"/>
    <w:rsid w:val="0063368B"/>
    <w:rsid w:val="00633708"/>
    <w:rsid w:val="00634A53"/>
    <w:rsid w:val="00634BAC"/>
    <w:rsid w:val="00634E02"/>
    <w:rsid w:val="00635220"/>
    <w:rsid w:val="00637A14"/>
    <w:rsid w:val="00641867"/>
    <w:rsid w:val="0064516D"/>
    <w:rsid w:val="006458A1"/>
    <w:rsid w:val="006466B8"/>
    <w:rsid w:val="006575B8"/>
    <w:rsid w:val="00660182"/>
    <w:rsid w:val="00660832"/>
    <w:rsid w:val="00661C93"/>
    <w:rsid w:val="00661CB5"/>
    <w:rsid w:val="00662BF3"/>
    <w:rsid w:val="00663292"/>
    <w:rsid w:val="00663A0C"/>
    <w:rsid w:val="00667134"/>
    <w:rsid w:val="00670811"/>
    <w:rsid w:val="006762EC"/>
    <w:rsid w:val="006859F4"/>
    <w:rsid w:val="00685AFA"/>
    <w:rsid w:val="00687B18"/>
    <w:rsid w:val="00692711"/>
    <w:rsid w:val="00692E7A"/>
    <w:rsid w:val="006949CF"/>
    <w:rsid w:val="00694CA0"/>
    <w:rsid w:val="006952F7"/>
    <w:rsid w:val="006971E4"/>
    <w:rsid w:val="006973FC"/>
    <w:rsid w:val="006A180A"/>
    <w:rsid w:val="006A1BA6"/>
    <w:rsid w:val="006A295F"/>
    <w:rsid w:val="006A4052"/>
    <w:rsid w:val="006A5642"/>
    <w:rsid w:val="006A5E85"/>
    <w:rsid w:val="006B05B9"/>
    <w:rsid w:val="006B0FA5"/>
    <w:rsid w:val="006B3B95"/>
    <w:rsid w:val="006B5149"/>
    <w:rsid w:val="006B6125"/>
    <w:rsid w:val="006B69D5"/>
    <w:rsid w:val="006B6B9E"/>
    <w:rsid w:val="006C030A"/>
    <w:rsid w:val="006C3292"/>
    <w:rsid w:val="006C36F7"/>
    <w:rsid w:val="006C4231"/>
    <w:rsid w:val="006C5327"/>
    <w:rsid w:val="006D0702"/>
    <w:rsid w:val="006D07E5"/>
    <w:rsid w:val="006D0E46"/>
    <w:rsid w:val="006D2770"/>
    <w:rsid w:val="006D32AC"/>
    <w:rsid w:val="006D339F"/>
    <w:rsid w:val="006D3A3F"/>
    <w:rsid w:val="006D45A6"/>
    <w:rsid w:val="006D4AAB"/>
    <w:rsid w:val="006D52CB"/>
    <w:rsid w:val="006D6037"/>
    <w:rsid w:val="006D798B"/>
    <w:rsid w:val="006E0166"/>
    <w:rsid w:val="006E1299"/>
    <w:rsid w:val="006E4192"/>
    <w:rsid w:val="006F0201"/>
    <w:rsid w:val="006F1165"/>
    <w:rsid w:val="006F1886"/>
    <w:rsid w:val="006F1C78"/>
    <w:rsid w:val="006F2D88"/>
    <w:rsid w:val="006F31D3"/>
    <w:rsid w:val="006F3A3F"/>
    <w:rsid w:val="006F425F"/>
    <w:rsid w:val="006F56B0"/>
    <w:rsid w:val="00701D24"/>
    <w:rsid w:val="00702028"/>
    <w:rsid w:val="00702E2E"/>
    <w:rsid w:val="00703DE7"/>
    <w:rsid w:val="00706079"/>
    <w:rsid w:val="007073E4"/>
    <w:rsid w:val="00707801"/>
    <w:rsid w:val="00710283"/>
    <w:rsid w:val="0071059F"/>
    <w:rsid w:val="0071139D"/>
    <w:rsid w:val="00716258"/>
    <w:rsid w:val="007179A0"/>
    <w:rsid w:val="007216FF"/>
    <w:rsid w:val="00721E7D"/>
    <w:rsid w:val="007227DA"/>
    <w:rsid w:val="0072506C"/>
    <w:rsid w:val="0072544C"/>
    <w:rsid w:val="0072709D"/>
    <w:rsid w:val="007303A9"/>
    <w:rsid w:val="0073138B"/>
    <w:rsid w:val="0073198C"/>
    <w:rsid w:val="007323B8"/>
    <w:rsid w:val="0073436D"/>
    <w:rsid w:val="007352B3"/>
    <w:rsid w:val="00736CF5"/>
    <w:rsid w:val="00737715"/>
    <w:rsid w:val="0074017C"/>
    <w:rsid w:val="00742AB1"/>
    <w:rsid w:val="00743476"/>
    <w:rsid w:val="00744E29"/>
    <w:rsid w:val="007467AE"/>
    <w:rsid w:val="0074688A"/>
    <w:rsid w:val="00750045"/>
    <w:rsid w:val="00751BF3"/>
    <w:rsid w:val="00751D1E"/>
    <w:rsid w:val="00752193"/>
    <w:rsid w:val="007524DB"/>
    <w:rsid w:val="0075251A"/>
    <w:rsid w:val="00752DDD"/>
    <w:rsid w:val="00753066"/>
    <w:rsid w:val="007535BC"/>
    <w:rsid w:val="0075421E"/>
    <w:rsid w:val="00755B11"/>
    <w:rsid w:val="007560AA"/>
    <w:rsid w:val="00757FD8"/>
    <w:rsid w:val="007604BD"/>
    <w:rsid w:val="00761D27"/>
    <w:rsid w:val="00763900"/>
    <w:rsid w:val="0076532F"/>
    <w:rsid w:val="0076692C"/>
    <w:rsid w:val="00766ECC"/>
    <w:rsid w:val="007672E7"/>
    <w:rsid w:val="00770885"/>
    <w:rsid w:val="007715CE"/>
    <w:rsid w:val="00772A3C"/>
    <w:rsid w:val="0077313D"/>
    <w:rsid w:val="00774041"/>
    <w:rsid w:val="00781BD4"/>
    <w:rsid w:val="0078296E"/>
    <w:rsid w:val="00783145"/>
    <w:rsid w:val="00784113"/>
    <w:rsid w:val="0078459D"/>
    <w:rsid w:val="00787341"/>
    <w:rsid w:val="00790848"/>
    <w:rsid w:val="0079204D"/>
    <w:rsid w:val="00792A01"/>
    <w:rsid w:val="00792DE7"/>
    <w:rsid w:val="007948D5"/>
    <w:rsid w:val="00794EED"/>
    <w:rsid w:val="0079598A"/>
    <w:rsid w:val="007966D4"/>
    <w:rsid w:val="007A0890"/>
    <w:rsid w:val="007A2639"/>
    <w:rsid w:val="007B0B58"/>
    <w:rsid w:val="007B28CB"/>
    <w:rsid w:val="007B413F"/>
    <w:rsid w:val="007B5103"/>
    <w:rsid w:val="007C0A6F"/>
    <w:rsid w:val="007C16AD"/>
    <w:rsid w:val="007C1728"/>
    <w:rsid w:val="007C270E"/>
    <w:rsid w:val="007C7A7A"/>
    <w:rsid w:val="007C7F01"/>
    <w:rsid w:val="007D114E"/>
    <w:rsid w:val="007D5235"/>
    <w:rsid w:val="007D71B4"/>
    <w:rsid w:val="007E12A3"/>
    <w:rsid w:val="007E6643"/>
    <w:rsid w:val="007F03F2"/>
    <w:rsid w:val="007F144C"/>
    <w:rsid w:val="007F1556"/>
    <w:rsid w:val="007F2F2F"/>
    <w:rsid w:val="007F41D9"/>
    <w:rsid w:val="007F6E31"/>
    <w:rsid w:val="007F7060"/>
    <w:rsid w:val="00800D02"/>
    <w:rsid w:val="00801523"/>
    <w:rsid w:val="00801F28"/>
    <w:rsid w:val="00802B42"/>
    <w:rsid w:val="00803AC7"/>
    <w:rsid w:val="008051B9"/>
    <w:rsid w:val="00805282"/>
    <w:rsid w:val="008059AB"/>
    <w:rsid w:val="00805F5D"/>
    <w:rsid w:val="00806AAD"/>
    <w:rsid w:val="00811A41"/>
    <w:rsid w:val="00811FC6"/>
    <w:rsid w:val="00812CF5"/>
    <w:rsid w:val="00813C52"/>
    <w:rsid w:val="00814B41"/>
    <w:rsid w:val="00815150"/>
    <w:rsid w:val="0081671A"/>
    <w:rsid w:val="00816D91"/>
    <w:rsid w:val="00820115"/>
    <w:rsid w:val="00821033"/>
    <w:rsid w:val="00821944"/>
    <w:rsid w:val="00821DC3"/>
    <w:rsid w:val="008232C6"/>
    <w:rsid w:val="008249B8"/>
    <w:rsid w:val="00826F80"/>
    <w:rsid w:val="008316EC"/>
    <w:rsid w:val="00832200"/>
    <w:rsid w:val="00835D00"/>
    <w:rsid w:val="00835E74"/>
    <w:rsid w:val="008410C8"/>
    <w:rsid w:val="00843B8A"/>
    <w:rsid w:val="00845DE8"/>
    <w:rsid w:val="0084730D"/>
    <w:rsid w:val="0085164E"/>
    <w:rsid w:val="00852CD3"/>
    <w:rsid w:val="008532AD"/>
    <w:rsid w:val="00854FF5"/>
    <w:rsid w:val="00855236"/>
    <w:rsid w:val="0085671C"/>
    <w:rsid w:val="00860EE8"/>
    <w:rsid w:val="00865075"/>
    <w:rsid w:val="00867A02"/>
    <w:rsid w:val="008731B3"/>
    <w:rsid w:val="00875669"/>
    <w:rsid w:val="008777EE"/>
    <w:rsid w:val="00881C59"/>
    <w:rsid w:val="00882277"/>
    <w:rsid w:val="0088266F"/>
    <w:rsid w:val="00882BE6"/>
    <w:rsid w:val="00883C07"/>
    <w:rsid w:val="0088449C"/>
    <w:rsid w:val="008849C4"/>
    <w:rsid w:val="0088504C"/>
    <w:rsid w:val="008856A7"/>
    <w:rsid w:val="008856CE"/>
    <w:rsid w:val="00887E93"/>
    <w:rsid w:val="00887FFD"/>
    <w:rsid w:val="008912F5"/>
    <w:rsid w:val="0089140A"/>
    <w:rsid w:val="0089230F"/>
    <w:rsid w:val="0089263C"/>
    <w:rsid w:val="0089275F"/>
    <w:rsid w:val="0089432E"/>
    <w:rsid w:val="00894777"/>
    <w:rsid w:val="00894FA3"/>
    <w:rsid w:val="00895FC6"/>
    <w:rsid w:val="0089747D"/>
    <w:rsid w:val="00897743"/>
    <w:rsid w:val="008A186B"/>
    <w:rsid w:val="008A2C9F"/>
    <w:rsid w:val="008A3235"/>
    <w:rsid w:val="008A456E"/>
    <w:rsid w:val="008A458C"/>
    <w:rsid w:val="008A4CA8"/>
    <w:rsid w:val="008A58C7"/>
    <w:rsid w:val="008B00A1"/>
    <w:rsid w:val="008B0D3F"/>
    <w:rsid w:val="008B1964"/>
    <w:rsid w:val="008B1C54"/>
    <w:rsid w:val="008B24E8"/>
    <w:rsid w:val="008B4AE7"/>
    <w:rsid w:val="008B550B"/>
    <w:rsid w:val="008B6EB4"/>
    <w:rsid w:val="008C24A4"/>
    <w:rsid w:val="008C3057"/>
    <w:rsid w:val="008C3AEA"/>
    <w:rsid w:val="008C49BA"/>
    <w:rsid w:val="008C5B93"/>
    <w:rsid w:val="008C5D98"/>
    <w:rsid w:val="008C5EA6"/>
    <w:rsid w:val="008D2220"/>
    <w:rsid w:val="008D2B3C"/>
    <w:rsid w:val="008D4296"/>
    <w:rsid w:val="008D5003"/>
    <w:rsid w:val="008D6B3B"/>
    <w:rsid w:val="008D73F3"/>
    <w:rsid w:val="008D763C"/>
    <w:rsid w:val="008E47AA"/>
    <w:rsid w:val="008E74C4"/>
    <w:rsid w:val="008E7FB2"/>
    <w:rsid w:val="008F0E1F"/>
    <w:rsid w:val="008F4D93"/>
    <w:rsid w:val="008F582C"/>
    <w:rsid w:val="008F59EA"/>
    <w:rsid w:val="008F5A56"/>
    <w:rsid w:val="008F5C96"/>
    <w:rsid w:val="00900CEA"/>
    <w:rsid w:val="00904149"/>
    <w:rsid w:val="00905595"/>
    <w:rsid w:val="00905678"/>
    <w:rsid w:val="00906258"/>
    <w:rsid w:val="009073EB"/>
    <w:rsid w:val="009074D5"/>
    <w:rsid w:val="0090785B"/>
    <w:rsid w:val="00910108"/>
    <w:rsid w:val="00910513"/>
    <w:rsid w:val="009108F1"/>
    <w:rsid w:val="00910A9E"/>
    <w:rsid w:val="009111AC"/>
    <w:rsid w:val="00911E47"/>
    <w:rsid w:val="00912B78"/>
    <w:rsid w:val="00912F28"/>
    <w:rsid w:val="0091580E"/>
    <w:rsid w:val="00917CBD"/>
    <w:rsid w:val="00920057"/>
    <w:rsid w:val="00921BC3"/>
    <w:rsid w:val="00922260"/>
    <w:rsid w:val="00922441"/>
    <w:rsid w:val="00922BBA"/>
    <w:rsid w:val="00923303"/>
    <w:rsid w:val="00925EA1"/>
    <w:rsid w:val="0092660F"/>
    <w:rsid w:val="00927690"/>
    <w:rsid w:val="00927EA1"/>
    <w:rsid w:val="009301BF"/>
    <w:rsid w:val="00932731"/>
    <w:rsid w:val="009341EB"/>
    <w:rsid w:val="00934741"/>
    <w:rsid w:val="009412B9"/>
    <w:rsid w:val="00941A80"/>
    <w:rsid w:val="00943C65"/>
    <w:rsid w:val="00950856"/>
    <w:rsid w:val="0095188D"/>
    <w:rsid w:val="00953342"/>
    <w:rsid w:val="00954C12"/>
    <w:rsid w:val="0095675A"/>
    <w:rsid w:val="00957697"/>
    <w:rsid w:val="009607AC"/>
    <w:rsid w:val="00960995"/>
    <w:rsid w:val="0096121D"/>
    <w:rsid w:val="009647E4"/>
    <w:rsid w:val="009664E9"/>
    <w:rsid w:val="00967059"/>
    <w:rsid w:val="009718EA"/>
    <w:rsid w:val="009718F8"/>
    <w:rsid w:val="00972786"/>
    <w:rsid w:val="00972811"/>
    <w:rsid w:val="009738F0"/>
    <w:rsid w:val="009749C4"/>
    <w:rsid w:val="00974D31"/>
    <w:rsid w:val="009763E6"/>
    <w:rsid w:val="009801BE"/>
    <w:rsid w:val="00981698"/>
    <w:rsid w:val="00981B12"/>
    <w:rsid w:val="0098578F"/>
    <w:rsid w:val="009871CA"/>
    <w:rsid w:val="00992451"/>
    <w:rsid w:val="00996352"/>
    <w:rsid w:val="009A0389"/>
    <w:rsid w:val="009A23AA"/>
    <w:rsid w:val="009A2B89"/>
    <w:rsid w:val="009A2F8B"/>
    <w:rsid w:val="009A5422"/>
    <w:rsid w:val="009A669F"/>
    <w:rsid w:val="009B1688"/>
    <w:rsid w:val="009B2077"/>
    <w:rsid w:val="009B29EB"/>
    <w:rsid w:val="009B5493"/>
    <w:rsid w:val="009B6C26"/>
    <w:rsid w:val="009B73D0"/>
    <w:rsid w:val="009B7CD7"/>
    <w:rsid w:val="009C0A03"/>
    <w:rsid w:val="009C0F62"/>
    <w:rsid w:val="009C1848"/>
    <w:rsid w:val="009C1E2A"/>
    <w:rsid w:val="009C1FE0"/>
    <w:rsid w:val="009C3FFD"/>
    <w:rsid w:val="009C47B4"/>
    <w:rsid w:val="009C56A6"/>
    <w:rsid w:val="009C6BE5"/>
    <w:rsid w:val="009D1985"/>
    <w:rsid w:val="009D1D6D"/>
    <w:rsid w:val="009D2C08"/>
    <w:rsid w:val="009D3676"/>
    <w:rsid w:val="009D3BBC"/>
    <w:rsid w:val="009D57A7"/>
    <w:rsid w:val="009D6406"/>
    <w:rsid w:val="009D74B3"/>
    <w:rsid w:val="009E0B8B"/>
    <w:rsid w:val="009E300B"/>
    <w:rsid w:val="009E385E"/>
    <w:rsid w:val="009E5945"/>
    <w:rsid w:val="009E6CB5"/>
    <w:rsid w:val="009E7789"/>
    <w:rsid w:val="009F135B"/>
    <w:rsid w:val="009F4954"/>
    <w:rsid w:val="009F4AA1"/>
    <w:rsid w:val="009F4C69"/>
    <w:rsid w:val="009F6544"/>
    <w:rsid w:val="009F6D05"/>
    <w:rsid w:val="00A0156B"/>
    <w:rsid w:val="00A017F5"/>
    <w:rsid w:val="00A0262F"/>
    <w:rsid w:val="00A02759"/>
    <w:rsid w:val="00A044BD"/>
    <w:rsid w:val="00A05AD8"/>
    <w:rsid w:val="00A074DA"/>
    <w:rsid w:val="00A12094"/>
    <w:rsid w:val="00A1222F"/>
    <w:rsid w:val="00A125D1"/>
    <w:rsid w:val="00A14102"/>
    <w:rsid w:val="00A144D4"/>
    <w:rsid w:val="00A20CB6"/>
    <w:rsid w:val="00A22A88"/>
    <w:rsid w:val="00A231EE"/>
    <w:rsid w:val="00A23C40"/>
    <w:rsid w:val="00A23D31"/>
    <w:rsid w:val="00A240E1"/>
    <w:rsid w:val="00A2770E"/>
    <w:rsid w:val="00A31535"/>
    <w:rsid w:val="00A33EDB"/>
    <w:rsid w:val="00A35311"/>
    <w:rsid w:val="00A35E9D"/>
    <w:rsid w:val="00A4200D"/>
    <w:rsid w:val="00A42463"/>
    <w:rsid w:val="00A44B8E"/>
    <w:rsid w:val="00A4560F"/>
    <w:rsid w:val="00A45ED5"/>
    <w:rsid w:val="00A46F92"/>
    <w:rsid w:val="00A51861"/>
    <w:rsid w:val="00A51938"/>
    <w:rsid w:val="00A5284E"/>
    <w:rsid w:val="00A54D9D"/>
    <w:rsid w:val="00A5620E"/>
    <w:rsid w:val="00A57988"/>
    <w:rsid w:val="00A57ABF"/>
    <w:rsid w:val="00A626AF"/>
    <w:rsid w:val="00A662DE"/>
    <w:rsid w:val="00A7081D"/>
    <w:rsid w:val="00A71211"/>
    <w:rsid w:val="00A757A6"/>
    <w:rsid w:val="00A76077"/>
    <w:rsid w:val="00A77846"/>
    <w:rsid w:val="00A865F0"/>
    <w:rsid w:val="00A86DF0"/>
    <w:rsid w:val="00A92737"/>
    <w:rsid w:val="00A94301"/>
    <w:rsid w:val="00A9655A"/>
    <w:rsid w:val="00A97FC8"/>
    <w:rsid w:val="00AA0348"/>
    <w:rsid w:val="00AA18CD"/>
    <w:rsid w:val="00AA1B89"/>
    <w:rsid w:val="00AA3622"/>
    <w:rsid w:val="00AA384D"/>
    <w:rsid w:val="00AA3AC3"/>
    <w:rsid w:val="00AA65EC"/>
    <w:rsid w:val="00AB0447"/>
    <w:rsid w:val="00AB2F49"/>
    <w:rsid w:val="00AB303A"/>
    <w:rsid w:val="00AB4D0F"/>
    <w:rsid w:val="00AB6562"/>
    <w:rsid w:val="00AB7594"/>
    <w:rsid w:val="00AB7DF0"/>
    <w:rsid w:val="00AC2027"/>
    <w:rsid w:val="00AC37DB"/>
    <w:rsid w:val="00AC3B2C"/>
    <w:rsid w:val="00AC53C2"/>
    <w:rsid w:val="00AC575D"/>
    <w:rsid w:val="00AC7220"/>
    <w:rsid w:val="00AC7531"/>
    <w:rsid w:val="00AD0018"/>
    <w:rsid w:val="00AD3420"/>
    <w:rsid w:val="00AD489B"/>
    <w:rsid w:val="00AD584A"/>
    <w:rsid w:val="00AD5E38"/>
    <w:rsid w:val="00AD65BA"/>
    <w:rsid w:val="00AD67ED"/>
    <w:rsid w:val="00AD72E5"/>
    <w:rsid w:val="00AE0DC3"/>
    <w:rsid w:val="00AE49ED"/>
    <w:rsid w:val="00AE4ADC"/>
    <w:rsid w:val="00AE627A"/>
    <w:rsid w:val="00AF0793"/>
    <w:rsid w:val="00AF0C35"/>
    <w:rsid w:val="00AF14DB"/>
    <w:rsid w:val="00AF3AE4"/>
    <w:rsid w:val="00B001F3"/>
    <w:rsid w:val="00B019CE"/>
    <w:rsid w:val="00B02344"/>
    <w:rsid w:val="00B02BD6"/>
    <w:rsid w:val="00B05FA9"/>
    <w:rsid w:val="00B06FEC"/>
    <w:rsid w:val="00B07C15"/>
    <w:rsid w:val="00B10BB9"/>
    <w:rsid w:val="00B10FE4"/>
    <w:rsid w:val="00B1112D"/>
    <w:rsid w:val="00B13DB1"/>
    <w:rsid w:val="00B1527E"/>
    <w:rsid w:val="00B15AC7"/>
    <w:rsid w:val="00B163EA"/>
    <w:rsid w:val="00B16D29"/>
    <w:rsid w:val="00B17A0C"/>
    <w:rsid w:val="00B20370"/>
    <w:rsid w:val="00B20E8F"/>
    <w:rsid w:val="00B21371"/>
    <w:rsid w:val="00B22908"/>
    <w:rsid w:val="00B24554"/>
    <w:rsid w:val="00B25366"/>
    <w:rsid w:val="00B26D18"/>
    <w:rsid w:val="00B305C7"/>
    <w:rsid w:val="00B30DEB"/>
    <w:rsid w:val="00B328A6"/>
    <w:rsid w:val="00B33948"/>
    <w:rsid w:val="00B3461F"/>
    <w:rsid w:val="00B34913"/>
    <w:rsid w:val="00B35A0E"/>
    <w:rsid w:val="00B3619E"/>
    <w:rsid w:val="00B40CBC"/>
    <w:rsid w:val="00B41E06"/>
    <w:rsid w:val="00B4214F"/>
    <w:rsid w:val="00B4245B"/>
    <w:rsid w:val="00B43BB6"/>
    <w:rsid w:val="00B44C92"/>
    <w:rsid w:val="00B454C0"/>
    <w:rsid w:val="00B45E29"/>
    <w:rsid w:val="00B46DEE"/>
    <w:rsid w:val="00B47321"/>
    <w:rsid w:val="00B5014F"/>
    <w:rsid w:val="00B50CAB"/>
    <w:rsid w:val="00B519CC"/>
    <w:rsid w:val="00B5287C"/>
    <w:rsid w:val="00B52954"/>
    <w:rsid w:val="00B5413F"/>
    <w:rsid w:val="00B567C4"/>
    <w:rsid w:val="00B56E73"/>
    <w:rsid w:val="00B610B9"/>
    <w:rsid w:val="00B61441"/>
    <w:rsid w:val="00B620A8"/>
    <w:rsid w:val="00B62546"/>
    <w:rsid w:val="00B63205"/>
    <w:rsid w:val="00B64ACD"/>
    <w:rsid w:val="00B65087"/>
    <w:rsid w:val="00B6607B"/>
    <w:rsid w:val="00B661F7"/>
    <w:rsid w:val="00B71CC0"/>
    <w:rsid w:val="00B72F15"/>
    <w:rsid w:val="00B74E7E"/>
    <w:rsid w:val="00B77CC3"/>
    <w:rsid w:val="00B80504"/>
    <w:rsid w:val="00B8312F"/>
    <w:rsid w:val="00B834DC"/>
    <w:rsid w:val="00B86142"/>
    <w:rsid w:val="00B901C7"/>
    <w:rsid w:val="00B91739"/>
    <w:rsid w:val="00B918A7"/>
    <w:rsid w:val="00B937DD"/>
    <w:rsid w:val="00B96707"/>
    <w:rsid w:val="00B9698D"/>
    <w:rsid w:val="00B975D1"/>
    <w:rsid w:val="00B97699"/>
    <w:rsid w:val="00B978C9"/>
    <w:rsid w:val="00BA02C2"/>
    <w:rsid w:val="00BA15C9"/>
    <w:rsid w:val="00BA4D19"/>
    <w:rsid w:val="00BA5497"/>
    <w:rsid w:val="00BA7494"/>
    <w:rsid w:val="00BB0470"/>
    <w:rsid w:val="00BB2D8C"/>
    <w:rsid w:val="00BB5485"/>
    <w:rsid w:val="00BB5F59"/>
    <w:rsid w:val="00BB7331"/>
    <w:rsid w:val="00BC09AA"/>
    <w:rsid w:val="00BC1CA9"/>
    <w:rsid w:val="00BC3474"/>
    <w:rsid w:val="00BC4043"/>
    <w:rsid w:val="00BC5B70"/>
    <w:rsid w:val="00BC6C7B"/>
    <w:rsid w:val="00BC6CB1"/>
    <w:rsid w:val="00BD0B93"/>
    <w:rsid w:val="00BD1ADF"/>
    <w:rsid w:val="00BD3551"/>
    <w:rsid w:val="00BD3E02"/>
    <w:rsid w:val="00BD4787"/>
    <w:rsid w:val="00BD550A"/>
    <w:rsid w:val="00BE0D69"/>
    <w:rsid w:val="00BE2C54"/>
    <w:rsid w:val="00BE3DA0"/>
    <w:rsid w:val="00BE71FD"/>
    <w:rsid w:val="00BE7CD0"/>
    <w:rsid w:val="00BF10AF"/>
    <w:rsid w:val="00BF2847"/>
    <w:rsid w:val="00BF2BE8"/>
    <w:rsid w:val="00BF2F28"/>
    <w:rsid w:val="00BF44E3"/>
    <w:rsid w:val="00BF4732"/>
    <w:rsid w:val="00BF4861"/>
    <w:rsid w:val="00BF5284"/>
    <w:rsid w:val="00BF6766"/>
    <w:rsid w:val="00BF691C"/>
    <w:rsid w:val="00BF76B5"/>
    <w:rsid w:val="00BF7EBE"/>
    <w:rsid w:val="00C00114"/>
    <w:rsid w:val="00C017E8"/>
    <w:rsid w:val="00C01D94"/>
    <w:rsid w:val="00C02572"/>
    <w:rsid w:val="00C07C95"/>
    <w:rsid w:val="00C101F8"/>
    <w:rsid w:val="00C1035E"/>
    <w:rsid w:val="00C11D75"/>
    <w:rsid w:val="00C12E80"/>
    <w:rsid w:val="00C13E5C"/>
    <w:rsid w:val="00C155EF"/>
    <w:rsid w:val="00C1635A"/>
    <w:rsid w:val="00C169E3"/>
    <w:rsid w:val="00C174EA"/>
    <w:rsid w:val="00C17EA2"/>
    <w:rsid w:val="00C21198"/>
    <w:rsid w:val="00C21B99"/>
    <w:rsid w:val="00C21C5C"/>
    <w:rsid w:val="00C25493"/>
    <w:rsid w:val="00C25D6D"/>
    <w:rsid w:val="00C30407"/>
    <w:rsid w:val="00C30408"/>
    <w:rsid w:val="00C331C6"/>
    <w:rsid w:val="00C3346F"/>
    <w:rsid w:val="00C342A7"/>
    <w:rsid w:val="00C35048"/>
    <w:rsid w:val="00C3548E"/>
    <w:rsid w:val="00C35BEC"/>
    <w:rsid w:val="00C37F94"/>
    <w:rsid w:val="00C405CF"/>
    <w:rsid w:val="00C435B6"/>
    <w:rsid w:val="00C4685F"/>
    <w:rsid w:val="00C47452"/>
    <w:rsid w:val="00C47B4E"/>
    <w:rsid w:val="00C50BBC"/>
    <w:rsid w:val="00C512CC"/>
    <w:rsid w:val="00C51ECD"/>
    <w:rsid w:val="00C54459"/>
    <w:rsid w:val="00C60FD2"/>
    <w:rsid w:val="00C6401F"/>
    <w:rsid w:val="00C64C11"/>
    <w:rsid w:val="00C653D8"/>
    <w:rsid w:val="00C6575A"/>
    <w:rsid w:val="00C673CC"/>
    <w:rsid w:val="00C67456"/>
    <w:rsid w:val="00C715A7"/>
    <w:rsid w:val="00C721F2"/>
    <w:rsid w:val="00C72F1F"/>
    <w:rsid w:val="00C7596C"/>
    <w:rsid w:val="00C75E1A"/>
    <w:rsid w:val="00C80251"/>
    <w:rsid w:val="00C808B9"/>
    <w:rsid w:val="00C809CD"/>
    <w:rsid w:val="00C80F00"/>
    <w:rsid w:val="00C812BB"/>
    <w:rsid w:val="00C82698"/>
    <w:rsid w:val="00C84577"/>
    <w:rsid w:val="00C86203"/>
    <w:rsid w:val="00C86933"/>
    <w:rsid w:val="00C86F7D"/>
    <w:rsid w:val="00C874FB"/>
    <w:rsid w:val="00C9101E"/>
    <w:rsid w:val="00C91D05"/>
    <w:rsid w:val="00C92228"/>
    <w:rsid w:val="00C96885"/>
    <w:rsid w:val="00C97994"/>
    <w:rsid w:val="00CA25FE"/>
    <w:rsid w:val="00CA42A6"/>
    <w:rsid w:val="00CA4BF8"/>
    <w:rsid w:val="00CA4CAA"/>
    <w:rsid w:val="00CA6C34"/>
    <w:rsid w:val="00CB10E0"/>
    <w:rsid w:val="00CB1CCB"/>
    <w:rsid w:val="00CB329C"/>
    <w:rsid w:val="00CB6226"/>
    <w:rsid w:val="00CC4537"/>
    <w:rsid w:val="00CC5A22"/>
    <w:rsid w:val="00CC5F02"/>
    <w:rsid w:val="00CC6964"/>
    <w:rsid w:val="00CD117F"/>
    <w:rsid w:val="00CD125A"/>
    <w:rsid w:val="00CD288A"/>
    <w:rsid w:val="00CD7CC5"/>
    <w:rsid w:val="00CE0378"/>
    <w:rsid w:val="00CE2F4C"/>
    <w:rsid w:val="00CE472C"/>
    <w:rsid w:val="00CE5735"/>
    <w:rsid w:val="00CE72C2"/>
    <w:rsid w:val="00CF138B"/>
    <w:rsid w:val="00CF1F31"/>
    <w:rsid w:val="00CF3984"/>
    <w:rsid w:val="00CF6B3F"/>
    <w:rsid w:val="00CF6ED4"/>
    <w:rsid w:val="00D0298F"/>
    <w:rsid w:val="00D03751"/>
    <w:rsid w:val="00D04AD3"/>
    <w:rsid w:val="00D05A46"/>
    <w:rsid w:val="00D068D2"/>
    <w:rsid w:val="00D06ECF"/>
    <w:rsid w:val="00D07815"/>
    <w:rsid w:val="00D079DD"/>
    <w:rsid w:val="00D07CC2"/>
    <w:rsid w:val="00D104A7"/>
    <w:rsid w:val="00D11C96"/>
    <w:rsid w:val="00D12C2B"/>
    <w:rsid w:val="00D1311E"/>
    <w:rsid w:val="00D14E88"/>
    <w:rsid w:val="00D16A35"/>
    <w:rsid w:val="00D16F80"/>
    <w:rsid w:val="00D171AB"/>
    <w:rsid w:val="00D20582"/>
    <w:rsid w:val="00D20AFA"/>
    <w:rsid w:val="00D22962"/>
    <w:rsid w:val="00D25B03"/>
    <w:rsid w:val="00D2643C"/>
    <w:rsid w:val="00D27419"/>
    <w:rsid w:val="00D27730"/>
    <w:rsid w:val="00D278C9"/>
    <w:rsid w:val="00D3022D"/>
    <w:rsid w:val="00D32446"/>
    <w:rsid w:val="00D34C5B"/>
    <w:rsid w:val="00D3793C"/>
    <w:rsid w:val="00D40663"/>
    <w:rsid w:val="00D42258"/>
    <w:rsid w:val="00D42AAB"/>
    <w:rsid w:val="00D430CE"/>
    <w:rsid w:val="00D43794"/>
    <w:rsid w:val="00D469AD"/>
    <w:rsid w:val="00D469DE"/>
    <w:rsid w:val="00D4772E"/>
    <w:rsid w:val="00D5261D"/>
    <w:rsid w:val="00D53B32"/>
    <w:rsid w:val="00D5706F"/>
    <w:rsid w:val="00D602E7"/>
    <w:rsid w:val="00D60EDA"/>
    <w:rsid w:val="00D614B3"/>
    <w:rsid w:val="00D63E2C"/>
    <w:rsid w:val="00D64005"/>
    <w:rsid w:val="00D651E4"/>
    <w:rsid w:val="00D659FB"/>
    <w:rsid w:val="00D70174"/>
    <w:rsid w:val="00D706AF"/>
    <w:rsid w:val="00D722CE"/>
    <w:rsid w:val="00D72427"/>
    <w:rsid w:val="00D74606"/>
    <w:rsid w:val="00D75D29"/>
    <w:rsid w:val="00D76CF7"/>
    <w:rsid w:val="00D77B29"/>
    <w:rsid w:val="00D82570"/>
    <w:rsid w:val="00D827EE"/>
    <w:rsid w:val="00D82B3A"/>
    <w:rsid w:val="00D84F78"/>
    <w:rsid w:val="00D8678C"/>
    <w:rsid w:val="00D871DD"/>
    <w:rsid w:val="00D90595"/>
    <w:rsid w:val="00D91DF3"/>
    <w:rsid w:val="00D9325C"/>
    <w:rsid w:val="00DA47E9"/>
    <w:rsid w:val="00DA4883"/>
    <w:rsid w:val="00DA48B7"/>
    <w:rsid w:val="00DA6124"/>
    <w:rsid w:val="00DA6DF0"/>
    <w:rsid w:val="00DA7C86"/>
    <w:rsid w:val="00DB0AB9"/>
    <w:rsid w:val="00DB0C6D"/>
    <w:rsid w:val="00DB72E5"/>
    <w:rsid w:val="00DC06D4"/>
    <w:rsid w:val="00DC14EB"/>
    <w:rsid w:val="00DC2606"/>
    <w:rsid w:val="00DC3071"/>
    <w:rsid w:val="00DC46B3"/>
    <w:rsid w:val="00DC48DC"/>
    <w:rsid w:val="00DC4F01"/>
    <w:rsid w:val="00DC5EAB"/>
    <w:rsid w:val="00DD5569"/>
    <w:rsid w:val="00DD5BCF"/>
    <w:rsid w:val="00DD6B38"/>
    <w:rsid w:val="00DD798E"/>
    <w:rsid w:val="00DE1397"/>
    <w:rsid w:val="00DE1ED1"/>
    <w:rsid w:val="00DE3131"/>
    <w:rsid w:val="00DE6897"/>
    <w:rsid w:val="00DE71B1"/>
    <w:rsid w:val="00DE7ACF"/>
    <w:rsid w:val="00DF0C63"/>
    <w:rsid w:val="00DF1F6F"/>
    <w:rsid w:val="00DF4BD6"/>
    <w:rsid w:val="00DF5A04"/>
    <w:rsid w:val="00DF628A"/>
    <w:rsid w:val="00E00526"/>
    <w:rsid w:val="00E00C88"/>
    <w:rsid w:val="00E00CEF"/>
    <w:rsid w:val="00E027F6"/>
    <w:rsid w:val="00E035B8"/>
    <w:rsid w:val="00E04467"/>
    <w:rsid w:val="00E060B6"/>
    <w:rsid w:val="00E06A18"/>
    <w:rsid w:val="00E10F65"/>
    <w:rsid w:val="00E10FE3"/>
    <w:rsid w:val="00E1239F"/>
    <w:rsid w:val="00E13694"/>
    <w:rsid w:val="00E1641C"/>
    <w:rsid w:val="00E167B3"/>
    <w:rsid w:val="00E176F4"/>
    <w:rsid w:val="00E216D5"/>
    <w:rsid w:val="00E22013"/>
    <w:rsid w:val="00E22856"/>
    <w:rsid w:val="00E235CF"/>
    <w:rsid w:val="00E31236"/>
    <w:rsid w:val="00E32C44"/>
    <w:rsid w:val="00E338BC"/>
    <w:rsid w:val="00E34C29"/>
    <w:rsid w:val="00E3644A"/>
    <w:rsid w:val="00E3723B"/>
    <w:rsid w:val="00E447AD"/>
    <w:rsid w:val="00E45154"/>
    <w:rsid w:val="00E4595F"/>
    <w:rsid w:val="00E46B4D"/>
    <w:rsid w:val="00E5071B"/>
    <w:rsid w:val="00E51502"/>
    <w:rsid w:val="00E517AA"/>
    <w:rsid w:val="00E51800"/>
    <w:rsid w:val="00E52BCB"/>
    <w:rsid w:val="00E57B4A"/>
    <w:rsid w:val="00E63139"/>
    <w:rsid w:val="00E65549"/>
    <w:rsid w:val="00E66CD9"/>
    <w:rsid w:val="00E67091"/>
    <w:rsid w:val="00E70A4D"/>
    <w:rsid w:val="00E71161"/>
    <w:rsid w:val="00E71F75"/>
    <w:rsid w:val="00E72579"/>
    <w:rsid w:val="00E75BA0"/>
    <w:rsid w:val="00E75DCA"/>
    <w:rsid w:val="00E76AB6"/>
    <w:rsid w:val="00E80490"/>
    <w:rsid w:val="00E81C90"/>
    <w:rsid w:val="00E837BE"/>
    <w:rsid w:val="00E855A9"/>
    <w:rsid w:val="00E85A05"/>
    <w:rsid w:val="00E87349"/>
    <w:rsid w:val="00E87E08"/>
    <w:rsid w:val="00E90408"/>
    <w:rsid w:val="00E9357A"/>
    <w:rsid w:val="00E96775"/>
    <w:rsid w:val="00E97503"/>
    <w:rsid w:val="00EA0ED3"/>
    <w:rsid w:val="00EA1B68"/>
    <w:rsid w:val="00EA1E0E"/>
    <w:rsid w:val="00EA2C97"/>
    <w:rsid w:val="00EA404D"/>
    <w:rsid w:val="00EA4DBD"/>
    <w:rsid w:val="00EA5F2F"/>
    <w:rsid w:val="00EA6C1E"/>
    <w:rsid w:val="00EB0EA7"/>
    <w:rsid w:val="00EB1292"/>
    <w:rsid w:val="00EB2331"/>
    <w:rsid w:val="00EB29A3"/>
    <w:rsid w:val="00EB3C7E"/>
    <w:rsid w:val="00EB4D0A"/>
    <w:rsid w:val="00EB4DF6"/>
    <w:rsid w:val="00EB5265"/>
    <w:rsid w:val="00EB5890"/>
    <w:rsid w:val="00EB61E8"/>
    <w:rsid w:val="00EB79E2"/>
    <w:rsid w:val="00EC2379"/>
    <w:rsid w:val="00EC4EFA"/>
    <w:rsid w:val="00EC521E"/>
    <w:rsid w:val="00EC5E3C"/>
    <w:rsid w:val="00ED1E56"/>
    <w:rsid w:val="00ED279F"/>
    <w:rsid w:val="00ED342D"/>
    <w:rsid w:val="00ED4C72"/>
    <w:rsid w:val="00ED6F92"/>
    <w:rsid w:val="00ED7867"/>
    <w:rsid w:val="00ED790D"/>
    <w:rsid w:val="00EE0B61"/>
    <w:rsid w:val="00EE18CE"/>
    <w:rsid w:val="00EE2698"/>
    <w:rsid w:val="00EE2A8E"/>
    <w:rsid w:val="00EE37D5"/>
    <w:rsid w:val="00EE4841"/>
    <w:rsid w:val="00EE6993"/>
    <w:rsid w:val="00EE79BB"/>
    <w:rsid w:val="00EE7E1D"/>
    <w:rsid w:val="00EE7E91"/>
    <w:rsid w:val="00EF0312"/>
    <w:rsid w:val="00EF03BC"/>
    <w:rsid w:val="00EF068A"/>
    <w:rsid w:val="00EF2367"/>
    <w:rsid w:val="00EF26E2"/>
    <w:rsid w:val="00EF5D6F"/>
    <w:rsid w:val="00EF65F6"/>
    <w:rsid w:val="00EF6759"/>
    <w:rsid w:val="00EF6AEC"/>
    <w:rsid w:val="00F018DF"/>
    <w:rsid w:val="00F035A0"/>
    <w:rsid w:val="00F037DD"/>
    <w:rsid w:val="00F0431C"/>
    <w:rsid w:val="00F05C27"/>
    <w:rsid w:val="00F060F2"/>
    <w:rsid w:val="00F06288"/>
    <w:rsid w:val="00F07289"/>
    <w:rsid w:val="00F10199"/>
    <w:rsid w:val="00F10650"/>
    <w:rsid w:val="00F11A71"/>
    <w:rsid w:val="00F15D05"/>
    <w:rsid w:val="00F16568"/>
    <w:rsid w:val="00F232C9"/>
    <w:rsid w:val="00F245ED"/>
    <w:rsid w:val="00F249CF"/>
    <w:rsid w:val="00F313B1"/>
    <w:rsid w:val="00F3411F"/>
    <w:rsid w:val="00F341C2"/>
    <w:rsid w:val="00F34B4C"/>
    <w:rsid w:val="00F36076"/>
    <w:rsid w:val="00F3664F"/>
    <w:rsid w:val="00F42B07"/>
    <w:rsid w:val="00F4523C"/>
    <w:rsid w:val="00F4655C"/>
    <w:rsid w:val="00F4688C"/>
    <w:rsid w:val="00F50B74"/>
    <w:rsid w:val="00F51DDC"/>
    <w:rsid w:val="00F5289F"/>
    <w:rsid w:val="00F52D36"/>
    <w:rsid w:val="00F54AB8"/>
    <w:rsid w:val="00F55585"/>
    <w:rsid w:val="00F572A1"/>
    <w:rsid w:val="00F57581"/>
    <w:rsid w:val="00F603DE"/>
    <w:rsid w:val="00F61D7E"/>
    <w:rsid w:val="00F6221A"/>
    <w:rsid w:val="00F64955"/>
    <w:rsid w:val="00F6604D"/>
    <w:rsid w:val="00F66ABB"/>
    <w:rsid w:val="00F7134D"/>
    <w:rsid w:val="00F71E0F"/>
    <w:rsid w:val="00F7220C"/>
    <w:rsid w:val="00F72C1F"/>
    <w:rsid w:val="00F73B9D"/>
    <w:rsid w:val="00F75D9C"/>
    <w:rsid w:val="00F82F6D"/>
    <w:rsid w:val="00F8591C"/>
    <w:rsid w:val="00F86736"/>
    <w:rsid w:val="00F9002B"/>
    <w:rsid w:val="00F92111"/>
    <w:rsid w:val="00F953F0"/>
    <w:rsid w:val="00FA20E0"/>
    <w:rsid w:val="00FA3438"/>
    <w:rsid w:val="00FA3704"/>
    <w:rsid w:val="00FA63A3"/>
    <w:rsid w:val="00FA702B"/>
    <w:rsid w:val="00FB13A8"/>
    <w:rsid w:val="00FB434E"/>
    <w:rsid w:val="00FB7640"/>
    <w:rsid w:val="00FC1820"/>
    <w:rsid w:val="00FC4B03"/>
    <w:rsid w:val="00FC4E2D"/>
    <w:rsid w:val="00FC5ECE"/>
    <w:rsid w:val="00FC605F"/>
    <w:rsid w:val="00FC6B3C"/>
    <w:rsid w:val="00FD00E8"/>
    <w:rsid w:val="00FD129B"/>
    <w:rsid w:val="00FD1BDB"/>
    <w:rsid w:val="00FD26E9"/>
    <w:rsid w:val="00FD2837"/>
    <w:rsid w:val="00FD2853"/>
    <w:rsid w:val="00FD30D9"/>
    <w:rsid w:val="00FD5C2E"/>
    <w:rsid w:val="00FD63B3"/>
    <w:rsid w:val="00FD7BD8"/>
    <w:rsid w:val="00FD7ECE"/>
    <w:rsid w:val="00FE0BBD"/>
    <w:rsid w:val="00FE3C25"/>
    <w:rsid w:val="00FE4D38"/>
    <w:rsid w:val="00FE570F"/>
    <w:rsid w:val="00FE617E"/>
    <w:rsid w:val="00FE79F0"/>
    <w:rsid w:val="00FF2A83"/>
    <w:rsid w:val="00FF48EE"/>
    <w:rsid w:val="00FF4C94"/>
    <w:rsid w:val="00FF6AB3"/>
    <w:rsid w:val="00FF6BDC"/>
    <w:rsid w:val="00FF7AA9"/>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20BF"/>
  <w15:chartTrackingRefBased/>
  <w15:docId w15:val="{AF67BB5E-1472-4FEE-96B6-A7236016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480" w:lineRule="auto"/>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2F"/>
  </w:style>
  <w:style w:type="paragraph" w:styleId="Heading1">
    <w:name w:val="heading 1"/>
    <w:basedOn w:val="Normal"/>
    <w:next w:val="Normal"/>
    <w:link w:val="Heading1Char"/>
    <w:uiPriority w:val="9"/>
    <w:qFormat/>
    <w:rsid w:val="00E447AD"/>
    <w:pPr>
      <w:keepNext/>
      <w:outlineLvl w:val="0"/>
    </w:pPr>
    <w:rPr>
      <w:i/>
      <w:iCs/>
    </w:rPr>
  </w:style>
  <w:style w:type="paragraph" w:styleId="Heading2">
    <w:name w:val="heading 2"/>
    <w:basedOn w:val="Normal"/>
    <w:next w:val="Normal"/>
    <w:link w:val="Heading2Char"/>
    <w:uiPriority w:val="9"/>
    <w:unhideWhenUsed/>
    <w:qFormat/>
    <w:rsid w:val="00E75BA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32F"/>
    <w:pPr>
      <w:contextualSpacing/>
    </w:pPr>
  </w:style>
  <w:style w:type="character" w:customStyle="1" w:styleId="Heading1Char">
    <w:name w:val="Heading 1 Char"/>
    <w:basedOn w:val="DefaultParagraphFont"/>
    <w:link w:val="Heading1"/>
    <w:uiPriority w:val="9"/>
    <w:rsid w:val="00E447AD"/>
    <w:rPr>
      <w:i/>
      <w:iCs/>
    </w:rPr>
  </w:style>
  <w:style w:type="character" w:styleId="PlaceholderText">
    <w:name w:val="Placeholder Text"/>
    <w:basedOn w:val="DefaultParagraphFont"/>
    <w:uiPriority w:val="99"/>
    <w:semiHidden/>
    <w:rsid w:val="00E31236"/>
    <w:rPr>
      <w:color w:val="808080"/>
    </w:rPr>
  </w:style>
  <w:style w:type="character" w:customStyle="1" w:styleId="Heading2Char">
    <w:name w:val="Heading 2 Char"/>
    <w:basedOn w:val="DefaultParagraphFont"/>
    <w:link w:val="Heading2"/>
    <w:uiPriority w:val="9"/>
    <w:rsid w:val="00E75BA0"/>
    <w:rPr>
      <w:b/>
      <w:bCs/>
    </w:rPr>
  </w:style>
  <w:style w:type="paragraph" w:styleId="Caption">
    <w:name w:val="caption"/>
    <w:basedOn w:val="Normal"/>
    <w:next w:val="Normal"/>
    <w:uiPriority w:val="35"/>
    <w:unhideWhenUsed/>
    <w:qFormat/>
    <w:rsid w:val="006458A1"/>
    <w:pPr>
      <w:spacing w:after="200" w:line="240" w:lineRule="auto"/>
      <w:ind w:left="1440" w:right="0" w:firstLine="0"/>
    </w:pPr>
    <w:rPr>
      <w:b/>
      <w:iCs/>
      <w:color w:val="000000" w:themeColor="text1"/>
      <w:sz w:val="22"/>
      <w:szCs w:val="18"/>
    </w:rPr>
  </w:style>
  <w:style w:type="table" w:styleId="TableGrid">
    <w:name w:val="Table Grid"/>
    <w:basedOn w:val="TableNormal"/>
    <w:uiPriority w:val="39"/>
    <w:rsid w:val="009A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B163EA"/>
  </w:style>
  <w:style w:type="character" w:styleId="CommentReference">
    <w:name w:val="annotation reference"/>
    <w:basedOn w:val="DefaultParagraphFont"/>
    <w:uiPriority w:val="99"/>
    <w:semiHidden/>
    <w:unhideWhenUsed/>
    <w:rsid w:val="00F50B74"/>
    <w:rPr>
      <w:sz w:val="16"/>
      <w:szCs w:val="16"/>
    </w:rPr>
  </w:style>
  <w:style w:type="paragraph" w:styleId="CommentText">
    <w:name w:val="annotation text"/>
    <w:basedOn w:val="Normal"/>
    <w:link w:val="CommentTextChar"/>
    <w:uiPriority w:val="99"/>
    <w:unhideWhenUsed/>
    <w:rsid w:val="00F50B74"/>
    <w:pPr>
      <w:spacing w:line="240" w:lineRule="auto"/>
    </w:pPr>
    <w:rPr>
      <w:sz w:val="20"/>
      <w:szCs w:val="20"/>
    </w:rPr>
  </w:style>
  <w:style w:type="character" w:customStyle="1" w:styleId="CommentTextChar">
    <w:name w:val="Comment Text Char"/>
    <w:basedOn w:val="DefaultParagraphFont"/>
    <w:link w:val="CommentText"/>
    <w:uiPriority w:val="99"/>
    <w:rsid w:val="00F50B74"/>
    <w:rPr>
      <w:sz w:val="20"/>
      <w:szCs w:val="20"/>
    </w:rPr>
  </w:style>
  <w:style w:type="paragraph" w:styleId="CommentSubject">
    <w:name w:val="annotation subject"/>
    <w:basedOn w:val="CommentText"/>
    <w:next w:val="CommentText"/>
    <w:link w:val="CommentSubjectChar"/>
    <w:uiPriority w:val="99"/>
    <w:semiHidden/>
    <w:unhideWhenUsed/>
    <w:rsid w:val="00F50B74"/>
    <w:rPr>
      <w:b/>
      <w:bCs/>
    </w:rPr>
  </w:style>
  <w:style w:type="character" w:customStyle="1" w:styleId="CommentSubjectChar">
    <w:name w:val="Comment Subject Char"/>
    <w:basedOn w:val="CommentTextChar"/>
    <w:link w:val="CommentSubject"/>
    <w:uiPriority w:val="99"/>
    <w:semiHidden/>
    <w:rsid w:val="00F50B74"/>
    <w:rPr>
      <w:b/>
      <w:bCs/>
      <w:sz w:val="20"/>
      <w:szCs w:val="20"/>
    </w:rPr>
  </w:style>
  <w:style w:type="paragraph" w:styleId="Bibliography">
    <w:name w:val="Bibliography"/>
    <w:basedOn w:val="Normal"/>
    <w:next w:val="Normal"/>
    <w:uiPriority w:val="37"/>
    <w:unhideWhenUsed/>
    <w:rsid w:val="00EF65F6"/>
    <w:pPr>
      <w:spacing w:after="0"/>
    </w:pPr>
  </w:style>
  <w:style w:type="character" w:styleId="Hyperlink">
    <w:name w:val="Hyperlink"/>
    <w:basedOn w:val="DefaultParagraphFont"/>
    <w:uiPriority w:val="99"/>
    <w:unhideWhenUsed/>
    <w:rsid w:val="00CF1F31"/>
    <w:rPr>
      <w:color w:val="0563C1" w:themeColor="hyperlink"/>
      <w:u w:val="single"/>
    </w:rPr>
  </w:style>
  <w:style w:type="character" w:styleId="UnresolvedMention">
    <w:name w:val="Unresolved Mention"/>
    <w:basedOn w:val="DefaultParagraphFont"/>
    <w:uiPriority w:val="99"/>
    <w:semiHidden/>
    <w:unhideWhenUsed/>
    <w:rsid w:val="00CF1F31"/>
    <w:rPr>
      <w:color w:val="605E5C"/>
      <w:shd w:val="clear" w:color="auto" w:fill="E1DFDD"/>
    </w:rPr>
  </w:style>
  <w:style w:type="paragraph" w:styleId="Header">
    <w:name w:val="header"/>
    <w:basedOn w:val="Normal"/>
    <w:link w:val="HeaderChar"/>
    <w:uiPriority w:val="99"/>
    <w:unhideWhenUsed/>
    <w:rsid w:val="0016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F"/>
  </w:style>
  <w:style w:type="paragraph" w:styleId="Footer">
    <w:name w:val="footer"/>
    <w:basedOn w:val="Normal"/>
    <w:link w:val="FooterChar"/>
    <w:uiPriority w:val="99"/>
    <w:unhideWhenUsed/>
    <w:rsid w:val="0016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F"/>
  </w:style>
  <w:style w:type="paragraph" w:customStyle="1" w:styleId="captiontext">
    <w:name w:val="caption text"/>
    <w:basedOn w:val="Normal"/>
    <w:link w:val="captiontextChar"/>
    <w:uiPriority w:val="1"/>
    <w:qFormat/>
    <w:rsid w:val="00C37F94"/>
    <w:pPr>
      <w:ind w:left="1440" w:right="0" w:firstLine="0"/>
    </w:pPr>
    <w:rPr>
      <w:i/>
      <w:iCs/>
      <w:sz w:val="22"/>
      <w:szCs w:val="22"/>
    </w:rPr>
  </w:style>
  <w:style w:type="character" w:customStyle="1" w:styleId="captiontextChar">
    <w:name w:val="caption text Char"/>
    <w:basedOn w:val="DefaultParagraphFont"/>
    <w:link w:val="captiontext"/>
    <w:uiPriority w:val="1"/>
    <w:rsid w:val="00C37F94"/>
    <w:rPr>
      <w:i/>
      <w:iCs/>
      <w:sz w:val="22"/>
      <w:szCs w:val="22"/>
    </w:rPr>
  </w:style>
  <w:style w:type="paragraph" w:customStyle="1" w:styleId="tables">
    <w:name w:val="tables"/>
    <w:basedOn w:val="Normal"/>
    <w:link w:val="tablesChar"/>
    <w:uiPriority w:val="1"/>
    <w:qFormat/>
    <w:rsid w:val="00F6604D"/>
    <w:pPr>
      <w:tabs>
        <w:tab w:val="left" w:pos="720"/>
      </w:tabs>
      <w:spacing w:after="0"/>
      <w:ind w:left="0" w:right="0" w:firstLine="0"/>
    </w:pPr>
    <w:rPr>
      <w:sz w:val="22"/>
      <w:szCs w:val="22"/>
    </w:rPr>
  </w:style>
  <w:style w:type="character" w:customStyle="1" w:styleId="tablesChar">
    <w:name w:val="tables Char"/>
    <w:basedOn w:val="DefaultParagraphFont"/>
    <w:link w:val="tables"/>
    <w:uiPriority w:val="1"/>
    <w:rsid w:val="00F6604D"/>
    <w:rPr>
      <w:sz w:val="22"/>
      <w:szCs w:val="22"/>
    </w:rPr>
  </w:style>
  <w:style w:type="character" w:customStyle="1" w:styleId="normaltextrun">
    <w:name w:val="normaltextrun"/>
    <w:basedOn w:val="DefaultParagraphFont"/>
    <w:rsid w:val="008F5C96"/>
  </w:style>
  <w:style w:type="character" w:customStyle="1" w:styleId="eop">
    <w:name w:val="eop"/>
    <w:basedOn w:val="DefaultParagraphFont"/>
    <w:rsid w:val="008F5C96"/>
  </w:style>
  <w:style w:type="table" w:styleId="PlainTable5">
    <w:name w:val="Plain Table 5"/>
    <w:basedOn w:val="TableNormal"/>
    <w:uiPriority w:val="45"/>
    <w:rsid w:val="007C16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C37D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78296E"/>
    <w:pPr>
      <w:spacing w:after="0" w:line="240" w:lineRule="auto"/>
      <w:ind w:left="0" w:righ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2740">
      <w:bodyDiv w:val="1"/>
      <w:marLeft w:val="0"/>
      <w:marRight w:val="0"/>
      <w:marTop w:val="0"/>
      <w:marBottom w:val="0"/>
      <w:divBdr>
        <w:top w:val="none" w:sz="0" w:space="0" w:color="auto"/>
        <w:left w:val="none" w:sz="0" w:space="0" w:color="auto"/>
        <w:bottom w:val="none" w:sz="0" w:space="0" w:color="auto"/>
        <w:right w:val="none" w:sz="0" w:space="0" w:color="auto"/>
      </w:divBdr>
      <w:divsChild>
        <w:div w:id="1297682955">
          <w:marLeft w:val="0"/>
          <w:marRight w:val="0"/>
          <w:marTop w:val="0"/>
          <w:marBottom w:val="0"/>
          <w:divBdr>
            <w:top w:val="none" w:sz="0" w:space="0" w:color="auto"/>
            <w:left w:val="none" w:sz="0" w:space="0" w:color="auto"/>
            <w:bottom w:val="none" w:sz="0" w:space="0" w:color="auto"/>
            <w:right w:val="none" w:sz="0" w:space="0" w:color="auto"/>
          </w:divBdr>
          <w:divsChild>
            <w:div w:id="1826967309">
              <w:marLeft w:val="0"/>
              <w:marRight w:val="0"/>
              <w:marTop w:val="0"/>
              <w:marBottom w:val="0"/>
              <w:divBdr>
                <w:top w:val="none" w:sz="0" w:space="0" w:color="auto"/>
                <w:left w:val="none" w:sz="0" w:space="0" w:color="auto"/>
                <w:bottom w:val="none" w:sz="0" w:space="0" w:color="auto"/>
                <w:right w:val="none" w:sz="0" w:space="0" w:color="auto"/>
              </w:divBdr>
            </w:div>
          </w:divsChild>
        </w:div>
        <w:div w:id="1701589052">
          <w:marLeft w:val="0"/>
          <w:marRight w:val="0"/>
          <w:marTop w:val="0"/>
          <w:marBottom w:val="0"/>
          <w:divBdr>
            <w:top w:val="none" w:sz="0" w:space="0" w:color="auto"/>
            <w:left w:val="none" w:sz="0" w:space="0" w:color="auto"/>
            <w:bottom w:val="none" w:sz="0" w:space="0" w:color="auto"/>
            <w:right w:val="none" w:sz="0" w:space="0" w:color="auto"/>
          </w:divBdr>
          <w:divsChild>
            <w:div w:id="1323122855">
              <w:marLeft w:val="0"/>
              <w:marRight w:val="0"/>
              <w:marTop w:val="0"/>
              <w:marBottom w:val="0"/>
              <w:divBdr>
                <w:top w:val="none" w:sz="0" w:space="0" w:color="auto"/>
                <w:left w:val="none" w:sz="0" w:space="0" w:color="auto"/>
                <w:bottom w:val="none" w:sz="0" w:space="0" w:color="auto"/>
                <w:right w:val="none" w:sz="0" w:space="0" w:color="auto"/>
              </w:divBdr>
            </w:div>
          </w:divsChild>
        </w:div>
        <w:div w:id="820196223">
          <w:marLeft w:val="0"/>
          <w:marRight w:val="0"/>
          <w:marTop w:val="0"/>
          <w:marBottom w:val="0"/>
          <w:divBdr>
            <w:top w:val="none" w:sz="0" w:space="0" w:color="auto"/>
            <w:left w:val="none" w:sz="0" w:space="0" w:color="auto"/>
            <w:bottom w:val="none" w:sz="0" w:space="0" w:color="auto"/>
            <w:right w:val="none" w:sz="0" w:space="0" w:color="auto"/>
          </w:divBdr>
          <w:divsChild>
            <w:div w:id="21266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5245">
      <w:bodyDiv w:val="1"/>
      <w:marLeft w:val="0"/>
      <w:marRight w:val="0"/>
      <w:marTop w:val="0"/>
      <w:marBottom w:val="0"/>
      <w:divBdr>
        <w:top w:val="none" w:sz="0" w:space="0" w:color="auto"/>
        <w:left w:val="none" w:sz="0" w:space="0" w:color="auto"/>
        <w:bottom w:val="none" w:sz="0" w:space="0" w:color="auto"/>
        <w:right w:val="none" w:sz="0" w:space="0" w:color="auto"/>
      </w:divBdr>
    </w:div>
    <w:div w:id="434517540">
      <w:bodyDiv w:val="1"/>
      <w:marLeft w:val="0"/>
      <w:marRight w:val="0"/>
      <w:marTop w:val="0"/>
      <w:marBottom w:val="0"/>
      <w:divBdr>
        <w:top w:val="none" w:sz="0" w:space="0" w:color="auto"/>
        <w:left w:val="none" w:sz="0" w:space="0" w:color="auto"/>
        <w:bottom w:val="none" w:sz="0" w:space="0" w:color="auto"/>
        <w:right w:val="none" w:sz="0" w:space="0" w:color="auto"/>
      </w:divBdr>
    </w:div>
    <w:div w:id="533884209">
      <w:bodyDiv w:val="1"/>
      <w:marLeft w:val="0"/>
      <w:marRight w:val="0"/>
      <w:marTop w:val="0"/>
      <w:marBottom w:val="0"/>
      <w:divBdr>
        <w:top w:val="none" w:sz="0" w:space="0" w:color="auto"/>
        <w:left w:val="none" w:sz="0" w:space="0" w:color="auto"/>
        <w:bottom w:val="none" w:sz="0" w:space="0" w:color="auto"/>
        <w:right w:val="none" w:sz="0" w:space="0" w:color="auto"/>
      </w:divBdr>
      <w:divsChild>
        <w:div w:id="70588045">
          <w:marLeft w:val="0"/>
          <w:marRight w:val="0"/>
          <w:marTop w:val="0"/>
          <w:marBottom w:val="0"/>
          <w:divBdr>
            <w:top w:val="single" w:sz="2" w:space="0" w:color="D9D9E3"/>
            <w:left w:val="single" w:sz="2" w:space="0" w:color="D9D9E3"/>
            <w:bottom w:val="single" w:sz="2" w:space="0" w:color="D9D9E3"/>
            <w:right w:val="single" w:sz="2" w:space="0" w:color="D9D9E3"/>
          </w:divBdr>
          <w:divsChild>
            <w:div w:id="952714939">
              <w:marLeft w:val="0"/>
              <w:marRight w:val="0"/>
              <w:marTop w:val="0"/>
              <w:marBottom w:val="0"/>
              <w:divBdr>
                <w:top w:val="single" w:sz="2" w:space="0" w:color="D9D9E3"/>
                <w:left w:val="single" w:sz="2" w:space="0" w:color="D9D9E3"/>
                <w:bottom w:val="single" w:sz="2" w:space="0" w:color="D9D9E3"/>
                <w:right w:val="single" w:sz="2" w:space="0" w:color="D9D9E3"/>
              </w:divBdr>
              <w:divsChild>
                <w:div w:id="1520774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19606086">
      <w:bodyDiv w:val="1"/>
      <w:marLeft w:val="0"/>
      <w:marRight w:val="0"/>
      <w:marTop w:val="0"/>
      <w:marBottom w:val="0"/>
      <w:divBdr>
        <w:top w:val="none" w:sz="0" w:space="0" w:color="auto"/>
        <w:left w:val="none" w:sz="0" w:space="0" w:color="auto"/>
        <w:bottom w:val="none" w:sz="0" w:space="0" w:color="auto"/>
        <w:right w:val="none" w:sz="0" w:space="0" w:color="auto"/>
      </w:divBdr>
    </w:div>
    <w:div w:id="747966234">
      <w:bodyDiv w:val="1"/>
      <w:marLeft w:val="0"/>
      <w:marRight w:val="0"/>
      <w:marTop w:val="0"/>
      <w:marBottom w:val="0"/>
      <w:divBdr>
        <w:top w:val="none" w:sz="0" w:space="0" w:color="auto"/>
        <w:left w:val="none" w:sz="0" w:space="0" w:color="auto"/>
        <w:bottom w:val="none" w:sz="0" w:space="0" w:color="auto"/>
        <w:right w:val="none" w:sz="0" w:space="0" w:color="auto"/>
      </w:divBdr>
      <w:divsChild>
        <w:div w:id="1486241121">
          <w:marLeft w:val="0"/>
          <w:marRight w:val="0"/>
          <w:marTop w:val="0"/>
          <w:marBottom w:val="0"/>
          <w:divBdr>
            <w:top w:val="none" w:sz="0" w:space="0" w:color="auto"/>
            <w:left w:val="none" w:sz="0" w:space="0" w:color="auto"/>
            <w:bottom w:val="none" w:sz="0" w:space="0" w:color="auto"/>
            <w:right w:val="none" w:sz="0" w:space="0" w:color="auto"/>
          </w:divBdr>
        </w:div>
        <w:div w:id="1820414609">
          <w:marLeft w:val="0"/>
          <w:marRight w:val="0"/>
          <w:marTop w:val="0"/>
          <w:marBottom w:val="0"/>
          <w:divBdr>
            <w:top w:val="none" w:sz="0" w:space="0" w:color="auto"/>
            <w:left w:val="none" w:sz="0" w:space="0" w:color="auto"/>
            <w:bottom w:val="none" w:sz="0" w:space="0" w:color="auto"/>
            <w:right w:val="none" w:sz="0" w:space="0" w:color="auto"/>
          </w:divBdr>
        </w:div>
      </w:divsChild>
    </w:div>
    <w:div w:id="753237368">
      <w:bodyDiv w:val="1"/>
      <w:marLeft w:val="0"/>
      <w:marRight w:val="0"/>
      <w:marTop w:val="0"/>
      <w:marBottom w:val="0"/>
      <w:divBdr>
        <w:top w:val="none" w:sz="0" w:space="0" w:color="auto"/>
        <w:left w:val="none" w:sz="0" w:space="0" w:color="auto"/>
        <w:bottom w:val="none" w:sz="0" w:space="0" w:color="auto"/>
        <w:right w:val="none" w:sz="0" w:space="0" w:color="auto"/>
      </w:divBdr>
      <w:divsChild>
        <w:div w:id="1952087884">
          <w:marLeft w:val="0"/>
          <w:marRight w:val="0"/>
          <w:marTop w:val="0"/>
          <w:marBottom w:val="0"/>
          <w:divBdr>
            <w:top w:val="single" w:sz="2" w:space="0" w:color="D9D9E3"/>
            <w:left w:val="single" w:sz="2" w:space="0" w:color="D9D9E3"/>
            <w:bottom w:val="single" w:sz="2" w:space="0" w:color="D9D9E3"/>
            <w:right w:val="single" w:sz="2" w:space="0" w:color="D9D9E3"/>
          </w:divBdr>
          <w:divsChild>
            <w:div w:id="1042947267">
              <w:marLeft w:val="0"/>
              <w:marRight w:val="0"/>
              <w:marTop w:val="0"/>
              <w:marBottom w:val="0"/>
              <w:divBdr>
                <w:top w:val="single" w:sz="2" w:space="0" w:color="D9D9E3"/>
                <w:left w:val="single" w:sz="2" w:space="0" w:color="D9D9E3"/>
                <w:bottom w:val="single" w:sz="2" w:space="0" w:color="D9D9E3"/>
                <w:right w:val="single" w:sz="2" w:space="0" w:color="D9D9E3"/>
              </w:divBdr>
              <w:divsChild>
                <w:div w:id="1742363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87940790">
      <w:bodyDiv w:val="1"/>
      <w:marLeft w:val="0"/>
      <w:marRight w:val="0"/>
      <w:marTop w:val="0"/>
      <w:marBottom w:val="0"/>
      <w:divBdr>
        <w:top w:val="none" w:sz="0" w:space="0" w:color="auto"/>
        <w:left w:val="none" w:sz="0" w:space="0" w:color="auto"/>
        <w:bottom w:val="none" w:sz="0" w:space="0" w:color="auto"/>
        <w:right w:val="none" w:sz="0" w:space="0" w:color="auto"/>
      </w:divBdr>
    </w:div>
    <w:div w:id="793601403">
      <w:bodyDiv w:val="1"/>
      <w:marLeft w:val="0"/>
      <w:marRight w:val="0"/>
      <w:marTop w:val="0"/>
      <w:marBottom w:val="0"/>
      <w:divBdr>
        <w:top w:val="none" w:sz="0" w:space="0" w:color="auto"/>
        <w:left w:val="none" w:sz="0" w:space="0" w:color="auto"/>
        <w:bottom w:val="none" w:sz="0" w:space="0" w:color="auto"/>
        <w:right w:val="none" w:sz="0" w:space="0" w:color="auto"/>
      </w:divBdr>
    </w:div>
    <w:div w:id="1177572296">
      <w:bodyDiv w:val="1"/>
      <w:marLeft w:val="0"/>
      <w:marRight w:val="0"/>
      <w:marTop w:val="0"/>
      <w:marBottom w:val="0"/>
      <w:divBdr>
        <w:top w:val="none" w:sz="0" w:space="0" w:color="auto"/>
        <w:left w:val="none" w:sz="0" w:space="0" w:color="auto"/>
        <w:bottom w:val="none" w:sz="0" w:space="0" w:color="auto"/>
        <w:right w:val="none" w:sz="0" w:space="0" w:color="auto"/>
      </w:divBdr>
    </w:div>
    <w:div w:id="1195654810">
      <w:bodyDiv w:val="1"/>
      <w:marLeft w:val="0"/>
      <w:marRight w:val="0"/>
      <w:marTop w:val="0"/>
      <w:marBottom w:val="0"/>
      <w:divBdr>
        <w:top w:val="none" w:sz="0" w:space="0" w:color="auto"/>
        <w:left w:val="none" w:sz="0" w:space="0" w:color="auto"/>
        <w:bottom w:val="none" w:sz="0" w:space="0" w:color="auto"/>
        <w:right w:val="none" w:sz="0" w:space="0" w:color="auto"/>
      </w:divBdr>
      <w:divsChild>
        <w:div w:id="360130895">
          <w:marLeft w:val="0"/>
          <w:marRight w:val="0"/>
          <w:marTop w:val="0"/>
          <w:marBottom w:val="0"/>
          <w:divBdr>
            <w:top w:val="single" w:sz="2" w:space="0" w:color="D9D9E3"/>
            <w:left w:val="single" w:sz="2" w:space="0" w:color="D9D9E3"/>
            <w:bottom w:val="single" w:sz="2" w:space="0" w:color="D9D9E3"/>
            <w:right w:val="single" w:sz="2" w:space="0" w:color="D9D9E3"/>
          </w:divBdr>
          <w:divsChild>
            <w:div w:id="1476332418">
              <w:marLeft w:val="0"/>
              <w:marRight w:val="0"/>
              <w:marTop w:val="0"/>
              <w:marBottom w:val="0"/>
              <w:divBdr>
                <w:top w:val="single" w:sz="2" w:space="0" w:color="D9D9E3"/>
                <w:left w:val="single" w:sz="2" w:space="0" w:color="D9D9E3"/>
                <w:bottom w:val="single" w:sz="2" w:space="0" w:color="D9D9E3"/>
                <w:right w:val="single" w:sz="2" w:space="0" w:color="D9D9E3"/>
              </w:divBdr>
              <w:divsChild>
                <w:div w:id="20134828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28492221">
      <w:bodyDiv w:val="1"/>
      <w:marLeft w:val="0"/>
      <w:marRight w:val="0"/>
      <w:marTop w:val="0"/>
      <w:marBottom w:val="0"/>
      <w:divBdr>
        <w:top w:val="none" w:sz="0" w:space="0" w:color="auto"/>
        <w:left w:val="none" w:sz="0" w:space="0" w:color="auto"/>
        <w:bottom w:val="none" w:sz="0" w:space="0" w:color="auto"/>
        <w:right w:val="none" w:sz="0" w:space="0" w:color="auto"/>
      </w:divBdr>
    </w:div>
    <w:div w:id="1234701822">
      <w:bodyDiv w:val="1"/>
      <w:marLeft w:val="0"/>
      <w:marRight w:val="0"/>
      <w:marTop w:val="0"/>
      <w:marBottom w:val="0"/>
      <w:divBdr>
        <w:top w:val="none" w:sz="0" w:space="0" w:color="auto"/>
        <w:left w:val="none" w:sz="0" w:space="0" w:color="auto"/>
        <w:bottom w:val="none" w:sz="0" w:space="0" w:color="auto"/>
        <w:right w:val="none" w:sz="0" w:space="0" w:color="auto"/>
      </w:divBdr>
    </w:div>
    <w:div w:id="1270087760">
      <w:bodyDiv w:val="1"/>
      <w:marLeft w:val="0"/>
      <w:marRight w:val="0"/>
      <w:marTop w:val="0"/>
      <w:marBottom w:val="0"/>
      <w:divBdr>
        <w:top w:val="none" w:sz="0" w:space="0" w:color="auto"/>
        <w:left w:val="none" w:sz="0" w:space="0" w:color="auto"/>
        <w:bottom w:val="none" w:sz="0" w:space="0" w:color="auto"/>
        <w:right w:val="none" w:sz="0" w:space="0" w:color="auto"/>
      </w:divBdr>
    </w:div>
    <w:div w:id="1302077894">
      <w:bodyDiv w:val="1"/>
      <w:marLeft w:val="0"/>
      <w:marRight w:val="0"/>
      <w:marTop w:val="0"/>
      <w:marBottom w:val="0"/>
      <w:divBdr>
        <w:top w:val="none" w:sz="0" w:space="0" w:color="auto"/>
        <w:left w:val="none" w:sz="0" w:space="0" w:color="auto"/>
        <w:bottom w:val="none" w:sz="0" w:space="0" w:color="auto"/>
        <w:right w:val="none" w:sz="0" w:space="0" w:color="auto"/>
      </w:divBdr>
    </w:div>
    <w:div w:id="1482964475">
      <w:bodyDiv w:val="1"/>
      <w:marLeft w:val="0"/>
      <w:marRight w:val="0"/>
      <w:marTop w:val="0"/>
      <w:marBottom w:val="0"/>
      <w:divBdr>
        <w:top w:val="none" w:sz="0" w:space="0" w:color="auto"/>
        <w:left w:val="none" w:sz="0" w:space="0" w:color="auto"/>
        <w:bottom w:val="none" w:sz="0" w:space="0" w:color="auto"/>
        <w:right w:val="none" w:sz="0" w:space="0" w:color="auto"/>
      </w:divBdr>
    </w:div>
    <w:div w:id="1676303382">
      <w:bodyDiv w:val="1"/>
      <w:marLeft w:val="0"/>
      <w:marRight w:val="0"/>
      <w:marTop w:val="0"/>
      <w:marBottom w:val="0"/>
      <w:divBdr>
        <w:top w:val="none" w:sz="0" w:space="0" w:color="auto"/>
        <w:left w:val="none" w:sz="0" w:space="0" w:color="auto"/>
        <w:bottom w:val="none" w:sz="0" w:space="0" w:color="auto"/>
        <w:right w:val="none" w:sz="0" w:space="0" w:color="auto"/>
      </w:divBdr>
    </w:div>
    <w:div w:id="2052151583">
      <w:bodyDiv w:val="1"/>
      <w:marLeft w:val="0"/>
      <w:marRight w:val="0"/>
      <w:marTop w:val="0"/>
      <w:marBottom w:val="0"/>
      <w:divBdr>
        <w:top w:val="none" w:sz="0" w:space="0" w:color="auto"/>
        <w:left w:val="none" w:sz="0" w:space="0" w:color="auto"/>
        <w:bottom w:val="none" w:sz="0" w:space="0" w:color="auto"/>
        <w:right w:val="none" w:sz="0" w:space="0" w:color="auto"/>
      </w:divBdr>
    </w:div>
    <w:div w:id="2130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tlas.eia.gov/apps/5039a1a01ec34b6bbf0ab4fd57da5eb4/explore"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5979-A855-4AA6-84F2-9C6F113F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10569</Words>
  <Characters>60247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Ducheine</dc:creator>
  <cp:keywords/>
  <dc:description/>
  <cp:lastModifiedBy>Janelle Ducheine</cp:lastModifiedBy>
  <cp:revision>19</cp:revision>
  <dcterms:created xsi:type="dcterms:W3CDTF">2024-02-11T20:22:00Z</dcterms:created>
  <dcterms:modified xsi:type="dcterms:W3CDTF">2024-02-15T21:22:00Z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id="LgjD2cAI"/&gt;&lt;style id="http://www.zotero.org/styles/apa" locale="en-US" hasBibliography="1" bibliographyStyleHasBeenSet="1"/&gt;&lt;prefs&gt;&lt;pref name="fieldType" value="Field"/&gt;&lt;/prefs&gt;&lt;/data&gt;</vt:lpwstr>
  </property>
</Properties>
</file>