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2509" w14:textId="780651B3" w:rsidR="00D35165" w:rsidRDefault="00D35165" w:rsidP="00D35165">
      <w:pPr>
        <w:spacing w:line="480" w:lineRule="auto"/>
        <w:jc w:val="both"/>
        <w:rPr>
          <w:color w:val="000000"/>
        </w:rPr>
      </w:pPr>
    </w:p>
    <w:p w14:paraId="25793D62" w14:textId="3734AE18" w:rsidR="00D35165" w:rsidRDefault="00D35165" w:rsidP="00D35165">
      <w:pPr>
        <w:spacing w:line="480" w:lineRule="auto"/>
        <w:jc w:val="both"/>
        <w:rPr>
          <w:color w:val="000000"/>
        </w:rPr>
      </w:pPr>
    </w:p>
    <w:p w14:paraId="7B07B238" w14:textId="714D16EF" w:rsidR="00D35165" w:rsidRDefault="00D35165" w:rsidP="00D35165">
      <w:pPr>
        <w:spacing w:line="480" w:lineRule="auto"/>
        <w:jc w:val="both"/>
        <w:rPr>
          <w:color w:val="000000"/>
        </w:rPr>
      </w:pPr>
    </w:p>
    <w:p w14:paraId="3575D41F" w14:textId="04578880" w:rsidR="00D35165" w:rsidRDefault="00D35165" w:rsidP="00D35165">
      <w:pPr>
        <w:spacing w:line="480" w:lineRule="auto"/>
        <w:jc w:val="both"/>
        <w:rPr>
          <w:color w:val="000000"/>
        </w:rPr>
      </w:pPr>
    </w:p>
    <w:p w14:paraId="2D1C44CF" w14:textId="3088766B" w:rsidR="00D35165" w:rsidRDefault="00D35165" w:rsidP="00D35165">
      <w:pPr>
        <w:spacing w:line="480" w:lineRule="auto"/>
        <w:jc w:val="both"/>
        <w:rPr>
          <w:color w:val="000000"/>
        </w:rPr>
      </w:pPr>
    </w:p>
    <w:p w14:paraId="7E33A9B4" w14:textId="1F025F7F" w:rsidR="00D35165" w:rsidRDefault="00D35165" w:rsidP="00D35165">
      <w:pPr>
        <w:spacing w:line="480" w:lineRule="auto"/>
        <w:jc w:val="both"/>
        <w:rPr>
          <w:color w:val="000000"/>
        </w:rPr>
      </w:pPr>
    </w:p>
    <w:p w14:paraId="39163D6A" w14:textId="77777777" w:rsidR="00D35165" w:rsidRPr="001443A2" w:rsidRDefault="00D35165" w:rsidP="00D35165">
      <w:pPr>
        <w:spacing w:line="480" w:lineRule="auto"/>
        <w:jc w:val="both"/>
        <w:rPr>
          <w:color w:val="000000"/>
        </w:rPr>
      </w:pPr>
    </w:p>
    <w:p w14:paraId="1C1BCC46" w14:textId="77777777" w:rsidR="00D35165" w:rsidRPr="001443A2" w:rsidRDefault="00D35165" w:rsidP="00D35165">
      <w:pPr>
        <w:spacing w:line="480" w:lineRule="auto"/>
        <w:jc w:val="both"/>
        <w:rPr>
          <w:color w:val="000000"/>
        </w:rPr>
      </w:pPr>
      <w:r w:rsidRPr="001443A2">
        <w:rPr>
          <w:color w:val="000000"/>
          <w:sz w:val="22"/>
          <w:szCs w:val="22"/>
          <w:shd w:val="clear" w:color="auto" w:fill="FFFFFF"/>
        </w:rPr>
        <w:t> </w:t>
      </w:r>
    </w:p>
    <w:p w14:paraId="71785299" w14:textId="77777777" w:rsidR="00D35165" w:rsidRPr="001443A2" w:rsidRDefault="00D35165" w:rsidP="00D35165">
      <w:pPr>
        <w:spacing w:line="480" w:lineRule="auto"/>
        <w:jc w:val="center"/>
        <w:rPr>
          <w:color w:val="000000"/>
        </w:rPr>
      </w:pPr>
      <w:r w:rsidRPr="001443A2">
        <w:rPr>
          <w:b/>
          <w:bCs/>
          <w:color w:val="000000"/>
          <w:sz w:val="22"/>
          <w:szCs w:val="22"/>
        </w:rPr>
        <w:t>Brain and Behavior: </w:t>
      </w:r>
    </w:p>
    <w:p w14:paraId="3005A820" w14:textId="77777777" w:rsidR="00D35165" w:rsidRPr="001443A2" w:rsidRDefault="00D35165" w:rsidP="00D35165">
      <w:pPr>
        <w:spacing w:line="480" w:lineRule="auto"/>
        <w:jc w:val="center"/>
        <w:rPr>
          <w:color w:val="000000"/>
        </w:rPr>
      </w:pPr>
      <w:r w:rsidRPr="001443A2">
        <w:rPr>
          <w:b/>
          <w:bCs/>
          <w:color w:val="000000"/>
          <w:sz w:val="22"/>
          <w:szCs w:val="22"/>
        </w:rPr>
        <w:t>Cognitive Failures are Associated with Sensation Seeking via Adolescent Marijuana Use</w:t>
      </w:r>
    </w:p>
    <w:p w14:paraId="640FA6DE" w14:textId="77777777" w:rsidR="00D35165" w:rsidRPr="001443A2" w:rsidRDefault="00D35165" w:rsidP="00D35165">
      <w:pPr>
        <w:spacing w:line="480" w:lineRule="auto"/>
        <w:rPr>
          <w:color w:val="000000"/>
        </w:rPr>
      </w:pPr>
      <w:r w:rsidRPr="001443A2">
        <w:rPr>
          <w:color w:val="000000"/>
          <w:sz w:val="22"/>
          <w:szCs w:val="22"/>
        </w:rPr>
        <w:t> </w:t>
      </w:r>
    </w:p>
    <w:p w14:paraId="47818B48" w14:textId="77777777" w:rsidR="00D35165" w:rsidRPr="001443A2" w:rsidRDefault="00D35165" w:rsidP="00D35165">
      <w:pPr>
        <w:spacing w:line="480" w:lineRule="auto"/>
        <w:jc w:val="center"/>
        <w:rPr>
          <w:color w:val="000000"/>
        </w:rPr>
      </w:pPr>
      <w:r w:rsidRPr="001443A2">
        <w:rPr>
          <w:color w:val="000000"/>
          <w:sz w:val="22"/>
          <w:szCs w:val="22"/>
        </w:rPr>
        <w:t>Nicole Rodrigues</w:t>
      </w:r>
    </w:p>
    <w:p w14:paraId="4FC933EE" w14:textId="77777777" w:rsidR="00D35165" w:rsidRPr="001443A2" w:rsidRDefault="00D35165" w:rsidP="00D35165">
      <w:pPr>
        <w:spacing w:line="480" w:lineRule="auto"/>
        <w:jc w:val="center"/>
        <w:rPr>
          <w:color w:val="000000"/>
        </w:rPr>
      </w:pPr>
      <w:r w:rsidRPr="001443A2">
        <w:rPr>
          <w:color w:val="000000"/>
          <w:sz w:val="22"/>
          <w:szCs w:val="22"/>
        </w:rPr>
        <w:t>Florida International University</w:t>
      </w:r>
    </w:p>
    <w:p w14:paraId="74DA0514" w14:textId="77777777" w:rsidR="00D35165" w:rsidRPr="001443A2" w:rsidRDefault="00D35165" w:rsidP="00D35165">
      <w:pPr>
        <w:spacing w:line="480" w:lineRule="auto"/>
        <w:jc w:val="center"/>
        <w:rPr>
          <w:color w:val="000000"/>
        </w:rPr>
      </w:pPr>
      <w:r w:rsidRPr="001443A2">
        <w:rPr>
          <w:color w:val="000000"/>
          <w:sz w:val="22"/>
          <w:szCs w:val="22"/>
        </w:rPr>
        <w:t> </w:t>
      </w:r>
    </w:p>
    <w:p w14:paraId="6B01C560" w14:textId="77777777" w:rsidR="00D35165" w:rsidRPr="001443A2" w:rsidRDefault="00D35165" w:rsidP="00D35165">
      <w:pPr>
        <w:spacing w:line="480" w:lineRule="auto"/>
        <w:jc w:val="center"/>
        <w:rPr>
          <w:color w:val="000000"/>
        </w:rPr>
      </w:pPr>
      <w:r w:rsidRPr="001443A2">
        <w:rPr>
          <w:color w:val="000000"/>
          <w:sz w:val="22"/>
          <w:szCs w:val="22"/>
        </w:rPr>
        <w:t> </w:t>
      </w:r>
    </w:p>
    <w:p w14:paraId="3DFDF07B" w14:textId="77777777" w:rsidR="00D35165" w:rsidRPr="001443A2" w:rsidRDefault="00D35165" w:rsidP="00D35165">
      <w:pPr>
        <w:spacing w:line="480" w:lineRule="auto"/>
        <w:jc w:val="center"/>
        <w:rPr>
          <w:color w:val="000000"/>
        </w:rPr>
      </w:pPr>
      <w:r w:rsidRPr="001443A2">
        <w:rPr>
          <w:color w:val="000000"/>
          <w:sz w:val="22"/>
          <w:szCs w:val="22"/>
        </w:rPr>
        <w:t> </w:t>
      </w:r>
    </w:p>
    <w:p w14:paraId="51FF7B38" w14:textId="77777777" w:rsidR="00D35165" w:rsidRPr="001443A2" w:rsidRDefault="00D35165" w:rsidP="00D35165">
      <w:pPr>
        <w:spacing w:line="480" w:lineRule="auto"/>
        <w:jc w:val="center"/>
        <w:rPr>
          <w:color w:val="000000"/>
        </w:rPr>
      </w:pPr>
      <w:r w:rsidRPr="001443A2">
        <w:rPr>
          <w:color w:val="000000"/>
          <w:sz w:val="22"/>
          <w:szCs w:val="22"/>
        </w:rPr>
        <w:t> </w:t>
      </w:r>
    </w:p>
    <w:p w14:paraId="5126F9B2" w14:textId="77777777" w:rsidR="00D35165" w:rsidRPr="001443A2" w:rsidRDefault="00D35165" w:rsidP="00D35165">
      <w:pPr>
        <w:spacing w:line="480" w:lineRule="auto"/>
        <w:jc w:val="center"/>
        <w:rPr>
          <w:color w:val="000000"/>
        </w:rPr>
      </w:pPr>
      <w:r w:rsidRPr="001443A2">
        <w:rPr>
          <w:color w:val="000000"/>
          <w:sz w:val="22"/>
          <w:szCs w:val="22"/>
        </w:rPr>
        <w:t> </w:t>
      </w:r>
    </w:p>
    <w:p w14:paraId="5F460026" w14:textId="77777777" w:rsidR="00D35165" w:rsidRPr="001443A2" w:rsidRDefault="00D35165" w:rsidP="00D35165">
      <w:pPr>
        <w:spacing w:line="480" w:lineRule="auto"/>
        <w:jc w:val="center"/>
        <w:rPr>
          <w:color w:val="000000"/>
        </w:rPr>
      </w:pPr>
      <w:r w:rsidRPr="001443A2">
        <w:rPr>
          <w:color w:val="000000"/>
          <w:sz w:val="22"/>
          <w:szCs w:val="22"/>
        </w:rPr>
        <w:t> </w:t>
      </w:r>
    </w:p>
    <w:p w14:paraId="1B808D85" w14:textId="77777777" w:rsidR="00D35165" w:rsidRPr="001443A2" w:rsidRDefault="00D35165" w:rsidP="00D35165">
      <w:pPr>
        <w:spacing w:line="480" w:lineRule="auto"/>
        <w:jc w:val="center"/>
        <w:rPr>
          <w:color w:val="000000"/>
        </w:rPr>
      </w:pPr>
      <w:r w:rsidRPr="001443A2">
        <w:rPr>
          <w:color w:val="000000"/>
          <w:sz w:val="22"/>
          <w:szCs w:val="22"/>
        </w:rPr>
        <w:t>Key Words: working memory, endocannabinoid system, prefrontal cortex, oligodendroglia, marijuana, cannabis, adolescents, sensation-seeking, neurobiology</w:t>
      </w:r>
    </w:p>
    <w:p w14:paraId="2DC1E762" w14:textId="77777777" w:rsidR="00D35165" w:rsidRPr="001443A2" w:rsidRDefault="00D35165" w:rsidP="00D35165">
      <w:pPr>
        <w:spacing w:line="480" w:lineRule="auto"/>
        <w:jc w:val="center"/>
        <w:rPr>
          <w:color w:val="000000"/>
        </w:rPr>
      </w:pPr>
      <w:r w:rsidRPr="001443A2">
        <w:rPr>
          <w:color w:val="000000"/>
          <w:sz w:val="22"/>
          <w:szCs w:val="22"/>
        </w:rPr>
        <w:t> </w:t>
      </w:r>
    </w:p>
    <w:p w14:paraId="02D659B2" w14:textId="253EE0C7" w:rsidR="00D35165" w:rsidRDefault="00D35165" w:rsidP="00D35165">
      <w:pPr>
        <w:spacing w:line="480" w:lineRule="auto"/>
        <w:jc w:val="center"/>
        <w:rPr>
          <w:color w:val="000000"/>
          <w:sz w:val="22"/>
          <w:szCs w:val="22"/>
        </w:rPr>
      </w:pPr>
      <w:r w:rsidRPr="001443A2">
        <w:rPr>
          <w:color w:val="000000"/>
          <w:sz w:val="22"/>
          <w:szCs w:val="22"/>
        </w:rPr>
        <w:t>Empirical Study</w:t>
      </w:r>
    </w:p>
    <w:p w14:paraId="784200E4" w14:textId="77777777" w:rsidR="00D35165" w:rsidRPr="001443A2" w:rsidRDefault="00D35165" w:rsidP="00D35165">
      <w:pPr>
        <w:spacing w:line="480" w:lineRule="auto"/>
        <w:jc w:val="center"/>
        <w:rPr>
          <w:color w:val="000000"/>
        </w:rPr>
      </w:pPr>
    </w:p>
    <w:p w14:paraId="42D12AF7" w14:textId="77777777" w:rsidR="00D35165" w:rsidRDefault="00D35165">
      <w:pPr>
        <w:pBdr>
          <w:top w:val="nil"/>
          <w:left w:val="nil"/>
          <w:bottom w:val="nil"/>
          <w:right w:val="nil"/>
          <w:between w:val="nil"/>
        </w:pBdr>
        <w:spacing w:line="480" w:lineRule="auto"/>
        <w:ind w:left="360" w:hanging="360"/>
        <w:jc w:val="both"/>
      </w:pPr>
    </w:p>
    <w:p w14:paraId="534E25D1" w14:textId="77777777" w:rsidR="0094224D" w:rsidRDefault="00000000">
      <w:pPr>
        <w:numPr>
          <w:ilvl w:val="0"/>
          <w:numId w:val="1"/>
        </w:numPr>
        <w:pBdr>
          <w:top w:val="nil"/>
          <w:left w:val="nil"/>
          <w:bottom w:val="nil"/>
          <w:right w:val="nil"/>
          <w:between w:val="nil"/>
        </w:pBdr>
        <w:spacing w:line="480" w:lineRule="auto"/>
        <w:ind w:left="360"/>
        <w:jc w:val="both"/>
      </w:pPr>
      <w:r>
        <w:rPr>
          <w:b/>
        </w:rPr>
        <w:lastRenderedPageBreak/>
        <w:t>Introduction</w:t>
      </w:r>
    </w:p>
    <w:p w14:paraId="780D9F62" w14:textId="77777777" w:rsidR="0094224D" w:rsidRDefault="00000000">
      <w:pPr>
        <w:pBdr>
          <w:top w:val="nil"/>
          <w:left w:val="nil"/>
          <w:bottom w:val="nil"/>
          <w:right w:val="nil"/>
          <w:between w:val="nil"/>
        </w:pBdr>
        <w:spacing w:line="480" w:lineRule="auto"/>
        <w:ind w:firstLine="360"/>
        <w:jc w:val="both"/>
      </w:pPr>
      <w:r>
        <w:t>Cannabis is one of the most popular drugs amongst adolescents, with 16.4% of adolescents aged 12-17 and 51.9% of individuals aged 18-25 years having used cannabis in their lifetime in the United States (</w:t>
      </w:r>
      <w:proofErr w:type="spellStart"/>
      <w:r>
        <w:t>Camchong</w:t>
      </w:r>
      <w:proofErr w:type="spellEnd"/>
      <w:r>
        <w:t xml:space="preserve"> et al., 2016). Moreover, cannabis has been found to alter the development of the prefrontal cortex (PFC), which can also alter the development of proper executive functioning tasks, such as working memory (Bloomfield et al., 2019; </w:t>
      </w:r>
      <w:proofErr w:type="spellStart"/>
      <w:r>
        <w:t>Funahashi</w:t>
      </w:r>
      <w:proofErr w:type="spellEnd"/>
      <w:r>
        <w:t>, 2006). It is important to note that the PFC develops during adolescence, therefore sensitizing this region to chemical alterations in the endocannabinoid system due to underdeveloped neural pathways (</w:t>
      </w:r>
      <w:proofErr w:type="spellStart"/>
      <w:r>
        <w:t>Duperouzzel</w:t>
      </w:r>
      <w:proofErr w:type="spellEnd"/>
      <w:r>
        <w:t xml:space="preserve"> et al., 2019). </w:t>
      </w:r>
    </w:p>
    <w:p w14:paraId="3DA87859" w14:textId="77777777" w:rsidR="0094224D" w:rsidRDefault="00000000">
      <w:pPr>
        <w:spacing w:line="480" w:lineRule="auto"/>
        <w:ind w:firstLine="360"/>
        <w:jc w:val="both"/>
      </w:pPr>
      <w:r>
        <w:t>The endocannabinoid system is responsible for the development of executive functioning in the PFC and is sensitive to any exogenous cannabinoids (exocannabinoids), such as Δ</w:t>
      </w:r>
      <w:r>
        <w:rPr>
          <w:vertAlign w:val="superscript"/>
        </w:rPr>
        <w:t>9</w:t>
      </w:r>
      <w:r>
        <w:t xml:space="preserve">-tetrahydrocannabinol (THC) and cannabidiol (CBD), that may be introduced through cannabis use (Dougherty et al., 2012). Additionally, endogenous cannabinoids (endocannabinoids) – natural cannabinoids that the body produces – attach to cannabinoid receptors in the endocannabinoid system, many of which are found in the PFC (Dougherty et al., 2012). Since cannabis contains exocannabinoids that also attach to the receptors in the endocannabinoid system, the differences in the chemical structure of these compounds can alter working memory after prolonged use, especially if cannabis is consumed earlier in life, as in the case of early-onset cannabis use – use of cannabis prior to age 16 – which may raise the risk of cognitive failures through working memory impairments (Stringfield &amp; Torregrossa, 2021). </w:t>
      </w:r>
    </w:p>
    <w:p w14:paraId="031DD104" w14:textId="77777777" w:rsidR="0094224D" w:rsidRDefault="00000000">
      <w:pPr>
        <w:spacing w:line="480" w:lineRule="auto"/>
        <w:ind w:firstLine="360"/>
        <w:jc w:val="both"/>
      </w:pPr>
      <w:r>
        <w:t>Increased concerns exist for the development and health of myelination in adolescent marijuana users due to the presence of cannabinoid receptors on oligodendrocytes (</w:t>
      </w:r>
      <w:proofErr w:type="spellStart"/>
      <w:r>
        <w:t>Lubman</w:t>
      </w:r>
      <w:proofErr w:type="spellEnd"/>
      <w:r>
        <w:t xml:space="preserve"> et al., 2015). That is, impaired working memory may result from using marijuana during adolescence </w:t>
      </w:r>
      <w:r>
        <w:lastRenderedPageBreak/>
        <w:t xml:space="preserve">due to false signaling of G-proteins within oligodendrocytes, thus affecting their function of myelinating nearby neurons (Ford, 2021; </w:t>
      </w:r>
      <w:proofErr w:type="spellStart"/>
      <w:r>
        <w:t>Lubman</w:t>
      </w:r>
      <w:proofErr w:type="spellEnd"/>
      <w:r>
        <w:t xml:space="preserve"> et al., 2015). </w:t>
      </w:r>
    </w:p>
    <w:p w14:paraId="29E84266" w14:textId="77777777" w:rsidR="0094224D" w:rsidRDefault="00000000">
      <w:pPr>
        <w:spacing w:line="480" w:lineRule="auto"/>
        <w:ind w:firstLine="360"/>
        <w:jc w:val="both"/>
      </w:pPr>
      <w:r>
        <w:t xml:space="preserve">Since the effects of exocannabinoids on the developing brain indicate a probability of memory impairments, concerns are raised for youth high in sensation-seeking tendencies because their internal desire to seek out new and thrilling experiences may predispose them to marijuana use (Curry et al., 2018; Duperrouzel et al., 2019; Zuckerman, 2015). This internal desire can be attributed to the maturation of the striatum, the brain’s reward system, before the PFC has finished developing, allowing young adolescents to desire and seek out novel experiences without considering the negative consequences (Galvan, 2010). Additionally, studies find that young adolescents require more stimulation from a reward to receive the same amount of satisfaction if the stimulus were presented to an adult, putting marijuana use at an even greater threat to youth due to hyposensitization (Galvan, 2010). </w:t>
      </w:r>
    </w:p>
    <w:p w14:paraId="4E480285" w14:textId="77777777" w:rsidR="0094224D" w:rsidRDefault="00000000">
      <w:pPr>
        <w:spacing w:line="480" w:lineRule="auto"/>
        <w:ind w:firstLine="360"/>
        <w:jc w:val="both"/>
      </w:pPr>
      <w:r>
        <w:t xml:space="preserve">It is significant to note that much of prior literature focuses on the adverse effects of adolescent marijuana use. However, a neurobiological basis is not always mentioned to explain why these negative effects occur. This article investigates the </w:t>
      </w:r>
      <w:proofErr w:type="gramStart"/>
      <w:r>
        <w:t>often omitted</w:t>
      </w:r>
      <w:proofErr w:type="gramEnd"/>
      <w:r>
        <w:t xml:space="preserve"> neurobiological basis of sensation-seeking tendencies and how this behavior may lead to adolescent marijuana use and, consequently, cognitive failures from the changes in brain structure and function.</w:t>
      </w:r>
    </w:p>
    <w:p w14:paraId="3B959364" w14:textId="77777777" w:rsidR="0094224D" w:rsidRDefault="00000000">
      <w:pPr>
        <w:numPr>
          <w:ilvl w:val="0"/>
          <w:numId w:val="1"/>
        </w:numPr>
        <w:pBdr>
          <w:top w:val="nil"/>
          <w:left w:val="nil"/>
          <w:bottom w:val="nil"/>
          <w:right w:val="nil"/>
          <w:between w:val="nil"/>
        </w:pBdr>
        <w:spacing w:line="480" w:lineRule="auto"/>
        <w:ind w:left="360"/>
        <w:jc w:val="both"/>
      </w:pPr>
      <w:r>
        <w:rPr>
          <w:b/>
        </w:rPr>
        <w:t>Literature Review</w:t>
      </w:r>
    </w:p>
    <w:p w14:paraId="74442C75" w14:textId="77777777" w:rsidR="0094224D" w:rsidRDefault="00000000">
      <w:pPr>
        <w:pBdr>
          <w:top w:val="nil"/>
          <w:left w:val="nil"/>
          <w:bottom w:val="nil"/>
          <w:right w:val="nil"/>
          <w:between w:val="nil"/>
        </w:pBdr>
        <w:spacing w:line="480" w:lineRule="auto"/>
        <w:ind w:firstLine="720"/>
        <w:jc w:val="both"/>
      </w:pPr>
      <w:r>
        <w:t xml:space="preserve">Cannabis is one of the most popular drugs among adolescents. Namely, 10.2% of 8th graders, 18.7% of 10th graders, and 30.5% of 12th graders have used marijuana in the past year (Johnston et al., 2021). A main concern regarding adolescent marijuana use is the long-term negative health effects, which have been found to affect brain structure and function with earlier marijuana use (Bloomfield et al., 2019; </w:t>
      </w:r>
      <w:proofErr w:type="spellStart"/>
      <w:r>
        <w:t>Camchong</w:t>
      </w:r>
      <w:proofErr w:type="spellEnd"/>
      <w:r>
        <w:t xml:space="preserve"> et al., 2016; Duperrouzel et al., 2019). These </w:t>
      </w:r>
      <w:r>
        <w:lastRenderedPageBreak/>
        <w:t xml:space="preserve">negative effects include the proper functioning of working memory and other higher cortical functions required for healthy mental maturation (e.g., by altering the PFC; Duperrouzel et al., 2019; Zehra et al., 2018). Since the PFC develops during adolescence, this region is sensitized to internal and external stimuli; these stimuli include changes in hormone levels, peer influences, external rewards, social contact, and substance use (e.g., marijuana; Widjojo, 2018). </w:t>
      </w:r>
    </w:p>
    <w:p w14:paraId="766A6921" w14:textId="77777777" w:rsidR="0094224D" w:rsidRDefault="00000000">
      <w:pPr>
        <w:pBdr>
          <w:top w:val="nil"/>
          <w:left w:val="nil"/>
          <w:bottom w:val="nil"/>
          <w:right w:val="nil"/>
          <w:between w:val="nil"/>
        </w:pBdr>
        <w:spacing w:line="480" w:lineRule="auto"/>
        <w:jc w:val="both"/>
        <w:rPr>
          <w:i/>
        </w:rPr>
      </w:pPr>
      <w:r>
        <w:rPr>
          <w:i/>
        </w:rPr>
        <w:t>2.1. The Endocannabinoid System</w:t>
      </w:r>
    </w:p>
    <w:p w14:paraId="6B501517" w14:textId="77777777" w:rsidR="0094224D" w:rsidRDefault="00000000">
      <w:pPr>
        <w:spacing w:line="480" w:lineRule="auto"/>
        <w:ind w:firstLine="720"/>
      </w:pPr>
      <w:r>
        <w:t xml:space="preserve">The endocannabinoid system produces endogenous cannabinoids to help develop executive functioning in the PFC (Dougherty et al., 2012). Cannabinoid receptors, such as cannabinoid type 1 (CB1) receptors, are found throughout glial cells and neurons in the PFC (Dougherty et al., 2012; Kruk-Slomka et al., 2016; </w:t>
      </w:r>
      <w:proofErr w:type="spellStart"/>
      <w:r>
        <w:t>Lubman</w:t>
      </w:r>
      <w:proofErr w:type="spellEnd"/>
      <w:r>
        <w:t xml:space="preserve"> et al., 2015). Since cannabis contains exocannabinoids that also attach to the receptors in the endocannabinoid system, such as Δ</w:t>
      </w:r>
      <w:r>
        <w:rPr>
          <w:vertAlign w:val="superscript"/>
        </w:rPr>
        <w:t>9</w:t>
      </w:r>
      <w:r>
        <w:t xml:space="preserve">-tetrahydrocannabinol (THC) and cannabidiol (CBD), the differences in the chemical structure of these compounds can alter glial cell functionality after prolonged use, especially if cannabis is consumed earlier in life, as in the case of early onset cannabis use – use of cannabis prior to age 16 (Stringfield &amp; Torregrossa, 2021). </w:t>
      </w:r>
    </w:p>
    <w:p w14:paraId="7A46082A" w14:textId="77777777" w:rsidR="0094224D" w:rsidRDefault="00000000">
      <w:pPr>
        <w:spacing w:line="480" w:lineRule="auto"/>
        <w:ind w:firstLine="720"/>
      </w:pPr>
      <w:r>
        <w:t xml:space="preserve">Specifically, oligodendrocytes– the neuroglial cells that make myelin sheaths and attach to axons on neurons to provide synaptic support – contain CB1 receptors within their structure (Ford, 2021; </w:t>
      </w:r>
      <w:proofErr w:type="spellStart"/>
      <w:r>
        <w:t>Lubman</w:t>
      </w:r>
      <w:proofErr w:type="spellEnd"/>
      <w:r>
        <w:t xml:space="preserve"> et al., 2015). As Duperrouzel and colleagues (2019) find, exocannabinoids introduced to the developing adolescent brain disrupt functional connectivity and change brain structure in the PFC. Since CB1 receptors exist on oligodendroglia, cannabis use can potentially lead to alterations in myelination through CB1 receptor activation on oligodendrocyte cells (</w:t>
      </w:r>
      <w:proofErr w:type="spellStart"/>
      <w:r>
        <w:t>Lubman</w:t>
      </w:r>
      <w:proofErr w:type="spellEnd"/>
      <w:r>
        <w:t xml:space="preserve"> et al., 2015). </w:t>
      </w:r>
    </w:p>
    <w:p w14:paraId="6BB43A5A" w14:textId="77777777" w:rsidR="0094224D" w:rsidRDefault="00000000">
      <w:pPr>
        <w:pBdr>
          <w:top w:val="nil"/>
          <w:left w:val="nil"/>
          <w:bottom w:val="nil"/>
          <w:right w:val="nil"/>
          <w:between w:val="nil"/>
        </w:pBdr>
        <w:spacing w:line="480" w:lineRule="auto"/>
        <w:jc w:val="both"/>
        <w:rPr>
          <w:i/>
        </w:rPr>
      </w:pPr>
      <w:r>
        <w:rPr>
          <w:i/>
        </w:rPr>
        <w:t>2.2. The Brain and Working Memory</w:t>
      </w:r>
    </w:p>
    <w:p w14:paraId="7C2F7BB6" w14:textId="77777777" w:rsidR="0094224D" w:rsidRDefault="00000000">
      <w:pPr>
        <w:pBdr>
          <w:top w:val="nil"/>
          <w:left w:val="nil"/>
          <w:bottom w:val="nil"/>
          <w:right w:val="nil"/>
          <w:between w:val="nil"/>
        </w:pBdr>
        <w:spacing w:line="480" w:lineRule="auto"/>
        <w:jc w:val="both"/>
        <w:rPr>
          <w:i/>
        </w:rPr>
      </w:pPr>
      <w:r>
        <w:rPr>
          <w:i/>
        </w:rPr>
        <w:lastRenderedPageBreak/>
        <w:t>2.2.1. The Prefrontal Cortex</w:t>
      </w:r>
    </w:p>
    <w:p w14:paraId="44AA0069" w14:textId="77777777" w:rsidR="0094224D" w:rsidRDefault="00000000">
      <w:pPr>
        <w:spacing w:line="480" w:lineRule="auto"/>
        <w:ind w:firstLine="720"/>
      </w:pPr>
      <w:r>
        <w:t>The PFC develops throughout most of one’s life, from the prenatal period to one’s mid-forties when myelination completes; however, most of its development occurs during adolescence (Gibb &amp; Kolb, 2015). Because the PFC is in development during adolescence, higher cortical functions associated with this region, such as working memory, are also developing (Lopez-Larson et al., 2011). Alterations in PFC structure and functionality during adolescence raise concerns for the individual because these alterations affect the development of working memory (</w:t>
      </w:r>
      <w:proofErr w:type="spellStart"/>
      <w:r>
        <w:t>Funahashi</w:t>
      </w:r>
      <w:proofErr w:type="spellEnd"/>
      <w:r>
        <w:t>, 2006). Additionally, working memory is linked to the functioning of related higher cortical tasks, including thinking, decision-making, and planning (</w:t>
      </w:r>
      <w:proofErr w:type="spellStart"/>
      <w:r>
        <w:t>Funahashi</w:t>
      </w:r>
      <w:proofErr w:type="spellEnd"/>
      <w:r>
        <w:t>, 2006).</w:t>
      </w:r>
    </w:p>
    <w:p w14:paraId="48DE8965" w14:textId="77777777" w:rsidR="0094224D" w:rsidRDefault="00000000">
      <w:pPr>
        <w:pBdr>
          <w:top w:val="nil"/>
          <w:left w:val="nil"/>
          <w:bottom w:val="nil"/>
          <w:right w:val="nil"/>
          <w:between w:val="nil"/>
        </w:pBdr>
        <w:spacing w:line="480" w:lineRule="auto"/>
        <w:jc w:val="both"/>
        <w:rPr>
          <w:i/>
        </w:rPr>
      </w:pPr>
      <w:r>
        <w:rPr>
          <w:i/>
        </w:rPr>
        <w:t>2.3. Heavy Adolescent Marijuana Use</w:t>
      </w:r>
    </w:p>
    <w:p w14:paraId="1C49CBF3" w14:textId="77777777" w:rsidR="0094224D" w:rsidRDefault="00000000">
      <w:pPr>
        <w:pBdr>
          <w:top w:val="nil"/>
          <w:left w:val="nil"/>
          <w:bottom w:val="nil"/>
          <w:right w:val="nil"/>
          <w:between w:val="nil"/>
        </w:pBdr>
        <w:spacing w:line="480" w:lineRule="auto"/>
        <w:jc w:val="both"/>
        <w:rPr>
          <w:i/>
        </w:rPr>
      </w:pPr>
      <w:r>
        <w:rPr>
          <w:i/>
        </w:rPr>
        <w:t>2.3.1. Cognitive Failures</w:t>
      </w:r>
    </w:p>
    <w:p w14:paraId="5621DE1A" w14:textId="77777777" w:rsidR="0094224D" w:rsidRDefault="00000000">
      <w:pPr>
        <w:pBdr>
          <w:top w:val="nil"/>
          <w:left w:val="nil"/>
          <w:bottom w:val="nil"/>
          <w:right w:val="nil"/>
          <w:between w:val="nil"/>
        </w:pBdr>
        <w:spacing w:line="480" w:lineRule="auto"/>
        <w:ind w:firstLine="720"/>
        <w:jc w:val="both"/>
      </w:pPr>
      <w:r>
        <w:t xml:space="preserve">As many studies find, heavy marijuana users present impairments in cognitive capabilities, primarily those who started using marijuana earlier in their youth (Jackson et al., 2016; Schweinsburg et al., 2008; Shrivastava et al., 2011). Cognitive failures such as deficits in IQ, attention, memory, and verbal abilities have been found in such samples compared to samples who started using marijuana later in adolescence (Jackson et al., 2016; Schweinsburg et al., 2008). These findings may indicate early dependence that young cannabis users create with the substance early in the PFC’s developmental period, leading to frequent use </w:t>
      </w:r>
      <w:proofErr w:type="gramStart"/>
      <w:r>
        <w:t>through  adolescence</w:t>
      </w:r>
      <w:proofErr w:type="gramEnd"/>
      <w:r>
        <w:t xml:space="preserve"> and young adulthood (Shrivastava et al., 2011). </w:t>
      </w:r>
    </w:p>
    <w:p w14:paraId="6C526774" w14:textId="77777777" w:rsidR="0094224D" w:rsidRDefault="00000000">
      <w:pPr>
        <w:pBdr>
          <w:top w:val="nil"/>
          <w:left w:val="nil"/>
          <w:bottom w:val="nil"/>
          <w:right w:val="nil"/>
          <w:between w:val="nil"/>
        </w:pBdr>
        <w:spacing w:line="480" w:lineRule="auto"/>
        <w:jc w:val="both"/>
        <w:rPr>
          <w:i/>
        </w:rPr>
      </w:pPr>
      <w:r>
        <w:rPr>
          <w:i/>
        </w:rPr>
        <w:t>2.3.2. Learning and Memory</w:t>
      </w:r>
    </w:p>
    <w:p w14:paraId="3057CF71" w14:textId="77777777" w:rsidR="0094224D" w:rsidRDefault="00000000">
      <w:pPr>
        <w:spacing w:line="480" w:lineRule="auto"/>
        <w:ind w:firstLine="720"/>
      </w:pPr>
      <w:r>
        <w:t xml:space="preserve">Prior studies find that marijuana specifically has ties to endogenous memory alterations through use (Schweinsburg et al., 2008). </w:t>
      </w:r>
      <w:proofErr w:type="gramStart"/>
      <w:r>
        <w:t>A  study</w:t>
      </w:r>
      <w:proofErr w:type="gramEnd"/>
      <w:r>
        <w:t xml:space="preserve"> by Schweinsburg and colleagues (2008) finds </w:t>
      </w:r>
      <w:r>
        <w:lastRenderedPageBreak/>
        <w:t>that heavy marijuana-using adolescents do not improve on  short-term memory tasks after six weeks of abstinence. In contrast, other polysubstance-using adolescents (e.g., alcohol, nicotine, opioids) did not demonstrate as severe deficits as the marijuana-using sample. The previous findings indicate that cannabis has a direct and unique effect on learning and memory that most other substances do not (Schweinsburg et al., 2008).</w:t>
      </w:r>
    </w:p>
    <w:p w14:paraId="33BDF718" w14:textId="77777777" w:rsidR="0094224D" w:rsidRDefault="00000000">
      <w:pPr>
        <w:pBdr>
          <w:top w:val="nil"/>
          <w:left w:val="nil"/>
          <w:bottom w:val="nil"/>
          <w:right w:val="nil"/>
          <w:between w:val="nil"/>
        </w:pBdr>
        <w:spacing w:line="480" w:lineRule="auto"/>
        <w:jc w:val="both"/>
        <w:rPr>
          <w:i/>
        </w:rPr>
      </w:pPr>
      <w:r>
        <w:rPr>
          <w:i/>
        </w:rPr>
        <w:t>2.3.4. Early-onset Heavy Marijuana Use</w:t>
      </w:r>
    </w:p>
    <w:p w14:paraId="19BD33C8" w14:textId="77777777" w:rsidR="0094224D" w:rsidRDefault="00000000">
      <w:pPr>
        <w:pBdr>
          <w:top w:val="nil"/>
          <w:left w:val="nil"/>
          <w:bottom w:val="nil"/>
          <w:right w:val="nil"/>
          <w:between w:val="nil"/>
        </w:pBdr>
        <w:spacing w:line="480" w:lineRule="auto"/>
        <w:ind w:firstLine="720"/>
        <w:jc w:val="both"/>
      </w:pPr>
      <w:r>
        <w:t xml:space="preserve">What is known currently about long-term cognitive failures in heavy adolescent marijuana users is that increased dose at an earlier age demonstrates attentional dysfunction, decreased abilities in sequencing, and impaired verbal story memory into adulthood (Jackson et al., 2016; Schweinsburg et al., 2008). Namely, </w:t>
      </w:r>
      <w:proofErr w:type="gramStart"/>
      <w:r>
        <w:t>frequent</w:t>
      </w:r>
      <w:proofErr w:type="gramEnd"/>
      <w:r>
        <w:t xml:space="preserve"> and heavy use of marijuana during the early stages of adolescence continuing through young adulthood can provoke cognitive failures, even with cessation of use; however, these cognitive declines are not as profound if cessation takes place at an earlier age while the PFC is in development (Jackson et al., 2016; Schweinsburg et al., 2008). Increasing evidence supports the claim that proper development of the PFC is necessary for the maturation of working memory and other higher cognitive processes, and that heavy marijuana use can disturb such maturation when used in adolescence (Schweinsburg et al., 2008; </w:t>
      </w:r>
      <w:proofErr w:type="spellStart"/>
      <w:r>
        <w:t>Stringfield&amp;Torregrossa</w:t>
      </w:r>
      <w:proofErr w:type="spellEnd"/>
      <w:r>
        <w:t>, 2021).</w:t>
      </w:r>
    </w:p>
    <w:p w14:paraId="0A782DE4" w14:textId="77777777" w:rsidR="0094224D" w:rsidRDefault="00000000">
      <w:pPr>
        <w:pBdr>
          <w:top w:val="nil"/>
          <w:left w:val="nil"/>
          <w:bottom w:val="nil"/>
          <w:right w:val="nil"/>
          <w:between w:val="nil"/>
        </w:pBdr>
        <w:spacing w:line="480" w:lineRule="auto"/>
        <w:jc w:val="both"/>
        <w:rPr>
          <w:i/>
        </w:rPr>
      </w:pPr>
      <w:r>
        <w:rPr>
          <w:i/>
        </w:rPr>
        <w:t>2.4. Sensation-Seeking</w:t>
      </w:r>
    </w:p>
    <w:p w14:paraId="3F853A14" w14:textId="77777777" w:rsidR="0094224D" w:rsidRDefault="00000000">
      <w:pPr>
        <w:pBdr>
          <w:top w:val="nil"/>
          <w:left w:val="nil"/>
          <w:bottom w:val="nil"/>
          <w:right w:val="nil"/>
          <w:between w:val="nil"/>
        </w:pBdr>
        <w:spacing w:line="480" w:lineRule="auto"/>
        <w:ind w:firstLine="720"/>
        <w:jc w:val="both"/>
      </w:pPr>
      <w:r>
        <w:t xml:space="preserve">Prior work has shown that sensation-seeking is a risk factor for adolescent marijuana use (Hampson et al., 2008). Adolescents high in sensation-seeking, defined as the desire to seek stimulation from novel experiences and sensations (Zuckerman, 2015), are at a higher risk of experimenting with marijuana due to its popularity and perception of being a low-risk sensation experience (Hampson et al., 2008; Zuckerman, 2015). Barnum and Armstrong (2019) state that </w:t>
      </w:r>
      <w:r>
        <w:lastRenderedPageBreak/>
        <w:t xml:space="preserve">risk appraisal, the consideration of the risks and rewards associated with the behavior, mediates risk-taking behavior and sensation-seeking. For a risky behavior to occur, decision-making must take place to determine whether the potential rewards of such behavior will outweigh the potential risks; in this, many adolescents can think about whether the risky behavior is worth the potential risks it poses (Hampson et al., 2008; Zuckerman, 2015). </w:t>
      </w:r>
    </w:p>
    <w:p w14:paraId="7511D838" w14:textId="77777777" w:rsidR="0094224D" w:rsidRDefault="00000000">
      <w:pPr>
        <w:pBdr>
          <w:top w:val="nil"/>
          <w:left w:val="nil"/>
          <w:bottom w:val="nil"/>
          <w:right w:val="nil"/>
          <w:between w:val="nil"/>
        </w:pBdr>
        <w:spacing w:line="480" w:lineRule="auto"/>
        <w:jc w:val="both"/>
        <w:rPr>
          <w:i/>
        </w:rPr>
      </w:pPr>
      <w:r>
        <w:rPr>
          <w:i/>
        </w:rPr>
        <w:t>2.4.1. Neurobiology of Sensation-Seeking</w:t>
      </w:r>
    </w:p>
    <w:p w14:paraId="48A0DD12" w14:textId="77777777" w:rsidR="0094224D" w:rsidRDefault="00000000">
      <w:pPr>
        <w:pBdr>
          <w:top w:val="nil"/>
          <w:left w:val="nil"/>
          <w:bottom w:val="nil"/>
          <w:right w:val="nil"/>
          <w:between w:val="nil"/>
        </w:pBdr>
        <w:spacing w:line="480" w:lineRule="auto"/>
        <w:ind w:firstLine="720"/>
        <w:jc w:val="both"/>
      </w:pPr>
      <w:r>
        <w:t xml:space="preserve">Interestingly, sensation-seeking tendencies have been found to have a neuronal basis within the PFC and striatum (Coffman et al., 2021; Galvan, 2010). Studies find that the striatum finishes maturation before the PFC, which can explain why young adolescents may participate in risky activities, such as marijuana use, without considering the consequences (Galvan, 2010; Shad et al., 2011). Namely, an underdeveloped PFC does not have the maturity yet to make decisions by itself and depends on the reward system, mediated by the striatum, to help guide the decision-making process (Galvan, 2010; Shad et al., 2011). In effect, the young adolescent, led by internal feelings and desires, may engage in marijuana use to satisfy the reward system without considering the potential risks due to underdeveloped neural pathways in the PFC (Galvan, 2010; Shad et al., 2011). </w:t>
      </w:r>
    </w:p>
    <w:p w14:paraId="5E4DD7C6" w14:textId="77777777" w:rsidR="0094224D" w:rsidRDefault="00000000">
      <w:pPr>
        <w:pBdr>
          <w:top w:val="nil"/>
          <w:left w:val="nil"/>
          <w:bottom w:val="nil"/>
          <w:right w:val="nil"/>
          <w:between w:val="nil"/>
        </w:pBdr>
        <w:spacing w:line="480" w:lineRule="auto"/>
        <w:ind w:firstLine="720"/>
        <w:jc w:val="both"/>
      </w:pPr>
      <w:r>
        <w:t>Moreover, the striatum is hyposensitized during early adolescence; rewards must be heightened in early adolescence to receive similar stimulation that an adult would receive from the same reward (Galvan, 2010). Prior studies have found increased activity of the ventral striatum in adolescents as compared to adults when anticipating a reward (Bjork, 2004); this can explain an adolescent’s impulsiveness and reactivity in the presence of a highly stimulating experience, therefore increasing reward-seeking behavior (Galvan, 2010; Shad et al., 2011).</w:t>
      </w:r>
    </w:p>
    <w:p w14:paraId="6B5BB7C5" w14:textId="77777777" w:rsidR="0094224D" w:rsidRDefault="00000000">
      <w:pPr>
        <w:spacing w:line="480" w:lineRule="auto"/>
        <w:jc w:val="both"/>
        <w:rPr>
          <w:b/>
        </w:rPr>
      </w:pPr>
      <w:r>
        <w:rPr>
          <w:b/>
        </w:rPr>
        <w:t>3. Current Study</w:t>
      </w:r>
    </w:p>
    <w:p w14:paraId="38A5EF89" w14:textId="77777777" w:rsidR="0094224D" w:rsidRDefault="00000000">
      <w:pPr>
        <w:pBdr>
          <w:top w:val="nil"/>
          <w:left w:val="nil"/>
          <w:bottom w:val="nil"/>
          <w:right w:val="nil"/>
          <w:between w:val="nil"/>
        </w:pBdr>
        <w:spacing w:line="480" w:lineRule="auto"/>
        <w:ind w:firstLine="720"/>
        <w:jc w:val="both"/>
      </w:pPr>
      <w:r>
        <w:lastRenderedPageBreak/>
        <w:t xml:space="preserve">The high rates of cannabis use among adolescents are concerning since prior studies show that cannabis disrupts the maturation of the PFC during its developmental period in adolescence (Lopez-Larson et al., 2011). As such, adequate development of working memory in adolescence is critical because proper working memory reduces the risk of improper decision-making and thinking </w:t>
      </w:r>
      <w:proofErr w:type="gramStart"/>
      <w:r>
        <w:t>capabilities, and</w:t>
      </w:r>
      <w:proofErr w:type="gramEnd"/>
      <w:r>
        <w:t xml:space="preserve"> allows for the proper maturation of planning and judgement (</w:t>
      </w:r>
      <w:proofErr w:type="spellStart"/>
      <w:r>
        <w:t>Funahashi</w:t>
      </w:r>
      <w:proofErr w:type="spellEnd"/>
      <w:r>
        <w:t>, 2006; National Research Council (US) and Institute of Medicine (US) Board on Children, Youth, and Families, 1999). This study examined whether adolescent marijuana use mediates the effect of sensation-seeking on cognitive failures, and the neurobiological basis behind these behaviors.</w:t>
      </w:r>
    </w:p>
    <w:p w14:paraId="50E3350F" w14:textId="77777777" w:rsidR="0094224D" w:rsidRDefault="00000000">
      <w:pPr>
        <w:spacing w:line="480" w:lineRule="auto"/>
        <w:jc w:val="both"/>
        <w:rPr>
          <w:b/>
        </w:rPr>
      </w:pPr>
      <w:r>
        <w:rPr>
          <w:b/>
        </w:rPr>
        <w:t>4. Methods</w:t>
      </w:r>
    </w:p>
    <w:p w14:paraId="37775592" w14:textId="77777777" w:rsidR="0094224D" w:rsidRDefault="00000000">
      <w:pPr>
        <w:spacing w:line="480" w:lineRule="auto"/>
        <w:jc w:val="both"/>
        <w:rPr>
          <w:i/>
        </w:rPr>
      </w:pPr>
      <w:r>
        <w:rPr>
          <w:i/>
        </w:rPr>
        <w:t>4.1. Participants</w:t>
      </w:r>
    </w:p>
    <w:p w14:paraId="781A82B3" w14:textId="77777777" w:rsidR="0094224D" w:rsidRDefault="00000000">
      <w:pPr>
        <w:spacing w:line="480" w:lineRule="auto"/>
        <w:ind w:firstLine="720"/>
        <w:jc w:val="both"/>
      </w:pPr>
      <w:r>
        <w:t>The studied sample consisted of a sub-study of 165 adolescents (48.8% female, 88.6% White, 84.9% Hispanic/Latinx, M</w:t>
      </w:r>
      <w:r>
        <w:rPr>
          <w:vertAlign w:val="subscript"/>
        </w:rPr>
        <w:t>age</w:t>
      </w:r>
      <w:r>
        <w:t xml:space="preserve">=14.9) who completed the first wave (W1) of a larger ongoing multi-wave longitudinal study examining risk and protective factors impacting e-cigarette use. 9th and 10th-grade students enrolled in South Florida high schools and their caregivers completed W1 of the larger study. Exclusion criteria for adolescents included: intellectual or physical disabilities, neurological diseases, a learning disorder, severe mental illness, and a lack of English fluency. Moreover, adolescents needed to meet the criteria for either having a sibling or friend having tried a substance, high levels of impulsivity, or sensation-seeking, which have been linked with substance use (Curry et al., 2018). </w:t>
      </w:r>
    </w:p>
    <w:p w14:paraId="2C1503DD" w14:textId="77777777" w:rsidR="0094224D" w:rsidRDefault="00000000">
      <w:pPr>
        <w:spacing w:line="480" w:lineRule="auto"/>
        <w:jc w:val="both"/>
      </w:pPr>
      <w:r>
        <w:rPr>
          <w:i/>
        </w:rPr>
        <w:t>4.2. Procedures</w:t>
      </w:r>
    </w:p>
    <w:p w14:paraId="3D42126C" w14:textId="77777777" w:rsidR="0094224D" w:rsidRDefault="00000000">
      <w:pPr>
        <w:spacing w:line="480" w:lineRule="auto"/>
        <w:ind w:firstLine="720"/>
        <w:jc w:val="both"/>
      </w:pPr>
      <w:r>
        <w:t xml:space="preserve">Recruitment events were performed at public schools in South Florida. Interested adolescents and their caregivers completed an eligibility screen (where sensation-seeking was assessed). For those meeting criteria, a first in-person appointment was scheduled for W1-visit </w:t>
      </w:r>
      <w:r>
        <w:lastRenderedPageBreak/>
        <w:t xml:space="preserve">1(W1-V1) data collection; this subsample of participants visited the facility in-person for two visits for W1. For the first visit (W1-V1), adolescents and caregivers signed an informed consent and assent document before being placed into separate rooms to establish confidentiality while completing questionnaires; the adolescent subsample completed their questionnaires within 1.5 hours, and their caregivers within 45 minutes. Participants were scheduled to return within a month of the first visit for W1-visit 2 (W1-V2), in which adolescents completed another set of questionnaires within 15 minutes. </w:t>
      </w:r>
      <w:proofErr w:type="spellStart"/>
      <w:r>
        <w:t>IPads</w:t>
      </w:r>
      <w:proofErr w:type="spellEnd"/>
      <w:r>
        <w:t xml:space="preserve"> were used to conduct questionnaires via </w:t>
      </w:r>
      <w:proofErr w:type="spellStart"/>
      <w:r>
        <w:t>REDCap</w:t>
      </w:r>
      <w:proofErr w:type="spellEnd"/>
      <w:r>
        <w:t xml:space="preserve"> (Research Electronic Data Capture; Harris et al., 2019; Harris et al., 2009). Participants were then compensated monetarily for their participation in the study. The Institutional Review Board approved study procedures at the university (Florida International University). </w:t>
      </w:r>
    </w:p>
    <w:p w14:paraId="2AC98A9C" w14:textId="77777777" w:rsidR="0094224D" w:rsidRDefault="00000000">
      <w:pPr>
        <w:pBdr>
          <w:top w:val="nil"/>
          <w:left w:val="nil"/>
          <w:bottom w:val="nil"/>
          <w:right w:val="nil"/>
          <w:between w:val="nil"/>
        </w:pBdr>
        <w:spacing w:line="480" w:lineRule="auto"/>
        <w:jc w:val="both"/>
      </w:pPr>
      <w:r>
        <w:rPr>
          <w:i/>
        </w:rPr>
        <w:t>4.3. Measures</w:t>
      </w:r>
    </w:p>
    <w:p w14:paraId="10D74031" w14:textId="77777777" w:rsidR="0094224D" w:rsidRDefault="00000000">
      <w:pPr>
        <w:pBdr>
          <w:top w:val="nil"/>
          <w:left w:val="nil"/>
          <w:bottom w:val="nil"/>
          <w:right w:val="nil"/>
          <w:between w:val="nil"/>
        </w:pBdr>
        <w:spacing w:before="280" w:after="280" w:line="480" w:lineRule="auto"/>
        <w:ind w:firstLine="720"/>
        <w:jc w:val="both"/>
      </w:pPr>
      <w:r>
        <w:rPr>
          <w:b/>
        </w:rPr>
        <w:t xml:space="preserve">Substance Use Risk Profile Scale (SURPS):  </w:t>
      </w:r>
      <w:r>
        <w:t>Raw scores from the SURPS (</w:t>
      </w:r>
      <w:proofErr w:type="spellStart"/>
      <w:r>
        <w:t>Woicik</w:t>
      </w:r>
      <w:proofErr w:type="spellEnd"/>
      <w:r>
        <w:t xml:space="preserve"> et al., 2009) were used to assess adolescents' sensation-seeking at W1 during the eligibility screening (e.g., </w:t>
      </w:r>
      <w:r>
        <w:rPr>
          <w:i/>
        </w:rPr>
        <w:t>“I enjoy new and exciting experiences even if they are unconventional”</w:t>
      </w:r>
      <w:r>
        <w:t>). Items were rated on a 4-point Likert scale (1 = strongly disagree, 4 = strongly agree; Cronbach’s α = 0.54). </w:t>
      </w:r>
    </w:p>
    <w:p w14:paraId="2CC65026" w14:textId="77777777" w:rsidR="0094224D" w:rsidRDefault="00000000">
      <w:pPr>
        <w:pBdr>
          <w:top w:val="nil"/>
          <w:left w:val="nil"/>
          <w:bottom w:val="nil"/>
          <w:right w:val="nil"/>
          <w:between w:val="nil"/>
        </w:pBdr>
        <w:spacing w:before="280" w:after="280" w:line="480" w:lineRule="auto"/>
        <w:ind w:firstLine="720"/>
        <w:jc w:val="both"/>
      </w:pPr>
      <w:r>
        <w:rPr>
          <w:b/>
        </w:rPr>
        <w:t>Adolescent Marijuana Use:</w:t>
      </w:r>
      <w:r>
        <w:rPr>
          <w:highlight w:val="white"/>
        </w:rPr>
        <w:t xml:space="preserve"> Marijuana use was assessed at </w:t>
      </w:r>
      <w:r>
        <w:t>W1-V1</w:t>
      </w:r>
      <w:r>
        <w:rPr>
          <w:highlight w:val="white"/>
        </w:rPr>
        <w:t xml:space="preserve"> using one item adapted from the </w:t>
      </w:r>
      <w:r>
        <w:t xml:space="preserve">Population Assessment of Tobacco and Health Survey (PATH; Hyland et al., 2016). Participants were asked, </w:t>
      </w:r>
      <w:r>
        <w:rPr>
          <w:i/>
        </w:rPr>
        <w:t xml:space="preserve">“In the past year, on how many days did you use marijuana?” </w:t>
      </w:r>
      <w:r>
        <w:t>The number of days was entered in a textbox.</w:t>
      </w:r>
      <w:r>
        <w:rPr>
          <w:i/>
        </w:rPr>
        <w:t> </w:t>
      </w:r>
    </w:p>
    <w:p w14:paraId="4EFD8C0F" w14:textId="77777777" w:rsidR="0094224D" w:rsidRDefault="00000000">
      <w:pPr>
        <w:pBdr>
          <w:top w:val="nil"/>
          <w:left w:val="nil"/>
          <w:bottom w:val="nil"/>
          <w:right w:val="nil"/>
          <w:between w:val="nil"/>
        </w:pBdr>
        <w:spacing w:before="280" w:after="280" w:line="480" w:lineRule="auto"/>
        <w:ind w:firstLine="720"/>
        <w:jc w:val="both"/>
      </w:pPr>
      <w:r>
        <w:rPr>
          <w:b/>
        </w:rPr>
        <w:t xml:space="preserve">Cognitive Failures Questionnaire (CFQ): </w:t>
      </w:r>
      <w:r>
        <w:rPr>
          <w:highlight w:val="white"/>
        </w:rPr>
        <w:t xml:space="preserve">During the second visit of W1, participants completed the CFQ (Broadbent et al., 1982) to assess levels of cognitive failures. More specifically, the False Triggering subscale was used (e.g., </w:t>
      </w:r>
      <w:r>
        <w:rPr>
          <w:i/>
          <w:highlight w:val="white"/>
        </w:rPr>
        <w:t xml:space="preserve">“Do you find you forget which way to </w:t>
      </w:r>
      <w:r>
        <w:rPr>
          <w:i/>
          <w:highlight w:val="white"/>
        </w:rPr>
        <w:lastRenderedPageBreak/>
        <w:t>turn on a road you know well but rarely use?”</w:t>
      </w:r>
      <w:r>
        <w:rPr>
          <w:highlight w:val="white"/>
        </w:rPr>
        <w:t xml:space="preserve">; Cronbach’s </w:t>
      </w:r>
      <w:proofErr w:type="gramStart"/>
      <w:r>
        <w:t>α  =</w:t>
      </w:r>
      <w:proofErr w:type="gramEnd"/>
      <w:r>
        <w:t xml:space="preserve"> 0.78</w:t>
      </w:r>
      <w:r>
        <w:rPr>
          <w:highlight w:val="white"/>
        </w:rPr>
        <w:t>). Items were rated on a 5-point Likert scale (4= very often, 0= never), and responses were summed to produce a subscale score, with higher scores reflecting greater cognitive failures.</w:t>
      </w:r>
    </w:p>
    <w:p w14:paraId="6FF2F583" w14:textId="77777777" w:rsidR="0094224D" w:rsidRDefault="00000000">
      <w:pPr>
        <w:pBdr>
          <w:top w:val="nil"/>
          <w:left w:val="nil"/>
          <w:bottom w:val="nil"/>
          <w:right w:val="nil"/>
          <w:between w:val="nil"/>
        </w:pBdr>
        <w:spacing w:before="280" w:after="280" w:line="480" w:lineRule="auto"/>
        <w:ind w:firstLine="720"/>
        <w:jc w:val="both"/>
      </w:pPr>
      <w:r>
        <w:rPr>
          <w:b/>
        </w:rPr>
        <w:t>Demographic information</w:t>
      </w:r>
      <w:r>
        <w:t>. The following demographic variables were included as covariates: adolescents’ biological sex, age, and ethnicity. </w:t>
      </w:r>
    </w:p>
    <w:p w14:paraId="56C1892A" w14:textId="77777777" w:rsidR="0094224D" w:rsidRDefault="00000000">
      <w:pPr>
        <w:pBdr>
          <w:top w:val="nil"/>
          <w:left w:val="nil"/>
          <w:bottom w:val="nil"/>
          <w:right w:val="nil"/>
          <w:between w:val="nil"/>
        </w:pBdr>
        <w:spacing w:line="480" w:lineRule="auto"/>
        <w:jc w:val="both"/>
      </w:pPr>
      <w:r>
        <w:rPr>
          <w:i/>
        </w:rPr>
        <w:t>4.4. Data Analytic Plan</w:t>
      </w:r>
    </w:p>
    <w:p w14:paraId="59B803B9" w14:textId="77777777" w:rsidR="0094224D" w:rsidRDefault="00000000">
      <w:pPr>
        <w:pBdr>
          <w:top w:val="nil"/>
          <w:left w:val="nil"/>
          <w:bottom w:val="nil"/>
          <w:right w:val="nil"/>
          <w:between w:val="nil"/>
        </w:pBdr>
        <w:spacing w:before="280" w:after="280" w:line="480" w:lineRule="auto"/>
        <w:ind w:firstLine="720"/>
        <w:jc w:val="both"/>
      </w:pPr>
      <w:r>
        <w:t>Mediation analysis was conducted using the PROCESS macro version 3.3 (Hayes, 2019) for SASv9.4 (SAS Institute, 2002-2012). Specifically, we examined whether a participant’s self-reported days of marijuana use at W1-V1 (M) mediated the relationship between sensation-seeking assessed during eligibility screening (X) and cognitive failure use at W1-V2 (Y). Study variables were normally distributed (skewness range=-0.34-0.58, kurtosis range=-0.44-0.05) apart from days of marijuana use (skewness=5.94, kurtosis=36.41). Given the non-normality of this use variable, a logarithm transformation was applied (Kline, 2016). </w:t>
      </w:r>
    </w:p>
    <w:p w14:paraId="0373A687" w14:textId="77777777" w:rsidR="0094224D" w:rsidRDefault="00000000">
      <w:pPr>
        <w:pBdr>
          <w:top w:val="nil"/>
          <w:left w:val="nil"/>
          <w:bottom w:val="nil"/>
          <w:right w:val="nil"/>
          <w:between w:val="nil"/>
        </w:pBdr>
        <w:spacing w:before="280" w:after="280" w:line="480" w:lineRule="auto"/>
        <w:jc w:val="both"/>
      </w:pPr>
      <w:r>
        <w:rPr>
          <w:b/>
        </w:rPr>
        <w:t>5. Results</w:t>
      </w:r>
    </w:p>
    <w:p w14:paraId="06C8461D" w14:textId="77777777" w:rsidR="0094224D" w:rsidRDefault="00000000">
      <w:pPr>
        <w:pBdr>
          <w:top w:val="nil"/>
          <w:left w:val="nil"/>
          <w:bottom w:val="nil"/>
          <w:right w:val="nil"/>
          <w:between w:val="nil"/>
        </w:pBdr>
        <w:spacing w:before="280" w:after="280" w:line="480" w:lineRule="auto"/>
        <w:ind w:firstLine="720"/>
        <w:jc w:val="both"/>
      </w:pPr>
      <w:r>
        <w:t>Table 1 presents means, standard deviations, and correlations for study variables. Sensation-seeking was significantly positively correlated with days of marijuana use, and days of marijuana use were significantly positively correlated with cognitive failures. Further, a non-significant positive correlation was found between sensation-seeking and cognitive failures.</w:t>
      </w:r>
    </w:p>
    <w:p w14:paraId="4C367B6F" w14:textId="77777777" w:rsidR="0094224D" w:rsidRDefault="00000000">
      <w:pPr>
        <w:pBdr>
          <w:top w:val="nil"/>
          <w:left w:val="nil"/>
          <w:bottom w:val="nil"/>
          <w:right w:val="nil"/>
          <w:between w:val="nil"/>
        </w:pBdr>
        <w:spacing w:line="480" w:lineRule="auto"/>
        <w:jc w:val="both"/>
        <w:rPr>
          <w:i/>
        </w:rPr>
      </w:pPr>
      <w:r>
        <w:rPr>
          <w:i/>
        </w:rPr>
        <w:t>5.1 Mediation Model for Sensation-Seeking Impact on Marijuana Use</w:t>
      </w:r>
    </w:p>
    <w:p w14:paraId="612A344E" w14:textId="77777777" w:rsidR="0094224D" w:rsidRDefault="00000000">
      <w:pPr>
        <w:pBdr>
          <w:top w:val="nil"/>
          <w:left w:val="nil"/>
          <w:bottom w:val="nil"/>
          <w:right w:val="nil"/>
          <w:between w:val="nil"/>
        </w:pBdr>
        <w:spacing w:line="480" w:lineRule="auto"/>
        <w:jc w:val="both"/>
      </w:pPr>
      <w:r>
        <w:t>Figure 1</w:t>
      </w:r>
    </w:p>
    <w:p w14:paraId="2B256C27" w14:textId="77777777" w:rsidR="0094224D" w:rsidRDefault="00000000">
      <w:pPr>
        <w:pBdr>
          <w:top w:val="nil"/>
          <w:left w:val="nil"/>
          <w:bottom w:val="nil"/>
          <w:right w:val="nil"/>
          <w:between w:val="nil"/>
        </w:pBdr>
        <w:spacing w:before="280" w:after="280" w:line="480" w:lineRule="auto"/>
        <w:jc w:val="center"/>
        <w:rPr>
          <w:i/>
        </w:rPr>
        <w:sectPr w:rsidR="0094224D">
          <w:headerReference w:type="even" r:id="rId8"/>
          <w:headerReference w:type="default" r:id="rId9"/>
          <w:pgSz w:w="12240" w:h="15840"/>
          <w:pgMar w:top="1440" w:right="1440" w:bottom="1440" w:left="1440" w:header="720" w:footer="720" w:gutter="0"/>
          <w:pgNumType w:start="1"/>
          <w:cols w:space="720"/>
        </w:sectPr>
      </w:pPr>
      <w:r>
        <w:rPr>
          <w:i/>
          <w:noProof/>
        </w:rPr>
        <w:lastRenderedPageBreak/>
        <w:drawing>
          <wp:inline distT="0" distB="0" distL="0" distR="0" wp14:anchorId="00A7D580" wp14:editId="41B63963">
            <wp:extent cx="4197844" cy="2212841"/>
            <wp:effectExtent l="0" t="0" r="0" b="0"/>
            <wp:docPr id="3"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0"/>
                    <a:srcRect/>
                    <a:stretch>
                      <a:fillRect/>
                    </a:stretch>
                  </pic:blipFill>
                  <pic:spPr>
                    <a:xfrm>
                      <a:off x="0" y="0"/>
                      <a:ext cx="4197844" cy="2212841"/>
                    </a:xfrm>
                    <a:prstGeom prst="rect">
                      <a:avLst/>
                    </a:prstGeom>
                    <a:ln/>
                  </pic:spPr>
                </pic:pic>
              </a:graphicData>
            </a:graphic>
          </wp:inline>
        </w:drawing>
      </w:r>
    </w:p>
    <w:p w14:paraId="55B2E983" w14:textId="77777777" w:rsidR="0094224D" w:rsidRDefault="0094224D">
      <w:pPr>
        <w:pBdr>
          <w:top w:val="nil"/>
          <w:left w:val="nil"/>
          <w:bottom w:val="nil"/>
          <w:right w:val="nil"/>
          <w:between w:val="nil"/>
        </w:pBdr>
        <w:spacing w:before="280" w:after="280" w:line="480" w:lineRule="auto"/>
        <w:jc w:val="both"/>
      </w:pPr>
    </w:p>
    <w:tbl>
      <w:tblPr>
        <w:tblStyle w:val="a"/>
        <w:tblW w:w="13489" w:type="dxa"/>
        <w:tblLayout w:type="fixed"/>
        <w:tblLook w:val="0400" w:firstRow="0" w:lastRow="0" w:firstColumn="0" w:lastColumn="0" w:noHBand="0" w:noVBand="1"/>
      </w:tblPr>
      <w:tblGrid>
        <w:gridCol w:w="4072"/>
        <w:gridCol w:w="1098"/>
        <w:gridCol w:w="1098"/>
        <w:gridCol w:w="1558"/>
        <w:gridCol w:w="1001"/>
        <w:gridCol w:w="1098"/>
        <w:gridCol w:w="1270"/>
        <w:gridCol w:w="1098"/>
        <w:gridCol w:w="522"/>
        <w:gridCol w:w="337"/>
        <w:gridCol w:w="337"/>
      </w:tblGrid>
      <w:tr w:rsidR="0094224D" w14:paraId="7E061500" w14:textId="77777777">
        <w:trPr>
          <w:trHeight w:val="428"/>
          <w:tblHeader/>
        </w:trPr>
        <w:tc>
          <w:tcPr>
            <w:tcW w:w="13489" w:type="dxa"/>
            <w:gridSpan w:val="11"/>
            <w:tcMar>
              <w:top w:w="0" w:type="dxa"/>
              <w:left w:w="115" w:type="dxa"/>
              <w:bottom w:w="0" w:type="dxa"/>
              <w:right w:w="115" w:type="dxa"/>
            </w:tcMar>
          </w:tcPr>
          <w:p w14:paraId="4BB51C28" w14:textId="77777777" w:rsidR="0094224D" w:rsidRDefault="00000000">
            <w:pPr>
              <w:pStyle w:val="Heading1"/>
              <w:spacing w:before="0" w:after="0" w:line="480" w:lineRule="auto"/>
              <w:rPr>
                <w:sz w:val="24"/>
                <w:szCs w:val="24"/>
              </w:rPr>
            </w:pPr>
            <w:r>
              <w:rPr>
                <w:b w:val="0"/>
                <w:sz w:val="24"/>
                <w:szCs w:val="24"/>
              </w:rPr>
              <w:t>Table 1</w:t>
            </w:r>
          </w:p>
        </w:tc>
      </w:tr>
      <w:tr w:rsidR="0094224D" w14:paraId="78B8F230" w14:textId="77777777">
        <w:trPr>
          <w:trHeight w:val="428"/>
          <w:tblHeader/>
        </w:trPr>
        <w:tc>
          <w:tcPr>
            <w:tcW w:w="13489" w:type="dxa"/>
            <w:gridSpan w:val="11"/>
            <w:tcBorders>
              <w:bottom w:val="single" w:sz="4" w:space="0" w:color="000000"/>
            </w:tcBorders>
            <w:tcMar>
              <w:top w:w="0" w:type="dxa"/>
              <w:left w:w="115" w:type="dxa"/>
              <w:bottom w:w="0" w:type="dxa"/>
              <w:right w:w="115" w:type="dxa"/>
            </w:tcMar>
          </w:tcPr>
          <w:p w14:paraId="4A60A579" w14:textId="77777777" w:rsidR="0094224D" w:rsidRDefault="00000000">
            <w:pPr>
              <w:pStyle w:val="Heading1"/>
              <w:spacing w:before="0" w:after="0" w:line="480" w:lineRule="auto"/>
              <w:rPr>
                <w:sz w:val="24"/>
                <w:szCs w:val="24"/>
              </w:rPr>
            </w:pPr>
            <w:r>
              <w:rPr>
                <w:b w:val="0"/>
                <w:i/>
                <w:sz w:val="24"/>
                <w:szCs w:val="24"/>
              </w:rPr>
              <w:t>Means, Standard Deviations, and Correlations for Study Variables</w:t>
            </w:r>
          </w:p>
        </w:tc>
      </w:tr>
      <w:tr w:rsidR="0094224D" w14:paraId="10786F89" w14:textId="77777777">
        <w:trPr>
          <w:trHeight w:val="408"/>
          <w:tblHeader/>
        </w:trPr>
        <w:tc>
          <w:tcPr>
            <w:tcW w:w="4072" w:type="dxa"/>
            <w:tcBorders>
              <w:top w:val="single" w:sz="4" w:space="0" w:color="000000"/>
            </w:tcBorders>
            <w:tcMar>
              <w:top w:w="0" w:type="dxa"/>
              <w:left w:w="115" w:type="dxa"/>
              <w:bottom w:w="0" w:type="dxa"/>
              <w:right w:w="115" w:type="dxa"/>
            </w:tcMar>
            <w:vAlign w:val="center"/>
          </w:tcPr>
          <w:p w14:paraId="6A301678" w14:textId="77777777" w:rsidR="0094224D" w:rsidRDefault="0094224D">
            <w:pPr>
              <w:spacing w:line="480" w:lineRule="auto"/>
              <w:jc w:val="center"/>
              <w:rPr>
                <w:b/>
              </w:rPr>
            </w:pPr>
          </w:p>
        </w:tc>
        <w:tc>
          <w:tcPr>
            <w:tcW w:w="1098" w:type="dxa"/>
            <w:tcBorders>
              <w:top w:val="single" w:sz="4" w:space="0" w:color="000000"/>
            </w:tcBorders>
            <w:tcMar>
              <w:top w:w="0" w:type="dxa"/>
              <w:left w:w="115" w:type="dxa"/>
              <w:bottom w:w="0" w:type="dxa"/>
              <w:right w:w="115" w:type="dxa"/>
            </w:tcMar>
            <w:vAlign w:val="center"/>
          </w:tcPr>
          <w:p w14:paraId="51DADD53" w14:textId="77777777" w:rsidR="0094224D" w:rsidRDefault="00000000">
            <w:pPr>
              <w:pBdr>
                <w:top w:val="nil"/>
                <w:left w:val="nil"/>
                <w:bottom w:val="nil"/>
                <w:right w:val="nil"/>
                <w:between w:val="nil"/>
              </w:pBdr>
              <w:spacing w:line="480" w:lineRule="auto"/>
              <w:jc w:val="center"/>
              <w:rPr>
                <w:b/>
              </w:rPr>
            </w:pPr>
            <w:r>
              <w:rPr>
                <w:i/>
              </w:rPr>
              <w:t>M</w:t>
            </w:r>
          </w:p>
        </w:tc>
        <w:tc>
          <w:tcPr>
            <w:tcW w:w="1098" w:type="dxa"/>
            <w:tcBorders>
              <w:top w:val="single" w:sz="4" w:space="0" w:color="000000"/>
            </w:tcBorders>
            <w:tcMar>
              <w:top w:w="0" w:type="dxa"/>
              <w:left w:w="115" w:type="dxa"/>
              <w:bottom w:w="0" w:type="dxa"/>
              <w:right w:w="115" w:type="dxa"/>
            </w:tcMar>
            <w:vAlign w:val="center"/>
          </w:tcPr>
          <w:p w14:paraId="546989ED" w14:textId="77777777" w:rsidR="0094224D" w:rsidRDefault="00000000">
            <w:pPr>
              <w:pBdr>
                <w:top w:val="nil"/>
                <w:left w:val="nil"/>
                <w:bottom w:val="nil"/>
                <w:right w:val="nil"/>
                <w:between w:val="nil"/>
              </w:pBdr>
              <w:spacing w:line="480" w:lineRule="auto"/>
              <w:jc w:val="center"/>
              <w:rPr>
                <w:b/>
              </w:rPr>
            </w:pPr>
            <w:r>
              <w:rPr>
                <w:i/>
              </w:rPr>
              <w:t>SD</w:t>
            </w:r>
          </w:p>
        </w:tc>
        <w:tc>
          <w:tcPr>
            <w:tcW w:w="7221" w:type="dxa"/>
            <w:gridSpan w:val="8"/>
            <w:tcBorders>
              <w:top w:val="single" w:sz="4" w:space="0" w:color="000000"/>
            </w:tcBorders>
            <w:tcMar>
              <w:top w:w="0" w:type="dxa"/>
              <w:left w:w="115" w:type="dxa"/>
              <w:bottom w:w="0" w:type="dxa"/>
              <w:right w:w="115" w:type="dxa"/>
            </w:tcMar>
            <w:vAlign w:val="center"/>
          </w:tcPr>
          <w:p w14:paraId="6FDD1B97" w14:textId="77777777" w:rsidR="0094224D" w:rsidRDefault="00000000">
            <w:pPr>
              <w:pBdr>
                <w:top w:val="nil"/>
                <w:left w:val="nil"/>
                <w:bottom w:val="nil"/>
                <w:right w:val="nil"/>
                <w:between w:val="nil"/>
              </w:pBdr>
              <w:spacing w:line="480" w:lineRule="auto"/>
              <w:jc w:val="center"/>
              <w:rPr>
                <w:b/>
              </w:rPr>
            </w:pPr>
            <w:r>
              <w:t>Correlations</w:t>
            </w:r>
          </w:p>
        </w:tc>
      </w:tr>
      <w:tr w:rsidR="0094224D" w14:paraId="67056B88" w14:textId="77777777">
        <w:trPr>
          <w:trHeight w:val="644"/>
          <w:tblHeader/>
        </w:trPr>
        <w:tc>
          <w:tcPr>
            <w:tcW w:w="4072" w:type="dxa"/>
            <w:tcBorders>
              <w:bottom w:val="single" w:sz="4" w:space="0" w:color="000000"/>
            </w:tcBorders>
            <w:tcMar>
              <w:top w:w="0" w:type="dxa"/>
              <w:left w:w="115" w:type="dxa"/>
              <w:bottom w:w="0" w:type="dxa"/>
              <w:right w:w="115" w:type="dxa"/>
            </w:tcMar>
            <w:vAlign w:val="center"/>
          </w:tcPr>
          <w:p w14:paraId="775BA206" w14:textId="77777777" w:rsidR="0094224D" w:rsidRDefault="00000000">
            <w:pPr>
              <w:pBdr>
                <w:top w:val="nil"/>
                <w:left w:val="nil"/>
                <w:bottom w:val="nil"/>
                <w:right w:val="nil"/>
                <w:between w:val="nil"/>
              </w:pBdr>
              <w:spacing w:line="480" w:lineRule="auto"/>
              <w:jc w:val="center"/>
              <w:rPr>
                <w:b/>
              </w:rPr>
            </w:pPr>
            <w:r>
              <w:t>Study Variables</w:t>
            </w:r>
          </w:p>
        </w:tc>
        <w:tc>
          <w:tcPr>
            <w:tcW w:w="1098" w:type="dxa"/>
            <w:tcBorders>
              <w:bottom w:val="single" w:sz="4" w:space="0" w:color="000000"/>
            </w:tcBorders>
            <w:tcMar>
              <w:top w:w="0" w:type="dxa"/>
              <w:left w:w="115" w:type="dxa"/>
              <w:bottom w:w="0" w:type="dxa"/>
              <w:right w:w="115" w:type="dxa"/>
            </w:tcMar>
            <w:vAlign w:val="center"/>
          </w:tcPr>
          <w:p w14:paraId="1163B66B" w14:textId="77777777" w:rsidR="0094224D" w:rsidRDefault="0094224D">
            <w:pPr>
              <w:spacing w:line="480" w:lineRule="auto"/>
              <w:jc w:val="center"/>
              <w:rPr>
                <w:b/>
              </w:rPr>
            </w:pPr>
          </w:p>
        </w:tc>
        <w:tc>
          <w:tcPr>
            <w:tcW w:w="1098" w:type="dxa"/>
            <w:tcBorders>
              <w:bottom w:val="single" w:sz="4" w:space="0" w:color="000000"/>
            </w:tcBorders>
            <w:tcMar>
              <w:top w:w="0" w:type="dxa"/>
              <w:left w:w="115" w:type="dxa"/>
              <w:bottom w:w="0" w:type="dxa"/>
              <w:right w:w="115" w:type="dxa"/>
            </w:tcMar>
            <w:vAlign w:val="center"/>
          </w:tcPr>
          <w:p w14:paraId="3959F2A0" w14:textId="77777777" w:rsidR="0094224D" w:rsidRDefault="0094224D">
            <w:pPr>
              <w:spacing w:line="480" w:lineRule="auto"/>
              <w:jc w:val="center"/>
              <w:rPr>
                <w:b/>
              </w:rPr>
            </w:pPr>
          </w:p>
        </w:tc>
        <w:tc>
          <w:tcPr>
            <w:tcW w:w="1558" w:type="dxa"/>
            <w:tcBorders>
              <w:bottom w:val="single" w:sz="4" w:space="0" w:color="000000"/>
            </w:tcBorders>
            <w:tcMar>
              <w:top w:w="0" w:type="dxa"/>
              <w:left w:w="115" w:type="dxa"/>
              <w:bottom w:w="0" w:type="dxa"/>
              <w:right w:w="115" w:type="dxa"/>
            </w:tcMar>
            <w:vAlign w:val="center"/>
          </w:tcPr>
          <w:p w14:paraId="4ABDB01A" w14:textId="77777777" w:rsidR="0094224D" w:rsidRDefault="00000000">
            <w:pPr>
              <w:pBdr>
                <w:top w:val="nil"/>
                <w:left w:val="nil"/>
                <w:bottom w:val="nil"/>
                <w:right w:val="nil"/>
                <w:between w:val="nil"/>
              </w:pBdr>
              <w:spacing w:line="480" w:lineRule="auto"/>
              <w:jc w:val="center"/>
              <w:rPr>
                <w:b/>
              </w:rPr>
            </w:pPr>
            <w:r>
              <w:t>1</w:t>
            </w:r>
          </w:p>
        </w:tc>
        <w:tc>
          <w:tcPr>
            <w:tcW w:w="1001" w:type="dxa"/>
            <w:tcBorders>
              <w:bottom w:val="single" w:sz="4" w:space="0" w:color="000000"/>
            </w:tcBorders>
            <w:tcMar>
              <w:top w:w="0" w:type="dxa"/>
              <w:left w:w="115" w:type="dxa"/>
              <w:bottom w:w="0" w:type="dxa"/>
              <w:right w:w="115" w:type="dxa"/>
            </w:tcMar>
            <w:vAlign w:val="center"/>
          </w:tcPr>
          <w:p w14:paraId="6A19B653" w14:textId="77777777" w:rsidR="0094224D" w:rsidRDefault="00000000">
            <w:pPr>
              <w:pBdr>
                <w:top w:val="nil"/>
                <w:left w:val="nil"/>
                <w:bottom w:val="nil"/>
                <w:right w:val="nil"/>
                <w:between w:val="nil"/>
              </w:pBdr>
              <w:spacing w:line="480" w:lineRule="auto"/>
              <w:jc w:val="center"/>
              <w:rPr>
                <w:b/>
              </w:rPr>
            </w:pPr>
            <w:r>
              <w:t>2</w:t>
            </w:r>
          </w:p>
        </w:tc>
        <w:tc>
          <w:tcPr>
            <w:tcW w:w="1098" w:type="dxa"/>
            <w:tcBorders>
              <w:bottom w:val="single" w:sz="4" w:space="0" w:color="000000"/>
            </w:tcBorders>
            <w:tcMar>
              <w:top w:w="0" w:type="dxa"/>
              <w:left w:w="115" w:type="dxa"/>
              <w:bottom w:w="0" w:type="dxa"/>
              <w:right w:w="115" w:type="dxa"/>
            </w:tcMar>
            <w:vAlign w:val="center"/>
          </w:tcPr>
          <w:p w14:paraId="77748908" w14:textId="77777777" w:rsidR="0094224D" w:rsidRDefault="00000000">
            <w:pPr>
              <w:pBdr>
                <w:top w:val="nil"/>
                <w:left w:val="nil"/>
                <w:bottom w:val="nil"/>
                <w:right w:val="nil"/>
                <w:between w:val="nil"/>
              </w:pBdr>
              <w:spacing w:line="480" w:lineRule="auto"/>
              <w:jc w:val="center"/>
              <w:rPr>
                <w:b/>
              </w:rPr>
            </w:pPr>
            <w:r>
              <w:t>3</w:t>
            </w:r>
          </w:p>
        </w:tc>
        <w:tc>
          <w:tcPr>
            <w:tcW w:w="1270" w:type="dxa"/>
            <w:tcBorders>
              <w:bottom w:val="single" w:sz="4" w:space="0" w:color="000000"/>
            </w:tcBorders>
            <w:tcMar>
              <w:top w:w="0" w:type="dxa"/>
              <w:left w:w="115" w:type="dxa"/>
              <w:bottom w:w="0" w:type="dxa"/>
              <w:right w:w="115" w:type="dxa"/>
            </w:tcMar>
            <w:vAlign w:val="center"/>
          </w:tcPr>
          <w:p w14:paraId="4CB9F3EA" w14:textId="77777777" w:rsidR="0094224D" w:rsidRDefault="00000000">
            <w:pPr>
              <w:pBdr>
                <w:top w:val="nil"/>
                <w:left w:val="nil"/>
                <w:bottom w:val="nil"/>
                <w:right w:val="nil"/>
                <w:between w:val="nil"/>
              </w:pBdr>
              <w:spacing w:line="480" w:lineRule="auto"/>
              <w:jc w:val="center"/>
              <w:rPr>
                <w:b/>
              </w:rPr>
            </w:pPr>
            <w:r>
              <w:t>4</w:t>
            </w:r>
          </w:p>
        </w:tc>
        <w:tc>
          <w:tcPr>
            <w:tcW w:w="1098" w:type="dxa"/>
            <w:tcBorders>
              <w:bottom w:val="single" w:sz="4" w:space="0" w:color="000000"/>
            </w:tcBorders>
            <w:tcMar>
              <w:top w:w="0" w:type="dxa"/>
              <w:left w:w="115" w:type="dxa"/>
              <w:bottom w:w="0" w:type="dxa"/>
              <w:right w:w="115" w:type="dxa"/>
            </w:tcMar>
            <w:vAlign w:val="center"/>
          </w:tcPr>
          <w:p w14:paraId="14CF232A" w14:textId="77777777" w:rsidR="0094224D" w:rsidRDefault="00000000">
            <w:pPr>
              <w:pBdr>
                <w:top w:val="nil"/>
                <w:left w:val="nil"/>
                <w:bottom w:val="nil"/>
                <w:right w:val="nil"/>
                <w:between w:val="nil"/>
              </w:pBdr>
              <w:spacing w:line="480" w:lineRule="auto"/>
              <w:jc w:val="center"/>
              <w:rPr>
                <w:b/>
              </w:rPr>
            </w:pPr>
            <w:r>
              <w:t>5</w:t>
            </w:r>
          </w:p>
        </w:tc>
        <w:tc>
          <w:tcPr>
            <w:tcW w:w="522" w:type="dxa"/>
            <w:tcBorders>
              <w:bottom w:val="single" w:sz="4" w:space="0" w:color="000000"/>
            </w:tcBorders>
            <w:tcMar>
              <w:top w:w="0" w:type="dxa"/>
              <w:left w:w="115" w:type="dxa"/>
              <w:bottom w:w="0" w:type="dxa"/>
              <w:right w:w="115" w:type="dxa"/>
            </w:tcMar>
            <w:vAlign w:val="center"/>
          </w:tcPr>
          <w:p w14:paraId="6984BCD9" w14:textId="77777777" w:rsidR="0094224D" w:rsidRDefault="00000000">
            <w:pPr>
              <w:pBdr>
                <w:top w:val="nil"/>
                <w:left w:val="nil"/>
                <w:bottom w:val="nil"/>
                <w:right w:val="nil"/>
                <w:between w:val="nil"/>
              </w:pBdr>
              <w:spacing w:line="480" w:lineRule="auto"/>
              <w:jc w:val="center"/>
              <w:rPr>
                <w:b/>
              </w:rPr>
            </w:pPr>
            <w:r>
              <w:t>6</w:t>
            </w:r>
          </w:p>
        </w:tc>
        <w:tc>
          <w:tcPr>
            <w:tcW w:w="337" w:type="dxa"/>
            <w:tcBorders>
              <w:bottom w:val="single" w:sz="4" w:space="0" w:color="000000"/>
            </w:tcBorders>
            <w:tcMar>
              <w:top w:w="0" w:type="dxa"/>
              <w:left w:w="115" w:type="dxa"/>
              <w:bottom w:w="0" w:type="dxa"/>
              <w:right w:w="115" w:type="dxa"/>
            </w:tcMar>
            <w:vAlign w:val="center"/>
          </w:tcPr>
          <w:p w14:paraId="244DD2AF" w14:textId="77777777" w:rsidR="0094224D" w:rsidRDefault="0094224D">
            <w:pPr>
              <w:spacing w:line="480" w:lineRule="auto"/>
              <w:jc w:val="center"/>
              <w:rPr>
                <w:b/>
              </w:rPr>
            </w:pPr>
          </w:p>
        </w:tc>
        <w:tc>
          <w:tcPr>
            <w:tcW w:w="337" w:type="dxa"/>
            <w:tcBorders>
              <w:bottom w:val="single" w:sz="4" w:space="0" w:color="000000"/>
            </w:tcBorders>
            <w:tcMar>
              <w:top w:w="0" w:type="dxa"/>
              <w:left w:w="115" w:type="dxa"/>
              <w:bottom w:w="0" w:type="dxa"/>
              <w:right w:w="115" w:type="dxa"/>
            </w:tcMar>
            <w:vAlign w:val="center"/>
          </w:tcPr>
          <w:p w14:paraId="58985518" w14:textId="77777777" w:rsidR="0094224D" w:rsidRDefault="0094224D">
            <w:pPr>
              <w:spacing w:line="480" w:lineRule="auto"/>
              <w:jc w:val="center"/>
              <w:rPr>
                <w:b/>
              </w:rPr>
            </w:pPr>
          </w:p>
        </w:tc>
      </w:tr>
      <w:tr w:rsidR="0094224D" w14:paraId="235EC2D4" w14:textId="77777777">
        <w:trPr>
          <w:trHeight w:val="781"/>
        </w:trPr>
        <w:tc>
          <w:tcPr>
            <w:tcW w:w="4072" w:type="dxa"/>
            <w:tcBorders>
              <w:top w:val="single" w:sz="4" w:space="0" w:color="000000"/>
            </w:tcBorders>
            <w:tcMar>
              <w:top w:w="0" w:type="dxa"/>
              <w:left w:w="115" w:type="dxa"/>
              <w:bottom w:w="0" w:type="dxa"/>
              <w:right w:w="115" w:type="dxa"/>
            </w:tcMar>
            <w:vAlign w:val="center"/>
          </w:tcPr>
          <w:p w14:paraId="55FB3D3C" w14:textId="77777777" w:rsidR="0094224D" w:rsidRDefault="00000000">
            <w:pPr>
              <w:pBdr>
                <w:top w:val="nil"/>
                <w:left w:val="nil"/>
                <w:bottom w:val="nil"/>
                <w:right w:val="nil"/>
                <w:between w:val="nil"/>
              </w:pBdr>
              <w:spacing w:line="480" w:lineRule="auto"/>
            </w:pPr>
            <w:r>
              <w:t xml:space="preserve">1. </w:t>
            </w:r>
            <w:proofErr w:type="spellStart"/>
            <w:r>
              <w:t>Sex</w:t>
            </w:r>
            <w:r>
              <w:rPr>
                <w:vertAlign w:val="superscript"/>
              </w:rPr>
              <w:t>a</w:t>
            </w:r>
            <w:proofErr w:type="spellEnd"/>
            <w:r>
              <w:rPr>
                <w:vertAlign w:val="superscript"/>
              </w:rPr>
              <w:t xml:space="preserve"> </w:t>
            </w:r>
            <w:r>
              <w:t>(W1)</w:t>
            </w:r>
          </w:p>
        </w:tc>
        <w:tc>
          <w:tcPr>
            <w:tcW w:w="1098" w:type="dxa"/>
            <w:tcBorders>
              <w:top w:val="single" w:sz="4" w:space="0" w:color="000000"/>
            </w:tcBorders>
            <w:tcMar>
              <w:top w:w="0" w:type="dxa"/>
              <w:left w:w="115" w:type="dxa"/>
              <w:bottom w:w="0" w:type="dxa"/>
              <w:right w:w="115" w:type="dxa"/>
            </w:tcMar>
            <w:vAlign w:val="center"/>
          </w:tcPr>
          <w:p w14:paraId="2269182A" w14:textId="77777777" w:rsidR="0094224D" w:rsidRDefault="00000000">
            <w:pPr>
              <w:pBdr>
                <w:top w:val="nil"/>
                <w:left w:val="nil"/>
                <w:bottom w:val="nil"/>
                <w:right w:val="nil"/>
                <w:between w:val="nil"/>
              </w:pBdr>
              <w:spacing w:line="480" w:lineRule="auto"/>
              <w:jc w:val="center"/>
            </w:pPr>
            <w:r>
              <w:t>0.51</w:t>
            </w:r>
          </w:p>
        </w:tc>
        <w:tc>
          <w:tcPr>
            <w:tcW w:w="1098" w:type="dxa"/>
            <w:tcBorders>
              <w:top w:val="single" w:sz="4" w:space="0" w:color="000000"/>
            </w:tcBorders>
            <w:tcMar>
              <w:top w:w="0" w:type="dxa"/>
              <w:left w:w="115" w:type="dxa"/>
              <w:bottom w:w="0" w:type="dxa"/>
              <w:right w:w="115" w:type="dxa"/>
            </w:tcMar>
            <w:vAlign w:val="center"/>
          </w:tcPr>
          <w:p w14:paraId="34D0D648" w14:textId="77777777" w:rsidR="0094224D" w:rsidRDefault="00000000">
            <w:pPr>
              <w:pBdr>
                <w:top w:val="nil"/>
                <w:left w:val="nil"/>
                <w:bottom w:val="nil"/>
                <w:right w:val="nil"/>
                <w:between w:val="nil"/>
              </w:pBdr>
              <w:spacing w:line="480" w:lineRule="auto"/>
              <w:jc w:val="center"/>
            </w:pPr>
            <w:r>
              <w:t>0.50</w:t>
            </w:r>
          </w:p>
        </w:tc>
        <w:tc>
          <w:tcPr>
            <w:tcW w:w="1558" w:type="dxa"/>
            <w:tcBorders>
              <w:top w:val="single" w:sz="4" w:space="0" w:color="000000"/>
            </w:tcBorders>
            <w:tcMar>
              <w:top w:w="0" w:type="dxa"/>
              <w:left w:w="115" w:type="dxa"/>
              <w:bottom w:w="0" w:type="dxa"/>
              <w:right w:w="115" w:type="dxa"/>
            </w:tcMar>
            <w:vAlign w:val="center"/>
          </w:tcPr>
          <w:p w14:paraId="4AB94586" w14:textId="77777777" w:rsidR="0094224D" w:rsidRDefault="00000000">
            <w:pPr>
              <w:pBdr>
                <w:top w:val="nil"/>
                <w:left w:val="nil"/>
                <w:bottom w:val="nil"/>
                <w:right w:val="nil"/>
                <w:between w:val="nil"/>
              </w:pBdr>
              <w:spacing w:line="480" w:lineRule="auto"/>
              <w:jc w:val="center"/>
            </w:pPr>
            <w:sdt>
              <w:sdtPr>
                <w:tag w:val="goog_rdk_0"/>
                <w:id w:val="-57789312"/>
              </w:sdtPr>
              <w:sdtContent>
                <w:r>
                  <w:rPr>
                    <w:rFonts w:ascii="Gungsuh" w:eastAsia="Gungsuh" w:hAnsi="Gungsuh" w:cs="Gungsuh"/>
                  </w:rPr>
                  <w:t>−</w:t>
                </w:r>
              </w:sdtContent>
            </w:sdt>
          </w:p>
        </w:tc>
        <w:tc>
          <w:tcPr>
            <w:tcW w:w="1001" w:type="dxa"/>
            <w:tcBorders>
              <w:top w:val="single" w:sz="4" w:space="0" w:color="000000"/>
            </w:tcBorders>
            <w:tcMar>
              <w:top w:w="0" w:type="dxa"/>
              <w:left w:w="115" w:type="dxa"/>
              <w:bottom w:w="0" w:type="dxa"/>
              <w:right w:w="115" w:type="dxa"/>
            </w:tcMar>
            <w:vAlign w:val="center"/>
          </w:tcPr>
          <w:p w14:paraId="40ACF674" w14:textId="77777777" w:rsidR="0094224D" w:rsidRDefault="0094224D">
            <w:pPr>
              <w:spacing w:line="480" w:lineRule="auto"/>
            </w:pPr>
          </w:p>
        </w:tc>
        <w:tc>
          <w:tcPr>
            <w:tcW w:w="1098" w:type="dxa"/>
            <w:tcBorders>
              <w:top w:val="single" w:sz="4" w:space="0" w:color="000000"/>
            </w:tcBorders>
            <w:tcMar>
              <w:top w:w="0" w:type="dxa"/>
              <w:left w:w="115" w:type="dxa"/>
              <w:bottom w:w="0" w:type="dxa"/>
              <w:right w:w="115" w:type="dxa"/>
            </w:tcMar>
            <w:vAlign w:val="center"/>
          </w:tcPr>
          <w:p w14:paraId="467792A3" w14:textId="77777777" w:rsidR="0094224D" w:rsidRDefault="0094224D">
            <w:pPr>
              <w:spacing w:line="480" w:lineRule="auto"/>
            </w:pPr>
          </w:p>
        </w:tc>
        <w:tc>
          <w:tcPr>
            <w:tcW w:w="1270" w:type="dxa"/>
            <w:tcBorders>
              <w:top w:val="single" w:sz="4" w:space="0" w:color="000000"/>
            </w:tcBorders>
            <w:tcMar>
              <w:top w:w="0" w:type="dxa"/>
              <w:left w:w="115" w:type="dxa"/>
              <w:bottom w:w="0" w:type="dxa"/>
              <w:right w:w="115" w:type="dxa"/>
            </w:tcMar>
            <w:vAlign w:val="center"/>
          </w:tcPr>
          <w:p w14:paraId="74415087" w14:textId="77777777" w:rsidR="0094224D" w:rsidRDefault="0094224D">
            <w:pPr>
              <w:spacing w:line="480" w:lineRule="auto"/>
            </w:pPr>
          </w:p>
        </w:tc>
        <w:tc>
          <w:tcPr>
            <w:tcW w:w="1098" w:type="dxa"/>
            <w:tcBorders>
              <w:top w:val="single" w:sz="4" w:space="0" w:color="000000"/>
            </w:tcBorders>
            <w:tcMar>
              <w:top w:w="0" w:type="dxa"/>
              <w:left w:w="115" w:type="dxa"/>
              <w:bottom w:w="0" w:type="dxa"/>
              <w:right w:w="115" w:type="dxa"/>
            </w:tcMar>
            <w:vAlign w:val="center"/>
          </w:tcPr>
          <w:p w14:paraId="08BB38AB" w14:textId="77777777" w:rsidR="0094224D" w:rsidRDefault="0094224D">
            <w:pPr>
              <w:spacing w:line="480" w:lineRule="auto"/>
            </w:pPr>
          </w:p>
        </w:tc>
        <w:tc>
          <w:tcPr>
            <w:tcW w:w="522" w:type="dxa"/>
            <w:tcBorders>
              <w:top w:val="single" w:sz="4" w:space="0" w:color="000000"/>
            </w:tcBorders>
            <w:tcMar>
              <w:top w:w="0" w:type="dxa"/>
              <w:left w:w="115" w:type="dxa"/>
              <w:bottom w:w="0" w:type="dxa"/>
              <w:right w:w="115" w:type="dxa"/>
            </w:tcMar>
            <w:vAlign w:val="center"/>
          </w:tcPr>
          <w:p w14:paraId="1179A1B6" w14:textId="77777777" w:rsidR="0094224D" w:rsidRDefault="0094224D">
            <w:pPr>
              <w:spacing w:line="480" w:lineRule="auto"/>
            </w:pPr>
          </w:p>
        </w:tc>
        <w:tc>
          <w:tcPr>
            <w:tcW w:w="337" w:type="dxa"/>
            <w:tcBorders>
              <w:top w:val="single" w:sz="4" w:space="0" w:color="000000"/>
            </w:tcBorders>
            <w:tcMar>
              <w:top w:w="0" w:type="dxa"/>
              <w:left w:w="115" w:type="dxa"/>
              <w:bottom w:w="0" w:type="dxa"/>
              <w:right w:w="115" w:type="dxa"/>
            </w:tcMar>
            <w:vAlign w:val="center"/>
          </w:tcPr>
          <w:p w14:paraId="023D6F54" w14:textId="77777777" w:rsidR="0094224D" w:rsidRDefault="0094224D">
            <w:pPr>
              <w:spacing w:line="480" w:lineRule="auto"/>
            </w:pPr>
          </w:p>
        </w:tc>
        <w:tc>
          <w:tcPr>
            <w:tcW w:w="337" w:type="dxa"/>
            <w:tcBorders>
              <w:top w:val="single" w:sz="4" w:space="0" w:color="000000"/>
            </w:tcBorders>
            <w:tcMar>
              <w:top w:w="0" w:type="dxa"/>
              <w:left w:w="115" w:type="dxa"/>
              <w:bottom w:w="0" w:type="dxa"/>
              <w:right w:w="115" w:type="dxa"/>
            </w:tcMar>
            <w:vAlign w:val="center"/>
          </w:tcPr>
          <w:p w14:paraId="09E4A370" w14:textId="77777777" w:rsidR="0094224D" w:rsidRDefault="0094224D">
            <w:pPr>
              <w:spacing w:line="480" w:lineRule="auto"/>
            </w:pPr>
          </w:p>
        </w:tc>
      </w:tr>
      <w:tr w:rsidR="0094224D" w14:paraId="3DBE1E40" w14:textId="77777777">
        <w:trPr>
          <w:trHeight w:val="781"/>
        </w:trPr>
        <w:tc>
          <w:tcPr>
            <w:tcW w:w="4072" w:type="dxa"/>
            <w:tcMar>
              <w:top w:w="0" w:type="dxa"/>
              <w:left w:w="115" w:type="dxa"/>
              <w:bottom w:w="0" w:type="dxa"/>
              <w:right w:w="115" w:type="dxa"/>
            </w:tcMar>
            <w:vAlign w:val="center"/>
          </w:tcPr>
          <w:p w14:paraId="0564FFE6" w14:textId="77777777" w:rsidR="0094224D" w:rsidRDefault="00000000">
            <w:pPr>
              <w:pBdr>
                <w:top w:val="nil"/>
                <w:left w:val="nil"/>
                <w:bottom w:val="nil"/>
                <w:right w:val="nil"/>
                <w:between w:val="nil"/>
              </w:pBdr>
              <w:spacing w:line="480" w:lineRule="auto"/>
            </w:pPr>
            <w:r>
              <w:t xml:space="preserve">2. </w:t>
            </w:r>
            <w:proofErr w:type="spellStart"/>
            <w:r>
              <w:t>Ethnicity</w:t>
            </w:r>
            <w:r>
              <w:rPr>
                <w:vertAlign w:val="superscript"/>
              </w:rPr>
              <w:t>b</w:t>
            </w:r>
            <w:proofErr w:type="spellEnd"/>
            <w:r>
              <w:rPr>
                <w:vertAlign w:val="superscript"/>
              </w:rPr>
              <w:t xml:space="preserve"> </w:t>
            </w:r>
            <w:r>
              <w:t>(W1)</w:t>
            </w:r>
          </w:p>
        </w:tc>
        <w:tc>
          <w:tcPr>
            <w:tcW w:w="1098" w:type="dxa"/>
            <w:tcMar>
              <w:top w:w="0" w:type="dxa"/>
              <w:left w:w="115" w:type="dxa"/>
              <w:bottom w:w="0" w:type="dxa"/>
              <w:right w:w="115" w:type="dxa"/>
            </w:tcMar>
            <w:vAlign w:val="center"/>
          </w:tcPr>
          <w:p w14:paraId="0EB9CA53" w14:textId="77777777" w:rsidR="0094224D" w:rsidRDefault="00000000">
            <w:pPr>
              <w:pBdr>
                <w:top w:val="nil"/>
                <w:left w:val="nil"/>
                <w:bottom w:val="nil"/>
                <w:right w:val="nil"/>
                <w:between w:val="nil"/>
              </w:pBdr>
              <w:spacing w:line="480" w:lineRule="auto"/>
              <w:jc w:val="center"/>
            </w:pPr>
            <w:r>
              <w:t>0.85</w:t>
            </w:r>
          </w:p>
        </w:tc>
        <w:tc>
          <w:tcPr>
            <w:tcW w:w="1098" w:type="dxa"/>
            <w:tcMar>
              <w:top w:w="0" w:type="dxa"/>
              <w:left w:w="115" w:type="dxa"/>
              <w:bottom w:w="0" w:type="dxa"/>
              <w:right w:w="115" w:type="dxa"/>
            </w:tcMar>
            <w:vAlign w:val="center"/>
          </w:tcPr>
          <w:p w14:paraId="089390FC" w14:textId="77777777" w:rsidR="0094224D" w:rsidRDefault="00000000">
            <w:pPr>
              <w:pBdr>
                <w:top w:val="nil"/>
                <w:left w:val="nil"/>
                <w:bottom w:val="nil"/>
                <w:right w:val="nil"/>
                <w:between w:val="nil"/>
              </w:pBdr>
              <w:spacing w:line="480" w:lineRule="auto"/>
              <w:jc w:val="center"/>
            </w:pPr>
            <w:r>
              <w:t>0.36</w:t>
            </w:r>
          </w:p>
        </w:tc>
        <w:tc>
          <w:tcPr>
            <w:tcW w:w="1558" w:type="dxa"/>
            <w:tcMar>
              <w:top w:w="0" w:type="dxa"/>
              <w:left w:w="115" w:type="dxa"/>
              <w:bottom w:w="0" w:type="dxa"/>
              <w:right w:w="115" w:type="dxa"/>
            </w:tcMar>
            <w:vAlign w:val="center"/>
          </w:tcPr>
          <w:p w14:paraId="202DBF92" w14:textId="77777777" w:rsidR="0094224D" w:rsidRDefault="00000000">
            <w:pPr>
              <w:pBdr>
                <w:top w:val="nil"/>
                <w:left w:val="nil"/>
                <w:bottom w:val="nil"/>
                <w:right w:val="nil"/>
                <w:between w:val="nil"/>
              </w:pBdr>
              <w:spacing w:line="480" w:lineRule="auto"/>
              <w:jc w:val="center"/>
            </w:pPr>
            <w:r>
              <w:t>-0.11</w:t>
            </w:r>
          </w:p>
        </w:tc>
        <w:tc>
          <w:tcPr>
            <w:tcW w:w="1001" w:type="dxa"/>
            <w:tcMar>
              <w:top w:w="0" w:type="dxa"/>
              <w:left w:w="115" w:type="dxa"/>
              <w:bottom w:w="0" w:type="dxa"/>
              <w:right w:w="115" w:type="dxa"/>
            </w:tcMar>
            <w:vAlign w:val="center"/>
          </w:tcPr>
          <w:p w14:paraId="161AFFB9" w14:textId="77777777" w:rsidR="0094224D" w:rsidRDefault="00000000">
            <w:pPr>
              <w:pBdr>
                <w:top w:val="nil"/>
                <w:left w:val="nil"/>
                <w:bottom w:val="nil"/>
                <w:right w:val="nil"/>
                <w:between w:val="nil"/>
              </w:pBdr>
              <w:spacing w:line="480" w:lineRule="auto"/>
              <w:jc w:val="center"/>
            </w:pPr>
            <w:sdt>
              <w:sdtPr>
                <w:tag w:val="goog_rdk_1"/>
                <w:id w:val="1705446124"/>
              </w:sdtPr>
              <w:sdtContent>
                <w:r>
                  <w:rPr>
                    <w:rFonts w:ascii="Gungsuh" w:eastAsia="Gungsuh" w:hAnsi="Gungsuh" w:cs="Gungsuh"/>
                  </w:rPr>
                  <w:t>−</w:t>
                </w:r>
              </w:sdtContent>
            </w:sdt>
          </w:p>
        </w:tc>
        <w:tc>
          <w:tcPr>
            <w:tcW w:w="1098" w:type="dxa"/>
            <w:tcMar>
              <w:top w:w="0" w:type="dxa"/>
              <w:left w:w="115" w:type="dxa"/>
              <w:bottom w:w="0" w:type="dxa"/>
              <w:right w:w="115" w:type="dxa"/>
            </w:tcMar>
            <w:vAlign w:val="center"/>
          </w:tcPr>
          <w:p w14:paraId="24D11677" w14:textId="77777777" w:rsidR="0094224D" w:rsidRDefault="0094224D">
            <w:pPr>
              <w:spacing w:line="480" w:lineRule="auto"/>
            </w:pPr>
          </w:p>
        </w:tc>
        <w:tc>
          <w:tcPr>
            <w:tcW w:w="1270" w:type="dxa"/>
            <w:tcMar>
              <w:top w:w="0" w:type="dxa"/>
              <w:left w:w="115" w:type="dxa"/>
              <w:bottom w:w="0" w:type="dxa"/>
              <w:right w:w="115" w:type="dxa"/>
            </w:tcMar>
            <w:vAlign w:val="center"/>
          </w:tcPr>
          <w:p w14:paraId="0457A28C" w14:textId="77777777" w:rsidR="0094224D" w:rsidRDefault="0094224D">
            <w:pPr>
              <w:spacing w:line="480" w:lineRule="auto"/>
            </w:pPr>
          </w:p>
        </w:tc>
        <w:tc>
          <w:tcPr>
            <w:tcW w:w="1098" w:type="dxa"/>
            <w:tcMar>
              <w:top w:w="0" w:type="dxa"/>
              <w:left w:w="115" w:type="dxa"/>
              <w:bottom w:w="0" w:type="dxa"/>
              <w:right w:w="115" w:type="dxa"/>
            </w:tcMar>
            <w:vAlign w:val="center"/>
          </w:tcPr>
          <w:p w14:paraId="31037F62" w14:textId="77777777" w:rsidR="0094224D" w:rsidRDefault="0094224D">
            <w:pPr>
              <w:spacing w:line="480" w:lineRule="auto"/>
            </w:pPr>
          </w:p>
        </w:tc>
        <w:tc>
          <w:tcPr>
            <w:tcW w:w="522" w:type="dxa"/>
            <w:tcMar>
              <w:top w:w="0" w:type="dxa"/>
              <w:left w:w="115" w:type="dxa"/>
              <w:bottom w:w="0" w:type="dxa"/>
              <w:right w:w="115" w:type="dxa"/>
            </w:tcMar>
            <w:vAlign w:val="center"/>
          </w:tcPr>
          <w:p w14:paraId="6E3A9C5E" w14:textId="77777777" w:rsidR="0094224D" w:rsidRDefault="0094224D">
            <w:pPr>
              <w:spacing w:line="480" w:lineRule="auto"/>
            </w:pPr>
          </w:p>
        </w:tc>
        <w:tc>
          <w:tcPr>
            <w:tcW w:w="337" w:type="dxa"/>
            <w:tcMar>
              <w:top w:w="0" w:type="dxa"/>
              <w:left w:w="115" w:type="dxa"/>
              <w:bottom w:w="0" w:type="dxa"/>
              <w:right w:w="115" w:type="dxa"/>
            </w:tcMar>
            <w:vAlign w:val="center"/>
          </w:tcPr>
          <w:p w14:paraId="598DA876" w14:textId="77777777" w:rsidR="0094224D" w:rsidRDefault="0094224D">
            <w:pPr>
              <w:spacing w:line="480" w:lineRule="auto"/>
            </w:pPr>
          </w:p>
        </w:tc>
        <w:tc>
          <w:tcPr>
            <w:tcW w:w="337" w:type="dxa"/>
            <w:tcMar>
              <w:top w:w="0" w:type="dxa"/>
              <w:left w:w="115" w:type="dxa"/>
              <w:bottom w:w="0" w:type="dxa"/>
              <w:right w:w="115" w:type="dxa"/>
            </w:tcMar>
            <w:vAlign w:val="center"/>
          </w:tcPr>
          <w:p w14:paraId="2A84A517" w14:textId="77777777" w:rsidR="0094224D" w:rsidRDefault="0094224D">
            <w:pPr>
              <w:spacing w:line="480" w:lineRule="auto"/>
            </w:pPr>
          </w:p>
        </w:tc>
      </w:tr>
      <w:tr w:rsidR="0094224D" w14:paraId="4F2D9909" w14:textId="77777777">
        <w:trPr>
          <w:trHeight w:val="781"/>
        </w:trPr>
        <w:tc>
          <w:tcPr>
            <w:tcW w:w="4072" w:type="dxa"/>
            <w:tcMar>
              <w:top w:w="0" w:type="dxa"/>
              <w:left w:w="115" w:type="dxa"/>
              <w:bottom w:w="0" w:type="dxa"/>
              <w:right w:w="115" w:type="dxa"/>
            </w:tcMar>
            <w:vAlign w:val="center"/>
          </w:tcPr>
          <w:p w14:paraId="419B4E3F" w14:textId="77777777" w:rsidR="0094224D" w:rsidRDefault="00000000">
            <w:pPr>
              <w:pBdr>
                <w:top w:val="nil"/>
                <w:left w:val="nil"/>
                <w:bottom w:val="nil"/>
                <w:right w:val="nil"/>
                <w:between w:val="nil"/>
              </w:pBdr>
              <w:spacing w:line="480" w:lineRule="auto"/>
            </w:pPr>
            <w:r>
              <w:t>3. Age (W1)</w:t>
            </w:r>
          </w:p>
        </w:tc>
        <w:tc>
          <w:tcPr>
            <w:tcW w:w="1098" w:type="dxa"/>
            <w:tcMar>
              <w:top w:w="0" w:type="dxa"/>
              <w:left w:w="115" w:type="dxa"/>
              <w:bottom w:w="0" w:type="dxa"/>
              <w:right w:w="115" w:type="dxa"/>
            </w:tcMar>
            <w:vAlign w:val="center"/>
          </w:tcPr>
          <w:p w14:paraId="7E15AE49" w14:textId="77777777" w:rsidR="0094224D" w:rsidRDefault="00000000">
            <w:pPr>
              <w:pBdr>
                <w:top w:val="nil"/>
                <w:left w:val="nil"/>
                <w:bottom w:val="nil"/>
                <w:right w:val="nil"/>
                <w:between w:val="nil"/>
              </w:pBdr>
              <w:spacing w:line="480" w:lineRule="auto"/>
              <w:jc w:val="center"/>
            </w:pPr>
            <w:r>
              <w:t>14.90</w:t>
            </w:r>
          </w:p>
        </w:tc>
        <w:tc>
          <w:tcPr>
            <w:tcW w:w="1098" w:type="dxa"/>
            <w:tcMar>
              <w:top w:w="0" w:type="dxa"/>
              <w:left w:w="115" w:type="dxa"/>
              <w:bottom w:w="0" w:type="dxa"/>
              <w:right w:w="115" w:type="dxa"/>
            </w:tcMar>
            <w:vAlign w:val="center"/>
          </w:tcPr>
          <w:p w14:paraId="20CC19D6" w14:textId="77777777" w:rsidR="0094224D" w:rsidRDefault="00000000">
            <w:pPr>
              <w:pBdr>
                <w:top w:val="nil"/>
                <w:left w:val="nil"/>
                <w:bottom w:val="nil"/>
                <w:right w:val="nil"/>
                <w:between w:val="nil"/>
              </w:pBdr>
              <w:spacing w:line="480" w:lineRule="auto"/>
              <w:jc w:val="center"/>
            </w:pPr>
            <w:r>
              <w:t>0.68</w:t>
            </w:r>
          </w:p>
        </w:tc>
        <w:tc>
          <w:tcPr>
            <w:tcW w:w="1558" w:type="dxa"/>
            <w:tcMar>
              <w:top w:w="0" w:type="dxa"/>
              <w:left w:w="115" w:type="dxa"/>
              <w:bottom w:w="0" w:type="dxa"/>
              <w:right w:w="115" w:type="dxa"/>
            </w:tcMar>
            <w:vAlign w:val="center"/>
          </w:tcPr>
          <w:p w14:paraId="5107EF32" w14:textId="77777777" w:rsidR="0094224D" w:rsidRDefault="00000000">
            <w:pPr>
              <w:pBdr>
                <w:top w:val="nil"/>
                <w:left w:val="nil"/>
                <w:bottom w:val="nil"/>
                <w:right w:val="nil"/>
                <w:between w:val="nil"/>
              </w:pBdr>
              <w:spacing w:line="480" w:lineRule="auto"/>
              <w:ind w:hanging="72"/>
              <w:jc w:val="center"/>
            </w:pPr>
            <w:r>
              <w:t>0.02</w:t>
            </w:r>
          </w:p>
        </w:tc>
        <w:tc>
          <w:tcPr>
            <w:tcW w:w="1001" w:type="dxa"/>
            <w:tcMar>
              <w:top w:w="0" w:type="dxa"/>
              <w:left w:w="115" w:type="dxa"/>
              <w:bottom w:w="0" w:type="dxa"/>
              <w:right w:w="115" w:type="dxa"/>
            </w:tcMar>
            <w:vAlign w:val="center"/>
          </w:tcPr>
          <w:p w14:paraId="387043CE" w14:textId="77777777" w:rsidR="0094224D" w:rsidRDefault="00000000">
            <w:pPr>
              <w:pBdr>
                <w:top w:val="nil"/>
                <w:left w:val="nil"/>
                <w:bottom w:val="nil"/>
                <w:right w:val="nil"/>
                <w:between w:val="nil"/>
              </w:pBdr>
              <w:spacing w:line="480" w:lineRule="auto"/>
              <w:jc w:val="center"/>
            </w:pPr>
            <w:r>
              <w:t>0.11</w:t>
            </w:r>
          </w:p>
        </w:tc>
        <w:tc>
          <w:tcPr>
            <w:tcW w:w="1098" w:type="dxa"/>
            <w:tcMar>
              <w:top w:w="0" w:type="dxa"/>
              <w:left w:w="115" w:type="dxa"/>
              <w:bottom w:w="0" w:type="dxa"/>
              <w:right w:w="115" w:type="dxa"/>
            </w:tcMar>
            <w:vAlign w:val="center"/>
          </w:tcPr>
          <w:p w14:paraId="45E60C3A" w14:textId="77777777" w:rsidR="0094224D" w:rsidRDefault="00000000">
            <w:pPr>
              <w:pBdr>
                <w:top w:val="nil"/>
                <w:left w:val="nil"/>
                <w:bottom w:val="nil"/>
                <w:right w:val="nil"/>
                <w:between w:val="nil"/>
              </w:pBdr>
              <w:spacing w:line="480" w:lineRule="auto"/>
              <w:jc w:val="center"/>
            </w:pPr>
            <w:sdt>
              <w:sdtPr>
                <w:tag w:val="goog_rdk_2"/>
                <w:id w:val="1345289911"/>
              </w:sdtPr>
              <w:sdtContent>
                <w:r>
                  <w:rPr>
                    <w:rFonts w:ascii="Gungsuh" w:eastAsia="Gungsuh" w:hAnsi="Gungsuh" w:cs="Gungsuh"/>
                  </w:rPr>
                  <w:t>−</w:t>
                </w:r>
              </w:sdtContent>
            </w:sdt>
          </w:p>
        </w:tc>
        <w:tc>
          <w:tcPr>
            <w:tcW w:w="1270" w:type="dxa"/>
            <w:tcMar>
              <w:top w:w="0" w:type="dxa"/>
              <w:left w:w="115" w:type="dxa"/>
              <w:bottom w:w="0" w:type="dxa"/>
              <w:right w:w="115" w:type="dxa"/>
            </w:tcMar>
            <w:vAlign w:val="center"/>
          </w:tcPr>
          <w:p w14:paraId="256FF778" w14:textId="77777777" w:rsidR="0094224D" w:rsidRDefault="0094224D">
            <w:pPr>
              <w:spacing w:line="480" w:lineRule="auto"/>
            </w:pPr>
          </w:p>
        </w:tc>
        <w:tc>
          <w:tcPr>
            <w:tcW w:w="1098" w:type="dxa"/>
            <w:tcMar>
              <w:top w:w="0" w:type="dxa"/>
              <w:left w:w="115" w:type="dxa"/>
              <w:bottom w:w="0" w:type="dxa"/>
              <w:right w:w="115" w:type="dxa"/>
            </w:tcMar>
            <w:vAlign w:val="center"/>
          </w:tcPr>
          <w:p w14:paraId="53758DBC" w14:textId="77777777" w:rsidR="0094224D" w:rsidRDefault="0094224D">
            <w:pPr>
              <w:spacing w:line="480" w:lineRule="auto"/>
            </w:pPr>
          </w:p>
        </w:tc>
        <w:tc>
          <w:tcPr>
            <w:tcW w:w="522" w:type="dxa"/>
            <w:tcMar>
              <w:top w:w="0" w:type="dxa"/>
              <w:left w:w="115" w:type="dxa"/>
              <w:bottom w:w="0" w:type="dxa"/>
              <w:right w:w="115" w:type="dxa"/>
            </w:tcMar>
            <w:vAlign w:val="center"/>
          </w:tcPr>
          <w:p w14:paraId="5FCB48A6" w14:textId="77777777" w:rsidR="0094224D" w:rsidRDefault="0094224D">
            <w:pPr>
              <w:spacing w:line="480" w:lineRule="auto"/>
            </w:pPr>
          </w:p>
        </w:tc>
        <w:tc>
          <w:tcPr>
            <w:tcW w:w="337" w:type="dxa"/>
            <w:tcMar>
              <w:top w:w="0" w:type="dxa"/>
              <w:left w:w="115" w:type="dxa"/>
              <w:bottom w:w="0" w:type="dxa"/>
              <w:right w:w="115" w:type="dxa"/>
            </w:tcMar>
            <w:vAlign w:val="center"/>
          </w:tcPr>
          <w:p w14:paraId="14AF02F7" w14:textId="77777777" w:rsidR="0094224D" w:rsidRDefault="0094224D">
            <w:pPr>
              <w:spacing w:line="480" w:lineRule="auto"/>
            </w:pPr>
          </w:p>
        </w:tc>
        <w:tc>
          <w:tcPr>
            <w:tcW w:w="337" w:type="dxa"/>
            <w:tcMar>
              <w:top w:w="0" w:type="dxa"/>
              <w:left w:w="115" w:type="dxa"/>
              <w:bottom w:w="0" w:type="dxa"/>
              <w:right w:w="115" w:type="dxa"/>
            </w:tcMar>
            <w:vAlign w:val="center"/>
          </w:tcPr>
          <w:p w14:paraId="19117E79" w14:textId="77777777" w:rsidR="0094224D" w:rsidRDefault="0094224D">
            <w:pPr>
              <w:spacing w:line="480" w:lineRule="auto"/>
            </w:pPr>
          </w:p>
        </w:tc>
      </w:tr>
      <w:tr w:rsidR="0094224D" w14:paraId="75B1F52D" w14:textId="77777777">
        <w:trPr>
          <w:trHeight w:val="781"/>
        </w:trPr>
        <w:tc>
          <w:tcPr>
            <w:tcW w:w="4072" w:type="dxa"/>
            <w:tcMar>
              <w:top w:w="0" w:type="dxa"/>
              <w:left w:w="115" w:type="dxa"/>
              <w:bottom w:w="0" w:type="dxa"/>
              <w:right w:w="115" w:type="dxa"/>
            </w:tcMar>
            <w:vAlign w:val="center"/>
          </w:tcPr>
          <w:p w14:paraId="2354C723" w14:textId="77777777" w:rsidR="0094224D" w:rsidRDefault="00000000">
            <w:pPr>
              <w:pBdr>
                <w:top w:val="nil"/>
                <w:left w:val="nil"/>
                <w:bottom w:val="nil"/>
                <w:right w:val="nil"/>
                <w:between w:val="nil"/>
              </w:pBdr>
              <w:spacing w:line="480" w:lineRule="auto"/>
            </w:pPr>
            <w:r>
              <w:t>4. Sensation-seeking (Screener)</w:t>
            </w:r>
          </w:p>
        </w:tc>
        <w:tc>
          <w:tcPr>
            <w:tcW w:w="1098" w:type="dxa"/>
            <w:tcMar>
              <w:top w:w="0" w:type="dxa"/>
              <w:left w:w="115" w:type="dxa"/>
              <w:bottom w:w="0" w:type="dxa"/>
              <w:right w:w="115" w:type="dxa"/>
            </w:tcMar>
            <w:vAlign w:val="center"/>
          </w:tcPr>
          <w:p w14:paraId="06684D87" w14:textId="77777777" w:rsidR="0094224D" w:rsidRDefault="00000000">
            <w:pPr>
              <w:pBdr>
                <w:top w:val="nil"/>
                <w:left w:val="nil"/>
                <w:bottom w:val="nil"/>
                <w:right w:val="nil"/>
                <w:between w:val="nil"/>
              </w:pBdr>
              <w:spacing w:line="480" w:lineRule="auto"/>
              <w:jc w:val="center"/>
            </w:pPr>
            <w:r>
              <w:t>16.23</w:t>
            </w:r>
          </w:p>
        </w:tc>
        <w:tc>
          <w:tcPr>
            <w:tcW w:w="1098" w:type="dxa"/>
            <w:tcMar>
              <w:top w:w="0" w:type="dxa"/>
              <w:left w:w="115" w:type="dxa"/>
              <w:bottom w:w="0" w:type="dxa"/>
              <w:right w:w="115" w:type="dxa"/>
            </w:tcMar>
            <w:vAlign w:val="center"/>
          </w:tcPr>
          <w:p w14:paraId="6A72F647" w14:textId="77777777" w:rsidR="0094224D" w:rsidRDefault="00000000">
            <w:pPr>
              <w:pBdr>
                <w:top w:val="nil"/>
                <w:left w:val="nil"/>
                <w:bottom w:val="nil"/>
                <w:right w:val="nil"/>
                <w:between w:val="nil"/>
              </w:pBdr>
              <w:spacing w:line="480" w:lineRule="auto"/>
              <w:jc w:val="center"/>
            </w:pPr>
            <w:r>
              <w:t>2.80</w:t>
            </w:r>
          </w:p>
        </w:tc>
        <w:tc>
          <w:tcPr>
            <w:tcW w:w="1558" w:type="dxa"/>
            <w:tcMar>
              <w:top w:w="0" w:type="dxa"/>
              <w:left w:w="115" w:type="dxa"/>
              <w:bottom w:w="0" w:type="dxa"/>
              <w:right w:w="115" w:type="dxa"/>
            </w:tcMar>
            <w:vAlign w:val="center"/>
          </w:tcPr>
          <w:p w14:paraId="575EF183" w14:textId="77777777" w:rsidR="0094224D" w:rsidRDefault="00000000">
            <w:pPr>
              <w:pBdr>
                <w:top w:val="nil"/>
                <w:left w:val="nil"/>
                <w:bottom w:val="nil"/>
                <w:right w:val="nil"/>
                <w:between w:val="nil"/>
              </w:pBdr>
              <w:spacing w:line="480" w:lineRule="auto"/>
              <w:ind w:hanging="72"/>
              <w:jc w:val="center"/>
            </w:pPr>
            <w:r>
              <w:t>0.21**</w:t>
            </w:r>
          </w:p>
        </w:tc>
        <w:tc>
          <w:tcPr>
            <w:tcW w:w="1001" w:type="dxa"/>
            <w:tcMar>
              <w:top w:w="0" w:type="dxa"/>
              <w:left w:w="115" w:type="dxa"/>
              <w:bottom w:w="0" w:type="dxa"/>
              <w:right w:w="115" w:type="dxa"/>
            </w:tcMar>
            <w:vAlign w:val="center"/>
          </w:tcPr>
          <w:p w14:paraId="706401C2" w14:textId="77777777" w:rsidR="0094224D" w:rsidRDefault="00000000">
            <w:pPr>
              <w:pBdr>
                <w:top w:val="nil"/>
                <w:left w:val="nil"/>
                <w:bottom w:val="nil"/>
                <w:right w:val="nil"/>
                <w:between w:val="nil"/>
              </w:pBdr>
              <w:spacing w:line="480" w:lineRule="auto"/>
              <w:jc w:val="center"/>
            </w:pPr>
            <w:r>
              <w:t>0.03</w:t>
            </w:r>
          </w:p>
        </w:tc>
        <w:tc>
          <w:tcPr>
            <w:tcW w:w="1098" w:type="dxa"/>
            <w:tcMar>
              <w:top w:w="0" w:type="dxa"/>
              <w:left w:w="115" w:type="dxa"/>
              <w:bottom w:w="0" w:type="dxa"/>
              <w:right w:w="115" w:type="dxa"/>
            </w:tcMar>
            <w:vAlign w:val="center"/>
          </w:tcPr>
          <w:p w14:paraId="47A46125" w14:textId="77777777" w:rsidR="0094224D" w:rsidRDefault="00000000">
            <w:pPr>
              <w:pBdr>
                <w:top w:val="nil"/>
                <w:left w:val="nil"/>
                <w:bottom w:val="nil"/>
                <w:right w:val="nil"/>
                <w:between w:val="nil"/>
              </w:pBdr>
              <w:spacing w:line="480" w:lineRule="auto"/>
              <w:jc w:val="center"/>
            </w:pPr>
            <w:r>
              <w:t>0.03</w:t>
            </w:r>
          </w:p>
        </w:tc>
        <w:tc>
          <w:tcPr>
            <w:tcW w:w="1270" w:type="dxa"/>
            <w:tcMar>
              <w:top w:w="0" w:type="dxa"/>
              <w:left w:w="115" w:type="dxa"/>
              <w:bottom w:w="0" w:type="dxa"/>
              <w:right w:w="115" w:type="dxa"/>
            </w:tcMar>
            <w:vAlign w:val="center"/>
          </w:tcPr>
          <w:p w14:paraId="082F910D" w14:textId="77777777" w:rsidR="0094224D" w:rsidRDefault="00000000">
            <w:pPr>
              <w:pBdr>
                <w:top w:val="nil"/>
                <w:left w:val="nil"/>
                <w:bottom w:val="nil"/>
                <w:right w:val="nil"/>
                <w:between w:val="nil"/>
              </w:pBdr>
              <w:spacing w:line="480" w:lineRule="auto"/>
              <w:jc w:val="center"/>
            </w:pPr>
            <w:sdt>
              <w:sdtPr>
                <w:tag w:val="goog_rdk_3"/>
                <w:id w:val="-2000799564"/>
              </w:sdtPr>
              <w:sdtContent>
                <w:r>
                  <w:rPr>
                    <w:rFonts w:ascii="Gungsuh" w:eastAsia="Gungsuh" w:hAnsi="Gungsuh" w:cs="Gungsuh"/>
                  </w:rPr>
                  <w:t>−</w:t>
                </w:r>
              </w:sdtContent>
            </w:sdt>
          </w:p>
        </w:tc>
        <w:tc>
          <w:tcPr>
            <w:tcW w:w="1098" w:type="dxa"/>
            <w:tcMar>
              <w:top w:w="0" w:type="dxa"/>
              <w:left w:w="115" w:type="dxa"/>
              <w:bottom w:w="0" w:type="dxa"/>
              <w:right w:w="115" w:type="dxa"/>
            </w:tcMar>
            <w:vAlign w:val="center"/>
          </w:tcPr>
          <w:p w14:paraId="23DC5393" w14:textId="77777777" w:rsidR="0094224D" w:rsidRDefault="0094224D">
            <w:pPr>
              <w:spacing w:line="480" w:lineRule="auto"/>
            </w:pPr>
          </w:p>
        </w:tc>
        <w:tc>
          <w:tcPr>
            <w:tcW w:w="522" w:type="dxa"/>
            <w:tcMar>
              <w:top w:w="0" w:type="dxa"/>
              <w:left w:w="115" w:type="dxa"/>
              <w:bottom w:w="0" w:type="dxa"/>
              <w:right w:w="115" w:type="dxa"/>
            </w:tcMar>
            <w:vAlign w:val="center"/>
          </w:tcPr>
          <w:p w14:paraId="567EFC8D" w14:textId="77777777" w:rsidR="0094224D" w:rsidRDefault="0094224D">
            <w:pPr>
              <w:spacing w:line="480" w:lineRule="auto"/>
            </w:pPr>
          </w:p>
        </w:tc>
        <w:tc>
          <w:tcPr>
            <w:tcW w:w="337" w:type="dxa"/>
            <w:tcMar>
              <w:top w:w="0" w:type="dxa"/>
              <w:left w:w="115" w:type="dxa"/>
              <w:bottom w:w="0" w:type="dxa"/>
              <w:right w:w="115" w:type="dxa"/>
            </w:tcMar>
            <w:vAlign w:val="center"/>
          </w:tcPr>
          <w:p w14:paraId="60AB985E" w14:textId="77777777" w:rsidR="0094224D" w:rsidRDefault="0094224D">
            <w:pPr>
              <w:spacing w:line="480" w:lineRule="auto"/>
            </w:pPr>
          </w:p>
        </w:tc>
        <w:tc>
          <w:tcPr>
            <w:tcW w:w="337" w:type="dxa"/>
            <w:tcMar>
              <w:top w:w="0" w:type="dxa"/>
              <w:left w:w="115" w:type="dxa"/>
              <w:bottom w:w="0" w:type="dxa"/>
              <w:right w:w="115" w:type="dxa"/>
            </w:tcMar>
            <w:vAlign w:val="center"/>
          </w:tcPr>
          <w:p w14:paraId="3201449C" w14:textId="77777777" w:rsidR="0094224D" w:rsidRDefault="0094224D">
            <w:pPr>
              <w:spacing w:line="480" w:lineRule="auto"/>
            </w:pPr>
          </w:p>
        </w:tc>
      </w:tr>
      <w:tr w:rsidR="0094224D" w14:paraId="0E5C8EAA" w14:textId="77777777">
        <w:trPr>
          <w:trHeight w:val="1054"/>
        </w:trPr>
        <w:tc>
          <w:tcPr>
            <w:tcW w:w="4072" w:type="dxa"/>
            <w:tcMar>
              <w:top w:w="0" w:type="dxa"/>
              <w:left w:w="115" w:type="dxa"/>
              <w:bottom w:w="0" w:type="dxa"/>
              <w:right w:w="115" w:type="dxa"/>
            </w:tcMar>
            <w:vAlign w:val="center"/>
          </w:tcPr>
          <w:p w14:paraId="4717BDC0" w14:textId="77777777" w:rsidR="0094224D" w:rsidRDefault="00000000">
            <w:pPr>
              <w:pBdr>
                <w:top w:val="nil"/>
                <w:left w:val="nil"/>
                <w:bottom w:val="nil"/>
                <w:right w:val="nil"/>
                <w:between w:val="nil"/>
              </w:pBdr>
              <w:spacing w:line="480" w:lineRule="auto"/>
            </w:pPr>
            <w:r>
              <w:t>5. Past year marijuana use (W1-V</w:t>
            </w:r>
            <w:proofErr w:type="gramStart"/>
            <w:r>
              <w:t>1)</w:t>
            </w:r>
            <w:r>
              <w:rPr>
                <w:vertAlign w:val="superscript"/>
              </w:rPr>
              <w:t>c</w:t>
            </w:r>
            <w:proofErr w:type="gramEnd"/>
          </w:p>
        </w:tc>
        <w:tc>
          <w:tcPr>
            <w:tcW w:w="1098" w:type="dxa"/>
            <w:tcMar>
              <w:top w:w="0" w:type="dxa"/>
              <w:left w:w="115" w:type="dxa"/>
              <w:bottom w:w="0" w:type="dxa"/>
              <w:right w:w="115" w:type="dxa"/>
            </w:tcMar>
            <w:vAlign w:val="center"/>
          </w:tcPr>
          <w:p w14:paraId="74D75912" w14:textId="77777777" w:rsidR="0094224D" w:rsidRDefault="00000000">
            <w:pPr>
              <w:pBdr>
                <w:top w:val="nil"/>
                <w:left w:val="nil"/>
                <w:bottom w:val="nil"/>
                <w:right w:val="nil"/>
                <w:between w:val="nil"/>
              </w:pBdr>
              <w:spacing w:line="480" w:lineRule="auto"/>
              <w:jc w:val="center"/>
            </w:pPr>
            <w:r>
              <w:t>9.95</w:t>
            </w:r>
          </w:p>
        </w:tc>
        <w:tc>
          <w:tcPr>
            <w:tcW w:w="1098" w:type="dxa"/>
            <w:tcMar>
              <w:top w:w="0" w:type="dxa"/>
              <w:left w:w="115" w:type="dxa"/>
              <w:bottom w:w="0" w:type="dxa"/>
              <w:right w:w="115" w:type="dxa"/>
            </w:tcMar>
            <w:vAlign w:val="center"/>
          </w:tcPr>
          <w:p w14:paraId="0480FE14" w14:textId="77777777" w:rsidR="0094224D" w:rsidRDefault="00000000">
            <w:pPr>
              <w:pBdr>
                <w:top w:val="nil"/>
                <w:left w:val="nil"/>
                <w:bottom w:val="nil"/>
                <w:right w:val="nil"/>
                <w:between w:val="nil"/>
              </w:pBdr>
              <w:spacing w:line="480" w:lineRule="auto"/>
              <w:jc w:val="center"/>
            </w:pPr>
            <w:r>
              <w:t>48.64</w:t>
            </w:r>
          </w:p>
        </w:tc>
        <w:tc>
          <w:tcPr>
            <w:tcW w:w="1558" w:type="dxa"/>
            <w:tcMar>
              <w:top w:w="0" w:type="dxa"/>
              <w:left w:w="115" w:type="dxa"/>
              <w:bottom w:w="0" w:type="dxa"/>
              <w:right w:w="115" w:type="dxa"/>
            </w:tcMar>
            <w:vAlign w:val="center"/>
          </w:tcPr>
          <w:p w14:paraId="63A00687" w14:textId="77777777" w:rsidR="0094224D" w:rsidRDefault="00000000">
            <w:pPr>
              <w:pBdr>
                <w:top w:val="nil"/>
                <w:left w:val="nil"/>
                <w:bottom w:val="nil"/>
                <w:right w:val="nil"/>
                <w:between w:val="nil"/>
              </w:pBdr>
              <w:spacing w:line="480" w:lineRule="auto"/>
              <w:ind w:hanging="72"/>
              <w:jc w:val="center"/>
            </w:pPr>
            <w:r>
              <w:t>0.15</w:t>
            </w:r>
            <w:r>
              <w:rPr>
                <w:i/>
                <w:highlight w:val="white"/>
              </w:rPr>
              <w:t>†</w:t>
            </w:r>
          </w:p>
        </w:tc>
        <w:tc>
          <w:tcPr>
            <w:tcW w:w="1001" w:type="dxa"/>
            <w:tcMar>
              <w:top w:w="0" w:type="dxa"/>
              <w:left w:w="115" w:type="dxa"/>
              <w:bottom w:w="0" w:type="dxa"/>
              <w:right w:w="115" w:type="dxa"/>
            </w:tcMar>
            <w:vAlign w:val="center"/>
          </w:tcPr>
          <w:p w14:paraId="0D274AE7" w14:textId="77777777" w:rsidR="0094224D" w:rsidRDefault="00000000">
            <w:pPr>
              <w:pBdr>
                <w:top w:val="nil"/>
                <w:left w:val="nil"/>
                <w:bottom w:val="nil"/>
                <w:right w:val="nil"/>
                <w:between w:val="nil"/>
              </w:pBdr>
              <w:spacing w:line="480" w:lineRule="auto"/>
              <w:jc w:val="center"/>
            </w:pPr>
            <w:r>
              <w:t>0.06</w:t>
            </w:r>
          </w:p>
        </w:tc>
        <w:tc>
          <w:tcPr>
            <w:tcW w:w="1098" w:type="dxa"/>
            <w:tcMar>
              <w:top w:w="0" w:type="dxa"/>
              <w:left w:w="115" w:type="dxa"/>
              <w:bottom w:w="0" w:type="dxa"/>
              <w:right w:w="115" w:type="dxa"/>
            </w:tcMar>
            <w:vAlign w:val="center"/>
          </w:tcPr>
          <w:p w14:paraId="37713BF0" w14:textId="77777777" w:rsidR="0094224D" w:rsidRDefault="00000000">
            <w:pPr>
              <w:pBdr>
                <w:top w:val="nil"/>
                <w:left w:val="nil"/>
                <w:bottom w:val="nil"/>
                <w:right w:val="nil"/>
                <w:between w:val="nil"/>
              </w:pBdr>
              <w:spacing w:line="480" w:lineRule="auto"/>
              <w:jc w:val="center"/>
            </w:pPr>
            <w:r>
              <w:t>0.14</w:t>
            </w:r>
            <w:r>
              <w:rPr>
                <w:i/>
                <w:highlight w:val="white"/>
              </w:rPr>
              <w:t>†</w:t>
            </w:r>
          </w:p>
        </w:tc>
        <w:tc>
          <w:tcPr>
            <w:tcW w:w="1270" w:type="dxa"/>
            <w:tcMar>
              <w:top w:w="0" w:type="dxa"/>
              <w:left w:w="115" w:type="dxa"/>
              <w:bottom w:w="0" w:type="dxa"/>
              <w:right w:w="115" w:type="dxa"/>
            </w:tcMar>
            <w:vAlign w:val="center"/>
          </w:tcPr>
          <w:p w14:paraId="0E152CA0" w14:textId="77777777" w:rsidR="0094224D" w:rsidRDefault="00000000">
            <w:pPr>
              <w:pBdr>
                <w:top w:val="nil"/>
                <w:left w:val="nil"/>
                <w:bottom w:val="nil"/>
                <w:right w:val="nil"/>
                <w:between w:val="nil"/>
              </w:pBdr>
              <w:spacing w:line="480" w:lineRule="auto"/>
              <w:jc w:val="center"/>
            </w:pPr>
            <w:r>
              <w:t>0.22**</w:t>
            </w:r>
          </w:p>
        </w:tc>
        <w:tc>
          <w:tcPr>
            <w:tcW w:w="1098" w:type="dxa"/>
            <w:tcMar>
              <w:top w:w="0" w:type="dxa"/>
              <w:left w:w="115" w:type="dxa"/>
              <w:bottom w:w="0" w:type="dxa"/>
              <w:right w:w="115" w:type="dxa"/>
            </w:tcMar>
            <w:vAlign w:val="center"/>
          </w:tcPr>
          <w:p w14:paraId="5D5D9FB5" w14:textId="77777777" w:rsidR="0094224D" w:rsidRDefault="00000000">
            <w:pPr>
              <w:pBdr>
                <w:top w:val="nil"/>
                <w:left w:val="nil"/>
                <w:bottom w:val="nil"/>
                <w:right w:val="nil"/>
                <w:between w:val="nil"/>
              </w:pBdr>
              <w:spacing w:line="480" w:lineRule="auto"/>
              <w:jc w:val="center"/>
            </w:pPr>
            <w:sdt>
              <w:sdtPr>
                <w:tag w:val="goog_rdk_4"/>
                <w:id w:val="-1638490693"/>
              </w:sdtPr>
              <w:sdtContent>
                <w:r>
                  <w:rPr>
                    <w:rFonts w:ascii="Gungsuh" w:eastAsia="Gungsuh" w:hAnsi="Gungsuh" w:cs="Gungsuh"/>
                  </w:rPr>
                  <w:t>−</w:t>
                </w:r>
              </w:sdtContent>
            </w:sdt>
          </w:p>
        </w:tc>
        <w:tc>
          <w:tcPr>
            <w:tcW w:w="522" w:type="dxa"/>
            <w:tcMar>
              <w:top w:w="0" w:type="dxa"/>
              <w:left w:w="115" w:type="dxa"/>
              <w:bottom w:w="0" w:type="dxa"/>
              <w:right w:w="115" w:type="dxa"/>
            </w:tcMar>
            <w:vAlign w:val="center"/>
          </w:tcPr>
          <w:p w14:paraId="6BC4DBB0" w14:textId="77777777" w:rsidR="0094224D" w:rsidRDefault="0094224D">
            <w:pPr>
              <w:spacing w:line="480" w:lineRule="auto"/>
              <w:jc w:val="both"/>
            </w:pPr>
          </w:p>
        </w:tc>
        <w:tc>
          <w:tcPr>
            <w:tcW w:w="337" w:type="dxa"/>
            <w:tcMar>
              <w:top w:w="0" w:type="dxa"/>
              <w:left w:w="115" w:type="dxa"/>
              <w:bottom w:w="0" w:type="dxa"/>
              <w:right w:w="115" w:type="dxa"/>
            </w:tcMar>
            <w:vAlign w:val="center"/>
          </w:tcPr>
          <w:p w14:paraId="7A2CCF38" w14:textId="77777777" w:rsidR="0094224D" w:rsidRDefault="0094224D">
            <w:pPr>
              <w:spacing w:line="480" w:lineRule="auto"/>
            </w:pPr>
          </w:p>
        </w:tc>
        <w:tc>
          <w:tcPr>
            <w:tcW w:w="337" w:type="dxa"/>
            <w:tcMar>
              <w:top w:w="0" w:type="dxa"/>
              <w:left w:w="115" w:type="dxa"/>
              <w:bottom w:w="0" w:type="dxa"/>
              <w:right w:w="115" w:type="dxa"/>
            </w:tcMar>
            <w:vAlign w:val="center"/>
          </w:tcPr>
          <w:p w14:paraId="241680EB" w14:textId="77777777" w:rsidR="0094224D" w:rsidRDefault="0094224D">
            <w:pPr>
              <w:spacing w:line="480" w:lineRule="auto"/>
            </w:pPr>
          </w:p>
        </w:tc>
      </w:tr>
      <w:tr w:rsidR="0094224D" w14:paraId="5242AE3C" w14:textId="77777777">
        <w:trPr>
          <w:trHeight w:val="635"/>
        </w:trPr>
        <w:tc>
          <w:tcPr>
            <w:tcW w:w="4072" w:type="dxa"/>
            <w:tcBorders>
              <w:bottom w:val="single" w:sz="4" w:space="0" w:color="000000"/>
            </w:tcBorders>
            <w:tcMar>
              <w:top w:w="0" w:type="dxa"/>
              <w:left w:w="115" w:type="dxa"/>
              <w:bottom w:w="0" w:type="dxa"/>
              <w:right w:w="115" w:type="dxa"/>
            </w:tcMar>
            <w:vAlign w:val="center"/>
          </w:tcPr>
          <w:p w14:paraId="0FD9DAB0" w14:textId="77777777" w:rsidR="0094224D" w:rsidRDefault="00000000">
            <w:pPr>
              <w:pBdr>
                <w:top w:val="nil"/>
                <w:left w:val="nil"/>
                <w:bottom w:val="nil"/>
                <w:right w:val="nil"/>
                <w:between w:val="nil"/>
              </w:pBdr>
              <w:spacing w:line="480" w:lineRule="auto"/>
            </w:pPr>
            <w:r>
              <w:t>6. False triggering (W1-V2)</w:t>
            </w:r>
          </w:p>
        </w:tc>
        <w:tc>
          <w:tcPr>
            <w:tcW w:w="1098" w:type="dxa"/>
            <w:tcBorders>
              <w:bottom w:val="single" w:sz="4" w:space="0" w:color="000000"/>
            </w:tcBorders>
            <w:tcMar>
              <w:top w:w="0" w:type="dxa"/>
              <w:left w:w="115" w:type="dxa"/>
              <w:bottom w:w="0" w:type="dxa"/>
              <w:right w:w="115" w:type="dxa"/>
            </w:tcMar>
            <w:vAlign w:val="center"/>
          </w:tcPr>
          <w:p w14:paraId="33A75DFE" w14:textId="77777777" w:rsidR="0094224D" w:rsidRDefault="00000000">
            <w:pPr>
              <w:pBdr>
                <w:top w:val="nil"/>
                <w:left w:val="nil"/>
                <w:bottom w:val="nil"/>
                <w:right w:val="nil"/>
                <w:between w:val="nil"/>
              </w:pBdr>
              <w:spacing w:line="480" w:lineRule="auto"/>
              <w:jc w:val="center"/>
            </w:pPr>
            <w:r>
              <w:t>9.144</w:t>
            </w:r>
          </w:p>
        </w:tc>
        <w:tc>
          <w:tcPr>
            <w:tcW w:w="1098" w:type="dxa"/>
            <w:tcBorders>
              <w:bottom w:val="single" w:sz="4" w:space="0" w:color="000000"/>
            </w:tcBorders>
            <w:tcMar>
              <w:top w:w="0" w:type="dxa"/>
              <w:left w:w="115" w:type="dxa"/>
              <w:bottom w:w="0" w:type="dxa"/>
              <w:right w:w="115" w:type="dxa"/>
            </w:tcMar>
            <w:vAlign w:val="center"/>
          </w:tcPr>
          <w:p w14:paraId="36CD9AC3" w14:textId="77777777" w:rsidR="0094224D" w:rsidRDefault="00000000">
            <w:pPr>
              <w:pBdr>
                <w:top w:val="nil"/>
                <w:left w:val="nil"/>
                <w:bottom w:val="nil"/>
                <w:right w:val="nil"/>
                <w:between w:val="nil"/>
              </w:pBdr>
              <w:spacing w:line="480" w:lineRule="auto"/>
              <w:jc w:val="center"/>
            </w:pPr>
            <w:r>
              <w:t>5.42</w:t>
            </w:r>
          </w:p>
        </w:tc>
        <w:tc>
          <w:tcPr>
            <w:tcW w:w="1558" w:type="dxa"/>
            <w:tcBorders>
              <w:bottom w:val="single" w:sz="4" w:space="0" w:color="000000"/>
            </w:tcBorders>
            <w:tcMar>
              <w:top w:w="0" w:type="dxa"/>
              <w:left w:w="115" w:type="dxa"/>
              <w:bottom w:w="0" w:type="dxa"/>
              <w:right w:w="115" w:type="dxa"/>
            </w:tcMar>
            <w:vAlign w:val="center"/>
          </w:tcPr>
          <w:p w14:paraId="08B6FB3E" w14:textId="77777777" w:rsidR="0094224D" w:rsidRDefault="00000000">
            <w:pPr>
              <w:pBdr>
                <w:top w:val="nil"/>
                <w:left w:val="nil"/>
                <w:bottom w:val="nil"/>
                <w:right w:val="nil"/>
                <w:between w:val="nil"/>
              </w:pBdr>
              <w:spacing w:line="480" w:lineRule="auto"/>
              <w:ind w:hanging="72"/>
              <w:jc w:val="center"/>
            </w:pPr>
            <w:r>
              <w:t>-0.21***</w:t>
            </w:r>
          </w:p>
        </w:tc>
        <w:tc>
          <w:tcPr>
            <w:tcW w:w="1001" w:type="dxa"/>
            <w:tcBorders>
              <w:bottom w:val="single" w:sz="4" w:space="0" w:color="000000"/>
            </w:tcBorders>
            <w:tcMar>
              <w:top w:w="0" w:type="dxa"/>
              <w:left w:w="115" w:type="dxa"/>
              <w:bottom w:w="0" w:type="dxa"/>
              <w:right w:w="115" w:type="dxa"/>
            </w:tcMar>
            <w:vAlign w:val="center"/>
          </w:tcPr>
          <w:p w14:paraId="6ED1292D" w14:textId="77777777" w:rsidR="0094224D" w:rsidRDefault="00000000">
            <w:pPr>
              <w:pBdr>
                <w:top w:val="nil"/>
                <w:left w:val="nil"/>
                <w:bottom w:val="nil"/>
                <w:right w:val="nil"/>
                <w:between w:val="nil"/>
              </w:pBdr>
              <w:spacing w:line="480" w:lineRule="auto"/>
              <w:jc w:val="center"/>
            </w:pPr>
            <w:r>
              <w:t>-0.05</w:t>
            </w:r>
          </w:p>
        </w:tc>
        <w:tc>
          <w:tcPr>
            <w:tcW w:w="1098" w:type="dxa"/>
            <w:tcBorders>
              <w:bottom w:val="single" w:sz="4" w:space="0" w:color="000000"/>
            </w:tcBorders>
            <w:tcMar>
              <w:top w:w="0" w:type="dxa"/>
              <w:left w:w="115" w:type="dxa"/>
              <w:bottom w:w="0" w:type="dxa"/>
              <w:right w:w="115" w:type="dxa"/>
            </w:tcMar>
            <w:vAlign w:val="center"/>
          </w:tcPr>
          <w:p w14:paraId="69259144" w14:textId="77777777" w:rsidR="0094224D" w:rsidRDefault="00000000">
            <w:pPr>
              <w:pBdr>
                <w:top w:val="nil"/>
                <w:left w:val="nil"/>
                <w:bottom w:val="nil"/>
                <w:right w:val="nil"/>
                <w:between w:val="nil"/>
              </w:pBdr>
              <w:spacing w:line="480" w:lineRule="auto"/>
              <w:jc w:val="center"/>
            </w:pPr>
            <w:r>
              <w:t>-0.00</w:t>
            </w:r>
          </w:p>
        </w:tc>
        <w:tc>
          <w:tcPr>
            <w:tcW w:w="1270" w:type="dxa"/>
            <w:tcBorders>
              <w:bottom w:val="single" w:sz="4" w:space="0" w:color="000000"/>
            </w:tcBorders>
            <w:tcMar>
              <w:top w:w="0" w:type="dxa"/>
              <w:left w:w="115" w:type="dxa"/>
              <w:bottom w:w="0" w:type="dxa"/>
              <w:right w:w="115" w:type="dxa"/>
            </w:tcMar>
            <w:vAlign w:val="center"/>
          </w:tcPr>
          <w:p w14:paraId="6142C986" w14:textId="77777777" w:rsidR="0094224D" w:rsidRDefault="00000000">
            <w:pPr>
              <w:pBdr>
                <w:top w:val="nil"/>
                <w:left w:val="nil"/>
                <w:bottom w:val="nil"/>
                <w:right w:val="nil"/>
                <w:between w:val="nil"/>
              </w:pBdr>
              <w:spacing w:line="480" w:lineRule="auto"/>
              <w:jc w:val="center"/>
            </w:pPr>
            <w:r>
              <w:t>0.03</w:t>
            </w:r>
          </w:p>
        </w:tc>
        <w:tc>
          <w:tcPr>
            <w:tcW w:w="1098" w:type="dxa"/>
            <w:tcBorders>
              <w:bottom w:val="single" w:sz="4" w:space="0" w:color="000000"/>
            </w:tcBorders>
            <w:tcMar>
              <w:top w:w="0" w:type="dxa"/>
              <w:left w:w="115" w:type="dxa"/>
              <w:bottom w:w="0" w:type="dxa"/>
              <w:right w:w="115" w:type="dxa"/>
            </w:tcMar>
            <w:vAlign w:val="center"/>
          </w:tcPr>
          <w:p w14:paraId="5A3A0221" w14:textId="77777777" w:rsidR="0094224D" w:rsidRDefault="00000000">
            <w:pPr>
              <w:pBdr>
                <w:top w:val="nil"/>
                <w:left w:val="nil"/>
                <w:bottom w:val="nil"/>
                <w:right w:val="nil"/>
                <w:between w:val="nil"/>
              </w:pBdr>
              <w:spacing w:line="480" w:lineRule="auto"/>
              <w:jc w:val="center"/>
            </w:pPr>
            <w:r>
              <w:t>0.14</w:t>
            </w:r>
            <w:r>
              <w:rPr>
                <w:i/>
                <w:highlight w:val="white"/>
              </w:rPr>
              <w:t>†</w:t>
            </w:r>
          </w:p>
        </w:tc>
        <w:tc>
          <w:tcPr>
            <w:tcW w:w="522" w:type="dxa"/>
            <w:tcBorders>
              <w:bottom w:val="single" w:sz="4" w:space="0" w:color="000000"/>
            </w:tcBorders>
            <w:tcMar>
              <w:top w:w="0" w:type="dxa"/>
              <w:left w:w="115" w:type="dxa"/>
              <w:bottom w:w="0" w:type="dxa"/>
              <w:right w:w="115" w:type="dxa"/>
            </w:tcMar>
            <w:vAlign w:val="center"/>
          </w:tcPr>
          <w:p w14:paraId="7E708DC4" w14:textId="77777777" w:rsidR="0094224D" w:rsidRDefault="00000000">
            <w:pPr>
              <w:pBdr>
                <w:top w:val="nil"/>
                <w:left w:val="nil"/>
                <w:bottom w:val="nil"/>
                <w:right w:val="nil"/>
                <w:between w:val="nil"/>
              </w:pBdr>
              <w:spacing w:line="480" w:lineRule="auto"/>
              <w:jc w:val="center"/>
            </w:pPr>
            <w:sdt>
              <w:sdtPr>
                <w:tag w:val="goog_rdk_5"/>
                <w:id w:val="1633135141"/>
              </w:sdtPr>
              <w:sdtContent>
                <w:r>
                  <w:rPr>
                    <w:rFonts w:ascii="Gungsuh" w:eastAsia="Gungsuh" w:hAnsi="Gungsuh" w:cs="Gungsuh"/>
                  </w:rPr>
                  <w:t>−</w:t>
                </w:r>
              </w:sdtContent>
            </w:sdt>
          </w:p>
        </w:tc>
        <w:tc>
          <w:tcPr>
            <w:tcW w:w="337" w:type="dxa"/>
            <w:tcBorders>
              <w:bottom w:val="single" w:sz="4" w:space="0" w:color="000000"/>
            </w:tcBorders>
            <w:tcMar>
              <w:top w:w="0" w:type="dxa"/>
              <w:left w:w="115" w:type="dxa"/>
              <w:bottom w:w="0" w:type="dxa"/>
              <w:right w:w="115" w:type="dxa"/>
            </w:tcMar>
            <w:vAlign w:val="center"/>
          </w:tcPr>
          <w:p w14:paraId="3EFB99FB" w14:textId="77777777" w:rsidR="0094224D" w:rsidRDefault="0094224D">
            <w:pPr>
              <w:spacing w:line="480" w:lineRule="auto"/>
            </w:pPr>
          </w:p>
        </w:tc>
        <w:tc>
          <w:tcPr>
            <w:tcW w:w="337" w:type="dxa"/>
            <w:tcBorders>
              <w:bottom w:val="single" w:sz="4" w:space="0" w:color="000000"/>
            </w:tcBorders>
            <w:tcMar>
              <w:top w:w="0" w:type="dxa"/>
              <w:left w:w="115" w:type="dxa"/>
              <w:bottom w:w="0" w:type="dxa"/>
              <w:right w:w="115" w:type="dxa"/>
            </w:tcMar>
            <w:vAlign w:val="center"/>
          </w:tcPr>
          <w:p w14:paraId="554EFCBC" w14:textId="77777777" w:rsidR="0094224D" w:rsidRDefault="0094224D">
            <w:pPr>
              <w:spacing w:line="480" w:lineRule="auto"/>
            </w:pPr>
          </w:p>
        </w:tc>
      </w:tr>
      <w:tr w:rsidR="0094224D" w14:paraId="523F3E5A" w14:textId="77777777">
        <w:trPr>
          <w:trHeight w:val="1063"/>
        </w:trPr>
        <w:tc>
          <w:tcPr>
            <w:tcW w:w="13489" w:type="dxa"/>
            <w:gridSpan w:val="11"/>
            <w:tcBorders>
              <w:top w:val="single" w:sz="4" w:space="0" w:color="000000"/>
            </w:tcBorders>
            <w:tcMar>
              <w:top w:w="0" w:type="dxa"/>
              <w:left w:w="115" w:type="dxa"/>
              <w:bottom w:w="0" w:type="dxa"/>
              <w:right w:w="115" w:type="dxa"/>
            </w:tcMar>
            <w:vAlign w:val="center"/>
          </w:tcPr>
          <w:p w14:paraId="632309E3" w14:textId="77777777" w:rsidR="0094224D" w:rsidRDefault="00000000">
            <w:pPr>
              <w:pBdr>
                <w:top w:val="nil"/>
                <w:left w:val="nil"/>
                <w:bottom w:val="nil"/>
                <w:right w:val="nil"/>
                <w:between w:val="nil"/>
              </w:pBdr>
              <w:spacing w:line="480" w:lineRule="auto"/>
            </w:pPr>
            <w:r>
              <w:t>Note:</w:t>
            </w:r>
            <w:r>
              <w:rPr>
                <w:i/>
                <w:highlight w:val="white"/>
              </w:rPr>
              <w:t xml:space="preserve"> †</w:t>
            </w:r>
            <w:r>
              <w:t xml:space="preserve"> marginal </w:t>
            </w:r>
            <w:r>
              <w:rPr>
                <w:i/>
              </w:rPr>
              <w:t xml:space="preserve">p = </w:t>
            </w:r>
            <w:r>
              <w:t xml:space="preserve">0.06; </w:t>
            </w:r>
            <w:r>
              <w:rPr>
                <w:vertAlign w:val="superscript"/>
              </w:rPr>
              <w:t>**</w:t>
            </w:r>
            <w:r>
              <w:t xml:space="preserve"> </w:t>
            </w:r>
            <w:r>
              <w:rPr>
                <w:i/>
              </w:rPr>
              <w:t>p</w:t>
            </w:r>
            <w:r>
              <w:t xml:space="preserve"> &lt; 0.01; </w:t>
            </w:r>
            <w:r>
              <w:rPr>
                <w:vertAlign w:val="superscript"/>
              </w:rPr>
              <w:t>***</w:t>
            </w:r>
            <w:r>
              <w:t xml:space="preserve"> </w:t>
            </w:r>
            <w:r>
              <w:rPr>
                <w:i/>
              </w:rPr>
              <w:t>p</w:t>
            </w:r>
            <w:r>
              <w:t xml:space="preserve"> &lt; 0.001; W1-V1 = Wave 1-Visit 1, W1-V2 = Wave 1-Visit 2; </w:t>
            </w:r>
            <w:r>
              <w:rPr>
                <w:vertAlign w:val="superscript"/>
              </w:rPr>
              <w:t xml:space="preserve">a </w:t>
            </w:r>
            <w:r>
              <w:t xml:space="preserve">Female = 0, Male = 1; </w:t>
            </w:r>
            <w:r>
              <w:rPr>
                <w:vertAlign w:val="superscript"/>
              </w:rPr>
              <w:t xml:space="preserve">b </w:t>
            </w:r>
            <w:r>
              <w:t xml:space="preserve">Hispanic No = 0, Yes = 1; </w:t>
            </w:r>
            <w:r>
              <w:rPr>
                <w:vertAlign w:val="superscript"/>
              </w:rPr>
              <w:t xml:space="preserve">c </w:t>
            </w:r>
            <w:r>
              <w:t>Variable represents untransformed value</w:t>
            </w:r>
          </w:p>
        </w:tc>
      </w:tr>
    </w:tbl>
    <w:p w14:paraId="5F47EA52" w14:textId="77777777" w:rsidR="0094224D" w:rsidRDefault="0094224D">
      <w:pPr>
        <w:sectPr w:rsidR="0094224D" w:rsidSect="00586F53">
          <w:pgSz w:w="15840" w:h="12240" w:orient="landscape"/>
          <w:pgMar w:top="1440" w:right="1440" w:bottom="1440" w:left="1440" w:header="720" w:footer="720" w:gutter="0"/>
          <w:pgNumType w:start="12"/>
          <w:cols w:space="720"/>
        </w:sectPr>
      </w:pPr>
    </w:p>
    <w:p w14:paraId="64F52DA5" w14:textId="77777777" w:rsidR="0094224D" w:rsidRDefault="00000000">
      <w:pPr>
        <w:pBdr>
          <w:top w:val="nil"/>
          <w:left w:val="nil"/>
          <w:bottom w:val="nil"/>
          <w:right w:val="nil"/>
          <w:between w:val="nil"/>
        </w:pBdr>
        <w:spacing w:line="480" w:lineRule="auto"/>
        <w:jc w:val="both"/>
        <w:rPr>
          <w:b/>
        </w:rPr>
      </w:pPr>
      <w:r>
        <w:rPr>
          <w:b/>
        </w:rPr>
        <w:lastRenderedPageBreak/>
        <w:t>6. Discussion</w:t>
      </w:r>
    </w:p>
    <w:p w14:paraId="2CE4F553" w14:textId="77777777" w:rsidR="0094224D" w:rsidRDefault="00000000">
      <w:pPr>
        <w:pBdr>
          <w:top w:val="nil"/>
          <w:left w:val="nil"/>
          <w:bottom w:val="nil"/>
          <w:right w:val="nil"/>
          <w:between w:val="nil"/>
        </w:pBdr>
        <w:spacing w:line="480" w:lineRule="auto"/>
        <w:jc w:val="both"/>
      </w:pPr>
      <w:r>
        <w:rPr>
          <w:b/>
        </w:rPr>
        <w:tab/>
      </w:r>
      <w:r>
        <w:t>The growing popularity of marijuana raises concerns for the long-term neurobiological effects of marijuana exposure, especially for adolescents who begin to experiment with this substance while their PFC is in development. As prior studies find, marijuana use is related to false signaling of CB1 receptors on oligodendrocytes, which in turn can cause alterations to the functioning of these cells, such as myelination (</w:t>
      </w:r>
      <w:proofErr w:type="spellStart"/>
      <w:r>
        <w:t>Lubman</w:t>
      </w:r>
      <w:proofErr w:type="spellEnd"/>
      <w:r>
        <w:t xml:space="preserve"> et al., 2015). These morphological changes can thus affect the functionality of the PFC, which is responsible for the proper functioning of executive tasks, such as working memory (Ford, 2021; </w:t>
      </w:r>
      <w:proofErr w:type="spellStart"/>
      <w:r>
        <w:t>Lubman</w:t>
      </w:r>
      <w:proofErr w:type="spellEnd"/>
      <w:r>
        <w:t xml:space="preserve"> et al., 2015). As results show, more days of marijuana use were associated with more cognitive failures. Although brain imaging techniques were not used in this study, it can be assumed that increased cognitive failures in adolescent marijuana users could be linked to alterations in myelination. </w:t>
      </w:r>
    </w:p>
    <w:p w14:paraId="66A43795" w14:textId="77777777" w:rsidR="0094224D" w:rsidRDefault="00000000">
      <w:pPr>
        <w:spacing w:line="480" w:lineRule="auto"/>
        <w:ind w:firstLine="720"/>
        <w:jc w:val="both"/>
      </w:pPr>
      <w:r>
        <w:t>As results show, increased days of marijuana use were associated with increased cognitive failures or decreased cognitive capabilities and that sensation-seeking tendencies were associated with marijuana use. Young sensation-seeking participants may have been influenced by their striatum, the brain’s reward system, when deciding to use marijuana (Galvan, 2010). The striatum matures before the PFC, which can explain why the young sensation-seeking adolescent sample may have been more inclined to experiment with marijuana (Galvan, 2010). Since the PFC is in development during adolescence, proper decision-making would also be in development (Shad et al., 2011). An underdeveloped PFC coupled with a mature striatum may have influenced marijuana use in that consideration of the negative consequences of use would not have taken place, and positive experiences would be highlighted by the brain’s reward system which seeks to provide its host with positive feelings (Galvan, 2010; Shad et al., 2011).</w:t>
      </w:r>
    </w:p>
    <w:p w14:paraId="44F54571" w14:textId="77777777" w:rsidR="0094224D" w:rsidRDefault="00000000">
      <w:pPr>
        <w:spacing w:line="480" w:lineRule="auto"/>
        <w:ind w:firstLine="720"/>
        <w:jc w:val="both"/>
      </w:pPr>
      <w:r>
        <w:lastRenderedPageBreak/>
        <w:t>Additionally, results also showed that sensation-seeking and cognitive failures are mediated by days of marijuana use, but no significant association between sensation-seeking and cognitive failures was found. The significance of these results demonstrates how individuals high in sensation-seeking are not predisposed to cognitive failures, but rather their decision to use marijuana may predispose them to these negative effects. This finding is consistent with the findings of Romer (2010), in which sensation-seeking did not directly predict deficits in executive functioning; rather, sensation-seeking predicted substance use, leading to cognitive declines through increased substance use. These findings, coupled with the results of this study, do not demonstrate impairments in PFC functionality through sensation-seeking alone (Romer, 2010).</w:t>
      </w:r>
    </w:p>
    <w:p w14:paraId="1075D2A0" w14:textId="77777777" w:rsidR="0094224D" w:rsidRDefault="00000000">
      <w:pPr>
        <w:spacing w:line="480" w:lineRule="auto"/>
        <w:jc w:val="both"/>
        <w:rPr>
          <w:b/>
        </w:rPr>
      </w:pPr>
      <w:r>
        <w:rPr>
          <w:b/>
        </w:rPr>
        <w:t>7. Conclusion</w:t>
      </w:r>
    </w:p>
    <w:p w14:paraId="096742F7" w14:textId="77777777" w:rsidR="008B3F7D" w:rsidRDefault="00000000">
      <w:pPr>
        <w:pBdr>
          <w:top w:val="nil"/>
          <w:left w:val="nil"/>
          <w:bottom w:val="nil"/>
          <w:right w:val="nil"/>
          <w:between w:val="nil"/>
        </w:pBdr>
        <w:spacing w:line="480" w:lineRule="auto"/>
        <w:ind w:firstLine="720"/>
        <w:jc w:val="both"/>
      </w:pPr>
      <w:r>
        <w:t>In this study, associations between sensation-seeking, adolescent marijuana use, and cognitive failures were examined from a neurobiological standpoint, as much of prior literature on these behaviors only investigated the behavior itself. As results show, sensation-seeking tendencies predicted marijuana use; higher levels of sensation-seeking were associated with more frequent use of marijuana. Furthermore, results also show that frequent marijuana use is associated with higher reports of cognitive failures, which indicates impairments in working memory; however, a significant association between sensation-seeking tendencies and cognitive failures was not found. This finding may be due to the alterations that marijuana use has on working memory through its involvement within the endocannabinoid system, which includes cannabinoid receptors on oligodendrocytes (Bossong et al., 2010; Miller et al., 2019). If this is the case, marijuana use can be linked to alterations in the morphology of oligodendrocytes, which in effect can cause alterations in the myelination of neurons (Miller et al., 2019).</w:t>
      </w:r>
    </w:p>
    <w:p w14:paraId="38B95453" w14:textId="77777777" w:rsidR="008B3F7D" w:rsidRDefault="008B3F7D">
      <w:pPr>
        <w:pBdr>
          <w:top w:val="nil"/>
          <w:left w:val="nil"/>
          <w:bottom w:val="nil"/>
          <w:right w:val="nil"/>
          <w:between w:val="nil"/>
        </w:pBdr>
        <w:spacing w:line="480" w:lineRule="auto"/>
        <w:ind w:firstLine="720"/>
        <w:jc w:val="both"/>
      </w:pPr>
    </w:p>
    <w:p w14:paraId="131DFE0C" w14:textId="66466C59" w:rsidR="0094224D" w:rsidRDefault="008B3F7D" w:rsidP="008B3F7D">
      <w:pPr>
        <w:pBdr>
          <w:top w:val="nil"/>
          <w:left w:val="nil"/>
          <w:bottom w:val="nil"/>
          <w:right w:val="nil"/>
          <w:between w:val="nil"/>
        </w:pBdr>
        <w:spacing w:line="480" w:lineRule="auto"/>
        <w:jc w:val="center"/>
      </w:pPr>
      <w:r>
        <w:lastRenderedPageBreak/>
        <w:t>References</w:t>
      </w:r>
    </w:p>
    <w:p w14:paraId="02FA4419" w14:textId="372556F6"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6024F2">
        <w:rPr>
          <w:color w:val="000000" w:themeColor="text1"/>
        </w:rPr>
        <w:t xml:space="preserve">Barnum, T. C., &amp; Armstrong, T. (2019). Sensation seeking to marijuana use: Exploring the mediating roles of risk appraisal and social norms. Addictive Behaviors, 92, 76–83. </w:t>
      </w:r>
      <w:r w:rsidRPr="00B746DD">
        <w:rPr>
          <w:color w:val="000000" w:themeColor="text1"/>
        </w:rPr>
        <w:t>https://doi.org/10.1016/j.addbeh.2018.12.027</w:t>
      </w:r>
    </w:p>
    <w:p w14:paraId="5613280E" w14:textId="77777777"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AB5EC7">
        <w:rPr>
          <w:color w:val="000000" w:themeColor="text1"/>
        </w:rPr>
        <w:t xml:space="preserve">Bjork, J. M. (2004). Incentive-elicited brain activation in adolescents: Similarities and differences from Young Adults. </w:t>
      </w:r>
      <w:r w:rsidRPr="001F40C6">
        <w:rPr>
          <w:i/>
          <w:color w:val="000000" w:themeColor="text1"/>
        </w:rPr>
        <w:t>Journal of Neuroscience</w:t>
      </w:r>
      <w:r w:rsidRPr="006024F2">
        <w:rPr>
          <w:color w:val="000000" w:themeColor="text1"/>
        </w:rPr>
        <w:t xml:space="preserve">, </w:t>
      </w:r>
      <w:r w:rsidRPr="006024F2">
        <w:rPr>
          <w:i/>
          <w:color w:val="000000" w:themeColor="text1"/>
        </w:rPr>
        <w:t>24</w:t>
      </w:r>
      <w:r w:rsidRPr="006024F2">
        <w:rPr>
          <w:color w:val="000000" w:themeColor="text1"/>
        </w:rPr>
        <w:t xml:space="preserve">(8), 1793–1802. https://doi.org/10.1523/jneurosci.4862-03.2004 </w:t>
      </w:r>
    </w:p>
    <w:p w14:paraId="3B86C2F8" w14:textId="77777777"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6024F2">
        <w:rPr>
          <w:color w:val="000000" w:themeColor="text1"/>
        </w:rPr>
        <w:t xml:space="preserve">Bloomfield, M. A. P., </w:t>
      </w:r>
      <w:proofErr w:type="spellStart"/>
      <w:r w:rsidRPr="006024F2">
        <w:rPr>
          <w:color w:val="000000" w:themeColor="text1"/>
        </w:rPr>
        <w:t>Hindocha</w:t>
      </w:r>
      <w:proofErr w:type="spellEnd"/>
      <w:r w:rsidRPr="006024F2">
        <w:rPr>
          <w:color w:val="000000" w:themeColor="text1"/>
        </w:rPr>
        <w:t xml:space="preserve">, C., Green, S. F., Wall, M. B., Lees, R., </w:t>
      </w:r>
      <w:proofErr w:type="spellStart"/>
      <w:r w:rsidRPr="006024F2">
        <w:rPr>
          <w:color w:val="000000" w:themeColor="text1"/>
        </w:rPr>
        <w:t>Petrilli</w:t>
      </w:r>
      <w:proofErr w:type="spellEnd"/>
      <w:r w:rsidRPr="006024F2">
        <w:rPr>
          <w:color w:val="000000" w:themeColor="text1"/>
        </w:rPr>
        <w:t xml:space="preserve">, K., Costello, H., </w:t>
      </w:r>
      <w:proofErr w:type="spellStart"/>
      <w:r w:rsidRPr="006024F2">
        <w:rPr>
          <w:color w:val="000000" w:themeColor="text1"/>
        </w:rPr>
        <w:t>Ogunbiyi</w:t>
      </w:r>
      <w:proofErr w:type="spellEnd"/>
      <w:r w:rsidRPr="006024F2">
        <w:rPr>
          <w:color w:val="000000" w:themeColor="text1"/>
        </w:rPr>
        <w:t xml:space="preserve">, M. O., Bossong, M. G., &amp; Freeman, T. P. (2019). The neuropsychopharmacology of cannabis: A review of human imaging studies. </w:t>
      </w:r>
      <w:r w:rsidRPr="006024F2">
        <w:rPr>
          <w:i/>
          <w:color w:val="000000" w:themeColor="text1"/>
        </w:rPr>
        <w:t>Pharmacology &amp; Therapeutics</w:t>
      </w:r>
      <w:r w:rsidRPr="006024F2">
        <w:rPr>
          <w:color w:val="000000" w:themeColor="text1"/>
        </w:rPr>
        <w:t xml:space="preserve">, </w:t>
      </w:r>
      <w:r w:rsidRPr="006024F2">
        <w:rPr>
          <w:i/>
          <w:color w:val="000000" w:themeColor="text1"/>
        </w:rPr>
        <w:t>195</w:t>
      </w:r>
      <w:r w:rsidRPr="006024F2">
        <w:rPr>
          <w:color w:val="000000" w:themeColor="text1"/>
        </w:rPr>
        <w:t>, 132–161. https://doi.org/10.1016/j.pharmthera.2018.10.006 </w:t>
      </w:r>
    </w:p>
    <w:p w14:paraId="3BF270BF" w14:textId="77777777"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6024F2">
        <w:rPr>
          <w:color w:val="000000" w:themeColor="text1"/>
        </w:rPr>
        <w:t xml:space="preserve">Bossong, M. G., van Hell, H. H., Jager, G., </w:t>
      </w:r>
      <w:proofErr w:type="spellStart"/>
      <w:r w:rsidRPr="006024F2">
        <w:rPr>
          <w:color w:val="000000" w:themeColor="text1"/>
        </w:rPr>
        <w:t>Oudman</w:t>
      </w:r>
      <w:proofErr w:type="spellEnd"/>
      <w:r w:rsidRPr="006024F2">
        <w:rPr>
          <w:color w:val="000000" w:themeColor="text1"/>
        </w:rPr>
        <w:t>, F. A., Kahn, R. S., &amp; Ramsey, N. F. (2010). Involvement of the endocannabinoid system in working memory: A pharmacological MRI study with Delta9-THC. European Neuropsychopharmacology, 20. https://doi.org/10.1016/s0924-977x(10)70075-4</w:t>
      </w:r>
    </w:p>
    <w:p w14:paraId="5EDC2241" w14:textId="77777777"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6024F2">
        <w:rPr>
          <w:color w:val="000000" w:themeColor="text1"/>
        </w:rPr>
        <w:t xml:space="preserve">Broadbent, D.E., Cooper, P.F., FitzGerald, P., &amp; Parkes, K.R. (1982). The Cognitive Failures Questionnaire (CFQ) and its correlates. </w:t>
      </w:r>
      <w:r w:rsidRPr="008C2633">
        <w:rPr>
          <w:i/>
          <w:iCs/>
          <w:color w:val="000000" w:themeColor="text1"/>
        </w:rPr>
        <w:t>British Journal of Clinical Psychology</w:t>
      </w:r>
      <w:r w:rsidRPr="006024F2">
        <w:rPr>
          <w:color w:val="000000" w:themeColor="text1"/>
        </w:rPr>
        <w:t>, 21, 1-16.</w:t>
      </w:r>
    </w:p>
    <w:p w14:paraId="2FD24595" w14:textId="77777777"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proofErr w:type="spellStart"/>
      <w:r w:rsidRPr="006024F2">
        <w:rPr>
          <w:color w:val="000000" w:themeColor="text1"/>
        </w:rPr>
        <w:t>Camchong</w:t>
      </w:r>
      <w:proofErr w:type="spellEnd"/>
      <w:r w:rsidRPr="006024F2">
        <w:rPr>
          <w:color w:val="000000" w:themeColor="text1"/>
        </w:rPr>
        <w:t xml:space="preserve">, J., Lim, K. O., &amp; </w:t>
      </w:r>
      <w:proofErr w:type="spellStart"/>
      <w:r w:rsidRPr="006024F2">
        <w:rPr>
          <w:color w:val="000000" w:themeColor="text1"/>
        </w:rPr>
        <w:t>Kumra</w:t>
      </w:r>
      <w:proofErr w:type="spellEnd"/>
      <w:r w:rsidRPr="006024F2">
        <w:rPr>
          <w:color w:val="000000" w:themeColor="text1"/>
        </w:rPr>
        <w:t xml:space="preserve">, S. (2016). Adverse effects of cannabis on Adolescent Brain Development: A Longitudinal Study. </w:t>
      </w:r>
      <w:r w:rsidRPr="006024F2">
        <w:rPr>
          <w:i/>
          <w:color w:val="000000" w:themeColor="text1"/>
        </w:rPr>
        <w:t>Cerebral Cortex</w:t>
      </w:r>
      <w:r w:rsidRPr="006024F2">
        <w:rPr>
          <w:color w:val="000000" w:themeColor="text1"/>
        </w:rPr>
        <w:t>. https://doi.org/10.1093/cercor/bhw015 </w:t>
      </w:r>
    </w:p>
    <w:p w14:paraId="3D6A609F" w14:textId="77777777"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6024F2">
        <w:rPr>
          <w:color w:val="000000" w:themeColor="text1"/>
        </w:rPr>
        <w:lastRenderedPageBreak/>
        <w:t xml:space="preserve">Coffman, B. A., </w:t>
      </w:r>
      <w:proofErr w:type="spellStart"/>
      <w:r w:rsidRPr="006024F2">
        <w:rPr>
          <w:color w:val="000000" w:themeColor="text1"/>
        </w:rPr>
        <w:t>Torrence</w:t>
      </w:r>
      <w:proofErr w:type="spellEnd"/>
      <w:r w:rsidRPr="006024F2">
        <w:rPr>
          <w:color w:val="000000" w:themeColor="text1"/>
        </w:rPr>
        <w:t xml:space="preserve">, N., Murphy, T., </w:t>
      </w:r>
      <w:proofErr w:type="spellStart"/>
      <w:r w:rsidRPr="006024F2">
        <w:rPr>
          <w:color w:val="000000" w:themeColor="text1"/>
        </w:rPr>
        <w:t>Bebko</w:t>
      </w:r>
      <w:proofErr w:type="spellEnd"/>
      <w:r w:rsidRPr="006024F2">
        <w:rPr>
          <w:color w:val="000000" w:themeColor="text1"/>
        </w:rPr>
        <w:t xml:space="preserve">, G., </w:t>
      </w:r>
      <w:proofErr w:type="spellStart"/>
      <w:r w:rsidRPr="006024F2">
        <w:rPr>
          <w:color w:val="000000" w:themeColor="text1"/>
        </w:rPr>
        <w:t>Graur</w:t>
      </w:r>
      <w:proofErr w:type="spellEnd"/>
      <w:r w:rsidRPr="006024F2">
        <w:rPr>
          <w:color w:val="000000" w:themeColor="text1"/>
        </w:rPr>
        <w:t>, S., Chase, H. W., Salisbury, D. F., &amp; Phillips, M. L. (2021). Trait sensation seeking is associated with heightened beta-band oscillatory dynamics over left ventrolateral prefrontal cortex during reward expectancy. Journal of Affective Disorders, 292, 67–74. https://doi.org/10.1016/j.jad.2021.05.029</w:t>
      </w:r>
    </w:p>
    <w:p w14:paraId="48FA9098" w14:textId="2BB7E7C6"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6024F2">
        <w:rPr>
          <w:color w:val="000000" w:themeColor="text1"/>
        </w:rPr>
        <w:t xml:space="preserve">Curry, I., Trim, R. S., Brown, S. A., </w:t>
      </w:r>
      <w:proofErr w:type="spellStart"/>
      <w:r w:rsidRPr="006024F2">
        <w:rPr>
          <w:color w:val="000000" w:themeColor="text1"/>
        </w:rPr>
        <w:t>Hopfer</w:t>
      </w:r>
      <w:proofErr w:type="spellEnd"/>
      <w:r w:rsidRPr="006024F2">
        <w:rPr>
          <w:color w:val="000000" w:themeColor="text1"/>
        </w:rPr>
        <w:t xml:space="preserve">, C. J., Stallings, M. C., &amp; Wall, T. L. (2018). Positive expectancies mediate the association between sensation seeking and marijuana outcomes in at-risk young adults: A test of the acquired Preparedness Model. The American Journal on Addictions, 27(5), 419–424. </w:t>
      </w:r>
      <w:r w:rsidRPr="00B746DD">
        <w:rPr>
          <w:color w:val="000000" w:themeColor="text1"/>
        </w:rPr>
        <w:t>https://doi.org/10.1111/ajad.12754</w:t>
      </w:r>
    </w:p>
    <w:p w14:paraId="797BC36C" w14:textId="77777777"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6024F2">
        <w:rPr>
          <w:color w:val="000000" w:themeColor="text1"/>
        </w:rPr>
        <w:t xml:space="preserve">Dougherty, D. M., Mathias, C. W., Dawes, M. A., Furr, R. M., Charles, N. E., Liguori, A., Shannon, E. E., &amp; Acheson, A. (2012). Impulsivity, attention, memory, and decision-making among adolescent marijuana users. </w:t>
      </w:r>
      <w:r w:rsidRPr="006024F2">
        <w:rPr>
          <w:i/>
          <w:color w:val="000000" w:themeColor="text1"/>
        </w:rPr>
        <w:t>Psychopharmacology</w:t>
      </w:r>
      <w:r w:rsidRPr="006024F2">
        <w:rPr>
          <w:color w:val="000000" w:themeColor="text1"/>
        </w:rPr>
        <w:t xml:space="preserve">, </w:t>
      </w:r>
      <w:r w:rsidRPr="006024F2">
        <w:rPr>
          <w:i/>
          <w:color w:val="000000" w:themeColor="text1"/>
        </w:rPr>
        <w:t>226</w:t>
      </w:r>
      <w:r w:rsidRPr="006024F2">
        <w:rPr>
          <w:color w:val="000000" w:themeColor="text1"/>
        </w:rPr>
        <w:t>(2), 307–319. https://doi.org/10.1007/s00213-012-2908-5 </w:t>
      </w:r>
    </w:p>
    <w:p w14:paraId="1C04EF23" w14:textId="77777777"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6024F2">
        <w:rPr>
          <w:color w:val="000000" w:themeColor="text1"/>
        </w:rPr>
        <w:t xml:space="preserve">Duperrouzel, J. C., Hawes, S. W., Lopez-Quintero, C., Pacheco-Colón, I., </w:t>
      </w:r>
      <w:proofErr w:type="spellStart"/>
      <w:r w:rsidRPr="006024F2">
        <w:rPr>
          <w:color w:val="000000" w:themeColor="text1"/>
        </w:rPr>
        <w:t>Coxe</w:t>
      </w:r>
      <w:proofErr w:type="spellEnd"/>
      <w:r w:rsidRPr="006024F2">
        <w:rPr>
          <w:color w:val="000000" w:themeColor="text1"/>
        </w:rPr>
        <w:t xml:space="preserve">, S., Hayes, T., &amp; Gonzalez, R. (2019). Adolescent cannabis </w:t>
      </w:r>
      <w:proofErr w:type="gramStart"/>
      <w:r w:rsidRPr="006024F2">
        <w:rPr>
          <w:color w:val="000000" w:themeColor="text1"/>
        </w:rPr>
        <w:t>use</w:t>
      </w:r>
      <w:proofErr w:type="gramEnd"/>
      <w:r w:rsidRPr="006024F2">
        <w:rPr>
          <w:color w:val="000000" w:themeColor="text1"/>
        </w:rPr>
        <w:t xml:space="preserve"> and its associations with decision-making and episodic memory: Preliminary results from a longitudinal study. </w:t>
      </w:r>
      <w:r w:rsidRPr="006024F2">
        <w:rPr>
          <w:i/>
          <w:color w:val="000000" w:themeColor="text1"/>
        </w:rPr>
        <w:t>Neuropsychology</w:t>
      </w:r>
      <w:r w:rsidRPr="006024F2">
        <w:rPr>
          <w:color w:val="000000" w:themeColor="text1"/>
        </w:rPr>
        <w:t xml:space="preserve">, </w:t>
      </w:r>
      <w:r w:rsidRPr="006024F2">
        <w:rPr>
          <w:i/>
          <w:color w:val="000000" w:themeColor="text1"/>
        </w:rPr>
        <w:t>33</w:t>
      </w:r>
      <w:r w:rsidRPr="006024F2">
        <w:rPr>
          <w:color w:val="000000" w:themeColor="text1"/>
        </w:rPr>
        <w:t>(5), 701–710. https://doi.org/10.1037/neu0000538 </w:t>
      </w:r>
    </w:p>
    <w:p w14:paraId="0456D095" w14:textId="77777777" w:rsidR="00917A17" w:rsidRPr="006024F2" w:rsidRDefault="00917A17" w:rsidP="00917A17">
      <w:pPr>
        <w:pBdr>
          <w:top w:val="nil"/>
          <w:left w:val="nil"/>
          <w:bottom w:val="nil"/>
          <w:right w:val="nil"/>
          <w:between w:val="nil"/>
        </w:pBdr>
        <w:spacing w:before="240" w:after="240" w:line="480" w:lineRule="auto"/>
        <w:ind w:hanging="720"/>
        <w:jc w:val="both"/>
        <w:rPr>
          <w:color w:val="000000" w:themeColor="text1"/>
        </w:rPr>
      </w:pPr>
      <w:r w:rsidRPr="006024F2">
        <w:rPr>
          <w:color w:val="000000" w:themeColor="text1"/>
        </w:rPr>
        <w:t>Ford, J. (2021, March 21). </w:t>
      </w:r>
      <w:r w:rsidRPr="006024F2">
        <w:rPr>
          <w:i/>
          <w:color w:val="000000" w:themeColor="text1"/>
        </w:rPr>
        <w:t xml:space="preserve">What </w:t>
      </w:r>
      <w:proofErr w:type="gramStart"/>
      <w:r w:rsidRPr="006024F2">
        <w:rPr>
          <w:i/>
          <w:color w:val="000000" w:themeColor="text1"/>
        </w:rPr>
        <w:t>is</w:t>
      </w:r>
      <w:proofErr w:type="gramEnd"/>
      <w:r w:rsidRPr="006024F2">
        <w:rPr>
          <w:i/>
          <w:color w:val="000000" w:themeColor="text1"/>
        </w:rPr>
        <w:t xml:space="preserve"> the main functions of oligodendrocytes?</w:t>
      </w:r>
      <w:r w:rsidRPr="006024F2">
        <w:rPr>
          <w:color w:val="000000" w:themeColor="text1"/>
        </w:rPr>
        <w:t> </w:t>
      </w:r>
      <w:proofErr w:type="spellStart"/>
      <w:r w:rsidRPr="006024F2">
        <w:rPr>
          <w:color w:val="000000" w:themeColor="text1"/>
        </w:rPr>
        <w:t>AnswersToAll</w:t>
      </w:r>
      <w:proofErr w:type="spellEnd"/>
      <w:r w:rsidRPr="006024F2">
        <w:rPr>
          <w:color w:val="000000" w:themeColor="text1"/>
        </w:rPr>
        <w:t>. Retrieved December 1, 2021, from https://answerstoall.com/popular/what-is-the-main-functions-of-oligodendrocytes/. </w:t>
      </w:r>
    </w:p>
    <w:p w14:paraId="118CA6D1" w14:textId="77777777" w:rsidR="00917A17" w:rsidRPr="006024F2" w:rsidRDefault="00917A17" w:rsidP="00917A17">
      <w:pPr>
        <w:pBdr>
          <w:top w:val="nil"/>
          <w:left w:val="nil"/>
          <w:bottom w:val="nil"/>
          <w:right w:val="nil"/>
          <w:between w:val="nil"/>
        </w:pBdr>
        <w:spacing w:before="240" w:after="240" w:line="480" w:lineRule="auto"/>
        <w:ind w:hanging="720"/>
        <w:jc w:val="both"/>
        <w:rPr>
          <w:color w:val="000000" w:themeColor="text1"/>
        </w:rPr>
      </w:pPr>
      <w:proofErr w:type="spellStart"/>
      <w:r w:rsidRPr="006024F2">
        <w:rPr>
          <w:color w:val="000000" w:themeColor="text1"/>
        </w:rPr>
        <w:t>Funahashi</w:t>
      </w:r>
      <w:proofErr w:type="spellEnd"/>
      <w:r w:rsidRPr="006024F2">
        <w:rPr>
          <w:color w:val="000000" w:themeColor="text1"/>
        </w:rPr>
        <w:t>, S. (2006). Prefrontal cortex and working memory processes. Neuroscience, 139(1), 251–261. https://doi.org/10.1016/j.neuroscience.2005.07.003</w:t>
      </w:r>
    </w:p>
    <w:p w14:paraId="5BE86CBA" w14:textId="77777777" w:rsidR="00917A17" w:rsidRPr="006024F2" w:rsidRDefault="00917A17" w:rsidP="00917A17">
      <w:pPr>
        <w:pBdr>
          <w:top w:val="nil"/>
          <w:left w:val="nil"/>
          <w:bottom w:val="nil"/>
          <w:right w:val="nil"/>
          <w:between w:val="nil"/>
        </w:pBdr>
        <w:spacing w:before="240" w:after="240" w:line="480" w:lineRule="auto"/>
        <w:ind w:hanging="720"/>
        <w:jc w:val="both"/>
        <w:rPr>
          <w:color w:val="000000" w:themeColor="text1"/>
        </w:rPr>
      </w:pPr>
      <w:r w:rsidRPr="006024F2">
        <w:rPr>
          <w:color w:val="000000" w:themeColor="text1"/>
        </w:rPr>
        <w:lastRenderedPageBreak/>
        <w:t xml:space="preserve">Galvan, A. (2010). Adolescent development of the reward system. </w:t>
      </w:r>
      <w:r w:rsidRPr="006024F2">
        <w:rPr>
          <w:i/>
          <w:color w:val="000000" w:themeColor="text1"/>
        </w:rPr>
        <w:t>Frontiers in Human Neuroscience</w:t>
      </w:r>
      <w:r w:rsidRPr="006024F2">
        <w:rPr>
          <w:color w:val="000000" w:themeColor="text1"/>
        </w:rPr>
        <w:t xml:space="preserve">, </w:t>
      </w:r>
      <w:r w:rsidRPr="006024F2">
        <w:rPr>
          <w:i/>
          <w:color w:val="000000" w:themeColor="text1"/>
        </w:rPr>
        <w:t>4</w:t>
      </w:r>
      <w:r w:rsidRPr="006024F2">
        <w:rPr>
          <w:color w:val="000000" w:themeColor="text1"/>
        </w:rPr>
        <w:t>. https://doi.org/10.3389/neuro.09.006.2010</w:t>
      </w:r>
    </w:p>
    <w:p w14:paraId="0F86393A" w14:textId="77777777" w:rsidR="00917A17" w:rsidRPr="006024F2" w:rsidRDefault="00917A17" w:rsidP="00917A17">
      <w:pPr>
        <w:pBdr>
          <w:top w:val="nil"/>
          <w:left w:val="nil"/>
          <w:bottom w:val="nil"/>
          <w:right w:val="nil"/>
          <w:between w:val="nil"/>
        </w:pBdr>
        <w:spacing w:line="480" w:lineRule="auto"/>
        <w:ind w:hanging="720"/>
        <w:jc w:val="both"/>
        <w:rPr>
          <w:color w:val="000000" w:themeColor="text1"/>
        </w:rPr>
      </w:pPr>
      <w:r w:rsidRPr="006024F2">
        <w:rPr>
          <w:color w:val="000000" w:themeColor="text1"/>
        </w:rPr>
        <w:t xml:space="preserve">Gibb, R., &amp; Kolb, B. (2015). Prefrontal cortex development and development of cognitive function. </w:t>
      </w:r>
      <w:r w:rsidRPr="006024F2">
        <w:rPr>
          <w:i/>
          <w:color w:val="000000" w:themeColor="text1"/>
        </w:rPr>
        <w:t>International Encyclopedia of the Social &amp; Behavioral Sciences</w:t>
      </w:r>
      <w:r w:rsidRPr="006024F2">
        <w:rPr>
          <w:color w:val="000000" w:themeColor="text1"/>
        </w:rPr>
        <w:t>, 817–823. https://doi.org/10.1016/b978-0-08-097086-8.55044-2 </w:t>
      </w:r>
    </w:p>
    <w:p w14:paraId="6CFD8FA0" w14:textId="5265BDDF" w:rsidR="00917A17" w:rsidRDefault="00917A17" w:rsidP="00917A17">
      <w:pPr>
        <w:pBdr>
          <w:top w:val="nil"/>
          <w:left w:val="nil"/>
          <w:bottom w:val="nil"/>
          <w:right w:val="nil"/>
          <w:between w:val="nil"/>
        </w:pBdr>
        <w:spacing w:before="240" w:after="240" w:line="480" w:lineRule="auto"/>
        <w:ind w:hanging="720"/>
        <w:jc w:val="both"/>
        <w:rPr>
          <w:color w:val="000000" w:themeColor="text1"/>
        </w:rPr>
      </w:pPr>
      <w:r w:rsidRPr="006024F2">
        <w:rPr>
          <w:color w:val="000000" w:themeColor="text1"/>
        </w:rPr>
        <w:t xml:space="preserve">Hampson, S. E., Andrews, J. A., &amp; </w:t>
      </w:r>
      <w:proofErr w:type="spellStart"/>
      <w:r w:rsidRPr="006024F2">
        <w:rPr>
          <w:color w:val="000000" w:themeColor="text1"/>
        </w:rPr>
        <w:t>Barckley</w:t>
      </w:r>
      <w:proofErr w:type="spellEnd"/>
      <w:r w:rsidRPr="006024F2">
        <w:rPr>
          <w:color w:val="000000" w:themeColor="text1"/>
        </w:rPr>
        <w:t xml:space="preserve">, M. (2008). Childhood predictors of adolescent marijuana use: Early sensation-seeking, deviant peer affiliation, and Social Images. Addictive Behaviors, 33(9), 1140–1147. </w:t>
      </w:r>
      <w:r w:rsidR="00B746DD" w:rsidRPr="00B746DD">
        <w:rPr>
          <w:color w:val="000000" w:themeColor="text1"/>
        </w:rPr>
        <w:t>https://doi.org/10.1016/j.addbeh.2008.04.010</w:t>
      </w:r>
    </w:p>
    <w:p w14:paraId="1F52FB5D" w14:textId="70312D86" w:rsidR="00B746DD" w:rsidRPr="006024F2" w:rsidRDefault="00B746DD" w:rsidP="00917A17">
      <w:pPr>
        <w:pBdr>
          <w:top w:val="nil"/>
          <w:left w:val="nil"/>
          <w:bottom w:val="nil"/>
          <w:right w:val="nil"/>
          <w:between w:val="nil"/>
        </w:pBdr>
        <w:spacing w:before="240" w:after="240" w:line="480" w:lineRule="auto"/>
        <w:ind w:hanging="720"/>
        <w:jc w:val="both"/>
        <w:rPr>
          <w:color w:val="000000" w:themeColor="text1"/>
        </w:rPr>
      </w:pPr>
      <w:r>
        <w:rPr>
          <w:color w:val="000000" w:themeColor="text1"/>
        </w:rPr>
        <w:t>Hayes, A. F. (2019). PROCESS version 3.3 for SAS: Copyright 2019 by Andrew F. Hayes.</w:t>
      </w:r>
    </w:p>
    <w:p w14:paraId="698EF53B" w14:textId="77777777" w:rsidR="00917A17" w:rsidRPr="006024F2" w:rsidRDefault="00917A17" w:rsidP="00917A17">
      <w:pPr>
        <w:pBdr>
          <w:top w:val="nil"/>
          <w:left w:val="nil"/>
          <w:bottom w:val="nil"/>
          <w:right w:val="nil"/>
          <w:between w:val="nil"/>
        </w:pBdr>
        <w:spacing w:before="240" w:after="240" w:line="480" w:lineRule="auto"/>
        <w:ind w:hanging="720"/>
        <w:jc w:val="both"/>
        <w:rPr>
          <w:color w:val="000000" w:themeColor="text1"/>
        </w:rPr>
      </w:pPr>
      <w:r w:rsidRPr="006024F2">
        <w:rPr>
          <w:color w:val="000000" w:themeColor="text1"/>
        </w:rPr>
        <w:t xml:space="preserve">Hyland, A., Ambrose, B. K., Conway, K. P., Borek, N., Lambert, E., </w:t>
      </w:r>
      <w:proofErr w:type="spellStart"/>
      <w:r w:rsidRPr="006024F2">
        <w:rPr>
          <w:color w:val="000000" w:themeColor="text1"/>
        </w:rPr>
        <w:t>Carusi</w:t>
      </w:r>
      <w:proofErr w:type="spellEnd"/>
      <w:r w:rsidRPr="006024F2">
        <w:rPr>
          <w:color w:val="000000" w:themeColor="text1"/>
        </w:rPr>
        <w:t xml:space="preserve">, C., Taylor, K., Crosse, S., Fong, G. T., Cummings, K. M., Abrams, D., Pierce, J. P., Sargent, J., Messer, K., Bansal-Travers, M., </w:t>
      </w:r>
      <w:proofErr w:type="spellStart"/>
      <w:r w:rsidRPr="006024F2">
        <w:rPr>
          <w:color w:val="000000" w:themeColor="text1"/>
        </w:rPr>
        <w:t>Niaura</w:t>
      </w:r>
      <w:proofErr w:type="spellEnd"/>
      <w:r w:rsidRPr="006024F2">
        <w:rPr>
          <w:color w:val="000000" w:themeColor="text1"/>
        </w:rPr>
        <w:t xml:space="preserve">, R., Vallone, D., Hammond, D., </w:t>
      </w:r>
      <w:proofErr w:type="spellStart"/>
      <w:r w:rsidRPr="006024F2">
        <w:rPr>
          <w:color w:val="000000" w:themeColor="text1"/>
        </w:rPr>
        <w:t>Hilmi</w:t>
      </w:r>
      <w:proofErr w:type="spellEnd"/>
      <w:r w:rsidRPr="006024F2">
        <w:rPr>
          <w:color w:val="000000" w:themeColor="text1"/>
        </w:rPr>
        <w:t xml:space="preserve">, N., … Compton, W. M. (2016). Design and methods of the population assessment of tobacco and Health (PATH) study. </w:t>
      </w:r>
      <w:r w:rsidRPr="006024F2">
        <w:rPr>
          <w:i/>
          <w:color w:val="000000" w:themeColor="text1"/>
        </w:rPr>
        <w:t>Tobacco Control</w:t>
      </w:r>
      <w:r w:rsidRPr="006024F2">
        <w:rPr>
          <w:color w:val="000000" w:themeColor="text1"/>
        </w:rPr>
        <w:t xml:space="preserve">, </w:t>
      </w:r>
      <w:r w:rsidRPr="006024F2">
        <w:rPr>
          <w:i/>
          <w:color w:val="000000" w:themeColor="text1"/>
        </w:rPr>
        <w:t>26</w:t>
      </w:r>
      <w:r w:rsidRPr="006024F2">
        <w:rPr>
          <w:color w:val="000000" w:themeColor="text1"/>
        </w:rPr>
        <w:t>(4), 371–378. https://doi.org/10.1136/tobaccocontrol-2016-052934 </w:t>
      </w:r>
    </w:p>
    <w:p w14:paraId="2C62CAC7" w14:textId="77777777" w:rsidR="00917A17" w:rsidRPr="006024F2" w:rsidRDefault="00917A17" w:rsidP="00917A17">
      <w:pPr>
        <w:pBdr>
          <w:top w:val="nil"/>
          <w:left w:val="nil"/>
          <w:bottom w:val="nil"/>
          <w:right w:val="nil"/>
          <w:between w:val="nil"/>
        </w:pBdr>
        <w:spacing w:before="240" w:after="240" w:line="480" w:lineRule="auto"/>
        <w:ind w:hanging="720"/>
        <w:jc w:val="both"/>
        <w:rPr>
          <w:color w:val="000000" w:themeColor="text1"/>
        </w:rPr>
      </w:pPr>
      <w:r w:rsidRPr="006024F2">
        <w:rPr>
          <w:color w:val="000000" w:themeColor="text1"/>
        </w:rPr>
        <w:t xml:space="preserve">Jackson, N. J., </w:t>
      </w:r>
      <w:proofErr w:type="spellStart"/>
      <w:r w:rsidRPr="006024F2">
        <w:rPr>
          <w:color w:val="000000" w:themeColor="text1"/>
        </w:rPr>
        <w:t>Isen</w:t>
      </w:r>
      <w:proofErr w:type="spellEnd"/>
      <w:r w:rsidRPr="006024F2">
        <w:rPr>
          <w:color w:val="000000" w:themeColor="text1"/>
        </w:rPr>
        <w:t xml:space="preserve">, J. D., </w:t>
      </w:r>
      <w:proofErr w:type="spellStart"/>
      <w:r w:rsidRPr="006024F2">
        <w:rPr>
          <w:color w:val="000000" w:themeColor="text1"/>
        </w:rPr>
        <w:t>Khoddam</w:t>
      </w:r>
      <w:proofErr w:type="spellEnd"/>
      <w:r w:rsidRPr="006024F2">
        <w:rPr>
          <w:color w:val="000000" w:themeColor="text1"/>
        </w:rPr>
        <w:t xml:space="preserve">, R., Irons, D., </w:t>
      </w:r>
      <w:proofErr w:type="spellStart"/>
      <w:r w:rsidRPr="006024F2">
        <w:rPr>
          <w:color w:val="000000" w:themeColor="text1"/>
        </w:rPr>
        <w:t>Tuvblad</w:t>
      </w:r>
      <w:proofErr w:type="spellEnd"/>
      <w:r w:rsidRPr="006024F2">
        <w:rPr>
          <w:color w:val="000000" w:themeColor="text1"/>
        </w:rPr>
        <w:t xml:space="preserve">, C., </w:t>
      </w:r>
      <w:proofErr w:type="spellStart"/>
      <w:r w:rsidRPr="006024F2">
        <w:rPr>
          <w:color w:val="000000" w:themeColor="text1"/>
        </w:rPr>
        <w:t>Iacono</w:t>
      </w:r>
      <w:proofErr w:type="spellEnd"/>
      <w:r w:rsidRPr="006024F2">
        <w:rPr>
          <w:color w:val="000000" w:themeColor="text1"/>
        </w:rPr>
        <w:t xml:space="preserve">, W. G., </w:t>
      </w:r>
      <w:proofErr w:type="spellStart"/>
      <w:r w:rsidRPr="006024F2">
        <w:rPr>
          <w:color w:val="000000" w:themeColor="text1"/>
        </w:rPr>
        <w:t>McGue</w:t>
      </w:r>
      <w:proofErr w:type="spellEnd"/>
      <w:r w:rsidRPr="006024F2">
        <w:rPr>
          <w:color w:val="000000" w:themeColor="text1"/>
        </w:rPr>
        <w:t xml:space="preserve">, M., Raine, A., &amp; Baker, L. A. (2016). Impact of adolescent marijuana use on intelligence: Results from two longitudinal twin studies. </w:t>
      </w:r>
      <w:r w:rsidRPr="006024F2">
        <w:rPr>
          <w:i/>
          <w:color w:val="000000" w:themeColor="text1"/>
        </w:rPr>
        <w:t>Proceedings of the National Academy of Sciences</w:t>
      </w:r>
      <w:r w:rsidRPr="006024F2">
        <w:rPr>
          <w:color w:val="000000" w:themeColor="text1"/>
        </w:rPr>
        <w:t xml:space="preserve">, </w:t>
      </w:r>
      <w:r w:rsidRPr="006024F2">
        <w:rPr>
          <w:i/>
          <w:color w:val="000000" w:themeColor="text1"/>
        </w:rPr>
        <w:t>113</w:t>
      </w:r>
      <w:r w:rsidRPr="006024F2">
        <w:rPr>
          <w:color w:val="000000" w:themeColor="text1"/>
        </w:rPr>
        <w:t xml:space="preserve">(5). https://doi.org/10.1073/pnas.1516648113 </w:t>
      </w:r>
    </w:p>
    <w:p w14:paraId="6509EECF" w14:textId="77777777" w:rsidR="00917A17" w:rsidRPr="006024F2" w:rsidRDefault="00917A17" w:rsidP="00917A17">
      <w:pPr>
        <w:pBdr>
          <w:top w:val="nil"/>
          <w:left w:val="nil"/>
          <w:bottom w:val="nil"/>
          <w:right w:val="nil"/>
          <w:between w:val="nil"/>
        </w:pBdr>
        <w:spacing w:before="240" w:after="240" w:line="480" w:lineRule="auto"/>
        <w:ind w:hanging="720"/>
        <w:jc w:val="both"/>
        <w:rPr>
          <w:color w:val="000000" w:themeColor="text1"/>
          <w:highlight w:val="white"/>
        </w:rPr>
      </w:pPr>
      <w:r w:rsidRPr="006024F2">
        <w:rPr>
          <w:color w:val="000000" w:themeColor="text1"/>
          <w:highlight w:val="white"/>
        </w:rPr>
        <w:t xml:space="preserve">Johnston, L. D., </w:t>
      </w:r>
      <w:proofErr w:type="spellStart"/>
      <w:r w:rsidRPr="006024F2">
        <w:rPr>
          <w:color w:val="000000" w:themeColor="text1"/>
          <w:highlight w:val="white"/>
        </w:rPr>
        <w:t>Miech</w:t>
      </w:r>
      <w:proofErr w:type="spellEnd"/>
      <w:r w:rsidRPr="006024F2">
        <w:rPr>
          <w:color w:val="000000" w:themeColor="text1"/>
          <w:highlight w:val="white"/>
        </w:rPr>
        <w:t xml:space="preserve">, R. A., O'Malley, P. M., Bachman, J. G., Schulenberg, J. E., &amp; Patrick, M. E. (2022, January). </w:t>
      </w:r>
      <w:r w:rsidRPr="006024F2">
        <w:rPr>
          <w:i/>
          <w:color w:val="000000" w:themeColor="text1"/>
          <w:highlight w:val="white"/>
        </w:rPr>
        <w:t>National Survey Results of Drug Use 1975-2021</w:t>
      </w:r>
      <w:r w:rsidRPr="006024F2">
        <w:rPr>
          <w:color w:val="000000" w:themeColor="text1"/>
          <w:highlight w:val="white"/>
        </w:rPr>
        <w:t xml:space="preserve">. monitoringthefuture.org. </w:t>
      </w:r>
      <w:r w:rsidRPr="006024F2">
        <w:rPr>
          <w:color w:val="000000" w:themeColor="text1"/>
          <w:highlight w:val="white"/>
        </w:rPr>
        <w:lastRenderedPageBreak/>
        <w:t xml:space="preserve">Retrieved April 4, 2022, from http://www.monitoringthefuture.org/pubs/monographs/mtf-overview2021.pdf </w:t>
      </w:r>
    </w:p>
    <w:p w14:paraId="3D8DD946" w14:textId="77777777" w:rsidR="00917A17" w:rsidRPr="006024F2" w:rsidRDefault="00917A17" w:rsidP="00917A17">
      <w:pPr>
        <w:pBdr>
          <w:top w:val="nil"/>
          <w:left w:val="nil"/>
          <w:bottom w:val="nil"/>
          <w:right w:val="nil"/>
          <w:between w:val="nil"/>
        </w:pBdr>
        <w:spacing w:before="240" w:after="240" w:line="480" w:lineRule="auto"/>
        <w:ind w:hanging="720"/>
        <w:jc w:val="both"/>
        <w:rPr>
          <w:color w:val="000000" w:themeColor="text1"/>
        </w:rPr>
      </w:pPr>
      <w:r w:rsidRPr="008C2633">
        <w:t xml:space="preserve">Kline, R. B. (2016). </w:t>
      </w:r>
      <w:r w:rsidRPr="008C2633">
        <w:rPr>
          <w:i/>
          <w:iCs/>
        </w:rPr>
        <w:t xml:space="preserve">Principles and practice of structural equation modeling </w:t>
      </w:r>
      <w:r w:rsidRPr="008C2633">
        <w:t xml:space="preserve">(4th ed.). Guilford Press. </w:t>
      </w:r>
    </w:p>
    <w:p w14:paraId="05D51D83" w14:textId="77777777" w:rsidR="00917A17" w:rsidRPr="006024F2" w:rsidRDefault="00917A17" w:rsidP="00917A17">
      <w:pPr>
        <w:pBdr>
          <w:top w:val="nil"/>
          <w:left w:val="nil"/>
          <w:bottom w:val="nil"/>
          <w:right w:val="nil"/>
          <w:between w:val="nil"/>
        </w:pBdr>
        <w:spacing w:line="480" w:lineRule="auto"/>
        <w:ind w:hanging="720"/>
        <w:jc w:val="both"/>
        <w:rPr>
          <w:color w:val="000000" w:themeColor="text1"/>
        </w:rPr>
      </w:pPr>
      <w:r w:rsidRPr="006024F2">
        <w:rPr>
          <w:color w:val="000000" w:themeColor="text1"/>
        </w:rPr>
        <w:t xml:space="preserve">Kruk-Slomka, M., Dzik, A., </w:t>
      </w:r>
      <w:proofErr w:type="spellStart"/>
      <w:r w:rsidRPr="006024F2">
        <w:rPr>
          <w:color w:val="000000" w:themeColor="text1"/>
        </w:rPr>
        <w:t>Budzynska</w:t>
      </w:r>
      <w:proofErr w:type="spellEnd"/>
      <w:r w:rsidRPr="006024F2">
        <w:rPr>
          <w:color w:val="000000" w:themeColor="text1"/>
        </w:rPr>
        <w:t>, B., &amp; Biala, G. (2016</w:t>
      </w:r>
      <w:r w:rsidRPr="00AB5EC7">
        <w:rPr>
          <w:color w:val="000000" w:themeColor="text1"/>
        </w:rPr>
        <w:t>). Endocannabinoid system: The direct and indirect involvement in the memory and learning processes—A short review. Molecular Neurobiology, 54(10), 8332–8347. https://doi.org/10.1007/s12035</w:t>
      </w:r>
      <w:r w:rsidRPr="006024F2">
        <w:rPr>
          <w:color w:val="000000" w:themeColor="text1"/>
        </w:rPr>
        <w:t>-016-0313-5</w:t>
      </w:r>
    </w:p>
    <w:p w14:paraId="5BD9DE37" w14:textId="77777777"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6024F2">
        <w:rPr>
          <w:color w:val="000000" w:themeColor="text1"/>
        </w:rPr>
        <w:t xml:space="preserve">Lopez-Larson, M. P., </w:t>
      </w:r>
      <w:proofErr w:type="spellStart"/>
      <w:r w:rsidRPr="006024F2">
        <w:rPr>
          <w:color w:val="000000" w:themeColor="text1"/>
        </w:rPr>
        <w:t>Bogorodzki</w:t>
      </w:r>
      <w:proofErr w:type="spellEnd"/>
      <w:r w:rsidRPr="006024F2">
        <w:rPr>
          <w:color w:val="000000" w:themeColor="text1"/>
        </w:rPr>
        <w:t xml:space="preserve">, P., </w:t>
      </w:r>
      <w:proofErr w:type="spellStart"/>
      <w:r w:rsidRPr="006024F2">
        <w:rPr>
          <w:color w:val="000000" w:themeColor="text1"/>
        </w:rPr>
        <w:t>Rogowska</w:t>
      </w:r>
      <w:proofErr w:type="spellEnd"/>
      <w:r w:rsidRPr="006024F2">
        <w:rPr>
          <w:color w:val="000000" w:themeColor="text1"/>
        </w:rPr>
        <w:t xml:space="preserve">, J., McGlade, E., King, J. B., Terry, J., &amp; </w:t>
      </w:r>
      <w:proofErr w:type="spellStart"/>
      <w:r w:rsidRPr="006024F2">
        <w:rPr>
          <w:color w:val="000000" w:themeColor="text1"/>
        </w:rPr>
        <w:t>Yurgelun</w:t>
      </w:r>
      <w:proofErr w:type="spellEnd"/>
      <w:r w:rsidRPr="006024F2">
        <w:rPr>
          <w:color w:val="000000" w:themeColor="text1"/>
        </w:rPr>
        <w:t xml:space="preserve">-Todd, D. (2011). Altered prefrontal and insular cortical thickness in adolescent marijuana users. </w:t>
      </w:r>
      <w:proofErr w:type="spellStart"/>
      <w:r w:rsidRPr="006024F2">
        <w:rPr>
          <w:i/>
          <w:color w:val="000000" w:themeColor="text1"/>
        </w:rPr>
        <w:t>Behavioural</w:t>
      </w:r>
      <w:proofErr w:type="spellEnd"/>
      <w:r w:rsidRPr="006024F2">
        <w:rPr>
          <w:i/>
          <w:color w:val="000000" w:themeColor="text1"/>
        </w:rPr>
        <w:t xml:space="preserve"> Brain Research</w:t>
      </w:r>
      <w:r w:rsidRPr="006024F2">
        <w:rPr>
          <w:color w:val="000000" w:themeColor="text1"/>
        </w:rPr>
        <w:t xml:space="preserve">, </w:t>
      </w:r>
      <w:r w:rsidRPr="006024F2">
        <w:rPr>
          <w:i/>
          <w:color w:val="000000" w:themeColor="text1"/>
        </w:rPr>
        <w:t>220</w:t>
      </w:r>
      <w:r w:rsidRPr="006024F2">
        <w:rPr>
          <w:color w:val="000000" w:themeColor="text1"/>
        </w:rPr>
        <w:t>(1), 164–172. https://doi.org/10.1016/j.bbr.2011.02.001 </w:t>
      </w:r>
    </w:p>
    <w:p w14:paraId="502EC397" w14:textId="77777777" w:rsidR="00917A17" w:rsidRPr="00AB5EC7" w:rsidRDefault="00917A17" w:rsidP="00917A17">
      <w:pPr>
        <w:pBdr>
          <w:top w:val="nil"/>
          <w:left w:val="nil"/>
          <w:bottom w:val="nil"/>
          <w:right w:val="nil"/>
          <w:between w:val="nil"/>
        </w:pBdr>
        <w:spacing w:before="280" w:after="280" w:line="480" w:lineRule="auto"/>
        <w:ind w:hanging="720"/>
        <w:jc w:val="both"/>
        <w:rPr>
          <w:color w:val="000000" w:themeColor="text1"/>
        </w:rPr>
      </w:pPr>
      <w:proofErr w:type="spellStart"/>
      <w:r w:rsidRPr="006024F2">
        <w:rPr>
          <w:color w:val="000000" w:themeColor="text1"/>
        </w:rPr>
        <w:t>Lubman</w:t>
      </w:r>
      <w:proofErr w:type="spellEnd"/>
      <w:r w:rsidRPr="006024F2">
        <w:rPr>
          <w:color w:val="000000" w:themeColor="text1"/>
        </w:rPr>
        <w:t xml:space="preserve">, D. I., Cheetham, A., &amp; </w:t>
      </w:r>
      <w:proofErr w:type="spellStart"/>
      <w:r w:rsidRPr="006024F2">
        <w:rPr>
          <w:color w:val="000000" w:themeColor="text1"/>
        </w:rPr>
        <w:t>Yücel</w:t>
      </w:r>
      <w:proofErr w:type="spellEnd"/>
      <w:r w:rsidRPr="006024F2">
        <w:rPr>
          <w:color w:val="000000" w:themeColor="text1"/>
        </w:rPr>
        <w:t xml:space="preserve">, M. (2015). Cannabis and adolescent brain development. </w:t>
      </w:r>
      <w:r w:rsidRPr="006024F2">
        <w:rPr>
          <w:i/>
          <w:color w:val="000000" w:themeColor="text1"/>
        </w:rPr>
        <w:t>Pharmacology &amp; Therapeutics</w:t>
      </w:r>
      <w:r w:rsidRPr="006024F2">
        <w:rPr>
          <w:color w:val="000000" w:themeColor="text1"/>
        </w:rPr>
        <w:t xml:space="preserve">, </w:t>
      </w:r>
      <w:r w:rsidRPr="006024F2">
        <w:rPr>
          <w:i/>
          <w:color w:val="000000" w:themeColor="text1"/>
        </w:rPr>
        <w:t>148</w:t>
      </w:r>
      <w:r w:rsidRPr="006024F2">
        <w:rPr>
          <w:color w:val="000000" w:themeColor="text1"/>
        </w:rPr>
        <w:t xml:space="preserve">, 1–16. </w:t>
      </w:r>
      <w:hyperlink r:id="rId11">
        <w:r w:rsidRPr="00AB5EC7">
          <w:rPr>
            <w:color w:val="000000" w:themeColor="text1"/>
            <w:u w:val="single"/>
          </w:rPr>
          <w:t>https://doi.org/10.1016/j.pharmthera.2014.11.009</w:t>
        </w:r>
      </w:hyperlink>
      <w:r w:rsidRPr="006024F2">
        <w:rPr>
          <w:color w:val="000000" w:themeColor="text1"/>
        </w:rPr>
        <w:t> </w:t>
      </w:r>
    </w:p>
    <w:p w14:paraId="2D124901" w14:textId="77777777" w:rsidR="00917A17" w:rsidRPr="006024F2" w:rsidRDefault="00917A17" w:rsidP="00917A17">
      <w:pPr>
        <w:pBdr>
          <w:top w:val="nil"/>
          <w:left w:val="nil"/>
          <w:bottom w:val="nil"/>
          <w:right w:val="nil"/>
          <w:between w:val="nil"/>
        </w:pBdr>
        <w:spacing w:line="480" w:lineRule="auto"/>
        <w:ind w:hanging="720"/>
        <w:jc w:val="both"/>
        <w:rPr>
          <w:color w:val="000000" w:themeColor="text1"/>
        </w:rPr>
      </w:pPr>
      <w:r w:rsidRPr="006024F2">
        <w:rPr>
          <w:color w:val="000000" w:themeColor="text1"/>
          <w:highlight w:val="white"/>
        </w:rPr>
        <w:t xml:space="preserve">Miller, M.L., Chadwick, B., Dickstein, D.L. </w:t>
      </w:r>
      <w:r w:rsidRPr="006024F2">
        <w:rPr>
          <w:i/>
          <w:color w:val="000000" w:themeColor="text1"/>
        </w:rPr>
        <w:t>et al.</w:t>
      </w:r>
      <w:r w:rsidRPr="006024F2">
        <w:rPr>
          <w:color w:val="000000" w:themeColor="text1"/>
          <w:highlight w:val="white"/>
        </w:rPr>
        <w:t xml:space="preserve"> Adolescent exposure to Δ</w:t>
      </w:r>
      <w:r w:rsidRPr="006024F2">
        <w:rPr>
          <w:color w:val="000000" w:themeColor="text1"/>
          <w:vertAlign w:val="superscript"/>
        </w:rPr>
        <w:t>9</w:t>
      </w:r>
      <w:r w:rsidRPr="006024F2">
        <w:rPr>
          <w:color w:val="000000" w:themeColor="text1"/>
          <w:highlight w:val="white"/>
        </w:rPr>
        <w:t xml:space="preserve">-tetrahydrocannabinol alters the transcriptional trajectory and dendritic architecture of prefrontal pyramidal neurons. </w:t>
      </w:r>
      <w:r w:rsidRPr="006024F2">
        <w:rPr>
          <w:i/>
          <w:color w:val="000000" w:themeColor="text1"/>
        </w:rPr>
        <w:t>Mol Psychiatry</w:t>
      </w:r>
      <w:r w:rsidRPr="006024F2">
        <w:rPr>
          <w:color w:val="000000" w:themeColor="text1"/>
          <w:highlight w:val="white"/>
        </w:rPr>
        <w:t xml:space="preserve"> </w:t>
      </w:r>
      <w:r w:rsidRPr="006024F2">
        <w:rPr>
          <w:color w:val="000000" w:themeColor="text1"/>
        </w:rPr>
        <w:t xml:space="preserve">24, </w:t>
      </w:r>
      <w:r w:rsidRPr="006024F2">
        <w:rPr>
          <w:color w:val="000000" w:themeColor="text1"/>
          <w:highlight w:val="white"/>
        </w:rPr>
        <w:t>588–600 (2019). https://doi.org/10.1038/s41380-018-0243-x</w:t>
      </w:r>
    </w:p>
    <w:p w14:paraId="31877A57" w14:textId="77777777" w:rsidR="00917A17" w:rsidRPr="006024F2" w:rsidRDefault="00917A17" w:rsidP="00917A17">
      <w:pPr>
        <w:pBdr>
          <w:top w:val="nil"/>
          <w:left w:val="nil"/>
          <w:bottom w:val="nil"/>
          <w:right w:val="nil"/>
          <w:between w:val="nil"/>
        </w:pBdr>
        <w:spacing w:before="280" w:after="280" w:line="480" w:lineRule="auto"/>
        <w:ind w:hanging="720"/>
        <w:jc w:val="both"/>
        <w:rPr>
          <w:color w:val="000000" w:themeColor="text1"/>
        </w:rPr>
      </w:pPr>
      <w:r w:rsidRPr="006024F2">
        <w:rPr>
          <w:color w:val="000000" w:themeColor="text1"/>
        </w:rPr>
        <w:t xml:space="preserve">National Research Council (US) and Institute of Medicine (US) Board on Children, Youth, and Families. (1999, January 1). </w:t>
      </w:r>
      <w:r w:rsidRPr="006024F2">
        <w:rPr>
          <w:i/>
          <w:color w:val="000000" w:themeColor="text1"/>
        </w:rPr>
        <w:t>The decision-making framework</w:t>
      </w:r>
      <w:r w:rsidRPr="006024F2">
        <w:rPr>
          <w:color w:val="000000" w:themeColor="text1"/>
        </w:rPr>
        <w:t>. Adolescent Decision Making: Implications for Prevention Programs: Summary of a Workshop. Retrieved October 23, 2021, from https://www.ncbi.nlm.nih.gov/books/NBK224102/. </w:t>
      </w:r>
    </w:p>
    <w:p w14:paraId="09860838" w14:textId="77777777" w:rsidR="00917A17" w:rsidRPr="006024F2" w:rsidRDefault="00917A17" w:rsidP="00917A17">
      <w:pPr>
        <w:pBdr>
          <w:top w:val="nil"/>
          <w:left w:val="nil"/>
          <w:bottom w:val="nil"/>
          <w:right w:val="nil"/>
          <w:between w:val="nil"/>
        </w:pBdr>
        <w:spacing w:before="240" w:after="240" w:line="480" w:lineRule="auto"/>
        <w:ind w:hanging="720"/>
        <w:jc w:val="both"/>
        <w:rPr>
          <w:color w:val="000000" w:themeColor="text1"/>
        </w:rPr>
      </w:pPr>
      <w:r w:rsidRPr="006024F2">
        <w:rPr>
          <w:color w:val="000000"/>
        </w:rPr>
        <w:t>Romer, D. (2010). Adolescent risk taking, impulsivity, and Brain Development: Implications for Prevention.</w:t>
      </w:r>
      <w:r w:rsidRPr="006024F2">
        <w:rPr>
          <w:rStyle w:val="apple-converted-space"/>
          <w:color w:val="000000"/>
        </w:rPr>
        <w:t> </w:t>
      </w:r>
      <w:r w:rsidRPr="006024F2">
        <w:rPr>
          <w:i/>
          <w:iCs/>
          <w:color w:val="000000"/>
        </w:rPr>
        <w:t>Developmental Psychobiology</w:t>
      </w:r>
      <w:r w:rsidRPr="006024F2">
        <w:rPr>
          <w:color w:val="000000"/>
        </w:rPr>
        <w:t>,</w:t>
      </w:r>
      <w:r w:rsidRPr="006024F2">
        <w:rPr>
          <w:rStyle w:val="apple-converted-space"/>
          <w:color w:val="000000"/>
        </w:rPr>
        <w:t> </w:t>
      </w:r>
      <w:r w:rsidRPr="006024F2">
        <w:rPr>
          <w:i/>
          <w:iCs/>
          <w:color w:val="000000"/>
        </w:rPr>
        <w:t>52</w:t>
      </w:r>
      <w:r w:rsidRPr="006024F2">
        <w:rPr>
          <w:color w:val="000000"/>
        </w:rPr>
        <w:t>(3), 263–276. https://doi.org/10.1002/dev.20442</w:t>
      </w:r>
      <w:r w:rsidRPr="006024F2">
        <w:rPr>
          <w:rStyle w:val="apple-converted-space"/>
          <w:color w:val="000000"/>
        </w:rPr>
        <w:t> </w:t>
      </w:r>
    </w:p>
    <w:p w14:paraId="75F5FDA5" w14:textId="77777777" w:rsidR="00917A17" w:rsidRPr="006024F2" w:rsidRDefault="00917A17" w:rsidP="00917A17">
      <w:pPr>
        <w:pBdr>
          <w:top w:val="nil"/>
          <w:left w:val="nil"/>
          <w:bottom w:val="nil"/>
          <w:right w:val="nil"/>
          <w:between w:val="nil"/>
        </w:pBdr>
        <w:spacing w:before="240" w:after="240" w:line="480" w:lineRule="auto"/>
        <w:ind w:hanging="720"/>
        <w:jc w:val="both"/>
        <w:rPr>
          <w:color w:val="000000" w:themeColor="text1"/>
          <w:highlight w:val="white"/>
        </w:rPr>
      </w:pPr>
      <w:r w:rsidRPr="006024F2">
        <w:rPr>
          <w:color w:val="000000" w:themeColor="text1"/>
          <w:highlight w:val="white"/>
        </w:rPr>
        <w:lastRenderedPageBreak/>
        <w:t xml:space="preserve">Schweinsburg, A. D., Brown, S. A., &amp; Tapert, S. F. (2008). The influence of marijuana </w:t>
      </w:r>
      <w:proofErr w:type="gramStart"/>
      <w:r w:rsidRPr="006024F2">
        <w:rPr>
          <w:color w:val="000000" w:themeColor="text1"/>
          <w:highlight w:val="white"/>
        </w:rPr>
        <w:t>use</w:t>
      </w:r>
      <w:proofErr w:type="gramEnd"/>
      <w:r w:rsidRPr="006024F2">
        <w:rPr>
          <w:color w:val="000000" w:themeColor="text1"/>
          <w:highlight w:val="white"/>
        </w:rPr>
        <w:t xml:space="preserve"> on neurocognitive functioning in adolescents. Current drug abuse reviews, 1(1), 99–111. https://doi.org/10.2174/1874473710801010099</w:t>
      </w:r>
    </w:p>
    <w:p w14:paraId="791090B5" w14:textId="77777777" w:rsidR="00917A17" w:rsidRPr="006024F2" w:rsidRDefault="00917A17" w:rsidP="00917A17">
      <w:pPr>
        <w:pBdr>
          <w:top w:val="nil"/>
          <w:left w:val="nil"/>
          <w:bottom w:val="nil"/>
          <w:right w:val="nil"/>
          <w:between w:val="nil"/>
        </w:pBdr>
        <w:spacing w:before="240" w:after="240" w:line="480" w:lineRule="auto"/>
        <w:ind w:hanging="720"/>
        <w:jc w:val="both"/>
        <w:rPr>
          <w:color w:val="000000" w:themeColor="text1"/>
          <w:highlight w:val="white"/>
        </w:rPr>
      </w:pPr>
      <w:r w:rsidRPr="006024F2">
        <w:rPr>
          <w:color w:val="000000" w:themeColor="text1"/>
          <w:highlight w:val="white"/>
        </w:rPr>
        <w:t xml:space="preserve">Schweinsburg, A. D., Schweinsburg, B. C., Medina, K. L., </w:t>
      </w:r>
      <w:proofErr w:type="spellStart"/>
      <w:r w:rsidRPr="006024F2">
        <w:rPr>
          <w:color w:val="000000" w:themeColor="text1"/>
          <w:highlight w:val="white"/>
        </w:rPr>
        <w:t>McQueeny</w:t>
      </w:r>
      <w:proofErr w:type="spellEnd"/>
      <w:r w:rsidRPr="006024F2">
        <w:rPr>
          <w:color w:val="000000" w:themeColor="text1"/>
          <w:highlight w:val="white"/>
        </w:rPr>
        <w:t xml:space="preserve">, T., Brown, S. A., &amp; Tapert, S. F. (2010). The influence of recency of use on </w:t>
      </w:r>
      <w:proofErr w:type="spellStart"/>
      <w:r w:rsidRPr="006024F2">
        <w:rPr>
          <w:color w:val="000000" w:themeColor="text1"/>
          <w:highlight w:val="white"/>
        </w:rPr>
        <w:t>fmri</w:t>
      </w:r>
      <w:proofErr w:type="spellEnd"/>
      <w:r w:rsidRPr="006024F2">
        <w:rPr>
          <w:color w:val="000000" w:themeColor="text1"/>
          <w:highlight w:val="white"/>
        </w:rPr>
        <w:t xml:space="preserve"> response during spatial working memory in adolescent marijuana users. </w:t>
      </w:r>
      <w:r w:rsidRPr="006024F2">
        <w:rPr>
          <w:i/>
          <w:color w:val="000000" w:themeColor="text1"/>
          <w:highlight w:val="white"/>
        </w:rPr>
        <w:t>Journal of Psychoactive Drugs</w:t>
      </w:r>
      <w:r w:rsidRPr="006024F2">
        <w:rPr>
          <w:color w:val="000000" w:themeColor="text1"/>
          <w:highlight w:val="white"/>
        </w:rPr>
        <w:t xml:space="preserve">, </w:t>
      </w:r>
      <w:r w:rsidRPr="006024F2">
        <w:rPr>
          <w:i/>
          <w:color w:val="000000" w:themeColor="text1"/>
          <w:highlight w:val="white"/>
        </w:rPr>
        <w:t>42</w:t>
      </w:r>
      <w:r w:rsidRPr="006024F2">
        <w:rPr>
          <w:color w:val="000000" w:themeColor="text1"/>
          <w:highlight w:val="white"/>
        </w:rPr>
        <w:t xml:space="preserve">(3), 401–412. https://doi.org/10.1080/02791072.2010.10400703 </w:t>
      </w:r>
    </w:p>
    <w:p w14:paraId="0B8C7402" w14:textId="77777777" w:rsidR="00917A17" w:rsidRPr="006024F2" w:rsidRDefault="00917A17" w:rsidP="00917A17">
      <w:pPr>
        <w:pBdr>
          <w:top w:val="nil"/>
          <w:left w:val="nil"/>
          <w:bottom w:val="nil"/>
          <w:right w:val="nil"/>
          <w:between w:val="nil"/>
        </w:pBdr>
        <w:spacing w:line="480" w:lineRule="auto"/>
        <w:ind w:hanging="720"/>
        <w:jc w:val="both"/>
        <w:rPr>
          <w:color w:val="000000" w:themeColor="text1"/>
        </w:rPr>
      </w:pPr>
      <w:r w:rsidRPr="006024F2">
        <w:rPr>
          <w:color w:val="000000" w:themeColor="text1"/>
        </w:rPr>
        <w:t xml:space="preserve">Shad, M. U., </w:t>
      </w:r>
      <w:proofErr w:type="spellStart"/>
      <w:r w:rsidRPr="006024F2">
        <w:rPr>
          <w:color w:val="000000" w:themeColor="text1"/>
        </w:rPr>
        <w:t>Bidesi</w:t>
      </w:r>
      <w:proofErr w:type="spellEnd"/>
      <w:r w:rsidRPr="006024F2">
        <w:rPr>
          <w:color w:val="000000" w:themeColor="text1"/>
        </w:rPr>
        <w:t xml:space="preserve">, A. S., Chen, L.-A., Thomas, B. P., Ernst, M., &amp; Rao, U. (2011). Neurobiology of decision-making in adolescents. </w:t>
      </w:r>
      <w:proofErr w:type="spellStart"/>
      <w:r w:rsidRPr="006024F2">
        <w:rPr>
          <w:i/>
          <w:color w:val="000000" w:themeColor="text1"/>
        </w:rPr>
        <w:t>Behavioural</w:t>
      </w:r>
      <w:proofErr w:type="spellEnd"/>
      <w:r w:rsidRPr="006024F2">
        <w:rPr>
          <w:i/>
          <w:color w:val="000000" w:themeColor="text1"/>
        </w:rPr>
        <w:t xml:space="preserve"> Brain Research</w:t>
      </w:r>
      <w:r w:rsidRPr="006024F2">
        <w:rPr>
          <w:color w:val="000000" w:themeColor="text1"/>
        </w:rPr>
        <w:t xml:space="preserve">, </w:t>
      </w:r>
      <w:r w:rsidRPr="006024F2">
        <w:rPr>
          <w:i/>
          <w:color w:val="000000" w:themeColor="text1"/>
        </w:rPr>
        <w:t>217</w:t>
      </w:r>
      <w:r w:rsidRPr="006024F2">
        <w:rPr>
          <w:color w:val="000000" w:themeColor="text1"/>
        </w:rPr>
        <w:t>(1), 67–76. https://doi.org/10.1016/j.bbr.2010.09.033 </w:t>
      </w:r>
    </w:p>
    <w:p w14:paraId="29688B35" w14:textId="77777777" w:rsidR="00917A17" w:rsidRPr="006024F2" w:rsidRDefault="00917A17" w:rsidP="00917A17">
      <w:pPr>
        <w:pBdr>
          <w:top w:val="nil"/>
          <w:left w:val="nil"/>
          <w:bottom w:val="nil"/>
          <w:right w:val="nil"/>
          <w:between w:val="nil"/>
        </w:pBdr>
        <w:spacing w:line="480" w:lineRule="auto"/>
        <w:ind w:hanging="720"/>
        <w:jc w:val="both"/>
        <w:rPr>
          <w:color w:val="000000" w:themeColor="text1"/>
        </w:rPr>
      </w:pPr>
      <w:r w:rsidRPr="006024F2">
        <w:rPr>
          <w:color w:val="000000" w:themeColor="text1"/>
        </w:rPr>
        <w:t xml:space="preserve">Shrivastava, A., Johnston, M., &amp; </w:t>
      </w:r>
      <w:proofErr w:type="spellStart"/>
      <w:r w:rsidRPr="006024F2">
        <w:rPr>
          <w:color w:val="000000" w:themeColor="text1"/>
        </w:rPr>
        <w:t>Tsuang</w:t>
      </w:r>
      <w:proofErr w:type="spellEnd"/>
      <w:r w:rsidRPr="006024F2">
        <w:rPr>
          <w:color w:val="000000" w:themeColor="text1"/>
        </w:rPr>
        <w:t xml:space="preserve">, M. (2011). Cannabis use and cognitive dysfunction. </w:t>
      </w:r>
      <w:r w:rsidRPr="006024F2">
        <w:rPr>
          <w:i/>
          <w:color w:val="000000" w:themeColor="text1"/>
        </w:rPr>
        <w:t>Indian Journal of Psychiatry</w:t>
      </w:r>
      <w:r w:rsidRPr="006024F2">
        <w:rPr>
          <w:color w:val="000000" w:themeColor="text1"/>
        </w:rPr>
        <w:t xml:space="preserve">, </w:t>
      </w:r>
      <w:r w:rsidRPr="006024F2">
        <w:rPr>
          <w:i/>
          <w:color w:val="000000" w:themeColor="text1"/>
        </w:rPr>
        <w:t>53</w:t>
      </w:r>
      <w:r w:rsidRPr="006024F2">
        <w:rPr>
          <w:color w:val="000000" w:themeColor="text1"/>
        </w:rPr>
        <w:t xml:space="preserve">(3), 187–191. https://doi.org/10.4103/0019-5545.86796 </w:t>
      </w:r>
    </w:p>
    <w:p w14:paraId="2AB1283A" w14:textId="77777777" w:rsidR="00917A17" w:rsidRPr="006024F2" w:rsidRDefault="00917A17" w:rsidP="00917A17">
      <w:pPr>
        <w:pBdr>
          <w:top w:val="nil"/>
          <w:left w:val="nil"/>
          <w:bottom w:val="nil"/>
          <w:right w:val="nil"/>
          <w:between w:val="nil"/>
        </w:pBdr>
        <w:spacing w:line="480" w:lineRule="auto"/>
        <w:ind w:hanging="720"/>
        <w:jc w:val="both"/>
        <w:rPr>
          <w:color w:val="000000" w:themeColor="text1"/>
        </w:rPr>
      </w:pPr>
      <w:r w:rsidRPr="006024F2">
        <w:rPr>
          <w:color w:val="000000" w:themeColor="text1"/>
        </w:rPr>
        <w:t xml:space="preserve">Stringfield, S. J., &amp; Torregrossa, M. M. (2021). Disentangling the lasting effects of adolescent cannabinoid exposure. </w:t>
      </w:r>
      <w:r w:rsidRPr="006024F2">
        <w:rPr>
          <w:i/>
          <w:color w:val="000000" w:themeColor="text1"/>
        </w:rPr>
        <w:t>Progress in Neuro-Psychopharmacology and Biological Psychiatry</w:t>
      </w:r>
      <w:r w:rsidRPr="006024F2">
        <w:rPr>
          <w:color w:val="000000" w:themeColor="text1"/>
        </w:rPr>
        <w:t xml:space="preserve">, </w:t>
      </w:r>
      <w:r w:rsidRPr="006024F2">
        <w:rPr>
          <w:i/>
          <w:color w:val="000000" w:themeColor="text1"/>
        </w:rPr>
        <w:t>104</w:t>
      </w:r>
      <w:r w:rsidRPr="006024F2">
        <w:rPr>
          <w:color w:val="000000" w:themeColor="text1"/>
        </w:rPr>
        <w:t>, 110067. https://doi.org/10.1016/j.pnpbp.2020.110067</w:t>
      </w:r>
    </w:p>
    <w:p w14:paraId="4A507B23" w14:textId="77777777" w:rsidR="00917A17" w:rsidRPr="006024F2" w:rsidRDefault="00917A17" w:rsidP="00917A17">
      <w:pPr>
        <w:pBdr>
          <w:top w:val="nil"/>
          <w:left w:val="nil"/>
          <w:bottom w:val="nil"/>
          <w:right w:val="nil"/>
          <w:between w:val="nil"/>
        </w:pBdr>
        <w:spacing w:line="480" w:lineRule="auto"/>
        <w:ind w:hanging="720"/>
        <w:jc w:val="both"/>
        <w:rPr>
          <w:color w:val="000000" w:themeColor="text1"/>
        </w:rPr>
      </w:pPr>
      <w:r w:rsidRPr="006024F2">
        <w:rPr>
          <w:color w:val="000000" w:themeColor="text1"/>
        </w:rPr>
        <w:t xml:space="preserve">Widjojo, K. (2018). Eveline Crone: The adolescent brain: Changes in learning, decision-making and social relations in the unique developmental period of adolescence Abingdon, Oxon: Routledge. 2017, 156PP, ISBN-13: 978-1138855960. </w:t>
      </w:r>
      <w:r w:rsidRPr="006024F2">
        <w:rPr>
          <w:i/>
          <w:color w:val="000000" w:themeColor="text1"/>
        </w:rPr>
        <w:t>Journal of Youth and Adolescence</w:t>
      </w:r>
      <w:r w:rsidRPr="006024F2">
        <w:rPr>
          <w:color w:val="000000" w:themeColor="text1"/>
        </w:rPr>
        <w:t xml:space="preserve">, </w:t>
      </w:r>
      <w:r w:rsidRPr="006024F2">
        <w:rPr>
          <w:i/>
          <w:color w:val="000000" w:themeColor="text1"/>
        </w:rPr>
        <w:t>47</w:t>
      </w:r>
      <w:r w:rsidRPr="006024F2">
        <w:rPr>
          <w:color w:val="000000" w:themeColor="text1"/>
        </w:rPr>
        <w:t>(8), 1789–1793. https://doi.org/10.1007/s10964-018-0890-x </w:t>
      </w:r>
    </w:p>
    <w:p w14:paraId="0C90D26C" w14:textId="77777777" w:rsidR="00917A17" w:rsidRPr="006024F2" w:rsidRDefault="00917A17" w:rsidP="00917A17">
      <w:pPr>
        <w:pBdr>
          <w:top w:val="nil"/>
          <w:left w:val="nil"/>
          <w:bottom w:val="nil"/>
          <w:right w:val="nil"/>
          <w:between w:val="nil"/>
        </w:pBdr>
        <w:spacing w:line="480" w:lineRule="auto"/>
        <w:ind w:hanging="720"/>
        <w:jc w:val="both"/>
        <w:rPr>
          <w:color w:val="000000" w:themeColor="text1"/>
        </w:rPr>
      </w:pPr>
      <w:proofErr w:type="spellStart"/>
      <w:r w:rsidRPr="006024F2">
        <w:rPr>
          <w:color w:val="000000"/>
        </w:rPr>
        <w:t>Woicik</w:t>
      </w:r>
      <w:proofErr w:type="spellEnd"/>
      <w:r w:rsidRPr="006024F2">
        <w:rPr>
          <w:color w:val="000000"/>
        </w:rPr>
        <w:t xml:space="preserve">, P. A., Stewart, S. H., Pihl, R. O., &amp; Conrod, P. J. (2009). The substance </w:t>
      </w:r>
      <w:proofErr w:type="gramStart"/>
      <w:r w:rsidRPr="006024F2">
        <w:rPr>
          <w:color w:val="000000"/>
        </w:rPr>
        <w:t>use</w:t>
      </w:r>
      <w:proofErr w:type="gramEnd"/>
      <w:r w:rsidRPr="006024F2">
        <w:rPr>
          <w:color w:val="000000"/>
        </w:rPr>
        <w:t xml:space="preserve"> risk profile scale: A scale measuring traits linked to reinforcement-specific substance use profiles.</w:t>
      </w:r>
      <w:r w:rsidRPr="006024F2">
        <w:rPr>
          <w:rStyle w:val="apple-converted-space"/>
          <w:color w:val="000000"/>
        </w:rPr>
        <w:t> </w:t>
      </w:r>
      <w:r w:rsidRPr="006024F2">
        <w:rPr>
          <w:i/>
          <w:iCs/>
          <w:color w:val="000000"/>
        </w:rPr>
        <w:t>Addictive Behaviors</w:t>
      </w:r>
      <w:r w:rsidRPr="006024F2">
        <w:rPr>
          <w:color w:val="000000"/>
        </w:rPr>
        <w:t>,</w:t>
      </w:r>
      <w:r w:rsidRPr="006024F2">
        <w:rPr>
          <w:rStyle w:val="apple-converted-space"/>
          <w:color w:val="000000"/>
        </w:rPr>
        <w:t> </w:t>
      </w:r>
      <w:r w:rsidRPr="006024F2">
        <w:rPr>
          <w:i/>
          <w:iCs/>
          <w:color w:val="000000"/>
        </w:rPr>
        <w:t>34</w:t>
      </w:r>
      <w:r w:rsidRPr="006024F2">
        <w:rPr>
          <w:color w:val="000000"/>
        </w:rPr>
        <w:t>(12), 1042–1055. https://doi.org/10.1016/j.addbeh.2009.07.001</w:t>
      </w:r>
      <w:r w:rsidRPr="006024F2">
        <w:rPr>
          <w:rStyle w:val="apple-converted-space"/>
          <w:color w:val="000000"/>
        </w:rPr>
        <w:t> </w:t>
      </w:r>
    </w:p>
    <w:p w14:paraId="312B7EC7" w14:textId="45ECE3E2" w:rsidR="00917A17" w:rsidRPr="006024F2" w:rsidRDefault="00917A17" w:rsidP="00917A17">
      <w:pPr>
        <w:pBdr>
          <w:top w:val="nil"/>
          <w:left w:val="nil"/>
          <w:bottom w:val="nil"/>
          <w:right w:val="nil"/>
          <w:between w:val="nil"/>
        </w:pBdr>
        <w:spacing w:line="480" w:lineRule="auto"/>
        <w:ind w:hanging="720"/>
        <w:jc w:val="both"/>
        <w:rPr>
          <w:color w:val="000000" w:themeColor="text1"/>
        </w:rPr>
      </w:pPr>
      <w:r w:rsidRPr="000736DA">
        <w:rPr>
          <w:color w:val="000000" w:themeColor="text1"/>
        </w:rPr>
        <w:lastRenderedPageBreak/>
        <w:t xml:space="preserve">Zehra, A., Burns, J., Liu, C. K., </w:t>
      </w:r>
      <w:proofErr w:type="spellStart"/>
      <w:r w:rsidRPr="000736DA">
        <w:rPr>
          <w:color w:val="000000" w:themeColor="text1"/>
        </w:rPr>
        <w:t>Manza</w:t>
      </w:r>
      <w:proofErr w:type="spellEnd"/>
      <w:r w:rsidRPr="000736DA">
        <w:rPr>
          <w:color w:val="000000" w:themeColor="text1"/>
        </w:rPr>
        <w:t xml:space="preserve">, P., </w:t>
      </w:r>
      <w:proofErr w:type="spellStart"/>
      <w:r w:rsidRPr="000736DA">
        <w:rPr>
          <w:color w:val="000000" w:themeColor="text1"/>
        </w:rPr>
        <w:t>Wiers</w:t>
      </w:r>
      <w:proofErr w:type="spellEnd"/>
      <w:r w:rsidRPr="000736DA">
        <w:rPr>
          <w:color w:val="000000" w:themeColor="text1"/>
        </w:rPr>
        <w:t>, C. E., Volkow, N. D., &amp; Wang, G.-J. (2018). Cannabis ad</w:t>
      </w:r>
      <w:r w:rsidRPr="006024F2">
        <w:rPr>
          <w:color w:val="000000" w:themeColor="text1"/>
        </w:rPr>
        <w:t xml:space="preserve">diction and the brain: A Review. Journal of Neuroimmune Pharmacology, 13(4), 438–452. </w:t>
      </w:r>
      <w:r w:rsidRPr="00F24B5F">
        <w:rPr>
          <w:color w:val="000000" w:themeColor="text1"/>
        </w:rPr>
        <w:t>https://doi.org/10.1007/s11481-018-9782-9</w:t>
      </w:r>
    </w:p>
    <w:p w14:paraId="36B771F1" w14:textId="3AF72D20" w:rsidR="008B3F7D" w:rsidRDefault="00917A17" w:rsidP="00917A17">
      <w:pPr>
        <w:pBdr>
          <w:top w:val="nil"/>
          <w:left w:val="nil"/>
          <w:bottom w:val="nil"/>
          <w:right w:val="nil"/>
          <w:between w:val="nil"/>
        </w:pBdr>
        <w:spacing w:line="480" w:lineRule="auto"/>
        <w:ind w:hanging="720"/>
        <w:jc w:val="both"/>
      </w:pPr>
      <w:r w:rsidRPr="006024F2">
        <w:t>Zuckerman, M. (2015). Sensation seeking: Behavioral expressions and biosocial bases.</w:t>
      </w:r>
      <w:r w:rsidRPr="006024F2">
        <w:rPr>
          <w:rStyle w:val="apple-converted-space"/>
          <w:color w:val="000000"/>
        </w:rPr>
        <w:t> </w:t>
      </w:r>
      <w:r w:rsidRPr="006024F2">
        <w:rPr>
          <w:i/>
          <w:iCs/>
        </w:rPr>
        <w:t>International Encyclopedia of the Social &amp; Behavioral Sciences</w:t>
      </w:r>
      <w:r w:rsidRPr="006024F2">
        <w:t>, 607–614. https://doi.org/10.1016/b978-0-08-097086-8.25036-8</w:t>
      </w:r>
      <w:r w:rsidRPr="006024F2">
        <w:rPr>
          <w:rStyle w:val="apple-converted-space"/>
          <w:color w:val="000000"/>
        </w:rPr>
        <w:t> </w:t>
      </w:r>
    </w:p>
    <w:sectPr w:rsidR="008B3F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62F2" w14:textId="77777777" w:rsidR="00E438CB" w:rsidRDefault="00E438CB">
      <w:r>
        <w:separator/>
      </w:r>
    </w:p>
  </w:endnote>
  <w:endnote w:type="continuationSeparator" w:id="0">
    <w:p w14:paraId="44447C26" w14:textId="77777777" w:rsidR="00E438CB" w:rsidRDefault="00E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56C6" w14:textId="77777777" w:rsidR="00E438CB" w:rsidRDefault="00E438CB">
      <w:r>
        <w:separator/>
      </w:r>
    </w:p>
  </w:footnote>
  <w:footnote w:type="continuationSeparator" w:id="0">
    <w:p w14:paraId="4B580F16" w14:textId="77777777" w:rsidR="00E438CB" w:rsidRDefault="00E4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9194882"/>
      <w:docPartObj>
        <w:docPartGallery w:val="Page Numbers (Top of Page)"/>
        <w:docPartUnique/>
      </w:docPartObj>
    </w:sdtPr>
    <w:sdtContent>
      <w:p w14:paraId="7015297B" w14:textId="7661451A" w:rsidR="00633CE1" w:rsidRDefault="00633CE1" w:rsidP="00DA2D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E3E555" w14:textId="1933B78C" w:rsidR="0094224D" w:rsidRDefault="0094224D" w:rsidP="00633CE1">
    <w:pPr>
      <w:pBdr>
        <w:top w:val="nil"/>
        <w:left w:val="nil"/>
        <w:bottom w:val="nil"/>
        <w:right w:val="nil"/>
        <w:between w:val="nil"/>
      </w:pBdr>
      <w:tabs>
        <w:tab w:val="center" w:pos="4680"/>
        <w:tab w:val="right" w:pos="9360"/>
      </w:tabs>
      <w:ind w:right="360"/>
      <w:jc w:val="right"/>
      <w:rPr>
        <w:color w:val="000000"/>
      </w:rPr>
    </w:pPr>
  </w:p>
  <w:p w14:paraId="48E1BF07" w14:textId="77777777" w:rsidR="0094224D" w:rsidRDefault="0094224D">
    <w:pPr>
      <w:pBdr>
        <w:top w:val="nil"/>
        <w:left w:val="nil"/>
        <w:bottom w:val="nil"/>
        <w:right w:val="nil"/>
        <w:between w:val="nil"/>
      </w:pBdr>
      <w:tabs>
        <w:tab w:val="center" w:pos="4680"/>
        <w:tab w:val="right" w:pos="9360"/>
      </w:tabs>
      <w:ind w:right="360"/>
      <w:jc w:val="right"/>
      <w:rPr>
        <w:rFonts w:ascii="Calibri" w:eastAsia="Calibri" w:hAnsi="Calibri" w:cs="Calibri"/>
        <w:color w:val="000000"/>
      </w:rPr>
    </w:pPr>
  </w:p>
  <w:p w14:paraId="176A3E85" w14:textId="77777777" w:rsidR="0094224D" w:rsidRDefault="0094224D">
    <w:pPr>
      <w:pBdr>
        <w:top w:val="nil"/>
        <w:left w:val="nil"/>
        <w:bottom w:val="nil"/>
        <w:right w:val="nil"/>
        <w:between w:val="nil"/>
      </w:pBdr>
      <w:tabs>
        <w:tab w:val="center" w:pos="4680"/>
        <w:tab w:val="right" w:pos="9360"/>
      </w:tabs>
      <w:ind w:right="360"/>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6845049"/>
      <w:docPartObj>
        <w:docPartGallery w:val="Page Numbers (Top of Page)"/>
        <w:docPartUnique/>
      </w:docPartObj>
    </w:sdtPr>
    <w:sdtContent>
      <w:p w14:paraId="18D55154" w14:textId="70BE5445" w:rsidR="00633CE1" w:rsidRDefault="00633CE1" w:rsidP="00DA2D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21CD1E" w14:textId="209E02B6" w:rsidR="0094224D" w:rsidRDefault="00633CE1">
    <w:pPr>
      <w:pBdr>
        <w:top w:val="nil"/>
        <w:left w:val="nil"/>
        <w:bottom w:val="nil"/>
        <w:right w:val="nil"/>
        <w:between w:val="nil"/>
      </w:pBdr>
      <w:tabs>
        <w:tab w:val="center" w:pos="4680"/>
        <w:tab w:val="right" w:pos="9360"/>
      </w:tabs>
      <w:ind w:right="360"/>
      <w:rPr>
        <w:color w:val="000000"/>
      </w:rPr>
    </w:pPr>
    <w:r>
      <w:rPr>
        <w:color w:val="000000"/>
      </w:rPr>
      <w:t>SENSATION-SEEKING &amp; COGNITIVE FAILURES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73143"/>
    <w:multiLevelType w:val="multilevel"/>
    <w:tmpl w:val="0C766DAA"/>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8717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4D"/>
    <w:rsid w:val="00151616"/>
    <w:rsid w:val="00586F53"/>
    <w:rsid w:val="00633CE1"/>
    <w:rsid w:val="008B3F7D"/>
    <w:rsid w:val="00917A17"/>
    <w:rsid w:val="0094224D"/>
    <w:rsid w:val="00B746DD"/>
    <w:rsid w:val="00D24FE4"/>
    <w:rsid w:val="00D35165"/>
    <w:rsid w:val="00E438CB"/>
    <w:rsid w:val="00E51881"/>
    <w:rsid w:val="00F2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6C7E98"/>
  <w15:docId w15:val="{A8711C29-9AE4-DC44-9DB9-DBD7C4FB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C4"/>
  </w:style>
  <w:style w:type="paragraph" w:styleId="Heading1">
    <w:name w:val="heading 1"/>
    <w:basedOn w:val="Normal"/>
    <w:next w:val="Normal"/>
    <w:link w:val="Heading1Char"/>
    <w:uiPriority w:val="9"/>
    <w:qFormat/>
    <w:rsid w:val="001E4504"/>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FB66C4"/>
    <w:rPr>
      <w:sz w:val="16"/>
      <w:szCs w:val="16"/>
    </w:rPr>
  </w:style>
  <w:style w:type="paragraph" w:styleId="CommentText">
    <w:name w:val="annotation text"/>
    <w:basedOn w:val="Normal"/>
    <w:link w:val="CommentTextChar"/>
    <w:uiPriority w:val="99"/>
    <w:unhideWhenUsed/>
    <w:rsid w:val="00FB66C4"/>
    <w:rPr>
      <w:sz w:val="20"/>
      <w:szCs w:val="20"/>
    </w:rPr>
  </w:style>
  <w:style w:type="character" w:customStyle="1" w:styleId="CommentTextChar">
    <w:name w:val="Comment Text Char"/>
    <w:basedOn w:val="DefaultParagraphFont"/>
    <w:link w:val="CommentText"/>
    <w:uiPriority w:val="99"/>
    <w:rsid w:val="00FB66C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E4504"/>
    <w:rPr>
      <w:rFonts w:ascii="Times New Roman" w:eastAsia="Times New Roman" w:hAnsi="Times New Roman" w:cs="Times New Roman"/>
      <w:b/>
      <w:sz w:val="48"/>
      <w:szCs w:val="48"/>
    </w:rPr>
  </w:style>
  <w:style w:type="paragraph" w:styleId="NormalWeb">
    <w:name w:val="Normal (Web)"/>
    <w:basedOn w:val="Normal"/>
    <w:uiPriority w:val="99"/>
    <w:unhideWhenUsed/>
    <w:rsid w:val="001E4504"/>
    <w:pPr>
      <w:spacing w:before="100" w:beforeAutospacing="1" w:after="100" w:afterAutospacing="1"/>
    </w:pPr>
  </w:style>
  <w:style w:type="paragraph" w:styleId="Header">
    <w:name w:val="header"/>
    <w:basedOn w:val="Normal"/>
    <w:link w:val="HeaderChar"/>
    <w:uiPriority w:val="99"/>
    <w:unhideWhenUsed/>
    <w:rsid w:val="001E4504"/>
    <w:pPr>
      <w:tabs>
        <w:tab w:val="center" w:pos="4680"/>
        <w:tab w:val="right" w:pos="9360"/>
      </w:tabs>
    </w:pPr>
  </w:style>
  <w:style w:type="character" w:customStyle="1" w:styleId="HeaderChar">
    <w:name w:val="Header Char"/>
    <w:basedOn w:val="DefaultParagraphFont"/>
    <w:link w:val="Header"/>
    <w:uiPriority w:val="99"/>
    <w:rsid w:val="001E4504"/>
    <w:rPr>
      <w:rFonts w:ascii="Times New Roman" w:eastAsia="Times New Roman" w:hAnsi="Times New Roman" w:cs="Times New Roman"/>
    </w:rPr>
  </w:style>
  <w:style w:type="character" w:styleId="PageNumber">
    <w:name w:val="page number"/>
    <w:basedOn w:val="DefaultParagraphFont"/>
    <w:uiPriority w:val="99"/>
    <w:semiHidden/>
    <w:unhideWhenUsed/>
    <w:rsid w:val="001E450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D35165"/>
    <w:pPr>
      <w:ind w:left="720"/>
      <w:contextualSpacing/>
    </w:pPr>
  </w:style>
  <w:style w:type="paragraph" w:styleId="Footer">
    <w:name w:val="footer"/>
    <w:basedOn w:val="Normal"/>
    <w:link w:val="FooterChar"/>
    <w:uiPriority w:val="99"/>
    <w:unhideWhenUsed/>
    <w:rsid w:val="00633CE1"/>
    <w:pPr>
      <w:tabs>
        <w:tab w:val="center" w:pos="4680"/>
        <w:tab w:val="right" w:pos="9360"/>
      </w:tabs>
    </w:pPr>
  </w:style>
  <w:style w:type="character" w:customStyle="1" w:styleId="FooterChar">
    <w:name w:val="Footer Char"/>
    <w:basedOn w:val="DefaultParagraphFont"/>
    <w:link w:val="Footer"/>
    <w:uiPriority w:val="99"/>
    <w:rsid w:val="00633CE1"/>
  </w:style>
  <w:style w:type="character" w:styleId="Hyperlink">
    <w:name w:val="Hyperlink"/>
    <w:basedOn w:val="DefaultParagraphFont"/>
    <w:uiPriority w:val="99"/>
    <w:unhideWhenUsed/>
    <w:rsid w:val="008B3F7D"/>
    <w:rPr>
      <w:color w:val="0563C1" w:themeColor="hyperlink"/>
      <w:u w:val="single"/>
    </w:rPr>
  </w:style>
  <w:style w:type="character" w:customStyle="1" w:styleId="apple-converted-space">
    <w:name w:val="apple-converted-space"/>
    <w:basedOn w:val="DefaultParagraphFont"/>
    <w:rsid w:val="00917A17"/>
  </w:style>
  <w:style w:type="character" w:styleId="UnresolvedMention">
    <w:name w:val="Unresolved Mention"/>
    <w:basedOn w:val="DefaultParagraphFont"/>
    <w:uiPriority w:val="99"/>
    <w:semiHidden/>
    <w:unhideWhenUsed/>
    <w:rsid w:val="00B74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harmthera.2014.11.009"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23ncHKtsB88x1YGbgWVpb7/Hw==">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4540</Words>
  <Characters>25881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Rodrigues</dc:creator>
  <cp:lastModifiedBy>Nicole Rodrigues</cp:lastModifiedBy>
  <cp:revision>7</cp:revision>
  <dcterms:created xsi:type="dcterms:W3CDTF">2022-07-08T19:40:00Z</dcterms:created>
  <dcterms:modified xsi:type="dcterms:W3CDTF">2022-08-03T17:18:00Z</dcterms:modified>
</cp:coreProperties>
</file>