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BF2C" w14:textId="77777777" w:rsidR="003929F6" w:rsidRPr="00BA5843" w:rsidRDefault="003929F6" w:rsidP="003929F6">
      <w:pPr>
        <w:spacing w:after="0" w:line="480" w:lineRule="auto"/>
        <w:jc w:val="center"/>
        <w:rPr>
          <w:rFonts w:eastAsia="Times New Roman"/>
          <w:b/>
          <w:bCs/>
          <w:szCs w:val="24"/>
        </w:rPr>
      </w:pPr>
    </w:p>
    <w:p w14:paraId="4F4EC7B6" w14:textId="77777777" w:rsidR="003929F6" w:rsidRPr="00BA5843" w:rsidRDefault="003929F6" w:rsidP="003929F6">
      <w:pPr>
        <w:spacing w:after="0" w:line="480" w:lineRule="auto"/>
        <w:rPr>
          <w:rFonts w:eastAsia="Times New Roman"/>
          <w:b/>
          <w:bCs/>
          <w:szCs w:val="24"/>
        </w:rPr>
      </w:pPr>
    </w:p>
    <w:p w14:paraId="1C506AF5" w14:textId="77777777" w:rsidR="003929F6" w:rsidRPr="00BA5843" w:rsidRDefault="003929F6" w:rsidP="003929F6">
      <w:pPr>
        <w:spacing w:after="0" w:line="480" w:lineRule="auto"/>
        <w:rPr>
          <w:rFonts w:eastAsia="Times New Roman"/>
          <w:b/>
          <w:bCs/>
          <w:szCs w:val="24"/>
        </w:rPr>
      </w:pPr>
    </w:p>
    <w:p w14:paraId="54240AAD" w14:textId="6C196043" w:rsidR="003929F6" w:rsidRPr="00C27EC4" w:rsidRDefault="003929F6" w:rsidP="003929F6">
      <w:pPr>
        <w:spacing w:after="0" w:line="480" w:lineRule="auto"/>
        <w:jc w:val="center"/>
        <w:rPr>
          <w:rFonts w:eastAsia="Times New Roman"/>
          <w:b/>
          <w:bCs/>
          <w:szCs w:val="24"/>
        </w:rPr>
      </w:pPr>
      <w:r w:rsidRPr="00C27EC4">
        <w:rPr>
          <w:rFonts w:eastAsia="Times New Roman"/>
          <w:b/>
          <w:bCs/>
          <w:szCs w:val="24"/>
        </w:rPr>
        <w:t>Having the “Talk” with Healthcare Providers to Increase Awareness of Sexually Transmitted Infections in Older Adult (65+ Years) Patients</w:t>
      </w:r>
      <w:r w:rsidR="00E63886">
        <w:rPr>
          <w:rFonts w:eastAsia="Times New Roman"/>
          <w:b/>
          <w:bCs/>
          <w:szCs w:val="24"/>
        </w:rPr>
        <w:t xml:space="preserve">: A </w:t>
      </w:r>
      <w:r w:rsidR="00F065BF">
        <w:rPr>
          <w:rFonts w:eastAsia="Times New Roman"/>
          <w:b/>
          <w:bCs/>
          <w:szCs w:val="24"/>
        </w:rPr>
        <w:t>Quality Improvement Project</w:t>
      </w:r>
    </w:p>
    <w:p w14:paraId="05BA683E" w14:textId="77777777" w:rsidR="003929F6" w:rsidRPr="00BA5843" w:rsidRDefault="003929F6" w:rsidP="003929F6">
      <w:pPr>
        <w:spacing w:after="0" w:line="480" w:lineRule="auto"/>
        <w:jc w:val="center"/>
        <w:rPr>
          <w:rFonts w:eastAsia="Times New Roman"/>
          <w:szCs w:val="24"/>
        </w:rPr>
      </w:pPr>
    </w:p>
    <w:p w14:paraId="5B3DBA62" w14:textId="77777777" w:rsidR="003929F6" w:rsidRPr="00BA5843" w:rsidRDefault="003929F6" w:rsidP="003929F6">
      <w:pPr>
        <w:spacing w:after="0" w:line="480" w:lineRule="auto"/>
        <w:jc w:val="center"/>
        <w:rPr>
          <w:rFonts w:eastAsia="Times New Roman"/>
          <w:color w:val="000000"/>
          <w:szCs w:val="24"/>
          <w:shd w:val="clear" w:color="auto" w:fill="FFFFFF"/>
        </w:rPr>
      </w:pPr>
      <w:r w:rsidRPr="00BA5843">
        <w:rPr>
          <w:rFonts w:eastAsia="Times New Roman"/>
          <w:color w:val="000000"/>
          <w:szCs w:val="24"/>
          <w:shd w:val="clear" w:color="auto" w:fill="FFFFFF"/>
        </w:rPr>
        <w:t xml:space="preserve">A DNP Project Presented to the Faculty of the </w:t>
      </w:r>
    </w:p>
    <w:p w14:paraId="6A2433B7" w14:textId="77777777" w:rsidR="003929F6" w:rsidRPr="00BA5843" w:rsidRDefault="003929F6" w:rsidP="003929F6">
      <w:pPr>
        <w:spacing w:after="0" w:line="480" w:lineRule="auto"/>
        <w:jc w:val="center"/>
        <w:rPr>
          <w:rFonts w:eastAsia="Times New Roman"/>
          <w:color w:val="000000"/>
          <w:szCs w:val="24"/>
          <w:shd w:val="clear" w:color="auto" w:fill="FFFFFF"/>
        </w:rPr>
      </w:pPr>
      <w:r w:rsidRPr="00BA5843">
        <w:rPr>
          <w:rFonts w:eastAsia="Times New Roman"/>
          <w:color w:val="000000"/>
          <w:szCs w:val="24"/>
          <w:shd w:val="clear" w:color="auto" w:fill="FFFFFF"/>
        </w:rPr>
        <w:t>Nicole Wertheim College of Nursing and Health Sciences</w:t>
      </w:r>
    </w:p>
    <w:p w14:paraId="09E0E5D3" w14:textId="77777777" w:rsidR="003929F6" w:rsidRPr="00BA5843" w:rsidRDefault="003929F6" w:rsidP="003929F6">
      <w:pPr>
        <w:spacing w:after="0" w:line="480" w:lineRule="auto"/>
        <w:jc w:val="center"/>
        <w:rPr>
          <w:rFonts w:eastAsia="Times New Roman"/>
          <w:color w:val="000000"/>
          <w:szCs w:val="24"/>
          <w:shd w:val="clear" w:color="auto" w:fill="FFFFFF"/>
        </w:rPr>
      </w:pPr>
      <w:r w:rsidRPr="00BA5843">
        <w:rPr>
          <w:rFonts w:eastAsia="Times New Roman"/>
          <w:color w:val="000000"/>
          <w:szCs w:val="24"/>
          <w:shd w:val="clear" w:color="auto" w:fill="FFFFFF"/>
        </w:rPr>
        <w:t>Florida International University</w:t>
      </w:r>
    </w:p>
    <w:p w14:paraId="13DD8A2D" w14:textId="77777777" w:rsidR="003929F6" w:rsidRPr="00BA5843" w:rsidRDefault="003929F6" w:rsidP="003929F6">
      <w:pPr>
        <w:spacing w:after="0" w:line="480" w:lineRule="auto"/>
        <w:jc w:val="center"/>
        <w:rPr>
          <w:rFonts w:eastAsia="Times New Roman"/>
          <w:color w:val="000000"/>
          <w:szCs w:val="24"/>
          <w:shd w:val="clear" w:color="auto" w:fill="FFFFFF"/>
        </w:rPr>
      </w:pPr>
    </w:p>
    <w:p w14:paraId="350A8E81" w14:textId="77777777" w:rsidR="003929F6" w:rsidRPr="00BA5843" w:rsidRDefault="003929F6" w:rsidP="003929F6">
      <w:pPr>
        <w:spacing w:after="0" w:line="480" w:lineRule="auto"/>
        <w:jc w:val="center"/>
        <w:rPr>
          <w:rFonts w:eastAsia="Times New Roman"/>
          <w:color w:val="000000"/>
          <w:szCs w:val="24"/>
          <w:shd w:val="clear" w:color="auto" w:fill="FFFFFF"/>
        </w:rPr>
      </w:pPr>
      <w:r w:rsidRPr="00BA5843">
        <w:rPr>
          <w:rFonts w:eastAsia="Times New Roman"/>
          <w:color w:val="000000"/>
          <w:szCs w:val="24"/>
          <w:shd w:val="clear" w:color="auto" w:fill="FFFFFF"/>
        </w:rPr>
        <w:t>In partial fulfillment of the requirements for the Degree of Doctor of Nursing Practice</w:t>
      </w:r>
    </w:p>
    <w:p w14:paraId="7109C081" w14:textId="77777777" w:rsidR="003929F6" w:rsidRPr="00BA5843" w:rsidRDefault="003929F6" w:rsidP="003929F6">
      <w:pPr>
        <w:spacing w:after="0" w:line="240" w:lineRule="auto"/>
        <w:jc w:val="center"/>
        <w:rPr>
          <w:rFonts w:eastAsia="Times New Roman"/>
          <w:color w:val="000000"/>
          <w:szCs w:val="24"/>
          <w:shd w:val="clear" w:color="auto" w:fill="FFFFFF"/>
        </w:rPr>
      </w:pPr>
    </w:p>
    <w:p w14:paraId="1E2B064F" w14:textId="77777777" w:rsidR="003929F6" w:rsidRPr="00BA5843" w:rsidRDefault="003929F6" w:rsidP="003929F6">
      <w:pPr>
        <w:spacing w:after="0" w:line="480" w:lineRule="auto"/>
        <w:jc w:val="center"/>
        <w:rPr>
          <w:rFonts w:eastAsia="Times New Roman"/>
          <w:color w:val="000000"/>
          <w:szCs w:val="24"/>
          <w:shd w:val="clear" w:color="auto" w:fill="FFFFFF"/>
        </w:rPr>
      </w:pPr>
    </w:p>
    <w:p w14:paraId="739DB879" w14:textId="2E10E895" w:rsidR="003929F6" w:rsidRPr="00BA5843" w:rsidRDefault="003929F6" w:rsidP="003929F6">
      <w:pPr>
        <w:spacing w:after="0" w:line="480" w:lineRule="auto"/>
        <w:jc w:val="center"/>
        <w:rPr>
          <w:rFonts w:eastAsia="Times New Roman"/>
          <w:color w:val="000000"/>
          <w:szCs w:val="24"/>
          <w:shd w:val="clear" w:color="auto" w:fill="FFFFFF"/>
        </w:rPr>
      </w:pPr>
      <w:r w:rsidRPr="00C27EC4">
        <w:rPr>
          <w:rFonts w:eastAsia="Times New Roman"/>
          <w:color w:val="000000"/>
          <w:szCs w:val="24"/>
          <w:shd w:val="clear" w:color="auto" w:fill="FFFFFF"/>
        </w:rPr>
        <w:t>Sergio Amador Perez</w:t>
      </w:r>
      <w:r w:rsidRPr="00BA5843">
        <w:rPr>
          <w:rFonts w:eastAsia="Times New Roman"/>
          <w:color w:val="000000"/>
          <w:szCs w:val="24"/>
          <w:shd w:val="clear" w:color="auto" w:fill="FFFFFF"/>
        </w:rPr>
        <w:t xml:space="preserve">, </w:t>
      </w:r>
      <w:r w:rsidR="00482C8E">
        <w:rPr>
          <w:rFonts w:eastAsia="Times New Roman"/>
          <w:color w:val="000000"/>
          <w:szCs w:val="24"/>
          <w:shd w:val="clear" w:color="auto" w:fill="FFFFFF"/>
        </w:rPr>
        <w:t>MSN, APRN, FNP-C</w:t>
      </w:r>
    </w:p>
    <w:p w14:paraId="04BAE782" w14:textId="77777777" w:rsidR="003929F6" w:rsidRPr="00BA5843" w:rsidRDefault="003929F6" w:rsidP="003929F6">
      <w:pPr>
        <w:spacing w:after="0" w:line="480" w:lineRule="auto"/>
        <w:rPr>
          <w:rFonts w:eastAsia="Times New Roman"/>
          <w:b/>
          <w:szCs w:val="24"/>
        </w:rPr>
      </w:pPr>
    </w:p>
    <w:p w14:paraId="115008EC" w14:textId="77777777" w:rsidR="003929F6" w:rsidRPr="00BA5843" w:rsidRDefault="003929F6" w:rsidP="003929F6">
      <w:pPr>
        <w:spacing w:after="0" w:line="240" w:lineRule="auto"/>
        <w:jc w:val="center"/>
        <w:rPr>
          <w:rFonts w:eastAsia="Times New Roman"/>
          <w:szCs w:val="24"/>
        </w:rPr>
      </w:pPr>
      <w:r w:rsidRPr="00BA5843">
        <w:rPr>
          <w:rFonts w:eastAsia="Times New Roman"/>
          <w:szCs w:val="24"/>
        </w:rPr>
        <w:t>Supervised by</w:t>
      </w:r>
    </w:p>
    <w:p w14:paraId="4672FD08" w14:textId="77777777" w:rsidR="003929F6" w:rsidRPr="00BA5843" w:rsidRDefault="003929F6" w:rsidP="003929F6">
      <w:pPr>
        <w:spacing w:after="0" w:line="240" w:lineRule="auto"/>
        <w:jc w:val="center"/>
        <w:rPr>
          <w:rFonts w:eastAsia="Times New Roman"/>
          <w:szCs w:val="24"/>
        </w:rPr>
      </w:pPr>
    </w:p>
    <w:p w14:paraId="4461F7B2" w14:textId="59B7779D" w:rsidR="003929F6" w:rsidRDefault="003929F6" w:rsidP="003929F6">
      <w:pPr>
        <w:spacing w:after="0" w:line="480" w:lineRule="auto"/>
        <w:jc w:val="center"/>
        <w:rPr>
          <w:rFonts w:eastAsia="Times New Roman"/>
          <w:szCs w:val="24"/>
        </w:rPr>
      </w:pPr>
      <w:r w:rsidRPr="00C27EC4">
        <w:rPr>
          <w:rFonts w:eastAsia="Times New Roman"/>
          <w:szCs w:val="24"/>
        </w:rPr>
        <w:t>Dana Sherman, DNP, APRN, ANP-BC, FNP-BC</w:t>
      </w:r>
    </w:p>
    <w:p w14:paraId="1D59D90D" w14:textId="2D384719" w:rsidR="00482C8E" w:rsidRDefault="00482C8E" w:rsidP="003929F6">
      <w:pPr>
        <w:spacing w:after="0" w:line="480" w:lineRule="auto"/>
        <w:jc w:val="center"/>
        <w:rPr>
          <w:rFonts w:eastAsia="Times New Roman"/>
          <w:szCs w:val="24"/>
        </w:rPr>
      </w:pPr>
      <w:r>
        <w:rPr>
          <w:rFonts w:eastAsia="Times New Roman"/>
          <w:szCs w:val="24"/>
        </w:rPr>
        <w:t>Vandely Perez, MD</w:t>
      </w:r>
    </w:p>
    <w:p w14:paraId="630C432D" w14:textId="1BBF398D" w:rsidR="00482C8E" w:rsidRDefault="00482C8E" w:rsidP="003929F6">
      <w:pPr>
        <w:spacing w:after="0" w:line="480" w:lineRule="auto"/>
        <w:jc w:val="center"/>
        <w:rPr>
          <w:rFonts w:eastAsia="Times New Roman"/>
          <w:szCs w:val="24"/>
        </w:rPr>
      </w:pPr>
      <w:r>
        <w:rPr>
          <w:rFonts w:eastAsia="Times New Roman"/>
          <w:szCs w:val="24"/>
        </w:rPr>
        <w:t>Ivan Garcia Martinez, MSN, APRN, FNP-BC</w:t>
      </w:r>
    </w:p>
    <w:p w14:paraId="0A4165AE" w14:textId="77777777" w:rsidR="003929F6" w:rsidRPr="00BA5843" w:rsidRDefault="003929F6" w:rsidP="003929F6">
      <w:pPr>
        <w:spacing w:after="0" w:line="480" w:lineRule="auto"/>
        <w:rPr>
          <w:rFonts w:eastAsia="Times New Roman"/>
          <w:szCs w:val="24"/>
        </w:rPr>
      </w:pPr>
    </w:p>
    <w:p w14:paraId="09E68819" w14:textId="77777777" w:rsidR="003929F6" w:rsidRDefault="003929F6" w:rsidP="003929F6">
      <w:pPr>
        <w:spacing w:after="0" w:line="480" w:lineRule="auto"/>
        <w:rPr>
          <w:rFonts w:eastAsia="Times New Roman"/>
          <w:szCs w:val="24"/>
        </w:rPr>
      </w:pPr>
    </w:p>
    <w:p w14:paraId="6BFFF049" w14:textId="77777777" w:rsidR="003929F6" w:rsidRPr="00BA5843" w:rsidRDefault="003929F6" w:rsidP="003929F6">
      <w:pPr>
        <w:spacing w:after="0" w:line="480" w:lineRule="auto"/>
        <w:rPr>
          <w:rFonts w:eastAsia="Times New Roman"/>
          <w:szCs w:val="24"/>
        </w:rPr>
      </w:pPr>
    </w:p>
    <w:p w14:paraId="54B20C1E" w14:textId="77777777" w:rsidR="003929F6" w:rsidRPr="00BA5843" w:rsidRDefault="003929F6" w:rsidP="003929F6">
      <w:pPr>
        <w:spacing w:after="0" w:line="480" w:lineRule="auto"/>
        <w:rPr>
          <w:rFonts w:eastAsia="Times New Roman"/>
          <w:szCs w:val="24"/>
        </w:rPr>
      </w:pPr>
      <w:r w:rsidRPr="00BA5843">
        <w:rPr>
          <w:rFonts w:eastAsia="Times New Roman"/>
          <w:szCs w:val="24"/>
        </w:rPr>
        <w:t xml:space="preserve">Approval Acknowledged: _______________________________, DNP Program Director </w:t>
      </w:r>
    </w:p>
    <w:p w14:paraId="772C477F" w14:textId="7554AA45" w:rsidR="00334963" w:rsidRPr="00074165" w:rsidRDefault="003929F6" w:rsidP="003929F6">
      <w:pPr>
        <w:spacing w:after="0" w:line="480" w:lineRule="auto"/>
        <w:rPr>
          <w:rFonts w:cs="Times New Roman"/>
          <w:szCs w:val="24"/>
        </w:rPr>
      </w:pPr>
      <w:r w:rsidRPr="00BA5843">
        <w:rPr>
          <w:rFonts w:eastAsia="Times New Roman"/>
          <w:szCs w:val="24"/>
        </w:rPr>
        <w:lastRenderedPageBreak/>
        <w:t>Date:_______________________</w:t>
      </w:r>
    </w:p>
    <w:p w14:paraId="78BFC879" w14:textId="77777777" w:rsidR="00334963" w:rsidRPr="00074165" w:rsidRDefault="00334963">
      <w:pPr>
        <w:rPr>
          <w:rFonts w:cs="Times New Roman"/>
          <w:szCs w:val="24"/>
        </w:rPr>
        <w:sectPr w:rsidR="00334963" w:rsidRPr="00074165" w:rsidSect="00175A16">
          <w:headerReference w:type="default" r:id="rId8"/>
          <w:headerReference w:type="first" r:id="rId9"/>
          <w:pgSz w:w="12240" w:h="15840"/>
          <w:pgMar w:top="1440" w:right="1440" w:bottom="1440" w:left="1440" w:header="720" w:footer="720" w:gutter="0"/>
          <w:cols w:space="720"/>
          <w:titlePg/>
          <w:docGrid w:linePitch="360"/>
        </w:sectPr>
      </w:pPr>
    </w:p>
    <w:p w14:paraId="008A5C50" w14:textId="77777777" w:rsidR="00757576" w:rsidRPr="00757576" w:rsidRDefault="00757576" w:rsidP="00757576">
      <w:pPr>
        <w:jc w:val="center"/>
        <w:rPr>
          <w:rFonts w:eastAsia="Times New Roman" w:cs="Times New Roman"/>
          <w:b/>
          <w:szCs w:val="24"/>
        </w:rPr>
      </w:pPr>
      <w:r w:rsidRPr="00757576">
        <w:rPr>
          <w:rFonts w:eastAsia="Times New Roman" w:cs="Times New Roman"/>
          <w:b/>
          <w:szCs w:val="24"/>
        </w:rPr>
        <w:lastRenderedPageBreak/>
        <w:t>Table of Contents</w:t>
      </w:r>
    </w:p>
    <w:p w14:paraId="5704277A"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Abstract</w:t>
      </w:r>
      <w:r w:rsidRPr="00757576">
        <w:rPr>
          <w:rFonts w:eastAsia="Times New Roman" w:cs="Times New Roman"/>
          <w:szCs w:val="24"/>
        </w:rPr>
        <w:tab/>
        <w:t>3</w:t>
      </w:r>
    </w:p>
    <w:p w14:paraId="556B58EC"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Introduction</w:t>
      </w:r>
      <w:r w:rsidRPr="00757576">
        <w:rPr>
          <w:rFonts w:eastAsia="Times New Roman" w:cs="Times New Roman"/>
          <w:szCs w:val="24"/>
        </w:rPr>
        <w:tab/>
        <w:t>4</w:t>
      </w:r>
    </w:p>
    <w:p w14:paraId="123F46BB"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Problem Statement</w:t>
      </w:r>
      <w:r w:rsidRPr="00757576">
        <w:rPr>
          <w:rFonts w:eastAsia="Times New Roman" w:cs="Times New Roman"/>
          <w:szCs w:val="24"/>
        </w:rPr>
        <w:tab/>
        <w:t>5</w:t>
      </w:r>
    </w:p>
    <w:p w14:paraId="2089241D" w14:textId="77777777" w:rsidR="00757576" w:rsidRPr="00757576" w:rsidRDefault="00757576" w:rsidP="00757576">
      <w:pPr>
        <w:tabs>
          <w:tab w:val="right" w:leader="dot" w:pos="9360"/>
        </w:tabs>
        <w:spacing w:after="0"/>
        <w:outlineLvl w:val="0"/>
        <w:rPr>
          <w:rFonts w:eastAsia="Times New Roman" w:cs="Times New Roman"/>
          <w:szCs w:val="24"/>
        </w:rPr>
      </w:pPr>
      <w:r w:rsidRPr="00757576">
        <w:rPr>
          <w:rFonts w:eastAsia="Times New Roman" w:cs="Times New Roman"/>
          <w:szCs w:val="24"/>
        </w:rPr>
        <w:t xml:space="preserve">     Problem Identification</w:t>
      </w:r>
      <w:r w:rsidRPr="00757576">
        <w:rPr>
          <w:rFonts w:eastAsia="Times New Roman" w:cs="Times New Roman"/>
          <w:szCs w:val="24"/>
        </w:rPr>
        <w:tab/>
        <w:t>5</w:t>
      </w:r>
    </w:p>
    <w:p w14:paraId="483B3E82" w14:textId="77777777" w:rsidR="00757576" w:rsidRPr="00757576" w:rsidRDefault="00757576" w:rsidP="00757576">
      <w:pPr>
        <w:tabs>
          <w:tab w:val="right" w:leader="dot" w:pos="9360"/>
        </w:tabs>
        <w:spacing w:after="0"/>
        <w:outlineLvl w:val="0"/>
        <w:rPr>
          <w:rFonts w:eastAsia="Times New Roman" w:cs="Times New Roman"/>
          <w:szCs w:val="24"/>
        </w:rPr>
      </w:pPr>
      <w:r w:rsidRPr="00757576">
        <w:rPr>
          <w:rFonts w:eastAsia="Times New Roman" w:cs="Times New Roman"/>
          <w:szCs w:val="24"/>
        </w:rPr>
        <w:t xml:space="preserve">     Background</w:t>
      </w:r>
      <w:r w:rsidRPr="00757576">
        <w:rPr>
          <w:rFonts w:eastAsia="Times New Roman" w:cs="Times New Roman"/>
          <w:szCs w:val="24"/>
        </w:rPr>
        <w:tab/>
        <w:t>6</w:t>
      </w:r>
    </w:p>
    <w:p w14:paraId="23D9D021" w14:textId="77777777" w:rsidR="00757576" w:rsidRPr="00757576" w:rsidRDefault="00757576" w:rsidP="00757576">
      <w:pPr>
        <w:tabs>
          <w:tab w:val="right" w:leader="dot" w:pos="9360"/>
        </w:tabs>
        <w:spacing w:after="0"/>
        <w:outlineLvl w:val="0"/>
        <w:rPr>
          <w:rFonts w:eastAsia="Times New Roman" w:cs="Times New Roman"/>
          <w:szCs w:val="24"/>
        </w:rPr>
      </w:pPr>
      <w:r w:rsidRPr="00757576">
        <w:rPr>
          <w:rFonts w:eastAsia="Times New Roman" w:cs="Times New Roman"/>
          <w:szCs w:val="24"/>
        </w:rPr>
        <w:t xml:space="preserve">     Scope of the Problem</w:t>
      </w:r>
      <w:r w:rsidRPr="00757576">
        <w:rPr>
          <w:rFonts w:eastAsia="Times New Roman" w:cs="Times New Roman"/>
          <w:szCs w:val="24"/>
        </w:rPr>
        <w:tab/>
        <w:t>7</w:t>
      </w:r>
    </w:p>
    <w:p w14:paraId="76123FBA" w14:textId="77777777" w:rsidR="00757576" w:rsidRPr="00757576" w:rsidRDefault="00757576" w:rsidP="00757576">
      <w:pPr>
        <w:tabs>
          <w:tab w:val="right" w:leader="dot" w:pos="9360"/>
        </w:tabs>
        <w:spacing w:after="0"/>
        <w:outlineLvl w:val="0"/>
        <w:rPr>
          <w:rFonts w:eastAsia="Times New Roman" w:cs="Times New Roman"/>
          <w:szCs w:val="24"/>
        </w:rPr>
      </w:pPr>
      <w:r w:rsidRPr="00757576">
        <w:rPr>
          <w:rFonts w:eastAsia="Times New Roman" w:cs="Times New Roman"/>
          <w:szCs w:val="24"/>
        </w:rPr>
        <w:t xml:space="preserve">     Consequences of the Problem</w:t>
      </w:r>
      <w:r w:rsidRPr="00757576">
        <w:rPr>
          <w:rFonts w:eastAsia="Times New Roman" w:cs="Times New Roman"/>
          <w:szCs w:val="24"/>
        </w:rPr>
        <w:tab/>
        <w:t>8</w:t>
      </w:r>
    </w:p>
    <w:p w14:paraId="3523B630" w14:textId="77777777" w:rsidR="00757576" w:rsidRPr="00757576" w:rsidRDefault="00757576" w:rsidP="00757576">
      <w:pPr>
        <w:tabs>
          <w:tab w:val="right" w:leader="dot" w:pos="9360"/>
        </w:tabs>
        <w:spacing w:after="0"/>
        <w:outlineLvl w:val="0"/>
        <w:rPr>
          <w:rFonts w:eastAsia="Times New Roman" w:cs="Times New Roman"/>
          <w:szCs w:val="24"/>
        </w:rPr>
      </w:pPr>
      <w:r w:rsidRPr="00757576">
        <w:rPr>
          <w:rFonts w:eastAsia="Times New Roman" w:cs="Times New Roman"/>
          <w:szCs w:val="24"/>
        </w:rPr>
        <w:t xml:space="preserve">     Knowledge Gaps</w:t>
      </w:r>
      <w:r w:rsidRPr="00757576">
        <w:rPr>
          <w:rFonts w:eastAsia="Times New Roman" w:cs="Times New Roman"/>
          <w:szCs w:val="24"/>
        </w:rPr>
        <w:tab/>
        <w:t>8</w:t>
      </w:r>
    </w:p>
    <w:p w14:paraId="36110D67" w14:textId="77777777" w:rsidR="00757576" w:rsidRPr="00757576" w:rsidRDefault="00757576" w:rsidP="00757576">
      <w:pPr>
        <w:tabs>
          <w:tab w:val="right" w:leader="dot" w:pos="9360"/>
        </w:tabs>
        <w:spacing w:after="0"/>
        <w:outlineLvl w:val="0"/>
        <w:rPr>
          <w:rFonts w:eastAsia="Times New Roman" w:cs="Times New Roman"/>
          <w:szCs w:val="24"/>
        </w:rPr>
      </w:pPr>
      <w:r w:rsidRPr="00757576">
        <w:rPr>
          <w:rFonts w:eastAsia="Times New Roman" w:cs="Times New Roman"/>
          <w:szCs w:val="24"/>
        </w:rPr>
        <w:t>Significance</w:t>
      </w:r>
      <w:r w:rsidRPr="00757576">
        <w:rPr>
          <w:rFonts w:eastAsia="Times New Roman" w:cs="Times New Roman"/>
          <w:szCs w:val="24"/>
        </w:rPr>
        <w:tab/>
        <w:t>9</w:t>
      </w:r>
    </w:p>
    <w:p w14:paraId="473C0A93"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Summary of the Literature</w:t>
      </w:r>
      <w:r w:rsidRPr="00757576">
        <w:rPr>
          <w:rFonts w:eastAsia="Times New Roman" w:cs="Times New Roman"/>
          <w:szCs w:val="24"/>
        </w:rPr>
        <w:tab/>
        <w:t>11</w:t>
      </w:r>
    </w:p>
    <w:p w14:paraId="656E814B"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Search Strategy</w:t>
      </w:r>
      <w:r w:rsidRPr="00757576">
        <w:rPr>
          <w:rFonts w:eastAsia="Times New Roman" w:cs="Times New Roman"/>
          <w:szCs w:val="24"/>
        </w:rPr>
        <w:tab/>
        <w:t>13</w:t>
      </w:r>
    </w:p>
    <w:p w14:paraId="5B62F68E"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Literature Summary</w:t>
      </w:r>
      <w:r w:rsidRPr="00757576">
        <w:rPr>
          <w:rFonts w:eastAsia="Times New Roman" w:cs="Times New Roman"/>
          <w:szCs w:val="24"/>
        </w:rPr>
        <w:tab/>
        <w:t>14</w:t>
      </w:r>
    </w:p>
    <w:p w14:paraId="7E999D65"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Level I Studies</w:t>
      </w:r>
      <w:r w:rsidRPr="00757576">
        <w:rPr>
          <w:rFonts w:eastAsia="Times New Roman" w:cs="Times New Roman"/>
          <w:szCs w:val="24"/>
        </w:rPr>
        <w:tab/>
        <w:t>15</w:t>
      </w:r>
    </w:p>
    <w:p w14:paraId="6638168A"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Level II Studies</w:t>
      </w:r>
      <w:r w:rsidRPr="00757576">
        <w:rPr>
          <w:rFonts w:eastAsia="Times New Roman" w:cs="Times New Roman"/>
          <w:szCs w:val="24"/>
        </w:rPr>
        <w:tab/>
        <w:t>18</w:t>
      </w:r>
    </w:p>
    <w:p w14:paraId="10C586E0"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Implications for the Project</w:t>
      </w:r>
      <w:r w:rsidRPr="00757576">
        <w:rPr>
          <w:rFonts w:eastAsia="Times New Roman" w:cs="Times New Roman"/>
          <w:szCs w:val="24"/>
        </w:rPr>
        <w:tab/>
        <w:t>23</w:t>
      </w:r>
    </w:p>
    <w:p w14:paraId="04D3F195"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Purpose/PICO Clinical Questions/Objective</w:t>
      </w:r>
      <w:r w:rsidRPr="00757576">
        <w:rPr>
          <w:rFonts w:eastAsia="Times New Roman" w:cs="Times New Roman"/>
          <w:szCs w:val="24"/>
        </w:rPr>
        <w:tab/>
        <w:t>24</w:t>
      </w:r>
    </w:p>
    <w:p w14:paraId="51E78911"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Project Goals and Outcomes</w:t>
      </w:r>
      <w:r w:rsidRPr="00757576">
        <w:rPr>
          <w:rFonts w:eastAsia="Times New Roman" w:cs="Times New Roman"/>
          <w:szCs w:val="24"/>
        </w:rPr>
        <w:tab/>
        <w:t>25</w:t>
      </w:r>
    </w:p>
    <w:p w14:paraId="3A8223E6"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Definition of Terms</w:t>
      </w:r>
      <w:r w:rsidRPr="00757576">
        <w:rPr>
          <w:rFonts w:eastAsia="Times New Roman" w:cs="Times New Roman"/>
          <w:szCs w:val="24"/>
        </w:rPr>
        <w:tab/>
        <w:t>26</w:t>
      </w:r>
    </w:p>
    <w:p w14:paraId="2DA7F66A"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Conceptual Underpinning/Theoretical Framework</w:t>
      </w:r>
      <w:r w:rsidRPr="00757576">
        <w:rPr>
          <w:rFonts w:eastAsia="Times New Roman" w:cs="Times New Roman"/>
          <w:szCs w:val="24"/>
        </w:rPr>
        <w:tab/>
        <w:t>27</w:t>
      </w:r>
    </w:p>
    <w:p w14:paraId="1FA4FB67"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Methodology</w:t>
      </w:r>
      <w:r w:rsidRPr="00757576">
        <w:rPr>
          <w:rFonts w:eastAsia="Times New Roman" w:cs="Times New Roman"/>
          <w:szCs w:val="24"/>
        </w:rPr>
        <w:tab/>
        <w:t>29</w:t>
      </w:r>
    </w:p>
    <w:p w14:paraId="174D6F6B"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Setting and Participants</w:t>
      </w:r>
      <w:r w:rsidRPr="00757576">
        <w:rPr>
          <w:rFonts w:eastAsia="Times New Roman" w:cs="Times New Roman"/>
          <w:szCs w:val="24"/>
        </w:rPr>
        <w:tab/>
        <w:t>29</w:t>
      </w:r>
    </w:p>
    <w:p w14:paraId="10B81CE9"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Description of the Approach/Procedures</w:t>
      </w:r>
      <w:r w:rsidRPr="00757576">
        <w:rPr>
          <w:rFonts w:eastAsia="Times New Roman" w:cs="Times New Roman"/>
          <w:szCs w:val="24"/>
        </w:rPr>
        <w:tab/>
        <w:t>29</w:t>
      </w:r>
    </w:p>
    <w:p w14:paraId="0239E39A"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Protection of Human Subjects</w:t>
      </w:r>
      <w:r w:rsidRPr="00757576">
        <w:rPr>
          <w:rFonts w:eastAsia="Times New Roman" w:cs="Times New Roman"/>
          <w:szCs w:val="24"/>
        </w:rPr>
        <w:tab/>
        <w:t>32</w:t>
      </w:r>
    </w:p>
    <w:p w14:paraId="01DD2CF8"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Data Collection</w:t>
      </w:r>
      <w:r w:rsidRPr="00757576">
        <w:rPr>
          <w:rFonts w:eastAsia="Times New Roman" w:cs="Times New Roman"/>
          <w:szCs w:val="24"/>
        </w:rPr>
        <w:tab/>
        <w:t>32</w:t>
      </w:r>
    </w:p>
    <w:p w14:paraId="1D12C50B"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Data Management and Analysis Plan</w:t>
      </w:r>
      <w:r w:rsidRPr="00757576">
        <w:rPr>
          <w:rFonts w:eastAsia="Times New Roman" w:cs="Times New Roman"/>
          <w:szCs w:val="24"/>
        </w:rPr>
        <w:tab/>
        <w:t>33</w:t>
      </w:r>
    </w:p>
    <w:p w14:paraId="741E0224"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 xml:space="preserve">     Discussion of the Results</w:t>
      </w:r>
      <w:r w:rsidRPr="00757576">
        <w:rPr>
          <w:rFonts w:eastAsia="Times New Roman" w:cs="Times New Roman"/>
          <w:szCs w:val="24"/>
        </w:rPr>
        <w:tab/>
        <w:t>34</w:t>
      </w:r>
    </w:p>
    <w:p w14:paraId="3E451EC2"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Results</w:t>
      </w:r>
      <w:r w:rsidRPr="00757576">
        <w:rPr>
          <w:rFonts w:eastAsia="Times New Roman" w:cs="Times New Roman"/>
          <w:szCs w:val="24"/>
        </w:rPr>
        <w:tab/>
        <w:t>35</w:t>
      </w:r>
    </w:p>
    <w:p w14:paraId="7CB9BFBB"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Discussion</w:t>
      </w:r>
      <w:r w:rsidRPr="00757576">
        <w:rPr>
          <w:rFonts w:eastAsia="Times New Roman" w:cs="Times New Roman"/>
          <w:szCs w:val="24"/>
        </w:rPr>
        <w:tab/>
        <w:t>37</w:t>
      </w:r>
    </w:p>
    <w:p w14:paraId="7CFD5F2B"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Limitations</w:t>
      </w:r>
      <w:r w:rsidRPr="00757576">
        <w:rPr>
          <w:rFonts w:eastAsia="Times New Roman" w:cs="Times New Roman"/>
          <w:szCs w:val="24"/>
        </w:rPr>
        <w:tab/>
        <w:t>39</w:t>
      </w:r>
    </w:p>
    <w:p w14:paraId="1F38E6BD"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Implications for Advanced Nursing Practice</w:t>
      </w:r>
      <w:r w:rsidRPr="00757576">
        <w:rPr>
          <w:rFonts w:eastAsia="Times New Roman" w:cs="Times New Roman"/>
          <w:szCs w:val="24"/>
        </w:rPr>
        <w:tab/>
        <w:t>40</w:t>
      </w:r>
    </w:p>
    <w:p w14:paraId="64F8ACB6"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Conclusions</w:t>
      </w:r>
      <w:r w:rsidRPr="00757576">
        <w:rPr>
          <w:rFonts w:eastAsia="Times New Roman" w:cs="Times New Roman"/>
          <w:szCs w:val="24"/>
        </w:rPr>
        <w:tab/>
        <w:t>41</w:t>
      </w:r>
    </w:p>
    <w:p w14:paraId="3306A9F8"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References</w:t>
      </w:r>
      <w:r w:rsidRPr="00757576">
        <w:rPr>
          <w:rFonts w:eastAsia="Times New Roman" w:cs="Times New Roman"/>
          <w:szCs w:val="24"/>
        </w:rPr>
        <w:tab/>
        <w:t>43</w:t>
      </w:r>
    </w:p>
    <w:p w14:paraId="21B35F7E"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Appendix A: Summary Literature Table</w:t>
      </w:r>
      <w:r w:rsidRPr="00757576">
        <w:rPr>
          <w:rFonts w:eastAsia="Times New Roman" w:cs="Times New Roman"/>
          <w:szCs w:val="24"/>
        </w:rPr>
        <w:tab/>
        <w:t>49</w:t>
      </w:r>
    </w:p>
    <w:p w14:paraId="79633ACA"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Appendix B: Letter of Organizational Support</w:t>
      </w:r>
      <w:r w:rsidRPr="00757576">
        <w:rPr>
          <w:rFonts w:eastAsia="Times New Roman" w:cs="Times New Roman"/>
          <w:szCs w:val="24"/>
        </w:rPr>
        <w:tab/>
        <w:t>54</w:t>
      </w:r>
    </w:p>
    <w:p w14:paraId="6ED3454D"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Appendix C: FIU IRB Approval/Exemption Letter</w:t>
      </w:r>
      <w:r w:rsidRPr="00757576">
        <w:rPr>
          <w:rFonts w:eastAsia="Times New Roman" w:cs="Times New Roman"/>
          <w:szCs w:val="24"/>
        </w:rPr>
        <w:tab/>
        <w:t>55</w:t>
      </w:r>
    </w:p>
    <w:p w14:paraId="3A1686CC"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Appendix D: Participant Recruitment Letter/Email</w:t>
      </w:r>
      <w:r w:rsidRPr="00757576">
        <w:rPr>
          <w:rFonts w:eastAsia="Times New Roman" w:cs="Times New Roman"/>
          <w:szCs w:val="24"/>
        </w:rPr>
        <w:tab/>
        <w:t>56</w:t>
      </w:r>
    </w:p>
    <w:p w14:paraId="0D3E0246"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Appendix E: Informed Consent Form</w:t>
      </w:r>
      <w:r w:rsidRPr="00757576">
        <w:rPr>
          <w:rFonts w:eastAsia="Times New Roman" w:cs="Times New Roman"/>
          <w:szCs w:val="24"/>
        </w:rPr>
        <w:tab/>
        <w:t>57</w:t>
      </w:r>
    </w:p>
    <w:p w14:paraId="1EE9F9D2"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szCs w:val="24"/>
        </w:rPr>
        <w:t>Appendix F: Demographic Form</w:t>
      </w:r>
      <w:r w:rsidRPr="00757576">
        <w:rPr>
          <w:rFonts w:eastAsia="Times New Roman" w:cs="Times New Roman"/>
          <w:szCs w:val="24"/>
        </w:rPr>
        <w:tab/>
        <w:t>60</w:t>
      </w:r>
    </w:p>
    <w:p w14:paraId="11219E38" w14:textId="77777777" w:rsidR="00757576" w:rsidRPr="00757576" w:rsidRDefault="00757576" w:rsidP="00757576">
      <w:pPr>
        <w:tabs>
          <w:tab w:val="right" w:leader="dot" w:pos="9360"/>
        </w:tabs>
        <w:spacing w:after="0"/>
        <w:rPr>
          <w:rFonts w:eastAsia="Times New Roman" w:cs="Times New Roman"/>
          <w:szCs w:val="24"/>
        </w:rPr>
      </w:pPr>
      <w:r w:rsidRPr="00757576">
        <w:rPr>
          <w:rFonts w:eastAsia="Times New Roman" w:cs="Times New Roman"/>
          <w:bCs/>
          <w:szCs w:val="24"/>
        </w:rPr>
        <w:t>Appendix G: Pre-/Post-Intervention Assessment</w:t>
      </w:r>
      <w:r w:rsidRPr="00757576">
        <w:rPr>
          <w:rFonts w:eastAsia="Times New Roman" w:cs="Times New Roman"/>
          <w:bCs/>
          <w:szCs w:val="24"/>
        </w:rPr>
        <w:tab/>
        <w:t>61</w:t>
      </w:r>
    </w:p>
    <w:p w14:paraId="35D0D47E" w14:textId="5E67B5D5" w:rsidR="00315E7C" w:rsidRDefault="00315E7C" w:rsidP="00315E7C">
      <w:pPr>
        <w:jc w:val="center"/>
        <w:rPr>
          <w:rFonts w:cs="Times New Roman"/>
          <w:bCs/>
          <w:szCs w:val="24"/>
        </w:rPr>
      </w:pPr>
      <w:r>
        <w:rPr>
          <w:rFonts w:cs="Times New Roman"/>
          <w:b/>
          <w:szCs w:val="24"/>
        </w:rPr>
        <w:lastRenderedPageBreak/>
        <w:t>Abstract</w:t>
      </w:r>
    </w:p>
    <w:p w14:paraId="406CEF2C" w14:textId="77777777" w:rsidR="00D47479" w:rsidRPr="00D47479" w:rsidRDefault="00D47479" w:rsidP="00D47479">
      <w:pPr>
        <w:tabs>
          <w:tab w:val="right" w:leader="dot" w:pos="9360"/>
        </w:tabs>
        <w:spacing w:after="0" w:line="480" w:lineRule="auto"/>
        <w:rPr>
          <w:rFonts w:eastAsia="Times New Roman" w:cs="Times New Roman"/>
          <w:bCs/>
          <w:szCs w:val="24"/>
        </w:rPr>
      </w:pPr>
      <w:r w:rsidRPr="00D47479">
        <w:rPr>
          <w:rFonts w:eastAsia="Times New Roman" w:cs="Times New Roman"/>
          <w:b/>
          <w:bCs/>
          <w:szCs w:val="24"/>
        </w:rPr>
        <w:t>Background:</w:t>
      </w:r>
      <w:r w:rsidRPr="00D47479">
        <w:rPr>
          <w:rFonts w:eastAsia="Times New Roman" w:cs="Times New Roman"/>
          <w:bCs/>
          <w:szCs w:val="24"/>
        </w:rPr>
        <w:t xml:space="preserve"> The number of sexually transmitted infections (STIs) among older adults (those 65 years and older) are increasing at a significant pace. Despite this healthcare providers face consistent challenges in initiating sexual health discussions and STI screening in this population.</w:t>
      </w:r>
    </w:p>
    <w:p w14:paraId="2E204739" w14:textId="77777777" w:rsidR="00D47479" w:rsidRPr="00D47479" w:rsidRDefault="00D47479" w:rsidP="00D47479">
      <w:pPr>
        <w:tabs>
          <w:tab w:val="right" w:leader="dot" w:pos="9360"/>
        </w:tabs>
        <w:spacing w:after="0" w:line="480" w:lineRule="auto"/>
        <w:rPr>
          <w:rFonts w:eastAsia="Times New Roman" w:cs="Times New Roman"/>
          <w:bCs/>
          <w:szCs w:val="24"/>
        </w:rPr>
      </w:pPr>
      <w:r w:rsidRPr="00D47479">
        <w:rPr>
          <w:rFonts w:eastAsia="Times New Roman" w:cs="Times New Roman"/>
          <w:b/>
          <w:bCs/>
          <w:szCs w:val="24"/>
        </w:rPr>
        <w:t>Objectives</w:t>
      </w:r>
      <w:r w:rsidRPr="00D47479">
        <w:rPr>
          <w:rFonts w:eastAsia="Times New Roman" w:cs="Times New Roman"/>
          <w:bCs/>
          <w:szCs w:val="24"/>
        </w:rPr>
        <w:t>: The primary objective of this quality improvement project was to increase provider knowledge of sexual health and STI screening in older adults. Increases in knowledge should translate into changes in practice, resulting in better patient care.</w:t>
      </w:r>
    </w:p>
    <w:p w14:paraId="27592030" w14:textId="77777777" w:rsidR="00D47479" w:rsidRPr="00D47479" w:rsidRDefault="00D47479" w:rsidP="00D47479">
      <w:pPr>
        <w:tabs>
          <w:tab w:val="right" w:leader="dot" w:pos="9360"/>
        </w:tabs>
        <w:spacing w:after="0" w:line="480" w:lineRule="auto"/>
        <w:rPr>
          <w:rFonts w:eastAsia="Times New Roman" w:cs="Times New Roman"/>
          <w:bCs/>
          <w:szCs w:val="24"/>
        </w:rPr>
      </w:pPr>
      <w:r w:rsidRPr="00D47479">
        <w:rPr>
          <w:rFonts w:eastAsia="Times New Roman" w:cs="Times New Roman"/>
          <w:b/>
          <w:bCs/>
          <w:szCs w:val="24"/>
        </w:rPr>
        <w:t>Methodology</w:t>
      </w:r>
      <w:r w:rsidRPr="00D47479">
        <w:rPr>
          <w:rFonts w:eastAsia="Times New Roman" w:cs="Times New Roman"/>
          <w:bCs/>
          <w:szCs w:val="24"/>
        </w:rPr>
        <w:t>: This quality improvement project utilized a before/after design. Providers recruited from a primary care clinic had their knowledge of the topic assessed before and after an educational intervention. Knowledge test scores were compared before and following education to determine if provider knowledge increased.</w:t>
      </w:r>
    </w:p>
    <w:p w14:paraId="21349A0C" w14:textId="77777777" w:rsidR="00D47479" w:rsidRPr="00D47479" w:rsidRDefault="00D47479" w:rsidP="00D47479">
      <w:pPr>
        <w:tabs>
          <w:tab w:val="right" w:leader="dot" w:pos="9360"/>
        </w:tabs>
        <w:spacing w:after="0" w:line="480" w:lineRule="auto"/>
        <w:rPr>
          <w:rFonts w:eastAsia="Times New Roman" w:cs="Times New Roman"/>
          <w:bCs/>
          <w:szCs w:val="24"/>
        </w:rPr>
      </w:pPr>
      <w:r w:rsidRPr="00D47479">
        <w:rPr>
          <w:rFonts w:eastAsia="Times New Roman" w:cs="Times New Roman"/>
          <w:b/>
          <w:bCs/>
          <w:szCs w:val="24"/>
        </w:rPr>
        <w:t>Results</w:t>
      </w:r>
      <w:r w:rsidRPr="00D47479">
        <w:rPr>
          <w:rFonts w:eastAsia="Times New Roman" w:cs="Times New Roman"/>
          <w:bCs/>
          <w:szCs w:val="24"/>
        </w:rPr>
        <w:t xml:space="preserve">: A total of </w:t>
      </w:r>
      <w:r w:rsidRPr="00D47479">
        <w:rPr>
          <w:rFonts w:eastAsia="Times New Roman" w:cs="Times New Roman"/>
          <w:bCs/>
          <w:i/>
          <w:iCs/>
          <w:szCs w:val="24"/>
        </w:rPr>
        <w:t xml:space="preserve">n </w:t>
      </w:r>
      <w:r w:rsidRPr="00D47479">
        <w:rPr>
          <w:rFonts w:eastAsia="Times New Roman" w:cs="Times New Roman"/>
          <w:bCs/>
          <w:szCs w:val="24"/>
        </w:rPr>
        <w:t>= 10 providers from a primary care practice operating in South Florida with an average age of 39.4 years (</w:t>
      </w:r>
      <w:r w:rsidRPr="00D47479">
        <w:rPr>
          <w:rFonts w:eastAsia="Times New Roman" w:cs="Times New Roman"/>
          <w:bCs/>
          <w:i/>
          <w:iCs/>
          <w:szCs w:val="24"/>
        </w:rPr>
        <w:t>SD</w:t>
      </w:r>
      <w:r w:rsidRPr="00D47479">
        <w:rPr>
          <w:rFonts w:eastAsia="Times New Roman" w:cs="Times New Roman"/>
          <w:bCs/>
          <w:szCs w:val="24"/>
        </w:rPr>
        <w:t xml:space="preserve"> 4.43) agreed to participate in the project. Mean knowledge scores increased from 9.85 (</w:t>
      </w:r>
      <w:r w:rsidRPr="00D47479">
        <w:rPr>
          <w:rFonts w:eastAsia="Times New Roman" w:cs="Times New Roman"/>
          <w:bCs/>
          <w:i/>
          <w:iCs/>
          <w:szCs w:val="24"/>
        </w:rPr>
        <w:t xml:space="preserve">SD </w:t>
      </w:r>
      <w:r w:rsidRPr="00D47479">
        <w:rPr>
          <w:rFonts w:eastAsia="Times New Roman" w:cs="Times New Roman"/>
          <w:bCs/>
          <w:szCs w:val="24"/>
        </w:rPr>
        <w:t xml:space="preserve">5.48) at baseline to 19.62 post-intervention. A Mann-Whitney U-test to compare the scores indicated the following </w:t>
      </w:r>
      <w:r w:rsidRPr="00D47479">
        <w:rPr>
          <w:rFonts w:eastAsia="Times New Roman" w:cs="Times New Roman"/>
          <w:bCs/>
          <w:i/>
          <w:iCs/>
          <w:szCs w:val="24"/>
        </w:rPr>
        <w:t>z</w:t>
      </w:r>
      <w:r w:rsidRPr="00D47479">
        <w:rPr>
          <w:rFonts w:eastAsia="Times New Roman" w:cs="Times New Roman"/>
          <w:bCs/>
          <w:szCs w:val="24"/>
        </w:rPr>
        <w:t xml:space="preserve"> = - 3.691, p &lt; 0.001, suggesting that the change was statistically significant.</w:t>
      </w:r>
    </w:p>
    <w:p w14:paraId="7A067235" w14:textId="77777777" w:rsidR="00D47479" w:rsidRPr="00D47479" w:rsidRDefault="00D47479" w:rsidP="00D47479">
      <w:pPr>
        <w:tabs>
          <w:tab w:val="right" w:leader="dot" w:pos="9360"/>
        </w:tabs>
        <w:spacing w:after="0" w:line="480" w:lineRule="auto"/>
        <w:rPr>
          <w:rFonts w:eastAsia="Times New Roman" w:cs="Times New Roman"/>
          <w:bCs/>
          <w:szCs w:val="24"/>
        </w:rPr>
      </w:pPr>
      <w:r w:rsidRPr="00D47479">
        <w:rPr>
          <w:rFonts w:eastAsia="Times New Roman" w:cs="Times New Roman"/>
          <w:b/>
          <w:bCs/>
          <w:szCs w:val="24"/>
        </w:rPr>
        <w:t>Conclusions</w:t>
      </w:r>
      <w:r w:rsidRPr="00D47479">
        <w:rPr>
          <w:rFonts w:eastAsia="Times New Roman" w:cs="Times New Roman"/>
          <w:bCs/>
          <w:szCs w:val="24"/>
        </w:rPr>
        <w:t>:</w:t>
      </w:r>
      <w:r w:rsidRPr="00D47479">
        <w:rPr>
          <w:rFonts w:eastAsia="Times New Roman" w:cs="Times New Roman"/>
          <w:b/>
          <w:szCs w:val="24"/>
        </w:rPr>
        <w:t xml:space="preserve"> </w:t>
      </w:r>
      <w:r w:rsidRPr="00D47479">
        <w:rPr>
          <w:rFonts w:eastAsia="Times New Roman" w:cs="Times New Roman"/>
          <w:bCs/>
          <w:szCs w:val="24"/>
        </w:rPr>
        <w:t>For primary care providers working with older adults in the community, provider education does increase knowledge of sexual health and STI screening in older adults.</w:t>
      </w:r>
    </w:p>
    <w:p w14:paraId="64584FC4" w14:textId="28DF666B" w:rsidR="00D47479" w:rsidRPr="00D47479" w:rsidRDefault="00D47479" w:rsidP="00D47479">
      <w:pPr>
        <w:tabs>
          <w:tab w:val="right" w:leader="dot" w:pos="9360"/>
        </w:tabs>
        <w:spacing w:after="0" w:line="480" w:lineRule="auto"/>
        <w:rPr>
          <w:rFonts w:eastAsia="Times New Roman" w:cs="Times New Roman"/>
          <w:bCs/>
          <w:szCs w:val="24"/>
        </w:rPr>
      </w:pPr>
      <w:r w:rsidRPr="00D47479">
        <w:rPr>
          <w:rFonts w:eastAsia="Times New Roman" w:cs="Times New Roman"/>
          <w:b/>
          <w:bCs/>
          <w:szCs w:val="24"/>
        </w:rPr>
        <w:t>Implications</w:t>
      </w:r>
      <w:r w:rsidRPr="00D47479">
        <w:rPr>
          <w:rFonts w:eastAsia="Times New Roman" w:cs="Times New Roman"/>
          <w:bCs/>
          <w:szCs w:val="24"/>
        </w:rPr>
        <w:t xml:space="preserve">: Increases in provider knowledge should translate into the ability of providers to change practice, leading to increased STI and sexual health screening for older adults. This should improve individual and population health over the </w:t>
      </w:r>
      <w:r w:rsidR="007E1CF5" w:rsidRPr="00D47479">
        <w:rPr>
          <w:rFonts w:eastAsia="Times New Roman" w:cs="Times New Roman"/>
          <w:bCs/>
          <w:szCs w:val="24"/>
        </w:rPr>
        <w:t>long term</w:t>
      </w:r>
      <w:r w:rsidRPr="00D47479">
        <w:rPr>
          <w:rFonts w:eastAsia="Times New Roman" w:cs="Times New Roman"/>
          <w:bCs/>
          <w:szCs w:val="24"/>
        </w:rPr>
        <w:t>.</w:t>
      </w:r>
    </w:p>
    <w:p w14:paraId="2AF8FD6D" w14:textId="77777777" w:rsidR="00D47479" w:rsidRPr="00D47479" w:rsidRDefault="00D47479" w:rsidP="00D47479">
      <w:pPr>
        <w:tabs>
          <w:tab w:val="right" w:leader="dot" w:pos="9360"/>
        </w:tabs>
        <w:spacing w:after="0" w:line="480" w:lineRule="auto"/>
        <w:ind w:firstLine="720"/>
        <w:rPr>
          <w:rFonts w:eastAsia="Times New Roman" w:cs="Times New Roman"/>
          <w:bCs/>
          <w:szCs w:val="24"/>
        </w:rPr>
      </w:pPr>
      <w:r w:rsidRPr="00D47479">
        <w:rPr>
          <w:rFonts w:eastAsia="Times New Roman" w:cs="Times New Roman"/>
          <w:bCs/>
          <w:i/>
          <w:iCs/>
          <w:szCs w:val="24"/>
        </w:rPr>
        <w:t>Keywords</w:t>
      </w:r>
      <w:r w:rsidRPr="00D47479">
        <w:rPr>
          <w:rFonts w:eastAsia="Times New Roman" w:cs="Times New Roman"/>
          <w:bCs/>
          <w:szCs w:val="24"/>
        </w:rPr>
        <w:t>: STI screening, older adult, sexual health, sexually transmitted infection, nursing</w:t>
      </w:r>
    </w:p>
    <w:p w14:paraId="1351C179" w14:textId="63453158" w:rsidR="00315E7C" w:rsidRPr="00315E7C" w:rsidRDefault="00315E7C">
      <w:pPr>
        <w:rPr>
          <w:rFonts w:cs="Times New Roman"/>
          <w:bCs/>
          <w:szCs w:val="24"/>
        </w:rPr>
      </w:pPr>
      <w:r w:rsidRPr="00315E7C">
        <w:rPr>
          <w:rFonts w:cs="Times New Roman"/>
          <w:bCs/>
          <w:szCs w:val="24"/>
        </w:rPr>
        <w:br w:type="page"/>
      </w:r>
    </w:p>
    <w:p w14:paraId="265B9AC0" w14:textId="04BAF4E6" w:rsidR="00AB3E93" w:rsidRPr="00074165" w:rsidRDefault="000262F8" w:rsidP="000262F8">
      <w:pPr>
        <w:spacing w:after="0" w:line="480" w:lineRule="auto"/>
        <w:jc w:val="center"/>
        <w:rPr>
          <w:rFonts w:cs="Times New Roman"/>
          <w:b/>
          <w:szCs w:val="24"/>
        </w:rPr>
      </w:pPr>
      <w:r w:rsidRPr="00074165">
        <w:rPr>
          <w:rFonts w:cs="Times New Roman"/>
          <w:b/>
          <w:szCs w:val="24"/>
        </w:rPr>
        <w:lastRenderedPageBreak/>
        <w:t>Having the “Talk” with Healthcare Providers to Increase Awareness of Sexually Transmitted Infections in Older Adult (65+ Years) Patients</w:t>
      </w:r>
    </w:p>
    <w:p w14:paraId="7C860F62" w14:textId="5C99D6CA"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Life expectancy in the United States and across the globe has increased significantly over the course of the last several decades (Estill et al., 2018). Individuals are living longer, healthier lives and healthcare providers are currently being challenged to meet the changing needs of this population group (Srinivasan et al., 2019). A growing concern regarding the care of </w:t>
      </w:r>
      <w:r w:rsidR="007E1CF5" w:rsidRPr="00074165">
        <w:rPr>
          <w:rFonts w:cs="Times New Roman"/>
          <w:bCs/>
          <w:szCs w:val="24"/>
        </w:rPr>
        <w:t>older</w:t>
      </w:r>
      <w:r w:rsidRPr="00074165">
        <w:rPr>
          <w:rFonts w:cs="Times New Roman"/>
          <w:bCs/>
          <w:szCs w:val="24"/>
        </w:rPr>
        <w:t xml:space="preserve"> adult</w:t>
      </w:r>
      <w:r w:rsidR="00B324C1" w:rsidRPr="00074165">
        <w:rPr>
          <w:rFonts w:cs="Times New Roman"/>
          <w:bCs/>
          <w:szCs w:val="24"/>
        </w:rPr>
        <w:t>s</w:t>
      </w:r>
      <w:r w:rsidRPr="00074165">
        <w:rPr>
          <w:rFonts w:cs="Times New Roman"/>
          <w:bCs/>
          <w:szCs w:val="24"/>
        </w:rPr>
        <w:t>, including those over the age of 65 years, is the topic of sexual health (Haesler et al., 2016). Even though the reproductive elements of sex are no longer a concern for most older adults, research does indicate that sexual activity and sexual intimacy are typically needed for older adults to live healthy and fulfilling</w:t>
      </w:r>
      <w:r w:rsidR="005565D2" w:rsidRPr="00074165">
        <w:rPr>
          <w:rFonts w:cs="Times New Roman"/>
          <w:bCs/>
          <w:szCs w:val="24"/>
        </w:rPr>
        <w:t xml:space="preserve"> lives</w:t>
      </w:r>
      <w:r w:rsidRPr="00074165">
        <w:rPr>
          <w:rFonts w:cs="Times New Roman"/>
          <w:bCs/>
          <w:szCs w:val="24"/>
        </w:rPr>
        <w:t xml:space="preserve"> (Haesler et al., 2016). This evidence stands in direct contrast to current stereotyped views and biased social attitudes regarding sex in older adults (Heidari, 2016). More specifically, older adults are often viewed as having little interest in sex or as being asexual (</w:t>
      </w:r>
      <w:bookmarkStart w:id="0" w:name="_Hlk93991777"/>
      <w:r w:rsidRPr="00074165">
        <w:rPr>
          <w:rFonts w:cs="Times New Roman"/>
          <w:bCs/>
          <w:szCs w:val="24"/>
        </w:rPr>
        <w:t>Heidari, 2016</w:t>
      </w:r>
      <w:bookmarkEnd w:id="0"/>
      <w:r w:rsidRPr="00074165">
        <w:rPr>
          <w:rFonts w:cs="Times New Roman"/>
          <w:bCs/>
          <w:szCs w:val="24"/>
        </w:rPr>
        <w:t>).</w:t>
      </w:r>
    </w:p>
    <w:p w14:paraId="3E091A0A" w14:textId="6AEA54FD"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Unfortunately, the social stereotypes and age bias that exist regarding age in our current culture are homogeneous and influence thinking in most population groups including healthcare providers (Flynn et al., 2016). Current evidence shows that when it comes to assessing and reviewing sexual health issues with older adults, most healthcare providers do not routinely integrate these topics into the care they provide (Gewirtz-Meydan &amp; Ayalon, 2017). This realization is alarming, especially </w:t>
      </w:r>
      <w:r w:rsidR="00F566A8" w:rsidRPr="00074165">
        <w:rPr>
          <w:rFonts w:cs="Times New Roman"/>
          <w:bCs/>
          <w:szCs w:val="24"/>
        </w:rPr>
        <w:t>considering</w:t>
      </w:r>
      <w:r w:rsidRPr="00074165">
        <w:rPr>
          <w:rFonts w:cs="Times New Roman"/>
          <w:bCs/>
          <w:szCs w:val="24"/>
        </w:rPr>
        <w:t xml:space="preserve"> the growing incidence of sexually transmitted infections (STIs) in older adults (Smith et al., 2020). Data provided by the Centers for Disease Control and Prevention ([CDC], 2017) indicate that while STI rates are highest among individuals between the ages of 15 and 24 years, the second largest population group impacted by STIs</w:t>
      </w:r>
      <w:r w:rsidR="00B337D0" w:rsidRPr="00074165">
        <w:rPr>
          <w:rFonts w:cs="Times New Roman"/>
          <w:bCs/>
          <w:szCs w:val="24"/>
        </w:rPr>
        <w:t xml:space="preserve"> is </w:t>
      </w:r>
      <w:r w:rsidRPr="00074165">
        <w:rPr>
          <w:rFonts w:cs="Times New Roman"/>
          <w:bCs/>
          <w:szCs w:val="24"/>
        </w:rPr>
        <w:t xml:space="preserve">older adults. The organization goes on to note that between 2015 and 2016 there was a </w:t>
      </w:r>
      <w:r w:rsidRPr="00074165">
        <w:rPr>
          <w:rFonts w:cs="Times New Roman"/>
          <w:bCs/>
          <w:szCs w:val="24"/>
        </w:rPr>
        <w:lastRenderedPageBreak/>
        <w:t>20% increase in STI rates for older adults, continuing a pattern of year-over-year increases in STI infection rates that began in 2012.</w:t>
      </w:r>
    </w:p>
    <w:p w14:paraId="393ADA0A" w14:textId="77777777" w:rsidR="00AB3E93" w:rsidRPr="00074165" w:rsidRDefault="00AB3E93" w:rsidP="00AB3E93">
      <w:pPr>
        <w:spacing w:after="0" w:line="480" w:lineRule="auto"/>
        <w:jc w:val="center"/>
        <w:rPr>
          <w:rFonts w:cs="Times New Roman"/>
          <w:b/>
          <w:szCs w:val="24"/>
        </w:rPr>
      </w:pPr>
      <w:r w:rsidRPr="00074165">
        <w:rPr>
          <w:rFonts w:cs="Times New Roman"/>
          <w:b/>
          <w:szCs w:val="24"/>
        </w:rPr>
        <w:t>Problem Statement</w:t>
      </w:r>
    </w:p>
    <w:p w14:paraId="21CB8A6D" w14:textId="77777777" w:rsidR="00AB3E93" w:rsidRPr="00074165" w:rsidRDefault="00AB3E93" w:rsidP="00AB3E93">
      <w:pPr>
        <w:spacing w:after="0" w:line="480" w:lineRule="auto"/>
        <w:rPr>
          <w:rFonts w:cs="Times New Roman"/>
          <w:b/>
          <w:szCs w:val="24"/>
        </w:rPr>
      </w:pPr>
      <w:bookmarkStart w:id="1" w:name="_Hlk98418812"/>
      <w:r w:rsidRPr="00074165">
        <w:rPr>
          <w:rFonts w:cs="Times New Roman"/>
          <w:b/>
          <w:szCs w:val="24"/>
        </w:rPr>
        <w:t>Problem Identification</w:t>
      </w:r>
    </w:p>
    <w:p w14:paraId="188A3471" w14:textId="54B5C7A2"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The problem being addressed through this quality improvement project involves provider knowledge and attitudes toward sexual health and STI screening in older adults. In the introduction to this </w:t>
      </w:r>
      <w:r w:rsidR="00310DC0" w:rsidRPr="00074165">
        <w:rPr>
          <w:rFonts w:cs="Times New Roman"/>
          <w:bCs/>
          <w:szCs w:val="24"/>
        </w:rPr>
        <w:t>work,</w:t>
      </w:r>
      <w:r w:rsidRPr="00074165">
        <w:rPr>
          <w:rFonts w:cs="Times New Roman"/>
          <w:bCs/>
          <w:szCs w:val="24"/>
        </w:rPr>
        <w:t xml:space="preserve"> it was noted that the social stereotypes of sexuality in older adults consistently suggest that those in this population are not interested in or are not regularly having sex (Heidari, 2016). However, studies examining sexuality in older adults do demonstrate that as many as two-thirds of adults over the age of 65 remain sexually active across their lifespan (Syme et al., 2017). Sex in older adults has been shown to improve quality of life as well as physical and mental health (Haesler et al., 2016). Despite evidence supporting the need to recognize and assess sexuality in </w:t>
      </w:r>
      <w:r w:rsidR="007E1CF5" w:rsidRPr="00074165">
        <w:rPr>
          <w:rFonts w:cs="Times New Roman"/>
          <w:bCs/>
          <w:szCs w:val="24"/>
        </w:rPr>
        <w:t>older adults</w:t>
      </w:r>
      <w:r w:rsidRPr="00074165">
        <w:rPr>
          <w:rFonts w:cs="Times New Roman"/>
          <w:bCs/>
          <w:szCs w:val="24"/>
        </w:rPr>
        <w:t>, many providers do not actively address this topic when providing care (Gewirtz-Meydan &amp; Ayalon, 2017). While some providers may be influenced by social biases toward aging, evidence also indicates that healthcare providers may lack the knowledge and skills needed to initiate conversations with older adults regarding their sexuality (Malta et al., 2020).</w:t>
      </w:r>
    </w:p>
    <w:p w14:paraId="090A996A" w14:textId="1FCD581B"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This topic is one that appears to have notable ramifications for the health of this population. Data provided by the CDC (2017) does indicate that STI rates continue to increase for older adults by a significant number each year. Older adults, believing that reproductive issues are not a </w:t>
      </w:r>
      <w:r w:rsidR="007E1CF5" w:rsidRPr="00074165">
        <w:rPr>
          <w:rFonts w:cs="Times New Roman"/>
          <w:bCs/>
          <w:szCs w:val="24"/>
        </w:rPr>
        <w:t>concern,</w:t>
      </w:r>
      <w:r w:rsidRPr="00074165">
        <w:rPr>
          <w:rFonts w:cs="Times New Roman"/>
          <w:bCs/>
          <w:szCs w:val="24"/>
        </w:rPr>
        <w:t xml:space="preserve"> have been shown to engage in unsafe sexual practices that may be contributing to an increased rate of STIs in this population (Kirkman et al., 2016). </w:t>
      </w:r>
      <w:r w:rsidR="00BD0F0D" w:rsidRPr="00074165">
        <w:rPr>
          <w:rFonts w:cs="Times New Roman"/>
          <w:bCs/>
          <w:szCs w:val="24"/>
        </w:rPr>
        <w:t>Data</w:t>
      </w:r>
      <w:r w:rsidRPr="00074165">
        <w:rPr>
          <w:rFonts w:cs="Times New Roman"/>
          <w:bCs/>
          <w:szCs w:val="24"/>
        </w:rPr>
        <w:t xml:space="preserve"> indicate</w:t>
      </w:r>
      <w:r w:rsidR="00BD0F0D" w:rsidRPr="00074165">
        <w:rPr>
          <w:rFonts w:cs="Times New Roman"/>
          <w:bCs/>
          <w:szCs w:val="24"/>
        </w:rPr>
        <w:t>s</w:t>
      </w:r>
      <w:r w:rsidRPr="00074165">
        <w:rPr>
          <w:rFonts w:cs="Times New Roman"/>
          <w:bCs/>
          <w:szCs w:val="24"/>
        </w:rPr>
        <w:t xml:space="preserve"> that 90% of older adult males having sex reported never using a condom with their date or casual </w:t>
      </w:r>
      <w:r w:rsidRPr="00074165">
        <w:rPr>
          <w:rFonts w:cs="Times New Roman"/>
          <w:bCs/>
          <w:szCs w:val="24"/>
        </w:rPr>
        <w:lastRenderedPageBreak/>
        <w:t>partner (Karpiak &amp; Lunievicz, 2017). Further, 70% reported not using a condom when their partner was a stranger (Karpiak &amp; Lunievicz, 2017). Hence, the problem that must be addressed is provider knowledge to provide sexual health and STI screening for older adults.</w:t>
      </w:r>
    </w:p>
    <w:p w14:paraId="76AC1A1F" w14:textId="77777777" w:rsidR="00AB3E93" w:rsidRPr="00074165" w:rsidRDefault="00AB3E93" w:rsidP="00AB3E93">
      <w:pPr>
        <w:spacing w:after="0" w:line="480" w:lineRule="auto"/>
        <w:rPr>
          <w:rFonts w:cs="Times New Roman"/>
          <w:b/>
          <w:szCs w:val="24"/>
        </w:rPr>
      </w:pPr>
      <w:r w:rsidRPr="00074165">
        <w:rPr>
          <w:rFonts w:cs="Times New Roman"/>
          <w:b/>
          <w:szCs w:val="24"/>
        </w:rPr>
        <w:t>Background</w:t>
      </w:r>
    </w:p>
    <w:p w14:paraId="43731451" w14:textId="7E2DDAC7"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Healthy aging in the United States has become a focal point for improving not only patient quality of life but also overall population health (Michel &amp; Sadana, 2017). As life expectancy in the United States and globally continues to increase, there has been a push from both policymakers and healthcare providers to improve knowledge and care of the older adult population (Michel &amp; Sadana, 2017). Healthy aging is typically focused on the use of a psychosocial model of care in which the older adult’s health is managed in a holistic manner (Lu et al., 2019). In the past, the chronological age of the patient was </w:t>
      </w:r>
      <w:r w:rsidR="008F508C" w:rsidRPr="00074165">
        <w:rPr>
          <w:rFonts w:cs="Times New Roman"/>
          <w:bCs/>
          <w:szCs w:val="24"/>
        </w:rPr>
        <w:t>emphasized,</w:t>
      </w:r>
      <w:r w:rsidRPr="00074165">
        <w:rPr>
          <w:rFonts w:cs="Times New Roman"/>
          <w:bCs/>
          <w:szCs w:val="24"/>
        </w:rPr>
        <w:t xml:space="preserve"> and care built for the older adult often failed to integrate critical elements of well-being such as social relationships (Lu et al., 2019).</w:t>
      </w:r>
    </w:p>
    <w:p w14:paraId="30DF4769"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A shift in the way that aging is viewed and how care is provided has, for the most part, been a boon for older adults. Scholars note that policies for improving the psychosocial needs of the older adult have been developed across both communities and healthcare facilities (Nelson, 2016). These changes have enabled older adults to remain active in their communities while also enhancing the quality of their lives (Nelson, 2016). Despite the marked progress made toward improving the care of the older adult, scholars consistently note that sexual health in this population continues to remain a taboo subject (Dhingra et al., 2016). Even though more research is being published on the topic at the present time, evidence does indicate that there are still considerable gaps in knowledge when it comes to fully understanding the sexual health needs of older adults (Karpiak &amp; Lunievicz, 2017). This is clearly a concern that must be </w:t>
      </w:r>
      <w:r w:rsidRPr="00074165">
        <w:rPr>
          <w:rFonts w:cs="Times New Roman"/>
          <w:bCs/>
          <w:szCs w:val="24"/>
        </w:rPr>
        <w:lastRenderedPageBreak/>
        <w:t>addressed by expanding research and fostering knowledge development among healthcare providers.</w:t>
      </w:r>
    </w:p>
    <w:p w14:paraId="00C354C6" w14:textId="77777777" w:rsidR="00AB3E93" w:rsidRPr="00074165" w:rsidRDefault="00AB3E93" w:rsidP="00AB3E93">
      <w:pPr>
        <w:spacing w:after="0" w:line="480" w:lineRule="auto"/>
        <w:rPr>
          <w:rFonts w:cs="Times New Roman"/>
          <w:b/>
          <w:szCs w:val="24"/>
        </w:rPr>
      </w:pPr>
      <w:r w:rsidRPr="00074165">
        <w:rPr>
          <w:rFonts w:cs="Times New Roman"/>
          <w:b/>
          <w:szCs w:val="24"/>
        </w:rPr>
        <w:t>Scope of the Problem</w:t>
      </w:r>
    </w:p>
    <w:p w14:paraId="6097EA4C" w14:textId="402F0A44"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The scope of the problem is difficult to quantify due in part to the lack of data regarding how healthcare providers approach the topic of sexual health with each of their patients. However, the scope of the problem can be quantified in terms of the growing number of older adults in the United States and data regarding sexually transmitted infections in older adults. Data provided by Roberts et al. (2018) writing on behalf of the United States Census Bureau indicates that in the U.S., the older adult population has been growing steadily over the course of the last century. Growth in this population began to accelerate as the Baby Boomer generation began to turn 65 in 2011 (Roberts et al., 2018). The Baby Boomer generation has historically been one of the largest in U.S. history and by 2016, estimates showed that there were 49.2 million adults over the age of 65 living in the U.S. (Roberts et al., 2018). </w:t>
      </w:r>
    </w:p>
    <w:p w14:paraId="3F04528F" w14:textId="43B01EF6" w:rsidR="00AB3E93" w:rsidRDefault="00AB3E93" w:rsidP="00AB3E93">
      <w:pPr>
        <w:spacing w:after="0" w:line="480" w:lineRule="auto"/>
        <w:ind w:firstLine="720"/>
        <w:rPr>
          <w:rFonts w:cs="Times New Roman"/>
          <w:bCs/>
          <w:szCs w:val="24"/>
        </w:rPr>
      </w:pPr>
      <w:r w:rsidRPr="00074165">
        <w:rPr>
          <w:rFonts w:cs="Times New Roman"/>
          <w:bCs/>
          <w:szCs w:val="24"/>
        </w:rPr>
        <w:t>As the number of older adults in the community increases, so too will the number of sexually active older adults. Current evidence indicates that as many as two-thirds of older adults remain sexually active as they age (Syme et al., 2017). Sexual activity among older adults often excludes reproductive concerns, leading to the belief among older adults that precautions for safe sex are not needed (Kirkman et al., 2016). Further, evidence indicates that due to agism and stereotypes of older adults, healthcare providers may not engage in critical conversations to improve sexual health and prevent STIs among older adults (Malta et al., 2020). These factors appear to be contributing to an increased rate of STIs among older adults with the CDC (2017) demonstrating the rapidly increasing rates of these infections in older adults since 2012.</w:t>
      </w:r>
    </w:p>
    <w:p w14:paraId="56A08959" w14:textId="77777777" w:rsidR="009D4CE8" w:rsidRPr="00074165" w:rsidRDefault="009D4CE8" w:rsidP="009D4CE8">
      <w:pPr>
        <w:spacing w:after="0" w:line="480" w:lineRule="auto"/>
        <w:rPr>
          <w:rFonts w:cs="Times New Roman"/>
          <w:bCs/>
          <w:szCs w:val="24"/>
        </w:rPr>
      </w:pPr>
    </w:p>
    <w:p w14:paraId="23DFFAF0" w14:textId="77777777" w:rsidR="00AB3E93" w:rsidRPr="00074165" w:rsidRDefault="00AB3E93" w:rsidP="00AB3E93">
      <w:pPr>
        <w:spacing w:after="0" w:line="480" w:lineRule="auto"/>
        <w:rPr>
          <w:rFonts w:cs="Times New Roman"/>
          <w:b/>
          <w:szCs w:val="24"/>
        </w:rPr>
      </w:pPr>
      <w:r w:rsidRPr="00074165">
        <w:rPr>
          <w:rFonts w:cs="Times New Roman"/>
          <w:b/>
          <w:szCs w:val="24"/>
        </w:rPr>
        <w:lastRenderedPageBreak/>
        <w:t>Consequences of the Problem</w:t>
      </w:r>
    </w:p>
    <w:p w14:paraId="62AA8B7F" w14:textId="1A6451A4"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The </w:t>
      </w:r>
      <w:r w:rsidR="009D4CE8">
        <w:rPr>
          <w:rFonts w:cs="Times New Roman"/>
          <w:bCs/>
          <w:szCs w:val="24"/>
        </w:rPr>
        <w:t>impact</w:t>
      </w:r>
      <w:r w:rsidRPr="00074165">
        <w:rPr>
          <w:rFonts w:cs="Times New Roman"/>
          <w:bCs/>
          <w:szCs w:val="24"/>
        </w:rPr>
        <w:t xml:space="preserve"> of not fixing the problem would stem from increased community transmission of STIs</w:t>
      </w:r>
      <w:r w:rsidR="009D4CE8">
        <w:rPr>
          <w:rFonts w:cs="Times New Roman"/>
          <w:bCs/>
          <w:szCs w:val="24"/>
        </w:rPr>
        <w:t xml:space="preserve">, increased </w:t>
      </w:r>
      <w:r w:rsidRPr="00074165">
        <w:rPr>
          <w:rFonts w:cs="Times New Roman"/>
          <w:bCs/>
          <w:szCs w:val="24"/>
        </w:rPr>
        <w:t>antimicrobial resistance</w:t>
      </w:r>
      <w:r w:rsidR="009D4CE8">
        <w:rPr>
          <w:rFonts w:cs="Times New Roman"/>
          <w:bCs/>
          <w:szCs w:val="24"/>
        </w:rPr>
        <w:t>,</w:t>
      </w:r>
      <w:r w:rsidRPr="00074165">
        <w:rPr>
          <w:rFonts w:cs="Times New Roman"/>
          <w:bCs/>
          <w:szCs w:val="24"/>
        </w:rPr>
        <w:t xml:space="preserve"> and </w:t>
      </w:r>
      <w:r w:rsidR="009D4CE8">
        <w:rPr>
          <w:rFonts w:cs="Times New Roman"/>
          <w:bCs/>
          <w:szCs w:val="24"/>
        </w:rPr>
        <w:t xml:space="preserve">increased </w:t>
      </w:r>
      <w:r w:rsidRPr="00074165">
        <w:rPr>
          <w:rFonts w:cs="Times New Roman"/>
          <w:bCs/>
          <w:szCs w:val="24"/>
        </w:rPr>
        <w:t>costs to treat these infections. Increased community transmission of STIs has been noted to be a growing concern among public health officials (Unemo &amp; Jensen, 2017). Current evidence suggests that the rates of sexually transmitted infections have been increasing for the total population for more than a decade (Unemo &amp; Jensen, 2017). This has occurred in conjunction with an increase in antimicrobial resistant strains of these infections (Unemo &amp; Jensen, 2017). In recent years, antimicrobial resistant strains of chlamydia, gonorrhea, and syphilis have been reported across the globe (Low &amp; Broutet, 2017). While antimicrobial resistant gonorrhea cases are increasing at the fastest pace, these infections pose a significant threat to human health as the antimicrobial tools developed to treat these infections are rendered useless (</w:t>
      </w:r>
      <w:bookmarkStart w:id="2" w:name="_Hlk98420862"/>
      <w:r w:rsidRPr="00074165">
        <w:rPr>
          <w:rFonts w:cs="Times New Roman"/>
          <w:bCs/>
          <w:szCs w:val="24"/>
        </w:rPr>
        <w:t>Low &amp; Broutet, 2017</w:t>
      </w:r>
      <w:bookmarkEnd w:id="2"/>
      <w:r w:rsidRPr="00074165">
        <w:rPr>
          <w:rFonts w:cs="Times New Roman"/>
          <w:bCs/>
          <w:szCs w:val="24"/>
        </w:rPr>
        <w:t>).</w:t>
      </w:r>
    </w:p>
    <w:p w14:paraId="43B67DD3" w14:textId="1122D956" w:rsidR="00AB3E93" w:rsidRPr="00074165" w:rsidRDefault="00FC66C5" w:rsidP="00AB3E93">
      <w:pPr>
        <w:spacing w:after="0" w:line="480" w:lineRule="auto"/>
        <w:ind w:firstLine="720"/>
        <w:rPr>
          <w:rFonts w:cs="Times New Roman"/>
          <w:bCs/>
          <w:szCs w:val="24"/>
        </w:rPr>
      </w:pPr>
      <w:r w:rsidRPr="00074165">
        <w:rPr>
          <w:rFonts w:cs="Times New Roman"/>
          <w:bCs/>
          <w:szCs w:val="24"/>
        </w:rPr>
        <w:t>Also concerning</w:t>
      </w:r>
      <w:r w:rsidR="00AB3E93" w:rsidRPr="00074165">
        <w:rPr>
          <w:rFonts w:cs="Times New Roman"/>
          <w:bCs/>
          <w:szCs w:val="24"/>
        </w:rPr>
        <w:t xml:space="preserve"> when addressing the topic are the costs associated with treating STIs as the number of these infections increase along with antibiotic resistance. Current evidence indicates that $16 billion is spent annually on the treatment and direct care of patients with STIs (Pearson et al., 2017). These costs will only continue to increase as the number of STIs in the community proliferate (Pearson et al., 2017). </w:t>
      </w:r>
      <w:r w:rsidRPr="00074165">
        <w:rPr>
          <w:rFonts w:cs="Times New Roman"/>
          <w:bCs/>
          <w:szCs w:val="24"/>
        </w:rPr>
        <w:t>Considering</w:t>
      </w:r>
      <w:r w:rsidR="00AB3E93" w:rsidRPr="00074165">
        <w:rPr>
          <w:rFonts w:cs="Times New Roman"/>
          <w:bCs/>
          <w:szCs w:val="24"/>
        </w:rPr>
        <w:t xml:space="preserve"> increased rates of STIs among older adults and a clear lack of healthcare provider intervention to address the issue, it is anticipated that the costs to treat STIs in the older adult population will continue to increase in the coming years.</w:t>
      </w:r>
    </w:p>
    <w:p w14:paraId="4B05D6B4" w14:textId="77777777" w:rsidR="00AB3E93" w:rsidRPr="00074165" w:rsidRDefault="00AB3E93" w:rsidP="00AB3E93">
      <w:pPr>
        <w:spacing w:after="0" w:line="480" w:lineRule="auto"/>
        <w:rPr>
          <w:rFonts w:cs="Times New Roman"/>
          <w:b/>
          <w:szCs w:val="24"/>
        </w:rPr>
      </w:pPr>
      <w:r w:rsidRPr="00074165">
        <w:rPr>
          <w:rFonts w:cs="Times New Roman"/>
          <w:b/>
          <w:szCs w:val="24"/>
        </w:rPr>
        <w:t>Knowledge Gaps</w:t>
      </w:r>
    </w:p>
    <w:p w14:paraId="3A0A8312" w14:textId="72FC0C7A" w:rsidR="00AB3E93" w:rsidRPr="00074165" w:rsidRDefault="009D4CE8" w:rsidP="00AB3E93">
      <w:pPr>
        <w:spacing w:after="0" w:line="480" w:lineRule="auto"/>
        <w:ind w:firstLine="720"/>
        <w:rPr>
          <w:rFonts w:cs="Times New Roman"/>
          <w:bCs/>
          <w:szCs w:val="24"/>
        </w:rPr>
      </w:pPr>
      <w:r>
        <w:rPr>
          <w:rFonts w:cs="Times New Roman"/>
          <w:bCs/>
          <w:szCs w:val="24"/>
        </w:rPr>
        <w:t>The knowledge gap identified is related to the</w:t>
      </w:r>
      <w:r w:rsidR="00AB3E93" w:rsidRPr="00074165">
        <w:rPr>
          <w:rFonts w:cs="Times New Roman"/>
          <w:bCs/>
          <w:szCs w:val="24"/>
        </w:rPr>
        <w:t xml:space="preserve"> current state of provider knowledge regarding sexual health in older adults. Existing evidence does indicate that providers may lack </w:t>
      </w:r>
      <w:r w:rsidR="00AB3E93" w:rsidRPr="00074165">
        <w:rPr>
          <w:rFonts w:cs="Times New Roman"/>
          <w:bCs/>
          <w:szCs w:val="24"/>
        </w:rPr>
        <w:lastRenderedPageBreak/>
        <w:t>the knowledge and skills needed to undertake sexual health histories of older adults in practice (Haesler et al., 2016). Interestingly, however, evidence also indicates that many providers report challenges in conducting sexual health history assessments of patients at any age during their lifespan (Flynn et al., 2017). Sexual health history taking is often viewed as a difficult task for providers (Flynn et al., 2017). When the specific concern of age is introduced along with stereotypes of older adults as being disinterested or uninvolved in regular sexual activity, the knowledge gaps for healthcare providers more than likely become quite substantial. However, as noted earlier</w:t>
      </w:r>
      <w:r w:rsidR="002D03E0" w:rsidRPr="00074165">
        <w:rPr>
          <w:rFonts w:cs="Times New Roman"/>
          <w:bCs/>
          <w:szCs w:val="24"/>
        </w:rPr>
        <w:t xml:space="preserve">, </w:t>
      </w:r>
      <w:r w:rsidR="00AB3E93" w:rsidRPr="00074165">
        <w:rPr>
          <w:rFonts w:cs="Times New Roman"/>
          <w:bCs/>
          <w:szCs w:val="24"/>
        </w:rPr>
        <w:t>research regarding sexual health in older adults is often scant, creating additional barriers for providers to not only seek out knowledge on the topic but for public health organizations such as the CDC to raise awareness of the topic for both the community and healthcare providers (Dhingra et al., 2016; Karpiak &amp; Lunievicz, 2017).</w:t>
      </w:r>
    </w:p>
    <w:bookmarkEnd w:id="1"/>
    <w:p w14:paraId="390E162F" w14:textId="083D9039" w:rsidR="00CD3269" w:rsidRPr="00074165" w:rsidRDefault="00CD3269" w:rsidP="00CD3269">
      <w:pPr>
        <w:spacing w:after="0" w:line="480" w:lineRule="auto"/>
        <w:jc w:val="center"/>
        <w:rPr>
          <w:rFonts w:cs="Times New Roman"/>
          <w:b/>
          <w:szCs w:val="24"/>
        </w:rPr>
      </w:pPr>
      <w:r w:rsidRPr="00074165">
        <w:rPr>
          <w:rFonts w:cs="Times New Roman"/>
          <w:b/>
          <w:szCs w:val="24"/>
        </w:rPr>
        <w:t>Significance</w:t>
      </w:r>
    </w:p>
    <w:p w14:paraId="7E646125" w14:textId="27519657" w:rsidR="00CD3269" w:rsidRPr="00074165" w:rsidRDefault="003C399B" w:rsidP="00AB3E93">
      <w:pPr>
        <w:spacing w:after="0" w:line="480" w:lineRule="auto"/>
        <w:ind w:firstLine="720"/>
        <w:rPr>
          <w:rFonts w:cs="Times New Roman"/>
          <w:bCs/>
          <w:szCs w:val="24"/>
        </w:rPr>
      </w:pPr>
      <w:r w:rsidRPr="00074165">
        <w:rPr>
          <w:rFonts w:cs="Times New Roman"/>
          <w:bCs/>
          <w:szCs w:val="24"/>
        </w:rPr>
        <w:t>The significance of the problem can be seen when looking at both individual and public health. As noted</w:t>
      </w:r>
      <w:r w:rsidR="002D03E0" w:rsidRPr="00074165">
        <w:rPr>
          <w:rFonts w:cs="Times New Roman"/>
          <w:bCs/>
          <w:szCs w:val="24"/>
        </w:rPr>
        <w:t>,</w:t>
      </w:r>
      <w:r w:rsidRPr="00074165">
        <w:rPr>
          <w:rFonts w:cs="Times New Roman"/>
          <w:bCs/>
          <w:szCs w:val="24"/>
        </w:rPr>
        <w:t xml:space="preserve"> the CDC (2017) reports that the number of cases of STIs among older adults continues to increase at a significant pace. This continues to occur at a time when the </w:t>
      </w:r>
      <w:r w:rsidR="009D4CE8">
        <w:rPr>
          <w:rFonts w:cs="Times New Roman"/>
          <w:bCs/>
          <w:szCs w:val="24"/>
        </w:rPr>
        <w:t xml:space="preserve">size of the </w:t>
      </w:r>
      <w:r w:rsidRPr="00074165">
        <w:rPr>
          <w:rFonts w:cs="Times New Roman"/>
          <w:bCs/>
          <w:szCs w:val="24"/>
        </w:rPr>
        <w:t>older adult population is also increasing rapidly as well (Estill et al., 2018). Older adults may not be aware of their risk of contracting STIs (</w:t>
      </w:r>
      <w:r w:rsidR="0042188C" w:rsidRPr="00074165">
        <w:rPr>
          <w:rFonts w:cs="Times New Roman"/>
          <w:bCs/>
          <w:szCs w:val="24"/>
        </w:rPr>
        <w:t>Syme et al., 2017</w:t>
      </w:r>
      <w:r w:rsidRPr="00074165">
        <w:rPr>
          <w:rFonts w:cs="Times New Roman"/>
          <w:bCs/>
          <w:szCs w:val="24"/>
        </w:rPr>
        <w:t xml:space="preserve">). Many </w:t>
      </w:r>
      <w:r w:rsidR="009D4CE8">
        <w:rPr>
          <w:rFonts w:cs="Times New Roman"/>
          <w:bCs/>
          <w:szCs w:val="24"/>
        </w:rPr>
        <w:t xml:space="preserve">older adults </w:t>
      </w:r>
      <w:r w:rsidRPr="00074165">
        <w:rPr>
          <w:rFonts w:cs="Times New Roman"/>
          <w:bCs/>
          <w:szCs w:val="24"/>
        </w:rPr>
        <w:t xml:space="preserve">believe that because pregnancy is no longer a </w:t>
      </w:r>
      <w:r w:rsidR="007E1CF5" w:rsidRPr="00074165">
        <w:rPr>
          <w:rFonts w:cs="Times New Roman"/>
          <w:bCs/>
          <w:szCs w:val="24"/>
        </w:rPr>
        <w:t>concern,</w:t>
      </w:r>
      <w:r w:rsidRPr="00074165">
        <w:rPr>
          <w:rFonts w:cs="Times New Roman"/>
          <w:bCs/>
          <w:szCs w:val="24"/>
        </w:rPr>
        <w:t xml:space="preserve"> sexual activity may carry with it very little risk (</w:t>
      </w:r>
      <w:r w:rsidR="0042188C" w:rsidRPr="00074165">
        <w:rPr>
          <w:rFonts w:cs="Times New Roman"/>
          <w:bCs/>
          <w:szCs w:val="24"/>
        </w:rPr>
        <w:t>Syme et al., 2017</w:t>
      </w:r>
      <w:r w:rsidRPr="00074165">
        <w:rPr>
          <w:rFonts w:cs="Times New Roman"/>
          <w:bCs/>
          <w:szCs w:val="24"/>
        </w:rPr>
        <w:t>). Although older adults often do not have to be concerned with pregnancy, they can contract sexually transmitted infections including HIV that can have an adverse medical sequela, increasing morbidity and mortality (</w:t>
      </w:r>
      <w:r w:rsidR="0042188C" w:rsidRPr="00074165">
        <w:rPr>
          <w:rFonts w:cs="Times New Roman"/>
          <w:bCs/>
          <w:szCs w:val="24"/>
        </w:rPr>
        <w:t>Siegler et al., 2018</w:t>
      </w:r>
      <w:r w:rsidRPr="00074165">
        <w:rPr>
          <w:rFonts w:cs="Times New Roman"/>
          <w:bCs/>
          <w:szCs w:val="24"/>
        </w:rPr>
        <w:t>). While these issues are a concern for individuals, the reality is that increased rates of sexual activity among older adults can have implications for public health as well.</w:t>
      </w:r>
    </w:p>
    <w:p w14:paraId="6F52D5ED" w14:textId="489DE6DA" w:rsidR="00CD3269" w:rsidRPr="00074165" w:rsidRDefault="003C399B" w:rsidP="00AB3E93">
      <w:pPr>
        <w:spacing w:after="0" w:line="480" w:lineRule="auto"/>
        <w:ind w:firstLine="720"/>
        <w:rPr>
          <w:rFonts w:cs="Times New Roman"/>
          <w:bCs/>
          <w:szCs w:val="24"/>
        </w:rPr>
      </w:pPr>
      <w:r w:rsidRPr="00074165">
        <w:rPr>
          <w:rFonts w:cs="Times New Roman"/>
          <w:bCs/>
          <w:szCs w:val="24"/>
        </w:rPr>
        <w:lastRenderedPageBreak/>
        <w:t xml:space="preserve">The data presented in the above problem statement clearly demonstrates that </w:t>
      </w:r>
      <w:r w:rsidR="00E7088A" w:rsidRPr="00074165">
        <w:rPr>
          <w:rFonts w:cs="Times New Roman"/>
          <w:bCs/>
          <w:szCs w:val="24"/>
        </w:rPr>
        <w:t xml:space="preserve">as many as 90% of older adult </w:t>
      </w:r>
      <w:r w:rsidR="007E1CF5" w:rsidRPr="00074165">
        <w:rPr>
          <w:rFonts w:cs="Times New Roman"/>
          <w:bCs/>
          <w:szCs w:val="24"/>
        </w:rPr>
        <w:t>males’</w:t>
      </w:r>
      <w:r w:rsidR="00E7088A" w:rsidRPr="00074165">
        <w:rPr>
          <w:rFonts w:cs="Times New Roman"/>
          <w:bCs/>
          <w:szCs w:val="24"/>
        </w:rPr>
        <w:t xml:space="preserve"> report never using a condom with a casual sex partner (Karpiak &amp; Lunievicz, 2017). Additionally, the costs for treating STIs annually has increased to more than $16 billion (Pearson et al., 2017). As the number of individuals in the U.S. with STIs increases, so too will costs. This is highly problematic given that many of these infections can be prevented. Further complicating the situation is the emergence of antibiotic resistant strains of STIs. Over time increased antimicrobial resistance to STIs within the community will have a detrimental impact on the health of all individuals (</w:t>
      </w:r>
      <w:r w:rsidR="0042188C" w:rsidRPr="00074165">
        <w:rPr>
          <w:rFonts w:cs="Times New Roman"/>
          <w:bCs/>
          <w:szCs w:val="24"/>
        </w:rPr>
        <w:t>Low &amp; Broutet, 2017</w:t>
      </w:r>
      <w:r w:rsidR="00E7088A" w:rsidRPr="00074165">
        <w:rPr>
          <w:rFonts w:cs="Times New Roman"/>
          <w:bCs/>
          <w:szCs w:val="24"/>
        </w:rPr>
        <w:t xml:space="preserve">). </w:t>
      </w:r>
      <w:r w:rsidR="002F50D7" w:rsidRPr="00074165">
        <w:rPr>
          <w:rFonts w:cs="Times New Roman"/>
          <w:bCs/>
          <w:szCs w:val="24"/>
        </w:rPr>
        <w:t>Increased antimicrobial resistance will mean that simple STI infections such as syphilis and gonorrhea will be difficult if not impossible to treat in the future (</w:t>
      </w:r>
      <w:r w:rsidR="0042188C" w:rsidRPr="00074165">
        <w:rPr>
          <w:rFonts w:cs="Times New Roman"/>
          <w:bCs/>
          <w:szCs w:val="24"/>
        </w:rPr>
        <w:t>Low &amp; Broutet, 2017</w:t>
      </w:r>
      <w:r w:rsidR="002F50D7" w:rsidRPr="00074165">
        <w:rPr>
          <w:rFonts w:cs="Times New Roman"/>
          <w:bCs/>
          <w:szCs w:val="24"/>
        </w:rPr>
        <w:t>). Preventing the spread of STIs within the community is one of the most effective methods for ensuring that this does not occur.</w:t>
      </w:r>
    </w:p>
    <w:p w14:paraId="0553D569" w14:textId="77777777" w:rsidR="000D48E7" w:rsidRPr="00074165" w:rsidRDefault="0042188C" w:rsidP="000D48E7">
      <w:pPr>
        <w:spacing w:after="0" w:line="480" w:lineRule="auto"/>
        <w:ind w:firstLine="720"/>
        <w:rPr>
          <w:rFonts w:cs="Times New Roman"/>
          <w:bCs/>
          <w:szCs w:val="24"/>
        </w:rPr>
      </w:pPr>
      <w:r w:rsidRPr="00074165">
        <w:rPr>
          <w:rFonts w:cs="Times New Roman"/>
          <w:bCs/>
          <w:szCs w:val="24"/>
        </w:rPr>
        <w:t xml:space="preserve">Increased STI rates and antimicrobial resistance as well as increased healthcare costs associated with STIs can be prevented. </w:t>
      </w:r>
      <w:r w:rsidR="000D48E7" w:rsidRPr="00074165">
        <w:rPr>
          <w:rFonts w:cs="Times New Roman"/>
          <w:bCs/>
          <w:szCs w:val="24"/>
        </w:rPr>
        <w:t xml:space="preserve">Current evidence regarding sexual health history taking among healthcare providers indicates that this topic is often not extensively addressed in the context of the formal education of the provider (Zachor et al., 2018). While some attention may be given to the sexual and reproductive health of adults in medical training, there is often a lack of provider preparation and training regarding how to initiate sexual health assessments and to engage the patient in care (Zachor et al., 2018). Because providers lack this fundamental knowledge, provider education was identified as the most effective approach to addressing the current problem. A further review of the literature does indicate that provider education to enhance patient engagement in conversations regarding sexual and reproductive health can be </w:t>
      </w:r>
      <w:r w:rsidR="000D48E7" w:rsidRPr="00074165">
        <w:rPr>
          <w:rFonts w:cs="Times New Roman"/>
          <w:bCs/>
          <w:szCs w:val="24"/>
        </w:rPr>
        <w:lastRenderedPageBreak/>
        <w:t>effective for improving both the knowledge and attitudes of providers regarding this issue (Davis et al., 2016).</w:t>
      </w:r>
    </w:p>
    <w:p w14:paraId="70662AB5" w14:textId="702DCEA2" w:rsidR="0042188C" w:rsidRPr="00074165" w:rsidRDefault="000D48E7" w:rsidP="000D48E7">
      <w:pPr>
        <w:spacing w:after="0" w:line="480" w:lineRule="auto"/>
        <w:ind w:firstLine="720"/>
        <w:rPr>
          <w:rFonts w:cs="Times New Roman"/>
          <w:bCs/>
          <w:szCs w:val="24"/>
        </w:rPr>
      </w:pPr>
      <w:r w:rsidRPr="00074165">
        <w:rPr>
          <w:rFonts w:cs="Times New Roman"/>
          <w:bCs/>
          <w:szCs w:val="24"/>
        </w:rPr>
        <w:t xml:space="preserve">Synthesis of this information clearly demonstrates that the use of provider education should have some positive implications for improving provider knowledge and awareness of sexual health issues in the older adult including the need to screen this population for sexually transmitted infections. Thus, the purpose of this quality improvement project—to increase provider knowledge of STI screening in the older adult—should be achievable through the development and implementation of a provider education program. Through this proposed solution it should be possible to raise provider awareness of the issue while providing evidence-based </w:t>
      </w:r>
      <w:r w:rsidR="007E1CF5" w:rsidRPr="00074165">
        <w:rPr>
          <w:rFonts w:cs="Times New Roman"/>
          <w:bCs/>
          <w:szCs w:val="24"/>
        </w:rPr>
        <w:t>support</w:t>
      </w:r>
      <w:r w:rsidRPr="00074165">
        <w:rPr>
          <w:rFonts w:cs="Times New Roman"/>
          <w:bCs/>
          <w:szCs w:val="24"/>
        </w:rPr>
        <w:t xml:space="preserve"> for engaging in sexual health history taking and STI screening with older adult patients. Over time this should further result in a reduction in STI incidence rates among older adults within the community.</w:t>
      </w:r>
    </w:p>
    <w:p w14:paraId="1F85A579" w14:textId="4A5661D4" w:rsidR="00D93A28" w:rsidRPr="00074165" w:rsidRDefault="00AB3E93" w:rsidP="00AB3E93">
      <w:pPr>
        <w:spacing w:after="0" w:line="480" w:lineRule="auto"/>
        <w:jc w:val="center"/>
        <w:rPr>
          <w:rFonts w:cs="Times New Roman"/>
          <w:b/>
          <w:szCs w:val="24"/>
        </w:rPr>
      </w:pPr>
      <w:r w:rsidRPr="00074165">
        <w:rPr>
          <w:rFonts w:cs="Times New Roman"/>
          <w:b/>
          <w:szCs w:val="24"/>
        </w:rPr>
        <w:t>Summary of the Literature</w:t>
      </w:r>
    </w:p>
    <w:p w14:paraId="66DD9896" w14:textId="1A72CFCB"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Sexuality in the older adult is an </w:t>
      </w:r>
      <w:r w:rsidR="00614DB0" w:rsidRPr="00074165">
        <w:rPr>
          <w:rFonts w:cs="Times New Roman"/>
          <w:bCs/>
          <w:szCs w:val="24"/>
        </w:rPr>
        <w:t>often-overlooked</w:t>
      </w:r>
      <w:r w:rsidRPr="00074165">
        <w:rPr>
          <w:rFonts w:cs="Times New Roman"/>
          <w:bCs/>
          <w:szCs w:val="24"/>
        </w:rPr>
        <w:t xml:space="preserve"> aspect of care (Harding &amp; Manry, 2017). Scholars note that in most healthcare practices, providers often fail to address the topic with older adults </w:t>
      </w:r>
      <w:r w:rsidR="002D03E0" w:rsidRPr="00074165">
        <w:rPr>
          <w:rFonts w:cs="Times New Roman"/>
          <w:bCs/>
          <w:szCs w:val="24"/>
        </w:rPr>
        <w:t>assuming</w:t>
      </w:r>
      <w:r w:rsidRPr="00074165">
        <w:rPr>
          <w:rFonts w:cs="Times New Roman"/>
          <w:bCs/>
          <w:szCs w:val="24"/>
        </w:rPr>
        <w:t xml:space="preserve"> that older adults are either not interested in the topic or not engaged in sexual activity due to their age (Harding &amp; Manry, 2017). This biased view of older adults and sexuality persists despite evidence indicating that as many as two-thirds of older adults over the age of 65 remain sexually active (Syme et al., 2017). The gap between provider willingness and ability to address the sexual needs of older adults represents a threat to public health, due in large part to the fact that older adults currently represent the second largest group contracting sexually transmitted infections (STIs) (Centers for Disease Control and Prevention, [CDC], 2017). In fact, current epidemiological data indicates that in older adults STI infection rates have been </w:t>
      </w:r>
      <w:r w:rsidRPr="00074165">
        <w:rPr>
          <w:rFonts w:cs="Times New Roman"/>
          <w:bCs/>
          <w:szCs w:val="24"/>
        </w:rPr>
        <w:lastRenderedPageBreak/>
        <w:t>increasing since 2012 and, presently, 20% of all STIs diagnosed in the U.S. are in the older adult population (CDC, 2017).</w:t>
      </w:r>
    </w:p>
    <w:p w14:paraId="5E33A714" w14:textId="4A78B61A" w:rsidR="00AB3E93" w:rsidRPr="00074165" w:rsidRDefault="00AB3E93" w:rsidP="00AB3E93">
      <w:pPr>
        <w:spacing w:after="0" w:line="480" w:lineRule="auto"/>
        <w:ind w:firstLine="720"/>
        <w:rPr>
          <w:rFonts w:cs="Times New Roman"/>
          <w:bCs/>
          <w:szCs w:val="24"/>
        </w:rPr>
      </w:pPr>
      <w:r w:rsidRPr="00074165">
        <w:rPr>
          <w:rFonts w:cs="Times New Roman"/>
          <w:bCs/>
          <w:szCs w:val="24"/>
        </w:rPr>
        <w:t>The challenge of educating older adults about sexual health and risks such as STI</w:t>
      </w:r>
      <w:r w:rsidR="002D03E0" w:rsidRPr="00074165">
        <w:rPr>
          <w:rFonts w:cs="Times New Roman"/>
          <w:bCs/>
          <w:szCs w:val="24"/>
        </w:rPr>
        <w:t>s</w:t>
      </w:r>
      <w:r w:rsidRPr="00074165">
        <w:rPr>
          <w:rFonts w:cs="Times New Roman"/>
          <w:bCs/>
          <w:szCs w:val="24"/>
        </w:rPr>
        <w:t xml:space="preserve"> has consistently been associated with provider lack of knowledge and negative attitudes toward the topic (Haesler et al., 2016). In addition to the fact that most formal medical education programs fail to provide adequate information for providers to engage in sexual health history taking among older adults, research also suggests that broader social issues such as ageism also have implications for the behavior of providers </w:t>
      </w:r>
      <w:r w:rsidR="002D03E0" w:rsidRPr="00074165">
        <w:rPr>
          <w:rFonts w:cs="Times New Roman"/>
          <w:bCs/>
          <w:szCs w:val="24"/>
        </w:rPr>
        <w:t>regarding</w:t>
      </w:r>
      <w:r w:rsidRPr="00074165">
        <w:rPr>
          <w:rFonts w:cs="Times New Roman"/>
          <w:bCs/>
          <w:szCs w:val="24"/>
        </w:rPr>
        <w:t xml:space="preserve"> this issue (Haesler et al., 2016). Given these issues, the use of a provider education program to increase knowledge regarding sexual health history taking and the need for screening of STIs in the older adult is proposed. The educational program should not only raise awareness of STIs in the older adult population</w:t>
      </w:r>
      <w:r w:rsidR="00A66F58" w:rsidRPr="00074165">
        <w:rPr>
          <w:rFonts w:cs="Times New Roman"/>
          <w:bCs/>
          <w:szCs w:val="24"/>
        </w:rPr>
        <w:t>,</w:t>
      </w:r>
      <w:r w:rsidRPr="00074165">
        <w:rPr>
          <w:rFonts w:cs="Times New Roman"/>
          <w:bCs/>
          <w:szCs w:val="24"/>
        </w:rPr>
        <w:t xml:space="preserve"> but also this educational program should enhance provider knowledge to effectively and comfortably assess sexuality in the older adult.</w:t>
      </w:r>
    </w:p>
    <w:p w14:paraId="7E9D9C61"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Provider education to increase knowledge and awareness of STIs in older adults appears to represent a viable means to enhance the ability of providers to address sexual health issues in older adults. This intervention should result in the prevention and early detection and treatment of STIs in this population. Over time, knowledge gains made by providers should improve care for the patient while also improving public health by reducing the spread of STIs within the population. To support this proposed intervention and quality improvement project, a review of the literature regarding the use of provider education to increase knowledge of STI and sexual health history taking was warranted. Evidence-based practice requires the use of a solid evidence base upon which to recommend practice change (Dang &amp; Dearholt, 2017). Consequently, this document includes a review of the search strategy utilized to locate articles on the topic as well </w:t>
      </w:r>
      <w:r w:rsidRPr="00074165">
        <w:rPr>
          <w:rFonts w:cs="Times New Roman"/>
          <w:bCs/>
          <w:szCs w:val="24"/>
        </w:rPr>
        <w:lastRenderedPageBreak/>
        <w:t>as a comprehensive overview of the literature regarding what is required to create and implement an educational program for improving provider knowledge of STI infections in older adults.</w:t>
      </w:r>
    </w:p>
    <w:p w14:paraId="7F852793" w14:textId="77777777" w:rsidR="00AB3E93" w:rsidRPr="00074165" w:rsidRDefault="00AB3E93" w:rsidP="00AB3E93">
      <w:pPr>
        <w:spacing w:after="0" w:line="480" w:lineRule="auto"/>
        <w:jc w:val="center"/>
        <w:rPr>
          <w:rFonts w:cs="Times New Roman"/>
          <w:b/>
          <w:szCs w:val="24"/>
        </w:rPr>
      </w:pPr>
      <w:r w:rsidRPr="00074165">
        <w:rPr>
          <w:rFonts w:cs="Times New Roman"/>
          <w:b/>
          <w:szCs w:val="24"/>
        </w:rPr>
        <w:t>Search Strategy</w:t>
      </w:r>
    </w:p>
    <w:p w14:paraId="324C39CD" w14:textId="21896D8B"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To support the proposed quality improvement project a solid evidence base was first needed. Locating articles on the topic of provider education to augment knowledge of STI infections in the older adult first began with the identification of healthcare-related electronic databases for identifying articles that could be utilized. Six specific databases were identified as having relevance to the topic and included the following: Academic Search Complete, CINAHL, Medline, PubMed, Ovid, and ScienceDirect. Searches of each of these databases </w:t>
      </w:r>
      <w:r w:rsidR="007E1CF5" w:rsidRPr="00074165">
        <w:rPr>
          <w:rFonts w:cs="Times New Roman"/>
          <w:bCs/>
          <w:szCs w:val="24"/>
        </w:rPr>
        <w:t>were</w:t>
      </w:r>
      <w:r w:rsidRPr="00074165">
        <w:rPr>
          <w:rFonts w:cs="Times New Roman"/>
          <w:bCs/>
          <w:szCs w:val="24"/>
        </w:rPr>
        <w:t xml:space="preserve"> conducted utilizing search terms relevant to the PICO question. In particular, the population (older adults), intervention (provider education), and outcomes (increased knowledge of STIs) were initially utilized as search terms for the project. Searches using these terms were conducted utilizing the Boolean operator AND to ensure that all terms were combined. Limiters placed on the searches included the following: full-text articles, published between 2012 and 2022 (the last 10 years), written in English, available in full-text, and available in peer-reviewed journals.</w:t>
      </w:r>
    </w:p>
    <w:p w14:paraId="315229A4" w14:textId="49CA3175"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Unfortunately, these search terms produced only a handful of results, prompting the need to expand search terms utilizing synonyms and combining terms with the Boolean operator OR. </w:t>
      </w:r>
      <w:r w:rsidR="00A6145F" w:rsidRPr="00074165">
        <w:rPr>
          <w:rFonts w:cs="Times New Roman"/>
          <w:bCs/>
          <w:szCs w:val="24"/>
        </w:rPr>
        <w:t>A summary of the</w:t>
      </w:r>
      <w:r w:rsidRPr="00074165">
        <w:rPr>
          <w:rFonts w:cs="Times New Roman"/>
          <w:bCs/>
          <w:szCs w:val="24"/>
        </w:rPr>
        <w:t xml:space="preserve"> of the PICO terms</w:t>
      </w:r>
      <w:r w:rsidR="00A6145F" w:rsidRPr="00074165">
        <w:rPr>
          <w:rFonts w:cs="Times New Roman"/>
          <w:bCs/>
          <w:szCs w:val="24"/>
        </w:rPr>
        <w:t xml:space="preserve">, synonyms, and Boolean operators </w:t>
      </w:r>
      <w:r w:rsidRPr="00074165">
        <w:rPr>
          <w:rFonts w:cs="Times New Roman"/>
          <w:bCs/>
          <w:szCs w:val="24"/>
        </w:rPr>
        <w:t xml:space="preserve">used for searching </w:t>
      </w:r>
      <w:r w:rsidR="00A6145F" w:rsidRPr="00074165">
        <w:rPr>
          <w:rFonts w:cs="Times New Roman"/>
          <w:bCs/>
          <w:szCs w:val="24"/>
        </w:rPr>
        <w:t>are summarized here.</w:t>
      </w:r>
    </w:p>
    <w:p w14:paraId="536BE545" w14:textId="5CCC12C7" w:rsidR="00A6145F" w:rsidRPr="00074165" w:rsidRDefault="00A6145F" w:rsidP="00A6145F">
      <w:pPr>
        <w:pStyle w:val="ListParagraph"/>
        <w:numPr>
          <w:ilvl w:val="0"/>
          <w:numId w:val="21"/>
        </w:numPr>
        <w:spacing w:after="0" w:line="480" w:lineRule="auto"/>
        <w:rPr>
          <w:rFonts w:cs="Times New Roman"/>
          <w:bCs/>
          <w:szCs w:val="24"/>
        </w:rPr>
      </w:pPr>
      <w:r w:rsidRPr="00074165">
        <w:rPr>
          <w:rFonts w:cs="Times New Roman"/>
          <w:bCs/>
          <w:szCs w:val="24"/>
        </w:rPr>
        <w:t>“</w:t>
      </w:r>
      <w:r w:rsidR="00614DB0" w:rsidRPr="00074165">
        <w:rPr>
          <w:rFonts w:cs="Times New Roman"/>
          <w:bCs/>
          <w:szCs w:val="24"/>
        </w:rPr>
        <w:t>Older</w:t>
      </w:r>
      <w:r w:rsidRPr="00074165">
        <w:rPr>
          <w:rFonts w:cs="Times New Roman"/>
          <w:bCs/>
          <w:szCs w:val="24"/>
        </w:rPr>
        <w:t xml:space="preserve"> adult” AND “provider education” AND “knowledge” AND “STI”</w:t>
      </w:r>
    </w:p>
    <w:p w14:paraId="2A7F7F8D" w14:textId="43595F9E" w:rsidR="00A6145F" w:rsidRPr="00074165" w:rsidRDefault="00A6145F" w:rsidP="00A6145F">
      <w:pPr>
        <w:pStyle w:val="ListParagraph"/>
        <w:numPr>
          <w:ilvl w:val="0"/>
          <w:numId w:val="21"/>
        </w:numPr>
        <w:spacing w:after="0" w:line="480" w:lineRule="auto"/>
        <w:rPr>
          <w:rFonts w:cs="Times New Roman"/>
          <w:bCs/>
          <w:szCs w:val="24"/>
        </w:rPr>
      </w:pPr>
      <w:r w:rsidRPr="00074165">
        <w:rPr>
          <w:rFonts w:cs="Times New Roman"/>
          <w:bCs/>
          <w:szCs w:val="24"/>
        </w:rPr>
        <w:t>“</w:t>
      </w:r>
      <w:r w:rsidR="00614DB0" w:rsidRPr="00074165">
        <w:rPr>
          <w:rFonts w:cs="Times New Roman"/>
          <w:bCs/>
          <w:szCs w:val="24"/>
        </w:rPr>
        <w:t>Older</w:t>
      </w:r>
      <w:r w:rsidRPr="00074165">
        <w:rPr>
          <w:rFonts w:cs="Times New Roman"/>
          <w:bCs/>
          <w:szCs w:val="24"/>
        </w:rPr>
        <w:t xml:space="preserve"> adult” OR “elderly” AND “provider education” OR “training” AND “sexual health history” OR “knowledge” AND “STI”</w:t>
      </w:r>
    </w:p>
    <w:p w14:paraId="16410F1B" w14:textId="20BC3772" w:rsidR="00AB5430" w:rsidRPr="00074165" w:rsidRDefault="00AB5430" w:rsidP="00AB5430">
      <w:pPr>
        <w:pStyle w:val="ListParagraph"/>
        <w:numPr>
          <w:ilvl w:val="0"/>
          <w:numId w:val="21"/>
        </w:numPr>
        <w:spacing w:after="0" w:line="480" w:lineRule="auto"/>
        <w:rPr>
          <w:rFonts w:cs="Times New Roman"/>
          <w:bCs/>
          <w:szCs w:val="24"/>
        </w:rPr>
      </w:pPr>
      <w:r w:rsidRPr="00074165">
        <w:rPr>
          <w:rFonts w:cs="Times New Roman"/>
          <w:bCs/>
          <w:szCs w:val="24"/>
        </w:rPr>
        <w:lastRenderedPageBreak/>
        <w:t>“</w:t>
      </w:r>
      <w:r w:rsidR="00614DB0" w:rsidRPr="00074165">
        <w:rPr>
          <w:rFonts w:cs="Times New Roman"/>
          <w:bCs/>
          <w:szCs w:val="24"/>
        </w:rPr>
        <w:t>Older</w:t>
      </w:r>
      <w:r w:rsidRPr="00074165">
        <w:rPr>
          <w:rFonts w:cs="Times New Roman"/>
          <w:bCs/>
          <w:szCs w:val="24"/>
        </w:rPr>
        <w:t xml:space="preserve"> adult” OR “elderly” OR “geriatric” AND “provider education” OR “training” OR “module” AND “sexual health history” OR “sexuality” OR “knowledge” AND “STI”</w:t>
      </w:r>
    </w:p>
    <w:p w14:paraId="151F50B0" w14:textId="6CD82E97"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The expanded search criteria did provide a broader foundation for locating articles on the topic. For each search conducted, available abstracts were reviewed to determine if they included a primary educational intervention and if outcomes measured involved increases in provider knowledge regarding sexual health or sexual health history taking. Abstracts meeting this inclusion criteria were placed in a folder for full-text review. After all article searches had been completed, duplicates were removed and a total of 89 articles remained. Full-text articles were reviewed to determine if an educational intervention had been used (primary study) and if the outcomes showed some improvement for provider knowledge regarding sexual health history taking, STI screening, or understanding of sexuality in the older adult. A total of nine articles met this inclusion criteria and are summarized below as well as in an evidence table provided </w:t>
      </w:r>
      <w:r w:rsidR="000758D0" w:rsidRPr="00074165">
        <w:rPr>
          <w:rFonts w:cs="Times New Roman"/>
          <w:bCs/>
          <w:szCs w:val="24"/>
        </w:rPr>
        <w:t>in Appendix A</w:t>
      </w:r>
      <w:r w:rsidRPr="00074165">
        <w:rPr>
          <w:rFonts w:cs="Times New Roman"/>
          <w:bCs/>
          <w:szCs w:val="24"/>
        </w:rPr>
        <w:t>. The Johns Hopkins Nursing Evidence-Based Practice Individual Evidence Summary Tool was used to evaluate each article in terms of both level of evidence and quality (Dang &amp; Dearholt, 2017).</w:t>
      </w:r>
    </w:p>
    <w:p w14:paraId="6D6720DD" w14:textId="77777777" w:rsidR="00AB3E93" w:rsidRPr="00074165" w:rsidRDefault="00AB3E93" w:rsidP="00AB3E93">
      <w:pPr>
        <w:spacing w:after="0" w:line="480" w:lineRule="auto"/>
        <w:jc w:val="center"/>
        <w:rPr>
          <w:rFonts w:cs="Times New Roman"/>
          <w:b/>
          <w:szCs w:val="24"/>
        </w:rPr>
      </w:pPr>
      <w:r w:rsidRPr="00074165">
        <w:rPr>
          <w:rFonts w:cs="Times New Roman"/>
          <w:b/>
          <w:szCs w:val="24"/>
        </w:rPr>
        <w:t>Literature Summary</w:t>
      </w:r>
    </w:p>
    <w:p w14:paraId="2864AF94" w14:textId="2271530D"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As noted above, the search strategy employed yielded nine studies published within the last 10 years that reported results for primary studies examining the use of provider education </w:t>
      </w:r>
      <w:r w:rsidR="00AD1ACE" w:rsidRPr="00074165">
        <w:rPr>
          <w:rFonts w:cs="Times New Roman"/>
          <w:bCs/>
          <w:szCs w:val="24"/>
        </w:rPr>
        <w:t>to</w:t>
      </w:r>
      <w:r w:rsidRPr="00074165">
        <w:rPr>
          <w:rFonts w:cs="Times New Roman"/>
          <w:bCs/>
          <w:szCs w:val="24"/>
        </w:rPr>
        <w:t xml:space="preserve"> improve sexual health history taking and STI screening in older adults. Although each of the nine studies provides support for the proposed quality improvement project, it is imperative to review each of the studies along with their limitations. Through an evaluation of each study and its weaknesses, it should be possible to justify the practice change while also identifying key issues that may impact the success of the quality improvement project. For the purposes of this </w:t>
      </w:r>
      <w:r w:rsidRPr="00074165">
        <w:rPr>
          <w:rFonts w:cs="Times New Roman"/>
          <w:bCs/>
          <w:szCs w:val="24"/>
        </w:rPr>
        <w:lastRenderedPageBreak/>
        <w:t xml:space="preserve">literature review, the decision was made to review sources based on their level of evidence as evaluated through the Johns Hopkins Nursing Evidence-Based Practice Individual Evidence Summary Tool (Dang &amp; Dearholt, 2017). An abbreviated summary of the literature using this tool can be found in </w:t>
      </w:r>
      <w:r w:rsidR="00673A76" w:rsidRPr="00074165">
        <w:rPr>
          <w:rFonts w:cs="Times New Roman"/>
          <w:bCs/>
          <w:szCs w:val="24"/>
        </w:rPr>
        <w:t>Appendix A</w:t>
      </w:r>
      <w:r w:rsidRPr="00074165">
        <w:rPr>
          <w:rFonts w:cs="Times New Roman"/>
          <w:bCs/>
          <w:szCs w:val="24"/>
        </w:rPr>
        <w:t>.</w:t>
      </w:r>
    </w:p>
    <w:p w14:paraId="39B08CD2" w14:textId="77777777" w:rsidR="00AB3E93" w:rsidRPr="00074165" w:rsidRDefault="00AB3E93" w:rsidP="00AB3E93">
      <w:pPr>
        <w:spacing w:after="0" w:line="480" w:lineRule="auto"/>
        <w:rPr>
          <w:rFonts w:cs="Times New Roman"/>
          <w:b/>
          <w:szCs w:val="24"/>
        </w:rPr>
      </w:pPr>
      <w:r w:rsidRPr="00074165">
        <w:rPr>
          <w:rFonts w:cs="Times New Roman"/>
          <w:b/>
          <w:szCs w:val="24"/>
        </w:rPr>
        <w:t>Level I Studies</w:t>
      </w:r>
    </w:p>
    <w:p w14:paraId="451715C7"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Using the Johns Hopkins Nursing Evidence-Based Practice taxonomy for grading both level of evidence and quality, three Level I studies were located for this literature review (Horne et al., 2021; Lu et al., 2021; Verrastro et al., 2022). As per the Johns Hopkins taxonomy, Level I studies include systematic reviews with or without meta-analysis and randomized controlled trials (Dang &amp; Dearholt, 2017). The first Level I study identified was undertaken by Horne et al. (2021) and included a systematic review of the literature without meta-analysis. In this research, the authors report reviewing 11 studies to determine if the use of education improves provider knowledge of sexual health history taking and STI screening in all sexually active adults. The results of the review demonstrated that education unequivocally increased provider knowledge and self-efficacy while also improving attitudes toward the subject. The recommendations made by the authors are to adopt sexual health education to improve provider ability to address the topic with all patients and to increase STI screening rates.</w:t>
      </w:r>
    </w:p>
    <w:p w14:paraId="21AB43B1" w14:textId="00D8F7CC"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Even though </w:t>
      </w:r>
      <w:r w:rsidR="005565D2" w:rsidRPr="00074165">
        <w:rPr>
          <w:rFonts w:cs="Times New Roman"/>
          <w:bCs/>
          <w:szCs w:val="24"/>
        </w:rPr>
        <w:t>the</w:t>
      </w:r>
      <w:r w:rsidRPr="00074165">
        <w:rPr>
          <w:rFonts w:cs="Times New Roman"/>
          <w:bCs/>
          <w:szCs w:val="24"/>
        </w:rPr>
        <w:t xml:space="preserve"> study by Horne et al. (2021) has a high level of evidence, there are some study limitations that should be noted. The quality of this study was rated at a level B </w:t>
      </w:r>
      <w:r w:rsidR="005565D2" w:rsidRPr="00074165">
        <w:rPr>
          <w:rFonts w:cs="Times New Roman"/>
          <w:bCs/>
          <w:szCs w:val="24"/>
        </w:rPr>
        <w:t>since</w:t>
      </w:r>
      <w:r w:rsidRPr="00074165">
        <w:rPr>
          <w:rFonts w:cs="Times New Roman"/>
          <w:bCs/>
          <w:szCs w:val="24"/>
        </w:rPr>
        <w:t xml:space="preserve"> a meta-analysis was not performed. The authors did note the lack of homogeneity in the statistical data as the primary reason for not conducting a meta-analysis. Although the study is one that has a high level of evidence to support the proposed quality improvement project, the evidence does not indicate for certain that increases in knowledge will translate into changes in practice. </w:t>
      </w:r>
      <w:r w:rsidRPr="00074165">
        <w:rPr>
          <w:rFonts w:cs="Times New Roman"/>
          <w:bCs/>
          <w:szCs w:val="24"/>
        </w:rPr>
        <w:lastRenderedPageBreak/>
        <w:t xml:space="preserve">Further, while some of the studies included in the review focused on older adults, others focused on adults from different age ranges. </w:t>
      </w:r>
      <w:r w:rsidR="008E3093" w:rsidRPr="00074165">
        <w:rPr>
          <w:rFonts w:cs="Times New Roman"/>
          <w:bCs/>
          <w:szCs w:val="24"/>
        </w:rPr>
        <w:t>Additionally, the</w:t>
      </w:r>
      <w:r w:rsidRPr="00074165">
        <w:rPr>
          <w:rFonts w:cs="Times New Roman"/>
          <w:bCs/>
          <w:szCs w:val="24"/>
        </w:rPr>
        <w:t xml:space="preserve"> authors do not provide extensive insight regarding the content of the programs used to deliver education to providers. However, the evidence does indicate that myriad types of programs may be effective for increasing provider knowledge of this topic.</w:t>
      </w:r>
    </w:p>
    <w:p w14:paraId="4250B352" w14:textId="3C8055EF" w:rsidR="00AB3E93" w:rsidRPr="00074165" w:rsidRDefault="00AB3E93" w:rsidP="00AB3E93">
      <w:pPr>
        <w:spacing w:after="0" w:line="480" w:lineRule="auto"/>
        <w:ind w:firstLine="720"/>
        <w:rPr>
          <w:rFonts w:cs="Times New Roman"/>
          <w:bCs/>
          <w:szCs w:val="24"/>
        </w:rPr>
      </w:pPr>
      <w:r w:rsidRPr="00074165">
        <w:rPr>
          <w:rFonts w:cs="Times New Roman"/>
          <w:bCs/>
          <w:szCs w:val="24"/>
        </w:rPr>
        <w:t>The second Level I study reviewed for this project was undertaken by Lu et al. (2021) and utilized a randomized controlled trial involving 75 psychiatric mental health nurse practitioners (PMHNPs). The focus of the educational intervention was to improve provider knowledge of sexual health history taking and STI screening in older adults. In total 43 PMHNPs were assigned to the education or experimental group and 32 were assigned to a control group in which no education was provided. The educational program consisted of an eight</w:t>
      </w:r>
      <w:r w:rsidR="00AD1ACE" w:rsidRPr="00074165">
        <w:rPr>
          <w:rFonts w:cs="Times New Roman"/>
          <w:bCs/>
          <w:szCs w:val="24"/>
        </w:rPr>
        <w:t>-</w:t>
      </w:r>
      <w:r w:rsidRPr="00074165">
        <w:rPr>
          <w:rFonts w:cs="Times New Roman"/>
          <w:bCs/>
          <w:szCs w:val="24"/>
        </w:rPr>
        <w:t xml:space="preserve"> hour workshop spread across a four</w:t>
      </w:r>
      <w:r w:rsidR="00AD1ACE" w:rsidRPr="00074165">
        <w:rPr>
          <w:rFonts w:cs="Times New Roman"/>
          <w:bCs/>
          <w:szCs w:val="24"/>
        </w:rPr>
        <w:t>-</w:t>
      </w:r>
      <w:r w:rsidRPr="00074165">
        <w:rPr>
          <w:rFonts w:cs="Times New Roman"/>
          <w:bCs/>
          <w:szCs w:val="24"/>
        </w:rPr>
        <w:t>week timeframe. Three specific themes were used as the basis for the educational program including sexual health care, sexual consultation, and sexual identity. The results of the study did indicate that there were statistically significant improvements in knowledge of sexual health and sexual healthcare for providers as measured by mean differences (MD) in comparing pre- and post-intervention levels of knowledge: MD = −1.53, 95% confidence interval [CI; −1.96, −1.10], p &lt; .001.</w:t>
      </w:r>
    </w:p>
    <w:p w14:paraId="2CFC1859" w14:textId="07F96A3B" w:rsidR="00AB3E93" w:rsidRPr="00074165" w:rsidRDefault="005565D2" w:rsidP="00AB3E93">
      <w:pPr>
        <w:spacing w:after="0" w:line="480" w:lineRule="auto"/>
        <w:ind w:firstLine="720"/>
        <w:rPr>
          <w:rFonts w:cs="Times New Roman"/>
          <w:bCs/>
          <w:szCs w:val="24"/>
        </w:rPr>
      </w:pPr>
      <w:r w:rsidRPr="00074165">
        <w:rPr>
          <w:rFonts w:cs="Times New Roman"/>
          <w:bCs/>
          <w:szCs w:val="24"/>
        </w:rPr>
        <w:t>Even though</w:t>
      </w:r>
      <w:r w:rsidR="00AB3E93" w:rsidRPr="00074165">
        <w:rPr>
          <w:rFonts w:cs="Times New Roman"/>
          <w:bCs/>
          <w:szCs w:val="24"/>
        </w:rPr>
        <w:t xml:space="preserve"> the study completed by Lu et al. (2021) has some notable advantages for supporting the proposed quality improvement project, this study also has some pertinent weaknesses. The study was graded at level B for quality due in part to the fact that only a single site was </w:t>
      </w:r>
      <w:r w:rsidR="001A2AD5" w:rsidRPr="00074165">
        <w:rPr>
          <w:rFonts w:cs="Times New Roman"/>
          <w:bCs/>
          <w:szCs w:val="24"/>
        </w:rPr>
        <w:t>used,</w:t>
      </w:r>
      <w:r w:rsidR="00AB3E93" w:rsidRPr="00074165">
        <w:rPr>
          <w:rFonts w:cs="Times New Roman"/>
          <w:bCs/>
          <w:szCs w:val="24"/>
        </w:rPr>
        <w:t xml:space="preserve"> and blinding was not introduced. Additionally, the small sample used in the study along with the specific area of specialization for nursing practice (PMHNPs) indicates that the results may not be generalizable to other healthcare providers or other clinical settings. Further, </w:t>
      </w:r>
      <w:r w:rsidR="00AB3E93" w:rsidRPr="00074165">
        <w:rPr>
          <w:rFonts w:cs="Times New Roman"/>
          <w:bCs/>
          <w:szCs w:val="24"/>
        </w:rPr>
        <w:lastRenderedPageBreak/>
        <w:t>the results do not provide insight into how increased knowledge among providers may impact practice. Even though these limitations are noted, it is useful to consider that the intervention used did augment provider knowledge which is the focus of this proposed quality improvement project.</w:t>
      </w:r>
    </w:p>
    <w:p w14:paraId="5E3ED3B7"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The final Level I study identified for inclusion in this literature review was undertaken by Verrastro et al. (2022). This study included a systematic review without meta-analysis. More specifically, this study reviewed 11 articles published between 2000 and 2020 selected from eight scholarly databases. The focus of this systematic review was to determine the impact of provider education on knowledge regarding sexual health care including STI screening in adult populations including older adults. The results did indicate that across all studies, knowledge gains for providers were noted with the authors asserting that this type of education is needed for providers due to a lack of formal training delivered to providers working in most healthcare disciplines.</w:t>
      </w:r>
    </w:p>
    <w:p w14:paraId="2B4CF4F7" w14:textId="7054162E" w:rsidR="00AB3E93" w:rsidRPr="00074165" w:rsidRDefault="00AB3E93" w:rsidP="00AB3E93">
      <w:pPr>
        <w:spacing w:after="0" w:line="480" w:lineRule="auto"/>
        <w:ind w:firstLine="720"/>
        <w:rPr>
          <w:rFonts w:cs="Times New Roman"/>
        </w:rPr>
      </w:pPr>
      <w:r w:rsidRPr="00074165">
        <w:rPr>
          <w:rFonts w:cs="Times New Roman"/>
          <w:bCs/>
          <w:szCs w:val="24"/>
        </w:rPr>
        <w:t xml:space="preserve">The study by </w:t>
      </w:r>
      <w:r w:rsidRPr="00074165">
        <w:rPr>
          <w:rFonts w:cs="Times New Roman"/>
        </w:rPr>
        <w:t xml:space="preserve">Verrastro et al. (2022) does support the current quality improvement project but does have some pertinent limitations. In particular, the quality of the article was rated at level B </w:t>
      </w:r>
      <w:r w:rsidR="001A2AD5" w:rsidRPr="00074165">
        <w:rPr>
          <w:rFonts w:cs="Times New Roman"/>
        </w:rPr>
        <w:t>since</w:t>
      </w:r>
      <w:r w:rsidRPr="00074165">
        <w:rPr>
          <w:rFonts w:cs="Times New Roman"/>
        </w:rPr>
        <w:t xml:space="preserve"> a meta-analysis was not included. However, much like Horne et al. (2021), Verrastro and coauthors argued that it was not possible to conduct a meta-analysis due to a lack of homogeneity in the data collected in each study. Further, the data is aggregated to draw conclusions and the articles reviewed included various populations outside of older adults. While provider education for sexual health and STI screening in older adults was included, this was not the sole focus of the systematic review. Limitations are also noted </w:t>
      </w:r>
      <w:r w:rsidR="007870BB" w:rsidRPr="00074165">
        <w:rPr>
          <w:rFonts w:cs="Times New Roman"/>
        </w:rPr>
        <w:t>regarding</w:t>
      </w:r>
      <w:r w:rsidRPr="00074165">
        <w:rPr>
          <w:rFonts w:cs="Times New Roman"/>
        </w:rPr>
        <w:t xml:space="preserve"> a lack of descriptive detail regarding what type of educational intervention works best</w:t>
      </w:r>
      <w:r w:rsidR="00AB5430" w:rsidRPr="00074165">
        <w:rPr>
          <w:rFonts w:cs="Times New Roman"/>
        </w:rPr>
        <w:t>.</w:t>
      </w:r>
      <w:r w:rsidRPr="00074165">
        <w:rPr>
          <w:rFonts w:cs="Times New Roman"/>
        </w:rPr>
        <w:t xml:space="preserve"> </w:t>
      </w:r>
      <w:r w:rsidR="007870BB" w:rsidRPr="00074165">
        <w:rPr>
          <w:rFonts w:cs="Times New Roman"/>
        </w:rPr>
        <w:t xml:space="preserve">Despite </w:t>
      </w:r>
      <w:r w:rsidRPr="00074165">
        <w:rPr>
          <w:rFonts w:cs="Times New Roman"/>
        </w:rPr>
        <w:t xml:space="preserve">these weaknesses, the results do imply that different educational interventions may be effective for increasing provider </w:t>
      </w:r>
      <w:r w:rsidRPr="00074165">
        <w:rPr>
          <w:rFonts w:cs="Times New Roman"/>
        </w:rPr>
        <w:lastRenderedPageBreak/>
        <w:t>knowledge of the topic as well as improving attitudes while also enhancing self-efficacy to engage patients in topics regarding sexuality.</w:t>
      </w:r>
    </w:p>
    <w:p w14:paraId="425E6745" w14:textId="77777777" w:rsidR="00AB3E93" w:rsidRPr="00074165" w:rsidRDefault="00AB3E93" w:rsidP="00AB3E93">
      <w:pPr>
        <w:spacing w:after="0" w:line="480" w:lineRule="auto"/>
        <w:rPr>
          <w:rFonts w:cs="Times New Roman"/>
          <w:b/>
          <w:szCs w:val="24"/>
        </w:rPr>
      </w:pPr>
      <w:r w:rsidRPr="00074165">
        <w:rPr>
          <w:rFonts w:cs="Times New Roman"/>
          <w:b/>
          <w:szCs w:val="24"/>
        </w:rPr>
        <w:t>Level II Studies</w:t>
      </w:r>
    </w:p>
    <w:p w14:paraId="3AAC9D1B" w14:textId="5D4FA64B"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In addition to the three </w:t>
      </w:r>
      <w:r w:rsidR="005565D2" w:rsidRPr="00074165">
        <w:rPr>
          <w:rFonts w:cs="Times New Roman"/>
          <w:bCs/>
          <w:szCs w:val="24"/>
        </w:rPr>
        <w:t xml:space="preserve">Level </w:t>
      </w:r>
      <w:r w:rsidRPr="00074165">
        <w:rPr>
          <w:rFonts w:cs="Times New Roman"/>
          <w:bCs/>
          <w:szCs w:val="24"/>
        </w:rPr>
        <w:t xml:space="preserve">I studies identified for inclusion in this literature review, six Level II studies were also included (Aaberg, 2019; Bauer et al., 2013; Jonsdottir et al. 2016; Sung &amp; Lin, 2013; Sung et al., 2016; White et al., 2020). As per the Johns Hopkins Nursing Evidence-Based Practice taxonomy, Level II studies include quasi-experimental pre-/post-intervention designs, among others (Dang &amp; Dearholt, 2017). The six Level II studies included in this review involved some variation of this methodology. For example, Aaberg (2019) utilized a quasi-experimental pre-/post-intervention study to evaluate the use of an educational program regarding sexual health and STI screening for 50 Bachelor of Nursing (BSN) students in their senior year of nursing school. The focus of the research was to determine if nursing student knowledge, attitude, and self-efficacy increased as a result of the educational program. The educational program focused on providing sexual healthcare for adults of all ages including individualized care for the older adult. The results indicate that nurses experienced improvements in knowledge, attitudes, and self-efficacy. On the knowledge score measure, mean scores increased </w:t>
      </w:r>
      <w:r w:rsidR="00311A56">
        <w:rPr>
          <w:rFonts w:cs="Times New Roman"/>
          <w:bCs/>
          <w:szCs w:val="24"/>
        </w:rPr>
        <w:t>from</w:t>
      </w:r>
      <w:r w:rsidRPr="00074165">
        <w:rPr>
          <w:rFonts w:cs="Times New Roman"/>
          <w:bCs/>
          <w:szCs w:val="24"/>
        </w:rPr>
        <w:t xml:space="preserve"> 60.27 on the pre-test to 97.67 on the post-test, t = 4.46, p = 0.001, indicating that the results were statistically significant.</w:t>
      </w:r>
    </w:p>
    <w:p w14:paraId="0B13E2E3" w14:textId="64E3CA90"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Although positive results supporting the use of provider education to enhance provider knowledge of sexual health history taking and screening were noted in the study by Aaberg (2019), this study is not without its limitations. The study was given a B quality rating </w:t>
      </w:r>
      <w:r w:rsidR="00AD2EC3" w:rsidRPr="00074165">
        <w:rPr>
          <w:rFonts w:cs="Times New Roman"/>
          <w:bCs/>
          <w:szCs w:val="24"/>
        </w:rPr>
        <w:t xml:space="preserve">since </w:t>
      </w:r>
      <w:r w:rsidRPr="00074165">
        <w:rPr>
          <w:rFonts w:cs="Times New Roman"/>
          <w:bCs/>
          <w:szCs w:val="24"/>
        </w:rPr>
        <w:t xml:space="preserve">a control or comparison group was not used. The study also used a small sample size drawn from a single university. This limits the generalizability of the findings to the larger population of </w:t>
      </w:r>
      <w:r w:rsidRPr="00074165">
        <w:rPr>
          <w:rFonts w:cs="Times New Roman"/>
          <w:bCs/>
          <w:szCs w:val="24"/>
        </w:rPr>
        <w:lastRenderedPageBreak/>
        <w:t>healthcare providers. Additionally, the study focused on all adults with only some specialized content provided regarding the needs of older adults. No information was provided regarding the duration or length of the program. These limitations will need to be considered in the context of the proposed quality improvement project.</w:t>
      </w:r>
    </w:p>
    <w:p w14:paraId="14F3DC49" w14:textId="14F36F33" w:rsidR="00AB3E93" w:rsidRPr="00074165" w:rsidRDefault="00AB3E93" w:rsidP="00AB3E93">
      <w:pPr>
        <w:spacing w:after="0" w:line="480" w:lineRule="auto"/>
        <w:ind w:firstLine="720"/>
        <w:rPr>
          <w:rFonts w:cs="Times New Roman"/>
          <w:bCs/>
          <w:szCs w:val="24"/>
        </w:rPr>
      </w:pPr>
      <w:r w:rsidRPr="00074165">
        <w:rPr>
          <w:rFonts w:cs="Times New Roman"/>
          <w:bCs/>
          <w:szCs w:val="24"/>
        </w:rPr>
        <w:t>Bauer et al. (2013) also completed a quasi-experimental pre-/post-intervention study. In this investigation, Bauer et al. sought to assess knowledge gains regarding sexual health history and STI screening for registered nurses and licensed practice nurses working in long-term care facilities. A total of 122 providers from this setting agreed to participate in the project and the educational content was specifically focused on the sexual needs of older adults. Knowledge gains made through the educational intervention were quite significant with the results evaluated in terms of mean difference. Mean differences in knowledge indicated a pre-intervention score of 55 and a post-intervention score of 77 on a knowledge test of providers. The results were statistically significant: P = 0.001. The results prompt the authors to argue that provider education on this topic is not needed and useful.</w:t>
      </w:r>
    </w:p>
    <w:p w14:paraId="6A568A60" w14:textId="4C56066D"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Limitations to the study undertaken by Bauer et al. (2013) must also be considered. A quality rating of B was assigned to this article based on the absence of a control or comparison group. Without these groups, it is not possible to demonstrate causality in the findings to show that the educational intervention was the sole cause of the change in knowledge. The study is also limited </w:t>
      </w:r>
      <w:r w:rsidR="007E1CF5" w:rsidRPr="00074165">
        <w:rPr>
          <w:rFonts w:cs="Times New Roman"/>
          <w:bCs/>
          <w:szCs w:val="24"/>
        </w:rPr>
        <w:t>to using</w:t>
      </w:r>
      <w:r w:rsidRPr="00074165">
        <w:rPr>
          <w:rFonts w:cs="Times New Roman"/>
          <w:bCs/>
          <w:szCs w:val="24"/>
        </w:rPr>
        <w:t xml:space="preserve"> a small sample in a specific care setting: i.e., long-term care. This impacts the ability to generalize the findings to all care providers and healthcare settings. Also, there is no means for assessing whether gains in knowledge will translate into changes in practice for sexual health history taking and STI screening in older adults. Even though these limitations are </w:t>
      </w:r>
      <w:r w:rsidRPr="00074165">
        <w:rPr>
          <w:rFonts w:cs="Times New Roman"/>
          <w:bCs/>
          <w:szCs w:val="24"/>
        </w:rPr>
        <w:lastRenderedPageBreak/>
        <w:t>present, the study provides important insight into the knowledge gains that can be made by providers when education is provided on this topic.</w:t>
      </w:r>
    </w:p>
    <w:p w14:paraId="15076503" w14:textId="6233E523"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Jonsdottir et al. (2016) also completed a quasi-experimental pre-/post-intervention design with a time series element. In this study, 216 oncology nurses working with older adult patients were provided with education to improve sexual health history taking and discussing sexual health topics with patients. The authors educated all nurses who agreed to participate and evaluated outcomes for knowledge following the intervention, at 10 months, and at 16 months. At each point of evaluation, assessment of nurses indicated that knowledge had </w:t>
      </w:r>
      <w:r w:rsidR="007F355B" w:rsidRPr="00074165">
        <w:rPr>
          <w:rFonts w:cs="Times New Roman"/>
          <w:bCs/>
          <w:szCs w:val="24"/>
        </w:rPr>
        <w:t>increased,</w:t>
      </w:r>
      <w:r w:rsidRPr="00074165">
        <w:rPr>
          <w:rFonts w:cs="Times New Roman"/>
          <w:bCs/>
          <w:szCs w:val="24"/>
        </w:rPr>
        <w:t xml:space="preserve"> and that knowledge was retained at 10 and 16 months. Nurses participating in the program experienced a 38% increase in knowledge that was retained at </w:t>
      </w:r>
      <w:r w:rsidR="007F355B" w:rsidRPr="00074165">
        <w:rPr>
          <w:rFonts w:cs="Times New Roman"/>
          <w:bCs/>
          <w:szCs w:val="24"/>
        </w:rPr>
        <w:t>10- and 16-months</w:t>
      </w:r>
      <w:r w:rsidRPr="00074165">
        <w:rPr>
          <w:rFonts w:cs="Times New Roman"/>
          <w:bCs/>
          <w:szCs w:val="24"/>
        </w:rPr>
        <w:t xml:space="preserve"> post-intervention. The authors argue that these changes in knowledge are important and should have implications for practice, making it imperative to utilize education to improve sexual health among older adults seeking oncology services.</w:t>
      </w:r>
    </w:p>
    <w:p w14:paraId="57BAD94A"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The study by Jonsdottir et al. (2016) demonstrates the positive impact of provider education on knowledge to provide sexual health care for older adults. However, the study does have important limitations. The sample size and setting for the intervention (oncology) limits the generalizability of the findings to other healthcare provider groups. Further, the study does not use a control or comparison group which limits the ability to assess a direct cause-effect relationship between education and knowledge outcomes. These concerns resulted in the decision to assign a B quality level to the article. These limitations will need to be considered when developing the current quality improvement project.</w:t>
      </w:r>
    </w:p>
    <w:p w14:paraId="362EC460"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A quasi-experimental pre-/post-intervention with control methodology was utilized by Sung and Lin (2013) to evaluate the impact of an educational program to increase nurse </w:t>
      </w:r>
      <w:r w:rsidRPr="00074165">
        <w:rPr>
          <w:rFonts w:cs="Times New Roman"/>
          <w:bCs/>
          <w:szCs w:val="24"/>
        </w:rPr>
        <w:lastRenderedPageBreak/>
        <w:t>knowledge, attitudes, and self-efficacy to provide sexual health history and sexual healthcare services to adult patients. This included content regarding older adults. The sample included 95 nursing students drawn from a single site that were enrolled in the educational program (experimental group) and 95 nurses who did not receive the educational intervention (control group). The students were selected on a voluntary basis and were not randomly assigned. All results collected for knowledge, attitudes, and self-efficacy demonstrated statistically significant improvements following the educational program. Knowledge gains made were the largest and most significant: β = −0.27, P &lt; 0.001. The program included information regarding sexuality, sexual health history taking, STI screening, and sexual identity.</w:t>
      </w:r>
    </w:p>
    <w:p w14:paraId="3B305E35"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Because the study utilized a control/comparison group it was assigned an A quality level. However, there are other limitations to this study. In particular, the study utilized a small sample drawn from a single site. Therefore, the results may not be applicable to all nurses or healthcare providers receiving this type of education in practice. Additionally, the results do not demonstrate causality as study participants were not randomly assigned to control or experimental groups. This makes it impossible to state with certainty that the educational intervention was solely responsible for knowledge gains. The study also does not indicate if increases in knowledge will lead to changes in practice. However, it is assumed that when providers are more knowledgeable, this knowledge will be utilized in practice to improve patient care.</w:t>
      </w:r>
    </w:p>
    <w:p w14:paraId="499AEE18" w14:textId="64684B16"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Sung et al. (2016) conducted a similar study using a quasi-experimental design with control. In this study, nurses working in various healthcare settings were assigned based on a volunteer basis to either an educational/experiment group (n = 59) or a no education/control group (n = 58). The purpose of the study was to examine the impact of the educational </w:t>
      </w:r>
      <w:r w:rsidRPr="00074165">
        <w:rPr>
          <w:rFonts w:cs="Times New Roman"/>
          <w:bCs/>
          <w:szCs w:val="24"/>
        </w:rPr>
        <w:lastRenderedPageBreak/>
        <w:t xml:space="preserve">intervention on knowledge, attitudes, and self-efficacy in providing sexual healthcare to patients of all age ranges including older adults. Statistically significant gains in knowledge, attitudes, and self-efficacy were noted. For knowledge scores, the results indicated β = 0.16, p &lt; 0.01, suggesting notable gains in this area. The study was assigned an A level quality due to the use of a comparison/control group for evaluating the results. The educational content provided focused on three themes based on patient needs: the bio-psycho-social aspects of sexuality, the role of the nurse in promoting sexual health for the </w:t>
      </w:r>
      <w:r w:rsidR="005565D2" w:rsidRPr="00074165">
        <w:rPr>
          <w:rFonts w:cs="Times New Roman"/>
          <w:bCs/>
          <w:szCs w:val="24"/>
        </w:rPr>
        <w:t>patient and</w:t>
      </w:r>
      <w:r w:rsidRPr="00074165">
        <w:rPr>
          <w:rFonts w:cs="Times New Roman"/>
          <w:bCs/>
          <w:szCs w:val="24"/>
        </w:rPr>
        <w:t xml:space="preserve"> understanding patient sexual identity.</w:t>
      </w:r>
    </w:p>
    <w:p w14:paraId="57ACFC90" w14:textId="77777777" w:rsidR="00AB3E93" w:rsidRPr="00074165" w:rsidRDefault="00AB3E93" w:rsidP="00AB3E93">
      <w:pPr>
        <w:spacing w:after="0" w:line="480" w:lineRule="auto"/>
        <w:ind w:firstLine="720"/>
        <w:rPr>
          <w:rFonts w:cs="Times New Roman"/>
          <w:bCs/>
          <w:szCs w:val="24"/>
        </w:rPr>
      </w:pPr>
      <w:r w:rsidRPr="00074165">
        <w:rPr>
          <w:rFonts w:cs="Times New Roman"/>
          <w:bCs/>
          <w:szCs w:val="24"/>
        </w:rPr>
        <w:t>Although the study demonstrated positive results that support the proposed quality improvement project, there are some important limitations to consider. The article does not specifically focus on the older adult and focused content used for education of this population is not thoroughly reviewed. Limitations also include the use of a small sample of nurses only. The results may, therefore, not be applicable to all nurses or healthcare providers working with older adult patients. The sample lacks randomization making it difficult to state with certainty that causality has been shown in the intervention. Finally, the data does not indicate if gains made in knowledge, attitudes, and self-efficacy will translate into changes in practice to improve sexual health and STI screening in older adults.</w:t>
      </w:r>
    </w:p>
    <w:p w14:paraId="22620518" w14:textId="371772F0"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The final Level II study reviewed for this quality improvement project was written by White et al. (2020) </w:t>
      </w:r>
      <w:r w:rsidR="00A14C32" w:rsidRPr="00074165">
        <w:rPr>
          <w:rFonts w:cs="Times New Roman"/>
          <w:bCs/>
          <w:szCs w:val="24"/>
        </w:rPr>
        <w:t>and</w:t>
      </w:r>
      <w:r w:rsidRPr="00074165">
        <w:rPr>
          <w:rFonts w:cs="Times New Roman"/>
          <w:bCs/>
          <w:szCs w:val="24"/>
        </w:rPr>
        <w:t xml:space="preserve"> included a quasi-experimental, pre-/post-intervention design with control. In this study, 30 advanced practice nurses seeking education at a single university were enrolled in the program. For comparison 64 controls who did not receive </w:t>
      </w:r>
      <w:r w:rsidR="007E1CF5" w:rsidRPr="00074165">
        <w:rPr>
          <w:rFonts w:cs="Times New Roman"/>
          <w:bCs/>
          <w:szCs w:val="24"/>
        </w:rPr>
        <w:t>education</w:t>
      </w:r>
      <w:r w:rsidRPr="00074165">
        <w:rPr>
          <w:rFonts w:cs="Times New Roman"/>
          <w:bCs/>
          <w:szCs w:val="24"/>
        </w:rPr>
        <w:t xml:space="preserve"> were also included. The educational program addressed content regarding sexual health history taking as well as differences in population sexual health needs including a specific exploration of the needs of older adults including STI screening. Knowledge gains were assessed for specific populations </w:t>
      </w:r>
      <w:r w:rsidRPr="00074165">
        <w:rPr>
          <w:rFonts w:cs="Times New Roman"/>
          <w:bCs/>
          <w:szCs w:val="24"/>
        </w:rPr>
        <w:lastRenderedPageBreak/>
        <w:t>including older adults with the results indicating that for those who completed the educational program knowledge increased by a mean difference of 1.39 over controls. The increase was noted to be statistically significant: P &lt; 0.005.</w:t>
      </w:r>
    </w:p>
    <w:p w14:paraId="256A28F6" w14:textId="559F588A" w:rsidR="00AB3E93" w:rsidRPr="00074165" w:rsidRDefault="00AB3E93" w:rsidP="00AB3E93">
      <w:pPr>
        <w:spacing w:after="0" w:line="480" w:lineRule="auto"/>
        <w:ind w:firstLine="720"/>
        <w:rPr>
          <w:rFonts w:cs="Times New Roman"/>
          <w:bCs/>
          <w:szCs w:val="24"/>
        </w:rPr>
      </w:pPr>
      <w:r w:rsidRPr="00074165">
        <w:rPr>
          <w:rFonts w:cs="Times New Roman"/>
          <w:bCs/>
          <w:szCs w:val="24"/>
        </w:rPr>
        <w:t>The results of the study conducted by White et al. (2020) do support the use of an educational program to augment knowledge of sexual health issues in older adults; however</w:t>
      </w:r>
      <w:r w:rsidR="00A14C32" w:rsidRPr="00074165">
        <w:rPr>
          <w:rFonts w:cs="Times New Roman"/>
          <w:bCs/>
          <w:szCs w:val="24"/>
        </w:rPr>
        <w:t>,</w:t>
      </w:r>
      <w:r w:rsidRPr="00074165">
        <w:rPr>
          <w:rFonts w:cs="Times New Roman"/>
          <w:bCs/>
          <w:szCs w:val="24"/>
        </w:rPr>
        <w:t xml:space="preserve"> the study does have some pertinent limitations. The sample </w:t>
      </w:r>
      <w:r w:rsidR="007E1CF5" w:rsidRPr="00074165">
        <w:rPr>
          <w:rFonts w:cs="Times New Roman"/>
          <w:bCs/>
          <w:szCs w:val="24"/>
        </w:rPr>
        <w:t>size</w:t>
      </w:r>
      <w:r w:rsidRPr="00074165">
        <w:rPr>
          <w:rFonts w:cs="Times New Roman"/>
          <w:bCs/>
          <w:szCs w:val="24"/>
        </w:rPr>
        <w:t xml:space="preserve"> used was small and focused on only one specialization: advanced practice nurses. The results may not be generalizable to all care settings and provider groups. Further, the study does not demonstrate causality due to a lack of randomization of the sample. No data regarding the impact of increased knowledge on practice was provided, making it difficult to know for sure if increased knowledge will lead to better sexual health for older adults. Despite these issues, this evidence does provide an important foundation for supporting the proposed quality improvement project.</w:t>
      </w:r>
    </w:p>
    <w:p w14:paraId="74B22487" w14:textId="77777777" w:rsidR="00AB3E93" w:rsidRPr="00074165" w:rsidRDefault="00AB3E93" w:rsidP="00AB3E93">
      <w:pPr>
        <w:spacing w:after="0" w:line="480" w:lineRule="auto"/>
        <w:rPr>
          <w:rFonts w:cs="Times New Roman"/>
          <w:b/>
          <w:szCs w:val="24"/>
        </w:rPr>
      </w:pPr>
      <w:r w:rsidRPr="00074165">
        <w:rPr>
          <w:rFonts w:cs="Times New Roman"/>
          <w:b/>
          <w:szCs w:val="24"/>
        </w:rPr>
        <w:t>Implications for the Project</w:t>
      </w:r>
    </w:p>
    <w:p w14:paraId="713053F7" w14:textId="5181E0CE" w:rsidR="00AB3E93" w:rsidRPr="00074165" w:rsidRDefault="00AB3E93" w:rsidP="00AB3E93">
      <w:pPr>
        <w:spacing w:after="0" w:line="480" w:lineRule="auto"/>
        <w:ind w:firstLine="720"/>
        <w:rPr>
          <w:rFonts w:cs="Times New Roman"/>
          <w:bCs/>
          <w:szCs w:val="24"/>
        </w:rPr>
      </w:pPr>
      <w:r w:rsidRPr="00074165">
        <w:rPr>
          <w:rFonts w:cs="Times New Roman"/>
          <w:bCs/>
          <w:szCs w:val="24"/>
        </w:rPr>
        <w:t xml:space="preserve">The implications of the evidence for the project must be considered. What is noted from this review is that there is ample support for utilizing provider education to augment knowledge regarding sexual health and STI screening in older adults. While the content of educational programs in terms of what works was difficult to clearly discern, the literature does emphasize the point that myriad types of educational programs can be effective for increasing provider knowledge. Further, even though each individual study has some limitations in terms of generalizing the findings, collectively the evidence does indicate that provider education should be useful for most healthcare provider groups, including those working in a primary care setting. Based on this assessment of the evidence and </w:t>
      </w:r>
      <w:r w:rsidR="005D775A" w:rsidRPr="00074165">
        <w:rPr>
          <w:rFonts w:cs="Times New Roman"/>
          <w:bCs/>
          <w:szCs w:val="24"/>
        </w:rPr>
        <w:t>despite</w:t>
      </w:r>
      <w:r w:rsidRPr="00074165">
        <w:rPr>
          <w:rFonts w:cs="Times New Roman"/>
          <w:bCs/>
          <w:szCs w:val="24"/>
        </w:rPr>
        <w:t xml:space="preserve"> the limitations of the literature, there is enough data to support the proposed quality improvement project.</w:t>
      </w:r>
    </w:p>
    <w:p w14:paraId="10496F81" w14:textId="297E88AE" w:rsidR="00D93A28" w:rsidRPr="00074165" w:rsidRDefault="000D67C3" w:rsidP="000D67C3">
      <w:pPr>
        <w:spacing w:after="0" w:line="480" w:lineRule="auto"/>
        <w:jc w:val="center"/>
        <w:rPr>
          <w:rFonts w:cs="Times New Roman"/>
          <w:b/>
          <w:szCs w:val="24"/>
        </w:rPr>
      </w:pPr>
      <w:bookmarkStart w:id="3" w:name="_Hlk120365660"/>
      <w:r w:rsidRPr="00074165">
        <w:rPr>
          <w:rFonts w:cs="Times New Roman"/>
          <w:b/>
          <w:szCs w:val="24"/>
        </w:rPr>
        <w:lastRenderedPageBreak/>
        <w:t>Purpose/PICO Clinical Questions/Objective</w:t>
      </w:r>
      <w:bookmarkEnd w:id="3"/>
    </w:p>
    <w:p w14:paraId="70F905E6" w14:textId="7BF28E3C" w:rsidR="00522F85" w:rsidRPr="00074165" w:rsidRDefault="00522F85" w:rsidP="00522F85">
      <w:pPr>
        <w:spacing w:after="0" w:line="480" w:lineRule="auto"/>
        <w:ind w:firstLine="720"/>
        <w:rPr>
          <w:rFonts w:cs="Times New Roman"/>
          <w:bCs/>
          <w:szCs w:val="24"/>
        </w:rPr>
      </w:pPr>
      <w:r w:rsidRPr="00074165">
        <w:rPr>
          <w:rFonts w:cs="Times New Roman"/>
          <w:bCs/>
          <w:szCs w:val="24"/>
        </w:rPr>
        <w:t>Among primary care providers who routinely deliver care to older adults</w:t>
      </w:r>
      <w:r w:rsidR="00AF2353" w:rsidRPr="00074165">
        <w:rPr>
          <w:rFonts w:cs="Times New Roman"/>
          <w:bCs/>
          <w:szCs w:val="24"/>
        </w:rPr>
        <w:t xml:space="preserve">, </w:t>
      </w:r>
      <w:r w:rsidRPr="00074165">
        <w:rPr>
          <w:rFonts w:cs="Times New Roman"/>
          <w:bCs/>
          <w:szCs w:val="24"/>
        </w:rPr>
        <w:t xml:space="preserve">does </w:t>
      </w:r>
      <w:r w:rsidR="0085771C" w:rsidRPr="00074165">
        <w:rPr>
          <w:rFonts w:cs="Times New Roman"/>
          <w:bCs/>
          <w:szCs w:val="24"/>
        </w:rPr>
        <w:t xml:space="preserve">an informational video assisted </w:t>
      </w:r>
      <w:r w:rsidRPr="00074165">
        <w:rPr>
          <w:rFonts w:cs="Times New Roman"/>
          <w:bCs/>
          <w:szCs w:val="24"/>
        </w:rPr>
        <w:t>program i</w:t>
      </w:r>
      <w:r w:rsidR="0085771C" w:rsidRPr="00074165">
        <w:rPr>
          <w:rFonts w:cs="Times New Roman"/>
          <w:bCs/>
          <w:szCs w:val="24"/>
        </w:rPr>
        <w:t xml:space="preserve">mprove the awareness of the increased risk of STI in older </w:t>
      </w:r>
      <w:r w:rsidR="0062738F" w:rsidRPr="00074165">
        <w:rPr>
          <w:rFonts w:cs="Times New Roman"/>
          <w:bCs/>
          <w:szCs w:val="24"/>
        </w:rPr>
        <w:t xml:space="preserve">adults and improve intention to screen in this population? </w:t>
      </w:r>
    </w:p>
    <w:p w14:paraId="1FDA6FA4" w14:textId="3916536A" w:rsidR="00CF5081" w:rsidRDefault="0036678B" w:rsidP="00CF5081">
      <w:pPr>
        <w:pStyle w:val="ListParagraph"/>
        <w:numPr>
          <w:ilvl w:val="0"/>
          <w:numId w:val="23"/>
        </w:numPr>
        <w:spacing w:after="0" w:line="480" w:lineRule="auto"/>
        <w:rPr>
          <w:rFonts w:cs="Times New Roman"/>
          <w:bCs/>
          <w:szCs w:val="24"/>
        </w:rPr>
      </w:pPr>
      <w:r w:rsidRPr="00CF5081">
        <w:rPr>
          <w:rFonts w:cs="Times New Roman"/>
          <w:bCs/>
          <w:szCs w:val="24"/>
        </w:rPr>
        <w:t>P- Primary care providers</w:t>
      </w:r>
      <w:r w:rsidR="00CF5081">
        <w:rPr>
          <w:rFonts w:cs="Times New Roman"/>
          <w:bCs/>
          <w:szCs w:val="24"/>
        </w:rPr>
        <w:t>.</w:t>
      </w:r>
    </w:p>
    <w:p w14:paraId="64263BA8" w14:textId="4D75CF29" w:rsidR="00CF5081" w:rsidRDefault="0036678B" w:rsidP="00CF5081">
      <w:pPr>
        <w:pStyle w:val="ListParagraph"/>
        <w:numPr>
          <w:ilvl w:val="0"/>
          <w:numId w:val="23"/>
        </w:numPr>
        <w:spacing w:after="0" w:line="480" w:lineRule="auto"/>
        <w:rPr>
          <w:rFonts w:cs="Times New Roman"/>
          <w:bCs/>
          <w:szCs w:val="24"/>
        </w:rPr>
      </w:pPr>
      <w:r w:rsidRPr="00CF5081">
        <w:rPr>
          <w:rFonts w:cs="Times New Roman"/>
          <w:bCs/>
          <w:szCs w:val="24"/>
        </w:rPr>
        <w:t xml:space="preserve">I- </w:t>
      </w:r>
      <w:r w:rsidR="001619AB" w:rsidRPr="00CF5081">
        <w:rPr>
          <w:rFonts w:cs="Times New Roman"/>
          <w:bCs/>
          <w:szCs w:val="24"/>
        </w:rPr>
        <w:t>Education</w:t>
      </w:r>
      <w:r w:rsidR="0059186F" w:rsidRPr="00CF5081">
        <w:rPr>
          <w:rFonts w:cs="Times New Roman"/>
          <w:bCs/>
          <w:szCs w:val="24"/>
        </w:rPr>
        <w:t>al video</w:t>
      </w:r>
      <w:r w:rsidR="00C169B0" w:rsidRPr="00CF5081">
        <w:rPr>
          <w:rFonts w:cs="Times New Roman"/>
          <w:bCs/>
          <w:szCs w:val="24"/>
        </w:rPr>
        <w:t>: Risk of STI in the older patient</w:t>
      </w:r>
      <w:r w:rsidR="00CF5081">
        <w:rPr>
          <w:rFonts w:cs="Times New Roman"/>
          <w:bCs/>
          <w:szCs w:val="24"/>
        </w:rPr>
        <w:t>.</w:t>
      </w:r>
    </w:p>
    <w:p w14:paraId="33226159" w14:textId="3B99370E" w:rsidR="00CF5081" w:rsidRDefault="00C169B0" w:rsidP="00CF5081">
      <w:pPr>
        <w:pStyle w:val="ListParagraph"/>
        <w:numPr>
          <w:ilvl w:val="0"/>
          <w:numId w:val="23"/>
        </w:numPr>
        <w:spacing w:after="0" w:line="480" w:lineRule="auto"/>
        <w:rPr>
          <w:rFonts w:cs="Times New Roman"/>
          <w:bCs/>
          <w:szCs w:val="24"/>
        </w:rPr>
      </w:pPr>
      <w:r w:rsidRPr="00CF5081">
        <w:rPr>
          <w:rFonts w:cs="Times New Roman"/>
          <w:bCs/>
          <w:szCs w:val="24"/>
        </w:rPr>
        <w:t xml:space="preserve">C- </w:t>
      </w:r>
      <w:r w:rsidR="009E372C" w:rsidRPr="00CF5081">
        <w:rPr>
          <w:rFonts w:cs="Times New Roman"/>
          <w:bCs/>
          <w:szCs w:val="24"/>
        </w:rPr>
        <w:t xml:space="preserve">Pre-test outcome on knowledge and current screening practices regarding the high risk of STI </w:t>
      </w:r>
      <w:r w:rsidR="00C36D86" w:rsidRPr="00CF5081">
        <w:rPr>
          <w:rFonts w:cs="Times New Roman"/>
          <w:bCs/>
          <w:szCs w:val="24"/>
        </w:rPr>
        <w:t>in older adults</w:t>
      </w:r>
      <w:r w:rsidR="00CF5081">
        <w:rPr>
          <w:rFonts w:cs="Times New Roman"/>
          <w:bCs/>
          <w:szCs w:val="24"/>
        </w:rPr>
        <w:t>.</w:t>
      </w:r>
    </w:p>
    <w:p w14:paraId="3EB5AF13" w14:textId="48FD50EC" w:rsidR="001554FA" w:rsidRPr="00CF5081" w:rsidRDefault="001554FA" w:rsidP="00CF5081">
      <w:pPr>
        <w:pStyle w:val="ListParagraph"/>
        <w:numPr>
          <w:ilvl w:val="0"/>
          <w:numId w:val="23"/>
        </w:numPr>
        <w:spacing w:after="0" w:line="480" w:lineRule="auto"/>
        <w:rPr>
          <w:rFonts w:cs="Times New Roman"/>
          <w:bCs/>
          <w:szCs w:val="24"/>
        </w:rPr>
      </w:pPr>
      <w:r w:rsidRPr="00CF5081">
        <w:rPr>
          <w:rFonts w:cs="Times New Roman"/>
          <w:bCs/>
          <w:szCs w:val="24"/>
        </w:rPr>
        <w:t xml:space="preserve">O- </w:t>
      </w:r>
      <w:r w:rsidR="00C36D86" w:rsidRPr="00CF5081">
        <w:rPr>
          <w:rFonts w:cs="Times New Roman"/>
          <w:bCs/>
          <w:szCs w:val="24"/>
        </w:rPr>
        <w:t>Post-test outcome on knowledge and intention to screen risk of STI in older adults</w:t>
      </w:r>
      <w:r w:rsidR="00CF5081">
        <w:rPr>
          <w:rFonts w:cs="Times New Roman"/>
          <w:bCs/>
          <w:szCs w:val="24"/>
        </w:rPr>
        <w:t>.</w:t>
      </w:r>
    </w:p>
    <w:p w14:paraId="63A847EC" w14:textId="759EC3BD" w:rsidR="000D67C3" w:rsidRPr="00074165" w:rsidRDefault="000D67C3" w:rsidP="000D67C3">
      <w:pPr>
        <w:spacing w:after="0" w:line="480" w:lineRule="auto"/>
        <w:ind w:firstLine="720"/>
        <w:rPr>
          <w:rFonts w:cs="Times New Roman"/>
          <w:bCs/>
          <w:szCs w:val="24"/>
        </w:rPr>
      </w:pPr>
      <w:r w:rsidRPr="00074165">
        <w:rPr>
          <w:rFonts w:cs="Times New Roman"/>
          <w:bCs/>
          <w:szCs w:val="24"/>
        </w:rPr>
        <w:t xml:space="preserve">The focus of the current quality improvement project </w:t>
      </w:r>
      <w:r w:rsidR="002C6EC4">
        <w:rPr>
          <w:rFonts w:cs="Times New Roman"/>
          <w:bCs/>
          <w:szCs w:val="24"/>
        </w:rPr>
        <w:t>was</w:t>
      </w:r>
      <w:r w:rsidRPr="00074165">
        <w:rPr>
          <w:rFonts w:cs="Times New Roman"/>
          <w:bCs/>
          <w:szCs w:val="24"/>
        </w:rPr>
        <w:t xml:space="preserve"> to increase primary care provider knowledge</w:t>
      </w:r>
      <w:r w:rsidR="007D63E0" w:rsidRPr="00074165">
        <w:rPr>
          <w:rFonts w:cs="Times New Roman"/>
          <w:bCs/>
          <w:szCs w:val="24"/>
        </w:rPr>
        <w:t xml:space="preserve"> and awareness</w:t>
      </w:r>
      <w:r w:rsidRPr="00074165">
        <w:rPr>
          <w:rFonts w:cs="Times New Roman"/>
          <w:bCs/>
          <w:szCs w:val="24"/>
        </w:rPr>
        <w:t xml:space="preserve"> of sexually transmitted infection (STI) risk in older adults including those 65 years of age and older. Current research on the topic indicates that older adults comprise the second largest population of individuals in the United States that contract STIs (</w:t>
      </w:r>
      <w:r w:rsidR="00CF5081">
        <w:rPr>
          <w:rFonts w:cs="Times New Roman"/>
          <w:bCs/>
          <w:szCs w:val="24"/>
        </w:rPr>
        <w:t>CDC</w:t>
      </w:r>
      <w:r w:rsidRPr="00074165">
        <w:rPr>
          <w:rFonts w:cs="Times New Roman"/>
          <w:bCs/>
          <w:szCs w:val="24"/>
        </w:rPr>
        <w:t xml:space="preserve"> 2017). STI rates are noted to be highest among adolescents and young adults between the ages of 15 and 24 years (CDC, 2017). However, the rate of STI infections in older adults has been steadily increasing since 2012 with infection rates in this group increasing by 20% between 2015 and 2016 (CDC, 2017). These rates are alarming </w:t>
      </w:r>
      <w:r w:rsidR="002E1244" w:rsidRPr="00074165">
        <w:rPr>
          <w:rFonts w:cs="Times New Roman"/>
          <w:bCs/>
          <w:szCs w:val="24"/>
        </w:rPr>
        <w:t xml:space="preserve">since </w:t>
      </w:r>
      <w:r w:rsidRPr="00074165">
        <w:rPr>
          <w:rFonts w:cs="Times New Roman"/>
          <w:bCs/>
          <w:szCs w:val="24"/>
        </w:rPr>
        <w:t>the number of older adults in the United States continue</w:t>
      </w:r>
      <w:r w:rsidR="002E1244" w:rsidRPr="00074165">
        <w:rPr>
          <w:rFonts w:cs="Times New Roman"/>
          <w:bCs/>
          <w:szCs w:val="24"/>
        </w:rPr>
        <w:t>s</w:t>
      </w:r>
      <w:r w:rsidRPr="00074165">
        <w:rPr>
          <w:rFonts w:cs="Times New Roman"/>
          <w:bCs/>
          <w:szCs w:val="24"/>
        </w:rPr>
        <w:t xml:space="preserve"> to increase each year (Estill et al., 2018). As the older adult population increases and rates of STIs expand, the problem has the potential to become a significant challenge for public health.</w:t>
      </w:r>
    </w:p>
    <w:p w14:paraId="49DC0439" w14:textId="1BDB34AF" w:rsidR="000D67C3" w:rsidRPr="00074165" w:rsidRDefault="000D67C3" w:rsidP="000D67C3">
      <w:pPr>
        <w:spacing w:after="0" w:line="480" w:lineRule="auto"/>
        <w:ind w:firstLine="720"/>
        <w:rPr>
          <w:rFonts w:cs="Times New Roman"/>
          <w:bCs/>
          <w:szCs w:val="24"/>
        </w:rPr>
      </w:pPr>
      <w:r w:rsidRPr="00074165">
        <w:rPr>
          <w:rFonts w:cs="Times New Roman"/>
          <w:bCs/>
          <w:szCs w:val="24"/>
        </w:rPr>
        <w:t xml:space="preserve">Adding to the complexity of the issue are provider attitudes and knowledge regarding sexually transmitted infections in older adults. Current evidence suggests that providers often believe that older adults are not interested in having sex or are not sexually active (Heidari, </w:t>
      </w:r>
      <w:r w:rsidRPr="00074165">
        <w:rPr>
          <w:rFonts w:cs="Times New Roman"/>
          <w:bCs/>
          <w:szCs w:val="24"/>
        </w:rPr>
        <w:lastRenderedPageBreak/>
        <w:t xml:space="preserve">2016). These beliefs persist </w:t>
      </w:r>
      <w:r w:rsidR="0089444C" w:rsidRPr="00074165">
        <w:rPr>
          <w:rFonts w:cs="Times New Roman"/>
          <w:bCs/>
          <w:szCs w:val="24"/>
        </w:rPr>
        <w:t xml:space="preserve">even though </w:t>
      </w:r>
      <w:r w:rsidRPr="00074165">
        <w:rPr>
          <w:rFonts w:cs="Times New Roman"/>
          <w:bCs/>
          <w:szCs w:val="24"/>
        </w:rPr>
        <w:t xml:space="preserve">research indicates that two-thirds of older adults remain sexually active across their lifespan (Syme et al., 2017). Provider attitudes toward sexuality in older adults are influenced by broader cultural stereotypes regarding aging (Flynn et al., 2016). However, evidence also indicates that most providers lack knowledge regarding sexual health in older adults and further how to complete sexual health histories for this population (Zachor et al., 2018). Provider education to </w:t>
      </w:r>
      <w:r w:rsidR="00CA1CB3" w:rsidRPr="00074165">
        <w:rPr>
          <w:rFonts w:cs="Times New Roman"/>
          <w:bCs/>
          <w:szCs w:val="24"/>
        </w:rPr>
        <w:t>improve</w:t>
      </w:r>
      <w:r w:rsidRPr="00074165">
        <w:rPr>
          <w:rFonts w:cs="Times New Roman"/>
          <w:bCs/>
          <w:szCs w:val="24"/>
        </w:rPr>
        <w:t xml:space="preserve"> these knowledge deficits has been shown to be effective for increasing knowledge and awareness of these concerns (Davis et al., 2016). Consequently, the primary DNP project goal </w:t>
      </w:r>
      <w:r w:rsidR="002C6EC4">
        <w:rPr>
          <w:rFonts w:cs="Times New Roman"/>
          <w:bCs/>
          <w:szCs w:val="24"/>
        </w:rPr>
        <w:t>was</w:t>
      </w:r>
      <w:r w:rsidRPr="00074165">
        <w:rPr>
          <w:rFonts w:cs="Times New Roman"/>
          <w:bCs/>
          <w:szCs w:val="24"/>
        </w:rPr>
        <w:t xml:space="preserve"> to increase provider education of the need for STI screening among older adults seen in primary care practice.</w:t>
      </w:r>
      <w:r w:rsidR="00AB5430" w:rsidRPr="00074165">
        <w:rPr>
          <w:rFonts w:cs="Times New Roman"/>
          <w:bCs/>
          <w:szCs w:val="24"/>
        </w:rPr>
        <w:t xml:space="preserve"> </w:t>
      </w:r>
    </w:p>
    <w:p w14:paraId="189AD03B" w14:textId="77777777" w:rsidR="000D67C3" w:rsidRPr="00074165" w:rsidRDefault="000D67C3" w:rsidP="000D67C3">
      <w:pPr>
        <w:spacing w:after="0" w:line="480" w:lineRule="auto"/>
        <w:jc w:val="center"/>
        <w:rPr>
          <w:rFonts w:cs="Times New Roman"/>
          <w:b/>
          <w:szCs w:val="24"/>
        </w:rPr>
      </w:pPr>
      <w:bookmarkStart w:id="4" w:name="_Hlk120365671"/>
      <w:r w:rsidRPr="00074165">
        <w:rPr>
          <w:rFonts w:cs="Times New Roman"/>
          <w:b/>
          <w:szCs w:val="24"/>
        </w:rPr>
        <w:t>Project Goals and Outcomes</w:t>
      </w:r>
      <w:bookmarkEnd w:id="4"/>
    </w:p>
    <w:p w14:paraId="063332E4" w14:textId="08D2FF63" w:rsidR="000D67C3" w:rsidRPr="00074165" w:rsidRDefault="000D67C3" w:rsidP="000D67C3">
      <w:pPr>
        <w:spacing w:after="0" w:line="480" w:lineRule="auto"/>
        <w:ind w:firstLine="720"/>
        <w:rPr>
          <w:rFonts w:cs="Times New Roman"/>
          <w:bCs/>
          <w:szCs w:val="24"/>
        </w:rPr>
      </w:pPr>
      <w:r w:rsidRPr="00074165">
        <w:rPr>
          <w:rFonts w:cs="Times New Roman"/>
          <w:bCs/>
          <w:szCs w:val="24"/>
        </w:rPr>
        <w:t xml:space="preserve">With the primary goal for the DNP project outlined it </w:t>
      </w:r>
      <w:r w:rsidR="002C6EC4">
        <w:rPr>
          <w:rFonts w:cs="Times New Roman"/>
          <w:bCs/>
          <w:szCs w:val="24"/>
        </w:rPr>
        <w:t>was</w:t>
      </w:r>
      <w:r w:rsidRPr="00074165">
        <w:rPr>
          <w:rFonts w:cs="Times New Roman"/>
          <w:bCs/>
          <w:szCs w:val="24"/>
        </w:rPr>
        <w:t xml:space="preserve"> possible to consider specific project goals via SMART (specific, measurable, attainable/achievable, relevant, and time bound) parameters that will be used for the project along with the desired outcomes for the project. SMART goals identified for the project </w:t>
      </w:r>
      <w:r w:rsidR="002C6EC4">
        <w:rPr>
          <w:rFonts w:cs="Times New Roman"/>
          <w:bCs/>
          <w:szCs w:val="24"/>
        </w:rPr>
        <w:t>included</w:t>
      </w:r>
      <w:r w:rsidRPr="00074165">
        <w:rPr>
          <w:rFonts w:cs="Times New Roman"/>
          <w:bCs/>
          <w:szCs w:val="24"/>
        </w:rPr>
        <w:t xml:space="preserve"> the following:</w:t>
      </w:r>
    </w:p>
    <w:p w14:paraId="753404EE" w14:textId="265B3903" w:rsidR="000D67C3" w:rsidRPr="00074165" w:rsidRDefault="000D67C3" w:rsidP="000D67C3">
      <w:pPr>
        <w:pStyle w:val="ListParagraph"/>
        <w:numPr>
          <w:ilvl w:val="0"/>
          <w:numId w:val="4"/>
        </w:numPr>
        <w:spacing w:after="0" w:line="480" w:lineRule="auto"/>
        <w:rPr>
          <w:rFonts w:cs="Times New Roman"/>
          <w:bCs/>
          <w:szCs w:val="24"/>
        </w:rPr>
      </w:pPr>
      <w:r w:rsidRPr="00074165">
        <w:rPr>
          <w:rFonts w:cs="Times New Roman"/>
          <w:bCs/>
          <w:szCs w:val="24"/>
        </w:rPr>
        <w:t xml:space="preserve">By the beginning of </w:t>
      </w:r>
      <w:r w:rsidR="002C6EC4">
        <w:rPr>
          <w:rFonts w:cs="Times New Roman"/>
          <w:bCs/>
          <w:szCs w:val="24"/>
        </w:rPr>
        <w:t>June</w:t>
      </w:r>
      <w:r w:rsidRPr="00074165">
        <w:rPr>
          <w:rFonts w:cs="Times New Roman"/>
          <w:bCs/>
          <w:szCs w:val="24"/>
        </w:rPr>
        <w:t xml:space="preserve"> 2022, acquire Institutional Review Board (IRB) approval for the project.</w:t>
      </w:r>
    </w:p>
    <w:p w14:paraId="67AE0FD3" w14:textId="65959A8B" w:rsidR="000D67C3" w:rsidRPr="00074165" w:rsidRDefault="000D67C3" w:rsidP="000D67C3">
      <w:pPr>
        <w:pStyle w:val="ListParagraph"/>
        <w:numPr>
          <w:ilvl w:val="0"/>
          <w:numId w:val="4"/>
        </w:numPr>
        <w:spacing w:after="0" w:line="480" w:lineRule="auto"/>
        <w:rPr>
          <w:rFonts w:cs="Times New Roman"/>
          <w:bCs/>
          <w:szCs w:val="24"/>
        </w:rPr>
      </w:pPr>
      <w:r w:rsidRPr="00074165">
        <w:rPr>
          <w:rFonts w:cs="Times New Roman"/>
          <w:bCs/>
          <w:szCs w:val="24"/>
        </w:rPr>
        <w:t>By mid-</w:t>
      </w:r>
      <w:r w:rsidR="002C6EC4">
        <w:rPr>
          <w:rFonts w:cs="Times New Roman"/>
          <w:bCs/>
          <w:szCs w:val="24"/>
        </w:rPr>
        <w:t>July</w:t>
      </w:r>
      <w:r w:rsidRPr="00074165">
        <w:rPr>
          <w:rFonts w:cs="Times New Roman"/>
          <w:bCs/>
          <w:szCs w:val="24"/>
        </w:rPr>
        <w:t xml:space="preserve"> 2022, develop an approved program to educate providers at a primary care site about STI and sexual health in older adults.</w:t>
      </w:r>
    </w:p>
    <w:p w14:paraId="1BA20B1D" w14:textId="529E0452" w:rsidR="000D67C3" w:rsidRPr="00074165" w:rsidRDefault="000D67C3" w:rsidP="000D67C3">
      <w:pPr>
        <w:pStyle w:val="ListParagraph"/>
        <w:numPr>
          <w:ilvl w:val="0"/>
          <w:numId w:val="4"/>
        </w:numPr>
        <w:spacing w:after="0" w:line="480" w:lineRule="auto"/>
        <w:rPr>
          <w:rFonts w:cs="Times New Roman"/>
          <w:bCs/>
          <w:szCs w:val="24"/>
        </w:rPr>
      </w:pPr>
      <w:r w:rsidRPr="00074165">
        <w:rPr>
          <w:rFonts w:cs="Times New Roman"/>
          <w:bCs/>
          <w:szCs w:val="24"/>
        </w:rPr>
        <w:t xml:space="preserve">By the end of </w:t>
      </w:r>
      <w:r w:rsidR="002C6EC4">
        <w:rPr>
          <w:rFonts w:cs="Times New Roman"/>
          <w:bCs/>
          <w:szCs w:val="24"/>
        </w:rPr>
        <w:t>July</w:t>
      </w:r>
      <w:r w:rsidRPr="00074165">
        <w:rPr>
          <w:rFonts w:cs="Times New Roman"/>
          <w:bCs/>
          <w:szCs w:val="24"/>
        </w:rPr>
        <w:t xml:space="preserve"> 2022 complete recruitment of primary care providers including obtaining informed consent, demographic data, and pre-project (baseline) knowledge assessments of primary care providers.</w:t>
      </w:r>
    </w:p>
    <w:p w14:paraId="32911BDF" w14:textId="195F2B8D" w:rsidR="000D67C3" w:rsidRPr="00074165" w:rsidRDefault="000D67C3" w:rsidP="000D67C3">
      <w:pPr>
        <w:pStyle w:val="ListParagraph"/>
        <w:numPr>
          <w:ilvl w:val="0"/>
          <w:numId w:val="4"/>
        </w:numPr>
        <w:spacing w:after="0" w:line="480" w:lineRule="auto"/>
        <w:rPr>
          <w:rFonts w:cs="Times New Roman"/>
          <w:bCs/>
          <w:szCs w:val="24"/>
        </w:rPr>
      </w:pPr>
      <w:r w:rsidRPr="00074165">
        <w:rPr>
          <w:rFonts w:cs="Times New Roman"/>
          <w:bCs/>
          <w:szCs w:val="24"/>
        </w:rPr>
        <w:t>By mid-</w:t>
      </w:r>
      <w:r w:rsidR="002C6EC4">
        <w:rPr>
          <w:rFonts w:cs="Times New Roman"/>
          <w:bCs/>
          <w:szCs w:val="24"/>
        </w:rPr>
        <w:t>September</w:t>
      </w:r>
      <w:r w:rsidRPr="00074165">
        <w:rPr>
          <w:rFonts w:cs="Times New Roman"/>
          <w:bCs/>
          <w:szCs w:val="24"/>
        </w:rPr>
        <w:t xml:space="preserve"> 2022, complete primary care provider training using the approved training program.</w:t>
      </w:r>
    </w:p>
    <w:p w14:paraId="03E706AB" w14:textId="6CA72020" w:rsidR="000D67C3" w:rsidRPr="00074165" w:rsidRDefault="000D67C3" w:rsidP="000D67C3">
      <w:pPr>
        <w:pStyle w:val="ListParagraph"/>
        <w:numPr>
          <w:ilvl w:val="0"/>
          <w:numId w:val="4"/>
        </w:numPr>
        <w:spacing w:after="0" w:line="480" w:lineRule="auto"/>
        <w:rPr>
          <w:rFonts w:cs="Times New Roman"/>
          <w:bCs/>
          <w:szCs w:val="24"/>
        </w:rPr>
      </w:pPr>
      <w:r w:rsidRPr="00074165">
        <w:rPr>
          <w:rFonts w:cs="Times New Roman"/>
          <w:bCs/>
          <w:szCs w:val="24"/>
        </w:rPr>
        <w:lastRenderedPageBreak/>
        <w:t xml:space="preserve">By the end of </w:t>
      </w:r>
      <w:r w:rsidR="002C6EC4">
        <w:rPr>
          <w:rFonts w:cs="Times New Roman"/>
          <w:bCs/>
          <w:szCs w:val="24"/>
        </w:rPr>
        <w:t>September</w:t>
      </w:r>
      <w:r w:rsidRPr="00074165">
        <w:rPr>
          <w:rFonts w:cs="Times New Roman"/>
          <w:bCs/>
          <w:szCs w:val="24"/>
        </w:rPr>
        <w:t xml:space="preserve"> 2022, complete post-project evaluations of provider knowledge and analyze data to determine project outcomes.</w:t>
      </w:r>
    </w:p>
    <w:p w14:paraId="50F77AA1" w14:textId="7658E6CF" w:rsidR="000D67C3" w:rsidRPr="00074165" w:rsidRDefault="000D67C3" w:rsidP="000D67C3">
      <w:pPr>
        <w:pStyle w:val="ListParagraph"/>
        <w:numPr>
          <w:ilvl w:val="0"/>
          <w:numId w:val="4"/>
        </w:numPr>
        <w:spacing w:after="0" w:line="480" w:lineRule="auto"/>
        <w:rPr>
          <w:rFonts w:cs="Times New Roman"/>
          <w:bCs/>
          <w:szCs w:val="24"/>
        </w:rPr>
      </w:pPr>
      <w:r w:rsidRPr="00074165">
        <w:rPr>
          <w:rFonts w:cs="Times New Roman"/>
          <w:bCs/>
          <w:szCs w:val="24"/>
        </w:rPr>
        <w:t xml:space="preserve">By the end of </w:t>
      </w:r>
      <w:r w:rsidR="007E1CF5">
        <w:rPr>
          <w:rFonts w:cs="Times New Roman"/>
          <w:bCs/>
          <w:szCs w:val="24"/>
        </w:rPr>
        <w:t>November</w:t>
      </w:r>
      <w:r w:rsidR="002C6EC4">
        <w:rPr>
          <w:rFonts w:cs="Times New Roman"/>
          <w:bCs/>
          <w:szCs w:val="24"/>
        </w:rPr>
        <w:t xml:space="preserve"> 2022</w:t>
      </w:r>
      <w:r w:rsidRPr="00074165">
        <w:rPr>
          <w:rFonts w:cs="Times New Roman"/>
          <w:bCs/>
          <w:szCs w:val="24"/>
        </w:rPr>
        <w:t>, complete final written report for dissemination of data and present data for program completion.</w:t>
      </w:r>
    </w:p>
    <w:p w14:paraId="41284848" w14:textId="6C1CDC87" w:rsidR="000D67C3" w:rsidRPr="00074165" w:rsidRDefault="000D67C3" w:rsidP="000D67C3">
      <w:pPr>
        <w:spacing w:after="0" w:line="480" w:lineRule="auto"/>
        <w:ind w:firstLine="720"/>
        <w:rPr>
          <w:rFonts w:cs="Times New Roman"/>
          <w:bCs/>
          <w:szCs w:val="24"/>
        </w:rPr>
      </w:pPr>
      <w:r w:rsidRPr="00074165">
        <w:rPr>
          <w:rFonts w:cs="Times New Roman"/>
          <w:bCs/>
          <w:szCs w:val="24"/>
        </w:rPr>
        <w:t xml:space="preserve">The </w:t>
      </w:r>
      <w:r w:rsidR="0089444C" w:rsidRPr="00074165">
        <w:rPr>
          <w:rFonts w:cs="Times New Roman"/>
          <w:bCs/>
          <w:szCs w:val="24"/>
        </w:rPr>
        <w:t>principal</w:t>
      </w:r>
      <w:r w:rsidRPr="00074165">
        <w:rPr>
          <w:rFonts w:cs="Times New Roman"/>
          <w:bCs/>
          <w:szCs w:val="24"/>
        </w:rPr>
        <w:t xml:space="preserve"> outcome sought for this project </w:t>
      </w:r>
      <w:r w:rsidR="002C6EC4">
        <w:rPr>
          <w:rFonts w:cs="Times New Roman"/>
          <w:bCs/>
          <w:szCs w:val="24"/>
        </w:rPr>
        <w:t>was</w:t>
      </w:r>
      <w:r w:rsidRPr="00074165">
        <w:rPr>
          <w:rFonts w:cs="Times New Roman"/>
          <w:bCs/>
          <w:szCs w:val="24"/>
        </w:rPr>
        <w:t xml:space="preserve"> an increase in provider knowledge following the implementation of the educational intervention. The project </w:t>
      </w:r>
      <w:r w:rsidR="002C6EC4">
        <w:rPr>
          <w:rFonts w:cs="Times New Roman"/>
          <w:bCs/>
          <w:szCs w:val="24"/>
        </w:rPr>
        <w:t>was</w:t>
      </w:r>
      <w:r w:rsidRPr="00074165">
        <w:rPr>
          <w:rFonts w:cs="Times New Roman"/>
          <w:bCs/>
          <w:szCs w:val="24"/>
        </w:rPr>
        <w:t xml:space="preserve"> structured to enable the principal investigator to collect baseline and post-program knowledge to determine if knowledge increases, decreases, or remains the same as a result of the intervention. Based on current evidence supporting the use of education to increase provider knowledge of sexual health and STI screening in older adults it </w:t>
      </w:r>
      <w:r w:rsidR="002C6EC4">
        <w:rPr>
          <w:rFonts w:cs="Times New Roman"/>
          <w:bCs/>
          <w:szCs w:val="24"/>
        </w:rPr>
        <w:t>was</w:t>
      </w:r>
      <w:r w:rsidRPr="00074165">
        <w:rPr>
          <w:rFonts w:cs="Times New Roman"/>
          <w:bCs/>
          <w:szCs w:val="24"/>
        </w:rPr>
        <w:t xml:space="preserve"> anticipated that provider knowledge will increase (Aaberg, 2019; Lu et al., 2021). Data analysis including the use of inferential statistics </w:t>
      </w:r>
      <w:r w:rsidR="00A5359E">
        <w:rPr>
          <w:rFonts w:cs="Times New Roman"/>
          <w:bCs/>
          <w:szCs w:val="24"/>
        </w:rPr>
        <w:t>was</w:t>
      </w:r>
      <w:r w:rsidR="002C6EC4">
        <w:rPr>
          <w:rFonts w:cs="Times New Roman"/>
          <w:bCs/>
          <w:szCs w:val="24"/>
        </w:rPr>
        <w:t xml:space="preserve"> used</w:t>
      </w:r>
      <w:r w:rsidRPr="00074165">
        <w:rPr>
          <w:rFonts w:cs="Times New Roman"/>
          <w:bCs/>
          <w:szCs w:val="24"/>
        </w:rPr>
        <w:t xml:space="preserve"> </w:t>
      </w:r>
      <w:r w:rsidR="007E1CF5" w:rsidRPr="00074165">
        <w:rPr>
          <w:rFonts w:cs="Times New Roman"/>
          <w:bCs/>
          <w:szCs w:val="24"/>
        </w:rPr>
        <w:t>to provide</w:t>
      </w:r>
      <w:r w:rsidRPr="00074165">
        <w:rPr>
          <w:rFonts w:cs="Times New Roman"/>
          <w:bCs/>
          <w:szCs w:val="24"/>
        </w:rPr>
        <w:t xml:space="preserve"> insight into whether the change in knowledge is statistically significant. While evaluating the impact of change in provider knowledge on practice </w:t>
      </w:r>
      <w:r w:rsidR="002C6EC4">
        <w:rPr>
          <w:rFonts w:cs="Times New Roman"/>
          <w:bCs/>
          <w:szCs w:val="24"/>
        </w:rPr>
        <w:t>was</w:t>
      </w:r>
      <w:r w:rsidRPr="00074165">
        <w:rPr>
          <w:rFonts w:cs="Times New Roman"/>
          <w:bCs/>
          <w:szCs w:val="24"/>
        </w:rPr>
        <w:t xml:space="preserve"> outside of the scope of this project, it is anticipated that the educational program will change provider behavior when it comes to taking sexual health histories in older adults along with increasing STI screening rates for this population (Verrastro et al., 2022).</w:t>
      </w:r>
    </w:p>
    <w:p w14:paraId="0C22A0C4" w14:textId="2A594587" w:rsidR="00D93A28" w:rsidRPr="00074165" w:rsidRDefault="000D67C3" w:rsidP="000D67C3">
      <w:pPr>
        <w:spacing w:after="0" w:line="480" w:lineRule="auto"/>
        <w:jc w:val="center"/>
        <w:rPr>
          <w:rFonts w:cs="Times New Roman"/>
          <w:b/>
          <w:szCs w:val="24"/>
        </w:rPr>
      </w:pPr>
      <w:bookmarkStart w:id="5" w:name="_Hlk120365684"/>
      <w:r w:rsidRPr="00074165">
        <w:rPr>
          <w:rFonts w:cs="Times New Roman"/>
          <w:b/>
          <w:szCs w:val="24"/>
        </w:rPr>
        <w:t>Definition of Terms</w:t>
      </w:r>
    </w:p>
    <w:bookmarkEnd w:id="5"/>
    <w:p w14:paraId="3DCD176C" w14:textId="4914D406" w:rsidR="00AD4906" w:rsidRPr="00074165" w:rsidRDefault="00AD4906" w:rsidP="00AD4906">
      <w:pPr>
        <w:spacing w:after="0" w:line="480" w:lineRule="auto"/>
        <w:ind w:firstLine="720"/>
        <w:rPr>
          <w:rFonts w:cs="Times New Roman"/>
          <w:bCs/>
          <w:szCs w:val="24"/>
        </w:rPr>
      </w:pPr>
      <w:r w:rsidRPr="00074165">
        <w:rPr>
          <w:rFonts w:cs="Times New Roman"/>
          <w:bCs/>
          <w:szCs w:val="24"/>
        </w:rPr>
        <w:t>Specific terms used for this project are reviewed here:</w:t>
      </w:r>
    </w:p>
    <w:p w14:paraId="3F16B58F" w14:textId="6545BBD4" w:rsidR="00AD4906" w:rsidRPr="00074165" w:rsidRDefault="00AD4906" w:rsidP="00AD4906">
      <w:pPr>
        <w:pStyle w:val="ListParagraph"/>
        <w:numPr>
          <w:ilvl w:val="0"/>
          <w:numId w:val="5"/>
        </w:numPr>
        <w:spacing w:after="0" w:line="480" w:lineRule="auto"/>
        <w:rPr>
          <w:rFonts w:cs="Times New Roman"/>
          <w:bCs/>
          <w:szCs w:val="24"/>
        </w:rPr>
      </w:pPr>
      <w:r w:rsidRPr="00074165">
        <w:rPr>
          <w:rFonts w:cs="Times New Roman"/>
          <w:bCs/>
          <w:szCs w:val="24"/>
          <w:u w:val="single"/>
        </w:rPr>
        <w:t>Sexually transmitted infection</w:t>
      </w:r>
      <w:r w:rsidRPr="00074165">
        <w:rPr>
          <w:rFonts w:cs="Times New Roman"/>
          <w:bCs/>
          <w:szCs w:val="24"/>
        </w:rPr>
        <w:t>: A sexually transmitted infection (STI) also known as a sexually transmitted disease (STD) is an infection that is typically transmitted through oral, vaginal, or</w:t>
      </w:r>
      <w:r w:rsidR="00DF3B91" w:rsidRPr="00074165">
        <w:rPr>
          <w:rFonts w:cs="Times New Roman"/>
          <w:bCs/>
          <w:szCs w:val="24"/>
        </w:rPr>
        <w:t xml:space="preserve"> anal</w:t>
      </w:r>
      <w:r w:rsidRPr="00074165">
        <w:rPr>
          <w:rFonts w:cs="Times New Roman"/>
          <w:bCs/>
          <w:szCs w:val="24"/>
        </w:rPr>
        <w:t xml:space="preserve"> intercourse (</w:t>
      </w:r>
      <w:r w:rsidR="00C6731D" w:rsidRPr="00074165">
        <w:rPr>
          <w:rFonts w:cs="Times New Roman"/>
          <w:bCs/>
          <w:szCs w:val="24"/>
        </w:rPr>
        <w:t>McCormack &amp; Koons, 2019</w:t>
      </w:r>
      <w:r w:rsidRPr="00074165">
        <w:rPr>
          <w:rFonts w:cs="Times New Roman"/>
          <w:bCs/>
          <w:szCs w:val="24"/>
        </w:rPr>
        <w:t>).</w:t>
      </w:r>
    </w:p>
    <w:p w14:paraId="6321D6A4" w14:textId="1B08E64F" w:rsidR="00AD4906" w:rsidRPr="00074165" w:rsidRDefault="00AD4906" w:rsidP="00AD4906">
      <w:pPr>
        <w:pStyle w:val="ListParagraph"/>
        <w:numPr>
          <w:ilvl w:val="0"/>
          <w:numId w:val="5"/>
        </w:numPr>
        <w:spacing w:after="0" w:line="480" w:lineRule="auto"/>
        <w:rPr>
          <w:rFonts w:cs="Times New Roman"/>
          <w:bCs/>
          <w:szCs w:val="24"/>
        </w:rPr>
      </w:pPr>
      <w:r w:rsidRPr="00074165">
        <w:rPr>
          <w:rFonts w:cs="Times New Roman"/>
          <w:bCs/>
          <w:szCs w:val="24"/>
          <w:u w:val="single"/>
        </w:rPr>
        <w:t>Older adult</w:t>
      </w:r>
      <w:r w:rsidRPr="00074165">
        <w:rPr>
          <w:rFonts w:cs="Times New Roman"/>
          <w:bCs/>
          <w:szCs w:val="24"/>
        </w:rPr>
        <w:t>: For the purposes of this project older adults include those 65 years of age and older.</w:t>
      </w:r>
    </w:p>
    <w:p w14:paraId="3F783519" w14:textId="7A854A8B" w:rsidR="00CB5DF4" w:rsidRPr="00074165" w:rsidRDefault="00CB5DF4" w:rsidP="00AD4906">
      <w:pPr>
        <w:pStyle w:val="ListParagraph"/>
        <w:numPr>
          <w:ilvl w:val="0"/>
          <w:numId w:val="5"/>
        </w:numPr>
        <w:spacing w:after="0" w:line="480" w:lineRule="auto"/>
        <w:rPr>
          <w:rFonts w:cs="Times New Roman"/>
          <w:bCs/>
          <w:szCs w:val="24"/>
        </w:rPr>
      </w:pPr>
      <w:r w:rsidRPr="00074165">
        <w:rPr>
          <w:rFonts w:cs="Times New Roman"/>
          <w:bCs/>
          <w:szCs w:val="24"/>
          <w:u w:val="single"/>
        </w:rPr>
        <w:lastRenderedPageBreak/>
        <w:t>Sexual health</w:t>
      </w:r>
      <w:r w:rsidRPr="00074165">
        <w:rPr>
          <w:rFonts w:cs="Times New Roman"/>
          <w:bCs/>
          <w:szCs w:val="24"/>
        </w:rPr>
        <w:t>: Sexual health is defined as a state of comprehensive (physical, mental, emotional, and social) well-being as it relates to the person’s sexuality (</w:t>
      </w:r>
      <w:r w:rsidR="00C6731D" w:rsidRPr="00074165">
        <w:rPr>
          <w:rFonts w:cs="Times New Roman"/>
          <w:bCs/>
          <w:szCs w:val="24"/>
        </w:rPr>
        <w:t>Savoy et al., 2020</w:t>
      </w:r>
      <w:r w:rsidRPr="00074165">
        <w:rPr>
          <w:rFonts w:cs="Times New Roman"/>
          <w:bCs/>
          <w:szCs w:val="24"/>
        </w:rPr>
        <w:t>). It not only includes the absence of sexually transmitted diseases but also includes the absence of sexual dysfunction or infirmity (</w:t>
      </w:r>
      <w:r w:rsidR="00C6731D" w:rsidRPr="00074165">
        <w:rPr>
          <w:rFonts w:cs="Times New Roman"/>
          <w:bCs/>
          <w:szCs w:val="24"/>
        </w:rPr>
        <w:t>Savoy et al., 2020</w:t>
      </w:r>
      <w:r w:rsidRPr="00074165">
        <w:rPr>
          <w:rFonts w:cs="Times New Roman"/>
          <w:bCs/>
          <w:szCs w:val="24"/>
        </w:rPr>
        <w:t>).</w:t>
      </w:r>
    </w:p>
    <w:p w14:paraId="22F5DB78" w14:textId="73CFD960" w:rsidR="00AD4906" w:rsidRPr="00074165" w:rsidRDefault="00CB5DF4" w:rsidP="00AD4906">
      <w:pPr>
        <w:pStyle w:val="ListParagraph"/>
        <w:numPr>
          <w:ilvl w:val="0"/>
          <w:numId w:val="5"/>
        </w:numPr>
        <w:spacing w:after="0" w:line="480" w:lineRule="auto"/>
        <w:rPr>
          <w:rFonts w:cs="Times New Roman"/>
          <w:bCs/>
          <w:szCs w:val="24"/>
        </w:rPr>
      </w:pPr>
      <w:r w:rsidRPr="00074165">
        <w:rPr>
          <w:rFonts w:cs="Times New Roman"/>
          <w:bCs/>
          <w:szCs w:val="24"/>
          <w:u w:val="single"/>
        </w:rPr>
        <w:t>Sexual health history</w:t>
      </w:r>
      <w:r w:rsidRPr="00074165">
        <w:rPr>
          <w:rFonts w:cs="Times New Roman"/>
          <w:bCs/>
          <w:szCs w:val="24"/>
        </w:rPr>
        <w:t>: Sexual health history involves an assessment of a patient’s sexual partners, practices, protection used to prevent STIs, past</w:t>
      </w:r>
      <w:r w:rsidR="00494946" w:rsidRPr="00074165">
        <w:rPr>
          <w:rFonts w:cs="Times New Roman"/>
          <w:bCs/>
          <w:szCs w:val="24"/>
        </w:rPr>
        <w:t xml:space="preserve"> medical</w:t>
      </w:r>
      <w:r w:rsidRPr="00074165">
        <w:rPr>
          <w:rFonts w:cs="Times New Roman"/>
          <w:bCs/>
          <w:szCs w:val="24"/>
        </w:rPr>
        <w:t xml:space="preserve"> history of STIs, and plans for pregnancy, if applicable (</w:t>
      </w:r>
      <w:r w:rsidR="00C6731D" w:rsidRPr="00074165">
        <w:rPr>
          <w:rFonts w:cs="Times New Roman"/>
          <w:bCs/>
          <w:szCs w:val="24"/>
        </w:rPr>
        <w:t>Savoy et al., 2020</w:t>
      </w:r>
      <w:r w:rsidRPr="00074165">
        <w:rPr>
          <w:rFonts w:cs="Times New Roman"/>
          <w:bCs/>
          <w:szCs w:val="24"/>
        </w:rPr>
        <w:t>).</w:t>
      </w:r>
    </w:p>
    <w:p w14:paraId="2D1918B7" w14:textId="77777777" w:rsidR="000D67C3" w:rsidRPr="00074165" w:rsidRDefault="000D67C3" w:rsidP="000D67C3">
      <w:pPr>
        <w:spacing w:after="0" w:line="480" w:lineRule="auto"/>
        <w:jc w:val="center"/>
        <w:rPr>
          <w:rFonts w:cs="Times New Roman"/>
          <w:b/>
          <w:szCs w:val="24"/>
        </w:rPr>
      </w:pPr>
      <w:bookmarkStart w:id="6" w:name="_Hlk120365696"/>
      <w:r w:rsidRPr="00074165">
        <w:rPr>
          <w:rFonts w:cs="Times New Roman"/>
          <w:b/>
          <w:szCs w:val="24"/>
        </w:rPr>
        <w:t>Conceptual Underpinning/Theoretical Framework</w:t>
      </w:r>
    </w:p>
    <w:bookmarkEnd w:id="6"/>
    <w:p w14:paraId="36D5F16F" w14:textId="5DD0BBD4" w:rsidR="000D67C3" w:rsidRPr="00074165" w:rsidRDefault="000D67C3" w:rsidP="000D67C3">
      <w:pPr>
        <w:spacing w:after="0" w:line="480" w:lineRule="auto"/>
        <w:ind w:firstLine="720"/>
        <w:rPr>
          <w:rFonts w:cs="Times New Roman"/>
          <w:bCs/>
          <w:szCs w:val="24"/>
        </w:rPr>
      </w:pPr>
      <w:r w:rsidRPr="00074165">
        <w:rPr>
          <w:rFonts w:cs="Times New Roman"/>
          <w:bCs/>
          <w:szCs w:val="24"/>
        </w:rPr>
        <w:t xml:space="preserve">While various change theories and nursing models could </w:t>
      </w:r>
      <w:r w:rsidR="002C6EC4">
        <w:rPr>
          <w:rFonts w:cs="Times New Roman"/>
          <w:bCs/>
          <w:szCs w:val="24"/>
        </w:rPr>
        <w:t>have been</w:t>
      </w:r>
      <w:r w:rsidRPr="00074165">
        <w:rPr>
          <w:rFonts w:cs="Times New Roman"/>
          <w:bCs/>
          <w:szCs w:val="24"/>
        </w:rPr>
        <w:t xml:space="preserve"> used</w:t>
      </w:r>
      <w:r w:rsidR="00472BF1" w:rsidRPr="00074165">
        <w:rPr>
          <w:rFonts w:cs="Times New Roman"/>
          <w:bCs/>
          <w:szCs w:val="24"/>
        </w:rPr>
        <w:t xml:space="preserve"> to guide this project</w:t>
      </w:r>
      <w:r w:rsidRPr="00074165">
        <w:rPr>
          <w:rFonts w:cs="Times New Roman"/>
          <w:bCs/>
          <w:szCs w:val="24"/>
        </w:rPr>
        <w:t xml:space="preserve">, Lewin’s theory of planned change appears to have notable utility </w:t>
      </w:r>
      <w:r w:rsidR="00472BF1" w:rsidRPr="00074165">
        <w:rPr>
          <w:rFonts w:cs="Times New Roman"/>
          <w:bCs/>
          <w:szCs w:val="24"/>
        </w:rPr>
        <w:t>based on the specific nature of the change proposed</w:t>
      </w:r>
      <w:r w:rsidRPr="00074165">
        <w:rPr>
          <w:rFonts w:cs="Times New Roman"/>
          <w:bCs/>
          <w:szCs w:val="24"/>
        </w:rPr>
        <w:t xml:space="preserve">. Lewin’s theory is noted in the literature to be effective for guiding change that can be planned and coordinated as compared with sudden or revolutionary change that may have more immediate impacts on the organization (Burnes, 2020). </w:t>
      </w:r>
      <w:r w:rsidR="007E1CF5" w:rsidRPr="00074165">
        <w:rPr>
          <w:rFonts w:cs="Times New Roman"/>
          <w:bCs/>
          <w:szCs w:val="24"/>
        </w:rPr>
        <w:t>Changes</w:t>
      </w:r>
      <w:r w:rsidRPr="00074165">
        <w:rPr>
          <w:rFonts w:cs="Times New Roman"/>
          <w:bCs/>
          <w:szCs w:val="24"/>
        </w:rPr>
        <w:t xml:space="preserve"> that can be planned can be coordinated with contingency plans made to address any problems that may arise as a result of undertaking change (Burnes, 2020). As described in the literature</w:t>
      </w:r>
      <w:r w:rsidR="00DF3B91" w:rsidRPr="00074165">
        <w:rPr>
          <w:rFonts w:cs="Times New Roman"/>
          <w:bCs/>
          <w:szCs w:val="24"/>
        </w:rPr>
        <w:t>,</w:t>
      </w:r>
      <w:r w:rsidRPr="00074165">
        <w:rPr>
          <w:rFonts w:cs="Times New Roman"/>
          <w:bCs/>
          <w:szCs w:val="24"/>
        </w:rPr>
        <w:t xml:space="preserve"> Lewin’s theory includes three stages: unfreezing, moving, and refreezing (Batras et al., 2016). Unfreezing involves identifying and taking all the necessary steps needed to implement the change in practice while moving refers to the process of </w:t>
      </w:r>
      <w:r w:rsidR="00B15E7D" w:rsidRPr="00074165">
        <w:rPr>
          <w:rFonts w:cs="Times New Roman"/>
          <w:bCs/>
          <w:szCs w:val="24"/>
        </w:rPr>
        <w:t>undertaking</w:t>
      </w:r>
      <w:r w:rsidRPr="00074165">
        <w:rPr>
          <w:rFonts w:cs="Times New Roman"/>
          <w:bCs/>
          <w:szCs w:val="24"/>
        </w:rPr>
        <w:t xml:space="preserve"> the change (Batras et al., 2016). Refreezing occurs after the results of change are known and an effort is made to move the organization out of the change process to a new state in which the change is adopted as part of standard practice (Batras et al., 2016).</w:t>
      </w:r>
    </w:p>
    <w:p w14:paraId="489BF7B4" w14:textId="66664713" w:rsidR="000D67C3" w:rsidRPr="00074165" w:rsidRDefault="00472BF1" w:rsidP="000D67C3">
      <w:pPr>
        <w:spacing w:after="0" w:line="480" w:lineRule="auto"/>
        <w:ind w:firstLine="720"/>
        <w:rPr>
          <w:rFonts w:cs="Times New Roman"/>
          <w:bCs/>
          <w:szCs w:val="24"/>
        </w:rPr>
      </w:pPr>
      <w:r w:rsidRPr="00074165">
        <w:rPr>
          <w:rFonts w:cs="Times New Roman"/>
          <w:bCs/>
          <w:szCs w:val="24"/>
        </w:rPr>
        <w:t xml:space="preserve">Lewin’s theory of planned change </w:t>
      </w:r>
      <w:r w:rsidR="002C6EC4">
        <w:rPr>
          <w:rFonts w:cs="Times New Roman"/>
          <w:bCs/>
          <w:szCs w:val="24"/>
        </w:rPr>
        <w:t>was</w:t>
      </w:r>
      <w:r w:rsidRPr="00074165">
        <w:rPr>
          <w:rFonts w:cs="Times New Roman"/>
          <w:bCs/>
          <w:szCs w:val="24"/>
        </w:rPr>
        <w:t xml:space="preserve"> used to guide the implementation of the proposed quality improvement </w:t>
      </w:r>
      <w:r w:rsidR="005565D2" w:rsidRPr="00074165">
        <w:rPr>
          <w:rFonts w:cs="Times New Roman"/>
          <w:bCs/>
          <w:szCs w:val="24"/>
        </w:rPr>
        <w:t>project.</w:t>
      </w:r>
      <w:r w:rsidR="000D67C3" w:rsidRPr="00074165">
        <w:rPr>
          <w:rFonts w:cs="Times New Roman"/>
          <w:bCs/>
          <w:szCs w:val="24"/>
        </w:rPr>
        <w:t xml:space="preserve"> Application of Lewin’s theory indicates that the first step, </w:t>
      </w:r>
      <w:r w:rsidR="000D67C3" w:rsidRPr="00074165">
        <w:rPr>
          <w:rFonts w:cs="Times New Roman"/>
          <w:bCs/>
          <w:szCs w:val="24"/>
        </w:rPr>
        <w:lastRenderedPageBreak/>
        <w:t>unfreezing, require</w:t>
      </w:r>
      <w:r w:rsidR="002C6EC4">
        <w:rPr>
          <w:rFonts w:cs="Times New Roman"/>
          <w:bCs/>
          <w:szCs w:val="24"/>
        </w:rPr>
        <w:t>d</w:t>
      </w:r>
      <w:r w:rsidR="000D67C3" w:rsidRPr="00074165">
        <w:rPr>
          <w:rFonts w:cs="Times New Roman"/>
          <w:bCs/>
          <w:szCs w:val="24"/>
        </w:rPr>
        <w:t xml:space="preserve"> </w:t>
      </w:r>
      <w:r w:rsidR="007E1CF5" w:rsidRPr="00074165">
        <w:rPr>
          <w:rFonts w:cs="Times New Roman"/>
          <w:bCs/>
          <w:szCs w:val="24"/>
        </w:rPr>
        <w:t>consideration</w:t>
      </w:r>
      <w:r w:rsidR="000D67C3" w:rsidRPr="00074165">
        <w:rPr>
          <w:rFonts w:cs="Times New Roman"/>
          <w:bCs/>
          <w:szCs w:val="24"/>
        </w:rPr>
        <w:t xml:space="preserve"> of all the activities needed to plan the educational program</w:t>
      </w:r>
      <w:r w:rsidRPr="00074165">
        <w:rPr>
          <w:rFonts w:cs="Times New Roman"/>
          <w:bCs/>
          <w:szCs w:val="24"/>
        </w:rPr>
        <w:t xml:space="preserve"> for this quality improvement project. Thus, unfreezing for this project </w:t>
      </w:r>
      <w:r w:rsidR="002C6EC4">
        <w:rPr>
          <w:rFonts w:cs="Times New Roman"/>
          <w:bCs/>
          <w:szCs w:val="24"/>
        </w:rPr>
        <w:t>involved</w:t>
      </w:r>
      <w:r w:rsidR="000D67C3" w:rsidRPr="00074165">
        <w:rPr>
          <w:rFonts w:cs="Times New Roman"/>
          <w:bCs/>
          <w:szCs w:val="24"/>
        </w:rPr>
        <w:t xml:space="preserve"> activities such as obtaining organizational approval for the project, acquiring IRB approval for the project, building an evidence-based educational module for providers at the practice site, and recruiting providers at the practice site to participate in the project. Additional activities </w:t>
      </w:r>
      <w:r w:rsidR="002C6EC4">
        <w:rPr>
          <w:rFonts w:cs="Times New Roman"/>
          <w:bCs/>
          <w:szCs w:val="24"/>
        </w:rPr>
        <w:t>that were</w:t>
      </w:r>
      <w:r w:rsidR="000D67C3" w:rsidRPr="00074165">
        <w:rPr>
          <w:rFonts w:cs="Times New Roman"/>
          <w:bCs/>
          <w:szCs w:val="24"/>
        </w:rPr>
        <w:t xml:space="preserve"> included in the unfreezing stage would include making providers aware of the educational program, scheduling a time for the educational program to be delivered to program participants, and creating the pre- and post-tests to evaluate the knowledge of providers.</w:t>
      </w:r>
    </w:p>
    <w:p w14:paraId="227AA011" w14:textId="6484BC43" w:rsidR="000D67C3" w:rsidRDefault="000D67C3" w:rsidP="000D67C3">
      <w:pPr>
        <w:spacing w:after="0" w:line="480" w:lineRule="auto"/>
        <w:ind w:firstLine="720"/>
        <w:rPr>
          <w:rFonts w:cs="Times New Roman"/>
          <w:bCs/>
          <w:szCs w:val="24"/>
        </w:rPr>
      </w:pPr>
      <w:r w:rsidRPr="00074165">
        <w:rPr>
          <w:rFonts w:cs="Times New Roman"/>
          <w:bCs/>
          <w:szCs w:val="24"/>
        </w:rPr>
        <w:t xml:space="preserve">Once the unfreezing stage </w:t>
      </w:r>
      <w:r w:rsidR="002C6EC4">
        <w:rPr>
          <w:rFonts w:cs="Times New Roman"/>
          <w:bCs/>
          <w:szCs w:val="24"/>
        </w:rPr>
        <w:t>was</w:t>
      </w:r>
      <w:r w:rsidRPr="00074165">
        <w:rPr>
          <w:rFonts w:cs="Times New Roman"/>
          <w:bCs/>
          <w:szCs w:val="24"/>
        </w:rPr>
        <w:t xml:space="preserve"> complete, it </w:t>
      </w:r>
      <w:r w:rsidR="002C6EC4">
        <w:rPr>
          <w:rFonts w:cs="Times New Roman"/>
          <w:bCs/>
          <w:szCs w:val="24"/>
        </w:rPr>
        <w:t>was</w:t>
      </w:r>
      <w:r w:rsidRPr="00074165">
        <w:rPr>
          <w:rFonts w:cs="Times New Roman"/>
          <w:bCs/>
          <w:szCs w:val="24"/>
        </w:rPr>
        <w:t xml:space="preserve"> possible to enter the </w:t>
      </w:r>
      <w:r w:rsidR="00472BF1" w:rsidRPr="00074165">
        <w:rPr>
          <w:rFonts w:cs="Times New Roman"/>
          <w:bCs/>
          <w:szCs w:val="24"/>
        </w:rPr>
        <w:t xml:space="preserve">second stage of Lewin’s change model or the </w:t>
      </w:r>
      <w:r w:rsidRPr="00074165">
        <w:rPr>
          <w:rFonts w:cs="Times New Roman"/>
          <w:bCs/>
          <w:szCs w:val="24"/>
        </w:rPr>
        <w:t>moving phase</w:t>
      </w:r>
      <w:r w:rsidR="00472BF1" w:rsidRPr="00074165">
        <w:rPr>
          <w:rFonts w:cs="Times New Roman"/>
          <w:bCs/>
          <w:szCs w:val="24"/>
        </w:rPr>
        <w:t xml:space="preserve">. In this phase the </w:t>
      </w:r>
      <w:r w:rsidRPr="00074165">
        <w:rPr>
          <w:rFonts w:cs="Times New Roman"/>
          <w:bCs/>
          <w:szCs w:val="24"/>
        </w:rPr>
        <w:t xml:space="preserve">pre-intervention knowledge </w:t>
      </w:r>
      <w:r w:rsidR="00472BF1" w:rsidRPr="00074165">
        <w:rPr>
          <w:rFonts w:cs="Times New Roman"/>
          <w:bCs/>
          <w:szCs w:val="24"/>
        </w:rPr>
        <w:t xml:space="preserve">of providers regarding the topic </w:t>
      </w:r>
      <w:r w:rsidR="002C6EC4">
        <w:rPr>
          <w:rFonts w:cs="Times New Roman"/>
          <w:bCs/>
          <w:szCs w:val="24"/>
        </w:rPr>
        <w:t>was</w:t>
      </w:r>
      <w:r w:rsidRPr="00074165">
        <w:rPr>
          <w:rFonts w:cs="Times New Roman"/>
          <w:bCs/>
          <w:szCs w:val="24"/>
        </w:rPr>
        <w:t xml:space="preserve"> </w:t>
      </w:r>
      <w:r w:rsidR="00B15E7D" w:rsidRPr="00074165">
        <w:rPr>
          <w:rFonts w:cs="Times New Roman"/>
          <w:bCs/>
          <w:szCs w:val="24"/>
        </w:rPr>
        <w:t>assess</w:t>
      </w:r>
      <w:r w:rsidR="002C6EC4">
        <w:rPr>
          <w:rFonts w:cs="Times New Roman"/>
          <w:bCs/>
          <w:szCs w:val="24"/>
        </w:rPr>
        <w:t>ed</w:t>
      </w:r>
      <w:r w:rsidR="00472BF1" w:rsidRPr="00074165">
        <w:rPr>
          <w:rFonts w:cs="Times New Roman"/>
          <w:bCs/>
          <w:szCs w:val="24"/>
        </w:rPr>
        <w:t xml:space="preserve">. In </w:t>
      </w:r>
      <w:r w:rsidR="005565D2" w:rsidRPr="00074165">
        <w:rPr>
          <w:rFonts w:cs="Times New Roman"/>
          <w:bCs/>
          <w:szCs w:val="24"/>
        </w:rPr>
        <w:t>addition,</w:t>
      </w:r>
      <w:r w:rsidR="00472BF1" w:rsidRPr="00074165">
        <w:rPr>
          <w:rFonts w:cs="Times New Roman"/>
          <w:bCs/>
          <w:szCs w:val="24"/>
        </w:rPr>
        <w:t xml:space="preserve"> providers </w:t>
      </w:r>
      <w:r w:rsidR="002C6EC4">
        <w:rPr>
          <w:rFonts w:cs="Times New Roman"/>
          <w:bCs/>
          <w:szCs w:val="24"/>
        </w:rPr>
        <w:t>were</w:t>
      </w:r>
      <w:r w:rsidR="00472BF1" w:rsidRPr="00074165">
        <w:rPr>
          <w:rFonts w:cs="Times New Roman"/>
          <w:bCs/>
          <w:szCs w:val="24"/>
        </w:rPr>
        <w:t xml:space="preserve"> </w:t>
      </w:r>
      <w:r w:rsidR="0021139F" w:rsidRPr="00074165">
        <w:rPr>
          <w:rFonts w:cs="Times New Roman"/>
          <w:bCs/>
          <w:szCs w:val="24"/>
        </w:rPr>
        <w:t>educated,</w:t>
      </w:r>
      <w:r w:rsidRPr="00074165">
        <w:rPr>
          <w:rFonts w:cs="Times New Roman"/>
          <w:bCs/>
          <w:szCs w:val="24"/>
        </w:rPr>
        <w:t xml:space="preserve"> and post-intervention knowledge </w:t>
      </w:r>
      <w:r w:rsidR="00472BF1" w:rsidRPr="00074165">
        <w:rPr>
          <w:rFonts w:cs="Times New Roman"/>
          <w:bCs/>
          <w:szCs w:val="24"/>
        </w:rPr>
        <w:t xml:space="preserve">gained by providers </w:t>
      </w:r>
      <w:r w:rsidR="002C6EC4">
        <w:rPr>
          <w:rFonts w:cs="Times New Roman"/>
          <w:bCs/>
          <w:szCs w:val="24"/>
        </w:rPr>
        <w:t>was</w:t>
      </w:r>
      <w:r w:rsidR="00472BF1" w:rsidRPr="00074165">
        <w:rPr>
          <w:rFonts w:cs="Times New Roman"/>
          <w:bCs/>
          <w:szCs w:val="24"/>
        </w:rPr>
        <w:t xml:space="preserve"> </w:t>
      </w:r>
      <w:r w:rsidRPr="00074165">
        <w:rPr>
          <w:rFonts w:cs="Times New Roman"/>
          <w:bCs/>
          <w:szCs w:val="24"/>
        </w:rPr>
        <w:t xml:space="preserve">measured. The completion of the moving stage of change </w:t>
      </w:r>
      <w:r w:rsidR="002C6EC4">
        <w:rPr>
          <w:rFonts w:cs="Times New Roman"/>
          <w:bCs/>
          <w:szCs w:val="24"/>
        </w:rPr>
        <w:t>occurred</w:t>
      </w:r>
      <w:r w:rsidRPr="00074165">
        <w:rPr>
          <w:rFonts w:cs="Times New Roman"/>
          <w:bCs/>
          <w:szCs w:val="24"/>
        </w:rPr>
        <w:t xml:space="preserve"> when the data </w:t>
      </w:r>
      <w:r w:rsidR="002C6EC4">
        <w:rPr>
          <w:rFonts w:cs="Times New Roman"/>
          <w:bCs/>
          <w:szCs w:val="24"/>
        </w:rPr>
        <w:t>was</w:t>
      </w:r>
      <w:r w:rsidRPr="00074165">
        <w:rPr>
          <w:rFonts w:cs="Times New Roman"/>
          <w:bCs/>
          <w:szCs w:val="24"/>
        </w:rPr>
        <w:t xml:space="preserve"> analyzed and the results </w:t>
      </w:r>
      <w:r w:rsidR="002C6EC4">
        <w:rPr>
          <w:rFonts w:cs="Times New Roman"/>
          <w:bCs/>
          <w:szCs w:val="24"/>
        </w:rPr>
        <w:t>were tabulated to determine if the practice change was</w:t>
      </w:r>
      <w:r w:rsidRPr="00074165">
        <w:rPr>
          <w:rFonts w:cs="Times New Roman"/>
          <w:bCs/>
          <w:szCs w:val="24"/>
        </w:rPr>
        <w:t xml:space="preserve"> successful—i.e., provider knowledge increased by a statistically significant amount. Based on the results of the project </w:t>
      </w:r>
      <w:r w:rsidR="002C6EC4">
        <w:rPr>
          <w:rFonts w:cs="Times New Roman"/>
          <w:bCs/>
          <w:szCs w:val="24"/>
        </w:rPr>
        <w:t>it was</w:t>
      </w:r>
      <w:r w:rsidRPr="00074165">
        <w:rPr>
          <w:rFonts w:cs="Times New Roman"/>
          <w:bCs/>
          <w:szCs w:val="24"/>
        </w:rPr>
        <w:t xml:space="preserve"> possible to move into the refreezing stage </w:t>
      </w:r>
      <w:r w:rsidR="00472BF1" w:rsidRPr="00074165">
        <w:rPr>
          <w:rFonts w:cs="Times New Roman"/>
          <w:bCs/>
          <w:szCs w:val="24"/>
        </w:rPr>
        <w:t xml:space="preserve">or the third stage of Lewin’s model </w:t>
      </w:r>
      <w:r w:rsidRPr="00074165">
        <w:rPr>
          <w:rFonts w:cs="Times New Roman"/>
          <w:bCs/>
          <w:szCs w:val="24"/>
        </w:rPr>
        <w:t xml:space="preserve">by determining the next steps in the project. </w:t>
      </w:r>
      <w:r w:rsidR="002C6EC4">
        <w:rPr>
          <w:rFonts w:cs="Times New Roman"/>
          <w:bCs/>
          <w:szCs w:val="24"/>
        </w:rPr>
        <w:t xml:space="preserve">The project was successful warranting the </w:t>
      </w:r>
      <w:r w:rsidRPr="00074165">
        <w:rPr>
          <w:rFonts w:cs="Times New Roman"/>
          <w:bCs/>
          <w:szCs w:val="24"/>
        </w:rPr>
        <w:t xml:space="preserve">adoption of the program by the facility and the development of plans to maintain the practice change over the long-term. If the project </w:t>
      </w:r>
      <w:r w:rsidR="002C6EC4">
        <w:rPr>
          <w:rFonts w:cs="Times New Roman"/>
          <w:bCs/>
          <w:szCs w:val="24"/>
        </w:rPr>
        <w:t>was not</w:t>
      </w:r>
      <w:r w:rsidRPr="00074165">
        <w:rPr>
          <w:rFonts w:cs="Times New Roman"/>
          <w:bCs/>
          <w:szCs w:val="24"/>
        </w:rPr>
        <w:t xml:space="preserve"> successful, it </w:t>
      </w:r>
      <w:r w:rsidR="002C6EC4">
        <w:rPr>
          <w:rFonts w:cs="Times New Roman"/>
          <w:bCs/>
          <w:szCs w:val="24"/>
        </w:rPr>
        <w:t>would have been</w:t>
      </w:r>
      <w:r w:rsidRPr="00074165">
        <w:rPr>
          <w:rFonts w:cs="Times New Roman"/>
          <w:bCs/>
          <w:szCs w:val="24"/>
        </w:rPr>
        <w:t xml:space="preserve"> necessary to review the results </w:t>
      </w:r>
      <w:r w:rsidR="005565D2" w:rsidRPr="00074165">
        <w:rPr>
          <w:rFonts w:cs="Times New Roman"/>
          <w:bCs/>
          <w:szCs w:val="24"/>
        </w:rPr>
        <w:t>considering</w:t>
      </w:r>
      <w:r w:rsidRPr="00074165">
        <w:rPr>
          <w:rFonts w:cs="Times New Roman"/>
          <w:bCs/>
          <w:szCs w:val="24"/>
        </w:rPr>
        <w:t xml:space="preserve"> current evidence to determine if the project should be abandoned altogether or if changes should be made to reintroduce the project utilizing different resources, supports, and tools.</w:t>
      </w:r>
    </w:p>
    <w:p w14:paraId="53373A5E" w14:textId="08C714CC" w:rsidR="002C6EC4" w:rsidRDefault="002C6EC4" w:rsidP="002C6EC4">
      <w:pPr>
        <w:spacing w:after="0" w:line="480" w:lineRule="auto"/>
        <w:rPr>
          <w:rFonts w:cs="Times New Roman"/>
          <w:bCs/>
          <w:szCs w:val="24"/>
        </w:rPr>
      </w:pPr>
    </w:p>
    <w:p w14:paraId="5875981F" w14:textId="77777777" w:rsidR="002C6EC4" w:rsidRPr="00074165" w:rsidRDefault="002C6EC4" w:rsidP="002C6EC4">
      <w:pPr>
        <w:spacing w:after="0" w:line="480" w:lineRule="auto"/>
        <w:rPr>
          <w:rFonts w:cs="Times New Roman"/>
          <w:bCs/>
          <w:szCs w:val="24"/>
        </w:rPr>
      </w:pPr>
    </w:p>
    <w:p w14:paraId="32566D42" w14:textId="08710168" w:rsidR="00D93A28" w:rsidRPr="00074165" w:rsidRDefault="000D67C3" w:rsidP="000D67C3">
      <w:pPr>
        <w:spacing w:after="0" w:line="480" w:lineRule="auto"/>
        <w:jc w:val="center"/>
        <w:rPr>
          <w:rFonts w:cs="Times New Roman"/>
          <w:b/>
          <w:szCs w:val="24"/>
        </w:rPr>
      </w:pPr>
      <w:r w:rsidRPr="00074165">
        <w:rPr>
          <w:rFonts w:cs="Times New Roman"/>
          <w:b/>
          <w:szCs w:val="24"/>
        </w:rPr>
        <w:lastRenderedPageBreak/>
        <w:t>Methodology</w:t>
      </w:r>
    </w:p>
    <w:p w14:paraId="7A279DB7" w14:textId="470B887F" w:rsidR="00D93A28" w:rsidRPr="00074165" w:rsidRDefault="000D67C3" w:rsidP="000D67C3">
      <w:pPr>
        <w:spacing w:after="0" w:line="480" w:lineRule="auto"/>
        <w:rPr>
          <w:rFonts w:cs="Times New Roman"/>
          <w:b/>
          <w:szCs w:val="24"/>
        </w:rPr>
      </w:pPr>
      <w:r w:rsidRPr="00074165">
        <w:rPr>
          <w:rFonts w:cs="Times New Roman"/>
          <w:b/>
          <w:szCs w:val="24"/>
        </w:rPr>
        <w:t>Setting and Participants</w:t>
      </w:r>
    </w:p>
    <w:p w14:paraId="789E75D4" w14:textId="1B9626E8" w:rsidR="002C6EC4" w:rsidRDefault="00C6731D" w:rsidP="002D36B6">
      <w:pPr>
        <w:spacing w:after="0" w:line="480" w:lineRule="auto"/>
        <w:ind w:firstLine="720"/>
        <w:rPr>
          <w:rFonts w:cs="Times New Roman"/>
          <w:bCs/>
          <w:szCs w:val="24"/>
        </w:rPr>
      </w:pPr>
      <w:r w:rsidRPr="00074165">
        <w:rPr>
          <w:rFonts w:cs="Times New Roman"/>
          <w:bCs/>
          <w:szCs w:val="24"/>
        </w:rPr>
        <w:t xml:space="preserve">The setting for this quality improvement project </w:t>
      </w:r>
      <w:r w:rsidR="002C6EC4">
        <w:rPr>
          <w:rFonts w:cs="Times New Roman"/>
          <w:bCs/>
          <w:szCs w:val="24"/>
        </w:rPr>
        <w:t>was</w:t>
      </w:r>
      <w:r w:rsidRPr="00074165">
        <w:rPr>
          <w:rFonts w:cs="Times New Roman"/>
          <w:bCs/>
          <w:szCs w:val="24"/>
        </w:rPr>
        <w:t xml:space="preserve"> a primary care clinic operating in South Florida. </w:t>
      </w:r>
      <w:r w:rsidR="00472BF1" w:rsidRPr="00074165">
        <w:rPr>
          <w:rFonts w:cs="Times New Roman"/>
          <w:bCs/>
          <w:szCs w:val="24"/>
        </w:rPr>
        <w:t xml:space="preserve">The project </w:t>
      </w:r>
      <w:r w:rsidR="00CD45B8" w:rsidRPr="00074165">
        <w:rPr>
          <w:rFonts w:cs="Times New Roman"/>
          <w:bCs/>
          <w:szCs w:val="24"/>
        </w:rPr>
        <w:t xml:space="preserve">for providing education </w:t>
      </w:r>
      <w:r w:rsidR="00472BF1" w:rsidRPr="00074165">
        <w:rPr>
          <w:rFonts w:cs="Times New Roman"/>
          <w:bCs/>
          <w:szCs w:val="24"/>
        </w:rPr>
        <w:t>target</w:t>
      </w:r>
      <w:r w:rsidR="002C6EC4">
        <w:rPr>
          <w:rFonts w:cs="Times New Roman"/>
          <w:bCs/>
          <w:szCs w:val="24"/>
        </w:rPr>
        <w:t>ed</w:t>
      </w:r>
      <w:r w:rsidR="00472BF1" w:rsidRPr="00074165">
        <w:rPr>
          <w:rFonts w:cs="Times New Roman"/>
          <w:bCs/>
          <w:szCs w:val="24"/>
        </w:rPr>
        <w:t xml:space="preserve"> all medical providers working at the facility including physicians and advanced practice nurses. </w:t>
      </w:r>
      <w:r w:rsidRPr="00074165">
        <w:rPr>
          <w:rFonts w:cs="Times New Roman"/>
          <w:bCs/>
          <w:szCs w:val="24"/>
        </w:rPr>
        <w:t xml:space="preserve">Appendix B includes a letter of support from the organization. The facility sees, on average, 2,000 patients per month and employs </w:t>
      </w:r>
      <w:r w:rsidR="004A7965" w:rsidRPr="00074165">
        <w:rPr>
          <w:rFonts w:cs="Times New Roman"/>
          <w:bCs/>
          <w:szCs w:val="24"/>
        </w:rPr>
        <w:t>six</w:t>
      </w:r>
      <w:r w:rsidRPr="00074165">
        <w:rPr>
          <w:rFonts w:cs="Times New Roman"/>
          <w:bCs/>
          <w:szCs w:val="24"/>
        </w:rPr>
        <w:t xml:space="preserve"> physicians, </w:t>
      </w:r>
      <w:r w:rsidR="0063645F" w:rsidRPr="00074165">
        <w:rPr>
          <w:rFonts w:cs="Times New Roman"/>
          <w:bCs/>
          <w:szCs w:val="24"/>
        </w:rPr>
        <w:t>and</w:t>
      </w:r>
      <w:r w:rsidRPr="00074165">
        <w:rPr>
          <w:rFonts w:cs="Times New Roman"/>
          <w:bCs/>
          <w:szCs w:val="24"/>
        </w:rPr>
        <w:t xml:space="preserve"> 10 nurse practitioners as well as nurses and other non-medical providers. An estimate of the number of older adults seen in the practice suggests that 30% of the patient population is 65 years of age and older. Ideally, the quality improvement project </w:t>
      </w:r>
      <w:r w:rsidR="002C6EC4">
        <w:rPr>
          <w:rFonts w:cs="Times New Roman"/>
          <w:bCs/>
          <w:szCs w:val="24"/>
        </w:rPr>
        <w:t xml:space="preserve">would have involved </w:t>
      </w:r>
      <w:r w:rsidRPr="00074165">
        <w:rPr>
          <w:rFonts w:cs="Times New Roman"/>
          <w:bCs/>
          <w:szCs w:val="24"/>
        </w:rPr>
        <w:t xml:space="preserve">all 16 medical providers including </w:t>
      </w:r>
      <w:r w:rsidR="00747165" w:rsidRPr="00074165">
        <w:rPr>
          <w:rFonts w:cs="Times New Roman"/>
          <w:bCs/>
          <w:szCs w:val="24"/>
        </w:rPr>
        <w:t>physicians and nurse practitioners</w:t>
      </w:r>
      <w:r w:rsidR="002C6EC4">
        <w:rPr>
          <w:rFonts w:cs="Times New Roman"/>
          <w:bCs/>
          <w:szCs w:val="24"/>
        </w:rPr>
        <w:t xml:space="preserve"> currently working at the site. Because the project was provided on a voluntary basis, it was only possible to recruit a total of 10 providers from the practice site.</w:t>
      </w:r>
    </w:p>
    <w:p w14:paraId="20140345" w14:textId="358F995A" w:rsidR="000D67C3" w:rsidRPr="00074165" w:rsidRDefault="000D67C3" w:rsidP="000D67C3">
      <w:pPr>
        <w:spacing w:after="0" w:line="480" w:lineRule="auto"/>
        <w:rPr>
          <w:rFonts w:cs="Times New Roman"/>
          <w:b/>
          <w:szCs w:val="24"/>
        </w:rPr>
      </w:pPr>
      <w:bookmarkStart w:id="7" w:name="_Hlk120365735"/>
      <w:r w:rsidRPr="00074165">
        <w:rPr>
          <w:rFonts w:cs="Times New Roman"/>
          <w:b/>
          <w:szCs w:val="24"/>
        </w:rPr>
        <w:t>Description of the Approach/Procedures</w:t>
      </w:r>
    </w:p>
    <w:bookmarkEnd w:id="7"/>
    <w:p w14:paraId="00E42356" w14:textId="05D05A87" w:rsidR="000D67C3" w:rsidRPr="00074165" w:rsidRDefault="00747165" w:rsidP="002D36B6">
      <w:pPr>
        <w:spacing w:after="0" w:line="480" w:lineRule="auto"/>
        <w:ind w:firstLine="720"/>
        <w:rPr>
          <w:rFonts w:cs="Times New Roman"/>
          <w:bCs/>
          <w:szCs w:val="24"/>
        </w:rPr>
      </w:pPr>
      <w:r w:rsidRPr="00074165">
        <w:rPr>
          <w:rFonts w:cs="Times New Roman"/>
          <w:bCs/>
          <w:szCs w:val="24"/>
        </w:rPr>
        <w:t xml:space="preserve">Permission to conduct the project at the practice site </w:t>
      </w:r>
      <w:r w:rsidR="00D77763">
        <w:rPr>
          <w:rFonts w:cs="Times New Roman"/>
          <w:bCs/>
          <w:szCs w:val="24"/>
        </w:rPr>
        <w:t>was</w:t>
      </w:r>
      <w:r w:rsidRPr="00074165">
        <w:rPr>
          <w:rFonts w:cs="Times New Roman"/>
          <w:bCs/>
          <w:szCs w:val="24"/>
        </w:rPr>
        <w:t xml:space="preserve"> secured (Appendix B) and Institutional Review Board (IRB) approval </w:t>
      </w:r>
      <w:r w:rsidR="00D77763">
        <w:rPr>
          <w:rFonts w:cs="Times New Roman"/>
          <w:bCs/>
          <w:szCs w:val="24"/>
        </w:rPr>
        <w:t>was</w:t>
      </w:r>
      <w:r w:rsidRPr="00074165">
        <w:rPr>
          <w:rFonts w:cs="Times New Roman"/>
          <w:bCs/>
          <w:szCs w:val="24"/>
        </w:rPr>
        <w:t xml:space="preserve"> sought from Florida International University (FIU)</w:t>
      </w:r>
      <w:r w:rsidR="00D77763">
        <w:rPr>
          <w:rFonts w:cs="Times New Roman"/>
          <w:bCs/>
          <w:szCs w:val="24"/>
        </w:rPr>
        <w:t xml:space="preserve"> and </w:t>
      </w:r>
      <w:r w:rsidR="007E1CF5">
        <w:rPr>
          <w:rFonts w:cs="Times New Roman"/>
          <w:bCs/>
          <w:szCs w:val="24"/>
        </w:rPr>
        <w:t>granted</w:t>
      </w:r>
      <w:r w:rsidR="00D77763">
        <w:rPr>
          <w:rFonts w:cs="Times New Roman"/>
          <w:bCs/>
          <w:szCs w:val="24"/>
        </w:rPr>
        <w:t xml:space="preserve"> on </w:t>
      </w:r>
      <w:r w:rsidR="003929F6">
        <w:rPr>
          <w:rFonts w:cs="Times New Roman"/>
          <w:bCs/>
          <w:szCs w:val="24"/>
        </w:rPr>
        <w:t>August 23,</w:t>
      </w:r>
      <w:r w:rsidR="00D77763">
        <w:rPr>
          <w:rFonts w:cs="Times New Roman"/>
          <w:bCs/>
          <w:szCs w:val="24"/>
        </w:rPr>
        <w:t xml:space="preserve"> 202</w:t>
      </w:r>
      <w:r w:rsidR="003929F6">
        <w:rPr>
          <w:rFonts w:cs="Times New Roman"/>
          <w:bCs/>
          <w:szCs w:val="24"/>
        </w:rPr>
        <w:t>2</w:t>
      </w:r>
      <w:r w:rsidR="00D77763">
        <w:rPr>
          <w:rFonts w:cs="Times New Roman"/>
          <w:bCs/>
          <w:szCs w:val="24"/>
        </w:rPr>
        <w:t>. A copy of the IRB approval letter can be found in Appendix C</w:t>
      </w:r>
      <w:r w:rsidRPr="00074165">
        <w:rPr>
          <w:rFonts w:cs="Times New Roman"/>
          <w:bCs/>
          <w:szCs w:val="24"/>
        </w:rPr>
        <w:t xml:space="preserve">. During the process of IRB approval, a formal educational program for providers at the practice site </w:t>
      </w:r>
      <w:r w:rsidR="00D77763">
        <w:rPr>
          <w:rFonts w:cs="Times New Roman"/>
          <w:bCs/>
          <w:szCs w:val="24"/>
        </w:rPr>
        <w:t>was</w:t>
      </w:r>
      <w:r w:rsidRPr="00074165">
        <w:rPr>
          <w:rFonts w:cs="Times New Roman"/>
          <w:bCs/>
          <w:szCs w:val="24"/>
        </w:rPr>
        <w:t xml:space="preserve"> created. The presentation </w:t>
      </w:r>
      <w:r w:rsidR="00D77763">
        <w:rPr>
          <w:rFonts w:cs="Times New Roman"/>
          <w:bCs/>
          <w:szCs w:val="24"/>
        </w:rPr>
        <w:t>was</w:t>
      </w:r>
      <w:r w:rsidRPr="00074165">
        <w:rPr>
          <w:rFonts w:cs="Times New Roman"/>
          <w:bCs/>
          <w:szCs w:val="24"/>
        </w:rPr>
        <w:t xml:space="preserve"> approved by the site’s leadership and by the academic advisor at FIU. Once IRB approval </w:t>
      </w:r>
      <w:r w:rsidR="00D77763">
        <w:rPr>
          <w:rFonts w:cs="Times New Roman"/>
          <w:bCs/>
          <w:szCs w:val="24"/>
        </w:rPr>
        <w:t>was</w:t>
      </w:r>
      <w:r w:rsidRPr="00074165">
        <w:rPr>
          <w:rFonts w:cs="Times New Roman"/>
          <w:bCs/>
          <w:szCs w:val="24"/>
        </w:rPr>
        <w:t xml:space="preserve"> secured, recruitment of participants from the practice </w:t>
      </w:r>
      <w:r w:rsidR="00D77763">
        <w:rPr>
          <w:rFonts w:cs="Times New Roman"/>
          <w:bCs/>
          <w:szCs w:val="24"/>
        </w:rPr>
        <w:t>began</w:t>
      </w:r>
      <w:r w:rsidRPr="00074165">
        <w:rPr>
          <w:rFonts w:cs="Times New Roman"/>
          <w:bCs/>
          <w:szCs w:val="24"/>
        </w:rPr>
        <w:t xml:space="preserve">. Participants including physicians and nurse practitioners </w:t>
      </w:r>
      <w:r w:rsidR="00D77763">
        <w:rPr>
          <w:rFonts w:cs="Times New Roman"/>
          <w:bCs/>
          <w:szCs w:val="24"/>
        </w:rPr>
        <w:t>were</w:t>
      </w:r>
      <w:r w:rsidRPr="00074165">
        <w:rPr>
          <w:rFonts w:cs="Times New Roman"/>
          <w:bCs/>
          <w:szCs w:val="24"/>
        </w:rPr>
        <w:t xml:space="preserve"> contacted via email (Appendix </w:t>
      </w:r>
      <w:r w:rsidR="00D77763">
        <w:rPr>
          <w:rFonts w:cs="Times New Roman"/>
          <w:bCs/>
          <w:szCs w:val="24"/>
        </w:rPr>
        <w:t>D</w:t>
      </w:r>
      <w:r w:rsidRPr="00074165">
        <w:rPr>
          <w:rFonts w:cs="Times New Roman"/>
          <w:bCs/>
          <w:szCs w:val="24"/>
        </w:rPr>
        <w:t xml:space="preserve">). The email list </w:t>
      </w:r>
      <w:r w:rsidR="00D77763">
        <w:rPr>
          <w:rFonts w:cs="Times New Roman"/>
          <w:bCs/>
          <w:szCs w:val="24"/>
        </w:rPr>
        <w:t>was</w:t>
      </w:r>
      <w:r w:rsidRPr="00074165">
        <w:rPr>
          <w:rFonts w:cs="Times New Roman"/>
          <w:bCs/>
          <w:szCs w:val="24"/>
        </w:rPr>
        <w:t xml:space="preserve"> acquired from an internal directory at the practice site to </w:t>
      </w:r>
      <w:r w:rsidR="004A7965" w:rsidRPr="00074165">
        <w:rPr>
          <w:rFonts w:cs="Times New Roman"/>
          <w:bCs/>
          <w:szCs w:val="24"/>
        </w:rPr>
        <w:t>which</w:t>
      </w:r>
      <w:r w:rsidRPr="00074165">
        <w:rPr>
          <w:rFonts w:cs="Times New Roman"/>
          <w:bCs/>
          <w:szCs w:val="24"/>
        </w:rPr>
        <w:t xml:space="preserve"> the principal investigator </w:t>
      </w:r>
      <w:r w:rsidR="00D77763">
        <w:rPr>
          <w:rFonts w:cs="Times New Roman"/>
          <w:bCs/>
          <w:szCs w:val="24"/>
        </w:rPr>
        <w:t>had</w:t>
      </w:r>
      <w:r w:rsidRPr="00074165">
        <w:rPr>
          <w:rFonts w:cs="Times New Roman"/>
          <w:bCs/>
          <w:szCs w:val="24"/>
        </w:rPr>
        <w:t xml:space="preserve"> access. The email recruitment letter </w:t>
      </w:r>
      <w:r w:rsidR="00757576">
        <w:rPr>
          <w:rFonts w:cs="Times New Roman"/>
          <w:bCs/>
          <w:szCs w:val="24"/>
        </w:rPr>
        <w:t>contained</w:t>
      </w:r>
      <w:r w:rsidRPr="00074165">
        <w:rPr>
          <w:rFonts w:cs="Times New Roman"/>
          <w:bCs/>
          <w:szCs w:val="24"/>
        </w:rPr>
        <w:t xml:space="preserve"> information about the quality improvement project and details regarding participation. </w:t>
      </w:r>
      <w:r w:rsidR="0036374D" w:rsidRPr="00074165">
        <w:rPr>
          <w:rFonts w:cs="Times New Roman"/>
          <w:bCs/>
          <w:szCs w:val="24"/>
        </w:rPr>
        <w:t xml:space="preserve">Interested providers </w:t>
      </w:r>
      <w:r w:rsidR="00D77763">
        <w:rPr>
          <w:rFonts w:cs="Times New Roman"/>
          <w:bCs/>
          <w:szCs w:val="24"/>
        </w:rPr>
        <w:lastRenderedPageBreak/>
        <w:t>were</w:t>
      </w:r>
      <w:r w:rsidR="0036374D" w:rsidRPr="00074165">
        <w:rPr>
          <w:rFonts w:cs="Times New Roman"/>
          <w:bCs/>
          <w:szCs w:val="24"/>
        </w:rPr>
        <w:t xml:space="preserve"> asked to reply to the email indicating their willingness to participate. The email include</w:t>
      </w:r>
      <w:r w:rsidR="00D77763">
        <w:rPr>
          <w:rFonts w:cs="Times New Roman"/>
          <w:bCs/>
          <w:szCs w:val="24"/>
        </w:rPr>
        <w:t>d</w:t>
      </w:r>
      <w:r w:rsidR="0036374D" w:rsidRPr="00074165">
        <w:rPr>
          <w:rFonts w:cs="Times New Roman"/>
          <w:bCs/>
          <w:szCs w:val="24"/>
        </w:rPr>
        <w:t xml:space="preserve"> instructions to respond within one week. Providers who </w:t>
      </w:r>
      <w:r w:rsidR="00D77763">
        <w:rPr>
          <w:rFonts w:cs="Times New Roman"/>
          <w:bCs/>
          <w:szCs w:val="24"/>
        </w:rPr>
        <w:t>did</w:t>
      </w:r>
      <w:r w:rsidR="0036374D" w:rsidRPr="00074165">
        <w:rPr>
          <w:rFonts w:cs="Times New Roman"/>
          <w:bCs/>
          <w:szCs w:val="24"/>
        </w:rPr>
        <w:t xml:space="preserve"> respond within one week </w:t>
      </w:r>
      <w:r w:rsidR="00D77763">
        <w:rPr>
          <w:rFonts w:cs="Times New Roman"/>
          <w:bCs/>
          <w:szCs w:val="24"/>
        </w:rPr>
        <w:t>were</w:t>
      </w:r>
      <w:r w:rsidR="0036374D" w:rsidRPr="00074165">
        <w:rPr>
          <w:rFonts w:cs="Times New Roman"/>
          <w:bCs/>
          <w:szCs w:val="24"/>
        </w:rPr>
        <w:t xml:space="preserve"> sent a follow-up email. At the end of this second week of recruitment, providers who </w:t>
      </w:r>
      <w:r w:rsidR="00D77763">
        <w:rPr>
          <w:rFonts w:cs="Times New Roman"/>
          <w:bCs/>
          <w:szCs w:val="24"/>
        </w:rPr>
        <w:t>did</w:t>
      </w:r>
      <w:r w:rsidR="0036374D" w:rsidRPr="00074165">
        <w:rPr>
          <w:rFonts w:cs="Times New Roman"/>
          <w:bCs/>
          <w:szCs w:val="24"/>
        </w:rPr>
        <w:t xml:space="preserve"> respond </w:t>
      </w:r>
      <w:r w:rsidR="00D77763">
        <w:rPr>
          <w:rFonts w:cs="Times New Roman"/>
          <w:bCs/>
          <w:szCs w:val="24"/>
        </w:rPr>
        <w:t>had</w:t>
      </w:r>
      <w:r w:rsidR="0036374D" w:rsidRPr="00074165">
        <w:rPr>
          <w:rFonts w:cs="Times New Roman"/>
          <w:bCs/>
          <w:szCs w:val="24"/>
        </w:rPr>
        <w:t xml:space="preserve"> </w:t>
      </w:r>
      <w:r w:rsidR="004A7965" w:rsidRPr="00074165">
        <w:rPr>
          <w:rFonts w:cs="Times New Roman"/>
          <w:bCs/>
          <w:szCs w:val="24"/>
        </w:rPr>
        <w:t>their email addresses removed from the project</w:t>
      </w:r>
      <w:r w:rsidR="0036374D" w:rsidRPr="00074165">
        <w:rPr>
          <w:rFonts w:cs="Times New Roman"/>
          <w:bCs/>
          <w:szCs w:val="24"/>
        </w:rPr>
        <w:t xml:space="preserve">. All emails </w:t>
      </w:r>
      <w:r w:rsidR="00D77763">
        <w:rPr>
          <w:rFonts w:cs="Times New Roman"/>
          <w:bCs/>
          <w:szCs w:val="24"/>
        </w:rPr>
        <w:t>were</w:t>
      </w:r>
      <w:r w:rsidR="0036374D" w:rsidRPr="00074165">
        <w:rPr>
          <w:rFonts w:cs="Times New Roman"/>
          <w:bCs/>
          <w:szCs w:val="24"/>
        </w:rPr>
        <w:t xml:space="preserve"> sent using the blind copy feature to ensure that privacy and confidentiality </w:t>
      </w:r>
      <w:r w:rsidR="00D77763">
        <w:rPr>
          <w:rFonts w:cs="Times New Roman"/>
          <w:bCs/>
          <w:szCs w:val="24"/>
        </w:rPr>
        <w:t>were</w:t>
      </w:r>
      <w:r w:rsidR="0036374D" w:rsidRPr="00074165">
        <w:rPr>
          <w:rFonts w:cs="Times New Roman"/>
          <w:bCs/>
          <w:szCs w:val="24"/>
        </w:rPr>
        <w:t xml:space="preserve"> maintained.</w:t>
      </w:r>
    </w:p>
    <w:p w14:paraId="49326FFB" w14:textId="00A914B7" w:rsidR="00411BE6" w:rsidRPr="00074165" w:rsidRDefault="0036374D" w:rsidP="00411BE6">
      <w:pPr>
        <w:spacing w:after="0" w:line="480" w:lineRule="auto"/>
        <w:ind w:firstLine="720"/>
        <w:rPr>
          <w:rFonts w:cs="Times New Roman"/>
          <w:bCs/>
          <w:szCs w:val="24"/>
        </w:rPr>
      </w:pPr>
      <w:r w:rsidRPr="00074165">
        <w:rPr>
          <w:rFonts w:cs="Times New Roman"/>
          <w:bCs/>
          <w:szCs w:val="24"/>
        </w:rPr>
        <w:t xml:space="preserve">Once a group of providers interested in participating in the project </w:t>
      </w:r>
      <w:r w:rsidR="00D77763">
        <w:rPr>
          <w:rFonts w:cs="Times New Roman"/>
          <w:bCs/>
          <w:szCs w:val="24"/>
        </w:rPr>
        <w:t>had</w:t>
      </w:r>
      <w:r w:rsidRPr="00074165">
        <w:rPr>
          <w:rFonts w:cs="Times New Roman"/>
          <w:bCs/>
          <w:szCs w:val="24"/>
        </w:rPr>
        <w:t xml:space="preserve"> been identified, a second email with an informed consent form attached </w:t>
      </w:r>
      <w:r w:rsidR="00D77763">
        <w:rPr>
          <w:rFonts w:cs="Times New Roman"/>
          <w:bCs/>
          <w:szCs w:val="24"/>
        </w:rPr>
        <w:t>was</w:t>
      </w:r>
      <w:r w:rsidRPr="00074165">
        <w:rPr>
          <w:rFonts w:cs="Times New Roman"/>
          <w:bCs/>
          <w:szCs w:val="24"/>
        </w:rPr>
        <w:t xml:space="preserve"> sent (Appendix </w:t>
      </w:r>
      <w:r w:rsidR="00D77763">
        <w:rPr>
          <w:rFonts w:cs="Times New Roman"/>
          <w:bCs/>
          <w:szCs w:val="24"/>
        </w:rPr>
        <w:t>E</w:t>
      </w:r>
      <w:r w:rsidRPr="00074165">
        <w:rPr>
          <w:rFonts w:cs="Times New Roman"/>
          <w:bCs/>
          <w:szCs w:val="24"/>
        </w:rPr>
        <w:t xml:space="preserve">). Participants </w:t>
      </w:r>
      <w:r w:rsidR="00D77763">
        <w:rPr>
          <w:rFonts w:cs="Times New Roman"/>
          <w:bCs/>
          <w:szCs w:val="24"/>
        </w:rPr>
        <w:t>were</w:t>
      </w:r>
      <w:r w:rsidRPr="00074165">
        <w:rPr>
          <w:rFonts w:cs="Times New Roman"/>
          <w:bCs/>
          <w:szCs w:val="24"/>
        </w:rPr>
        <w:t xml:space="preserve"> instructed to sign the document either digitally or by printing and scanning the form to indicate their acknowledgement of their participation in the project. Providers </w:t>
      </w:r>
      <w:r w:rsidR="00D77763">
        <w:rPr>
          <w:rFonts w:cs="Times New Roman"/>
          <w:bCs/>
          <w:szCs w:val="24"/>
        </w:rPr>
        <w:t>were</w:t>
      </w:r>
      <w:r w:rsidRPr="00074165">
        <w:rPr>
          <w:rFonts w:cs="Times New Roman"/>
          <w:bCs/>
          <w:szCs w:val="24"/>
        </w:rPr>
        <w:t xml:space="preserve"> asked to return the completed informed consent form by replying to the email within one week. Providers who initially expressed interest in the project and </w:t>
      </w:r>
      <w:r w:rsidR="00D77763">
        <w:rPr>
          <w:rFonts w:cs="Times New Roman"/>
          <w:bCs/>
          <w:szCs w:val="24"/>
        </w:rPr>
        <w:t>did not</w:t>
      </w:r>
      <w:r w:rsidRPr="00074165">
        <w:rPr>
          <w:rFonts w:cs="Times New Roman"/>
          <w:bCs/>
          <w:szCs w:val="24"/>
        </w:rPr>
        <w:t xml:space="preserve"> return the informed consent form within one week </w:t>
      </w:r>
      <w:r w:rsidR="00D77763">
        <w:rPr>
          <w:rFonts w:cs="Times New Roman"/>
          <w:bCs/>
          <w:szCs w:val="24"/>
        </w:rPr>
        <w:t>were</w:t>
      </w:r>
      <w:r w:rsidRPr="00074165">
        <w:rPr>
          <w:rFonts w:cs="Times New Roman"/>
          <w:bCs/>
          <w:szCs w:val="24"/>
        </w:rPr>
        <w:t xml:space="preserve"> sent a follow-up email reminder and asked to complete the </w:t>
      </w:r>
      <w:r w:rsidR="000523E2" w:rsidRPr="00074165">
        <w:rPr>
          <w:rFonts w:cs="Times New Roman"/>
          <w:bCs/>
          <w:szCs w:val="24"/>
        </w:rPr>
        <w:t>form</w:t>
      </w:r>
      <w:r w:rsidRPr="00074165">
        <w:rPr>
          <w:rFonts w:cs="Times New Roman"/>
          <w:bCs/>
          <w:szCs w:val="24"/>
        </w:rPr>
        <w:t xml:space="preserve"> within one week. Providers who </w:t>
      </w:r>
      <w:r w:rsidR="007E1CF5" w:rsidRPr="00074165">
        <w:rPr>
          <w:rFonts w:cs="Times New Roman"/>
          <w:bCs/>
          <w:szCs w:val="24"/>
        </w:rPr>
        <w:t>did</w:t>
      </w:r>
      <w:r w:rsidRPr="00074165">
        <w:rPr>
          <w:rFonts w:cs="Times New Roman"/>
          <w:bCs/>
          <w:szCs w:val="24"/>
        </w:rPr>
        <w:t xml:space="preserve"> not respond </w:t>
      </w:r>
      <w:r w:rsidR="00D77763">
        <w:rPr>
          <w:rFonts w:cs="Times New Roman"/>
          <w:bCs/>
          <w:szCs w:val="24"/>
        </w:rPr>
        <w:t>had</w:t>
      </w:r>
      <w:r w:rsidRPr="00074165">
        <w:rPr>
          <w:rFonts w:cs="Times New Roman"/>
          <w:bCs/>
          <w:szCs w:val="24"/>
        </w:rPr>
        <w:t xml:space="preserve"> their email addresses removed from </w:t>
      </w:r>
      <w:r w:rsidR="00D77763">
        <w:rPr>
          <w:rFonts w:cs="Times New Roman"/>
          <w:bCs/>
          <w:szCs w:val="24"/>
        </w:rPr>
        <w:t xml:space="preserve">all </w:t>
      </w:r>
      <w:r w:rsidR="00411BE6" w:rsidRPr="00074165">
        <w:rPr>
          <w:rFonts w:cs="Times New Roman"/>
          <w:bCs/>
          <w:szCs w:val="24"/>
        </w:rPr>
        <w:t xml:space="preserve">future project communications. </w:t>
      </w:r>
      <w:r w:rsidR="0063645F" w:rsidRPr="00074165">
        <w:rPr>
          <w:rFonts w:cs="Times New Roman"/>
          <w:bCs/>
          <w:szCs w:val="24"/>
        </w:rPr>
        <w:t>Again,</w:t>
      </w:r>
      <w:r w:rsidR="00411BE6" w:rsidRPr="00074165">
        <w:rPr>
          <w:rFonts w:cs="Times New Roman"/>
          <w:bCs/>
          <w:szCs w:val="24"/>
        </w:rPr>
        <w:t xml:space="preserve"> the blind copy feature for emails </w:t>
      </w:r>
      <w:r w:rsidR="00D77763">
        <w:rPr>
          <w:rFonts w:cs="Times New Roman"/>
          <w:bCs/>
          <w:szCs w:val="24"/>
        </w:rPr>
        <w:t>was</w:t>
      </w:r>
      <w:r w:rsidR="00411BE6" w:rsidRPr="00074165">
        <w:rPr>
          <w:rFonts w:cs="Times New Roman"/>
          <w:bCs/>
          <w:szCs w:val="24"/>
        </w:rPr>
        <w:t xml:space="preserve"> used to protect provider privacy and confidentiality. Providers that complete</w:t>
      </w:r>
      <w:r w:rsidR="00D77763">
        <w:rPr>
          <w:rFonts w:cs="Times New Roman"/>
          <w:bCs/>
          <w:szCs w:val="24"/>
        </w:rPr>
        <w:t>d</w:t>
      </w:r>
      <w:r w:rsidR="00411BE6" w:rsidRPr="00074165">
        <w:rPr>
          <w:rFonts w:cs="Times New Roman"/>
          <w:bCs/>
          <w:szCs w:val="24"/>
        </w:rPr>
        <w:t xml:space="preserve"> the informed consent form </w:t>
      </w:r>
      <w:r w:rsidR="00D77763">
        <w:rPr>
          <w:rFonts w:cs="Times New Roman"/>
          <w:bCs/>
          <w:szCs w:val="24"/>
        </w:rPr>
        <w:t>were</w:t>
      </w:r>
      <w:r w:rsidR="00411BE6" w:rsidRPr="00074165">
        <w:rPr>
          <w:rFonts w:cs="Times New Roman"/>
          <w:bCs/>
          <w:szCs w:val="24"/>
        </w:rPr>
        <w:t xml:space="preserve"> considered participants in the project.</w:t>
      </w:r>
    </w:p>
    <w:p w14:paraId="0281273B" w14:textId="3D866EDE" w:rsidR="00411BE6" w:rsidRPr="00074165" w:rsidRDefault="00411BE6" w:rsidP="00411BE6">
      <w:pPr>
        <w:spacing w:after="0" w:line="480" w:lineRule="auto"/>
        <w:ind w:firstLine="720"/>
        <w:rPr>
          <w:rFonts w:cs="Times New Roman"/>
          <w:bCs/>
          <w:szCs w:val="24"/>
        </w:rPr>
      </w:pPr>
      <w:r w:rsidRPr="00074165">
        <w:rPr>
          <w:rFonts w:cs="Times New Roman"/>
          <w:bCs/>
          <w:szCs w:val="24"/>
        </w:rPr>
        <w:t xml:space="preserve">Once all informed consent forms </w:t>
      </w:r>
      <w:r w:rsidR="00D77763">
        <w:rPr>
          <w:rFonts w:cs="Times New Roman"/>
          <w:bCs/>
          <w:szCs w:val="24"/>
        </w:rPr>
        <w:t>had</w:t>
      </w:r>
      <w:r w:rsidRPr="00074165">
        <w:rPr>
          <w:rFonts w:cs="Times New Roman"/>
          <w:bCs/>
          <w:szCs w:val="24"/>
        </w:rPr>
        <w:t xml:space="preserve"> been returned, participants </w:t>
      </w:r>
      <w:r w:rsidR="00D77763">
        <w:rPr>
          <w:rFonts w:cs="Times New Roman"/>
          <w:bCs/>
          <w:szCs w:val="24"/>
        </w:rPr>
        <w:t>were</w:t>
      </w:r>
      <w:r w:rsidRPr="00074165">
        <w:rPr>
          <w:rFonts w:cs="Times New Roman"/>
          <w:bCs/>
          <w:szCs w:val="24"/>
        </w:rPr>
        <w:t xml:space="preserve"> emailed a link to an online survey platform (SurveyMonkey) to complete a demographic questionnaire (Appendix </w:t>
      </w:r>
      <w:r w:rsidR="00D77763">
        <w:rPr>
          <w:rFonts w:cs="Times New Roman"/>
          <w:bCs/>
          <w:szCs w:val="24"/>
        </w:rPr>
        <w:t>F</w:t>
      </w:r>
      <w:r w:rsidRPr="00074165">
        <w:rPr>
          <w:rFonts w:cs="Times New Roman"/>
          <w:bCs/>
          <w:szCs w:val="24"/>
        </w:rPr>
        <w:t xml:space="preserve">) </w:t>
      </w:r>
      <w:r w:rsidR="00C31EE2" w:rsidRPr="00074165">
        <w:rPr>
          <w:rFonts w:cs="Times New Roman"/>
          <w:bCs/>
          <w:szCs w:val="24"/>
        </w:rPr>
        <w:t xml:space="preserve">and a pre-intervention assessment of knowledge regarding sexually transmitted infections in older adults (Appendix </w:t>
      </w:r>
      <w:r w:rsidR="00D77763">
        <w:rPr>
          <w:rFonts w:cs="Times New Roman"/>
          <w:bCs/>
          <w:szCs w:val="24"/>
        </w:rPr>
        <w:t>G</w:t>
      </w:r>
      <w:r w:rsidR="00C31EE2" w:rsidRPr="00074165">
        <w:rPr>
          <w:rFonts w:cs="Times New Roman"/>
          <w:bCs/>
          <w:szCs w:val="24"/>
        </w:rPr>
        <w:t>). The email contain</w:t>
      </w:r>
      <w:r w:rsidR="00D77763">
        <w:rPr>
          <w:rFonts w:cs="Times New Roman"/>
          <w:bCs/>
          <w:szCs w:val="24"/>
        </w:rPr>
        <w:t>ed</w:t>
      </w:r>
      <w:r w:rsidR="00C31EE2" w:rsidRPr="00074165">
        <w:rPr>
          <w:rFonts w:cs="Times New Roman"/>
          <w:bCs/>
          <w:szCs w:val="24"/>
        </w:rPr>
        <w:t xml:space="preserve"> a link with instructions on how to complete the forms. The principal investigator’s contact information </w:t>
      </w:r>
      <w:r w:rsidR="00D77763">
        <w:rPr>
          <w:rFonts w:cs="Times New Roman"/>
          <w:bCs/>
          <w:szCs w:val="24"/>
        </w:rPr>
        <w:t>was</w:t>
      </w:r>
      <w:r w:rsidR="00C31EE2" w:rsidRPr="00074165">
        <w:rPr>
          <w:rFonts w:cs="Times New Roman"/>
          <w:bCs/>
          <w:szCs w:val="24"/>
        </w:rPr>
        <w:t xml:space="preserve"> provided in case participants </w:t>
      </w:r>
      <w:r w:rsidR="00D77763">
        <w:rPr>
          <w:rFonts w:cs="Times New Roman"/>
          <w:bCs/>
          <w:szCs w:val="24"/>
        </w:rPr>
        <w:t>had</w:t>
      </w:r>
      <w:r w:rsidR="00C31EE2" w:rsidRPr="00074165">
        <w:rPr>
          <w:rFonts w:cs="Times New Roman"/>
          <w:bCs/>
          <w:szCs w:val="24"/>
        </w:rPr>
        <w:t xml:space="preserve"> any questions regarding the forms. Participants </w:t>
      </w:r>
      <w:r w:rsidR="00D77763">
        <w:rPr>
          <w:rFonts w:cs="Times New Roman"/>
          <w:bCs/>
          <w:szCs w:val="24"/>
        </w:rPr>
        <w:t>were</w:t>
      </w:r>
      <w:r w:rsidR="00C31EE2" w:rsidRPr="00074165">
        <w:rPr>
          <w:rFonts w:cs="Times New Roman"/>
          <w:bCs/>
          <w:szCs w:val="24"/>
        </w:rPr>
        <w:t xml:space="preserve"> asked to complete the demographic questionnaire and pre-intervention knowledge assessment within two weeks</w:t>
      </w:r>
      <w:r w:rsidR="00CA0970" w:rsidRPr="00074165">
        <w:rPr>
          <w:rFonts w:cs="Times New Roman"/>
          <w:bCs/>
          <w:szCs w:val="24"/>
        </w:rPr>
        <w:t xml:space="preserve">. Participants </w:t>
      </w:r>
      <w:r w:rsidR="00D77763">
        <w:rPr>
          <w:rFonts w:cs="Times New Roman"/>
          <w:bCs/>
          <w:szCs w:val="24"/>
        </w:rPr>
        <w:t>were</w:t>
      </w:r>
      <w:r w:rsidR="00CA0970" w:rsidRPr="00074165">
        <w:rPr>
          <w:rFonts w:cs="Times New Roman"/>
          <w:bCs/>
          <w:szCs w:val="24"/>
        </w:rPr>
        <w:t xml:space="preserve"> </w:t>
      </w:r>
      <w:r w:rsidR="00CA0970" w:rsidRPr="00074165">
        <w:rPr>
          <w:rFonts w:cs="Times New Roman"/>
          <w:bCs/>
          <w:szCs w:val="24"/>
        </w:rPr>
        <w:lastRenderedPageBreak/>
        <w:t xml:space="preserve">asked to use their email addresses when completing the survey and all participants </w:t>
      </w:r>
      <w:r w:rsidR="00D77763">
        <w:rPr>
          <w:rFonts w:cs="Times New Roman"/>
          <w:bCs/>
          <w:szCs w:val="24"/>
        </w:rPr>
        <w:t>were</w:t>
      </w:r>
      <w:r w:rsidR="00CA0970" w:rsidRPr="00074165">
        <w:rPr>
          <w:rFonts w:cs="Times New Roman"/>
          <w:bCs/>
          <w:szCs w:val="24"/>
        </w:rPr>
        <w:t xml:space="preserve"> blinded or unable to see the responses of others. At the end of the two</w:t>
      </w:r>
      <w:r w:rsidR="0063645F" w:rsidRPr="00074165">
        <w:rPr>
          <w:rFonts w:cs="Times New Roman"/>
          <w:bCs/>
          <w:szCs w:val="24"/>
        </w:rPr>
        <w:t>-</w:t>
      </w:r>
      <w:r w:rsidR="00CA0970" w:rsidRPr="00074165">
        <w:rPr>
          <w:rFonts w:cs="Times New Roman"/>
          <w:bCs/>
          <w:szCs w:val="24"/>
        </w:rPr>
        <w:t xml:space="preserve"> week period, the principal investigator </w:t>
      </w:r>
      <w:r w:rsidR="00D77763">
        <w:rPr>
          <w:rFonts w:cs="Times New Roman"/>
          <w:bCs/>
          <w:szCs w:val="24"/>
        </w:rPr>
        <w:t>was</w:t>
      </w:r>
      <w:r w:rsidR="00CA0970" w:rsidRPr="00074165">
        <w:rPr>
          <w:rFonts w:cs="Times New Roman"/>
          <w:bCs/>
          <w:szCs w:val="24"/>
        </w:rPr>
        <w:t xml:space="preserve"> able to determine which participants did and did not complete the surveys. For those that did not complete the surveys</w:t>
      </w:r>
      <w:r w:rsidR="0063645F" w:rsidRPr="00074165">
        <w:rPr>
          <w:rFonts w:cs="Times New Roman"/>
          <w:bCs/>
          <w:szCs w:val="24"/>
        </w:rPr>
        <w:t>,</w:t>
      </w:r>
      <w:r w:rsidR="00CA0970" w:rsidRPr="00074165">
        <w:rPr>
          <w:rFonts w:cs="Times New Roman"/>
          <w:bCs/>
          <w:szCs w:val="24"/>
        </w:rPr>
        <w:t xml:space="preserve"> a follow-up email </w:t>
      </w:r>
      <w:r w:rsidR="00D77763">
        <w:rPr>
          <w:rFonts w:cs="Times New Roman"/>
          <w:bCs/>
          <w:szCs w:val="24"/>
        </w:rPr>
        <w:t>was</w:t>
      </w:r>
      <w:r w:rsidR="00CA0970" w:rsidRPr="00074165">
        <w:rPr>
          <w:rFonts w:cs="Times New Roman"/>
          <w:bCs/>
          <w:szCs w:val="24"/>
        </w:rPr>
        <w:t xml:space="preserve"> sent requesting completion of these documents within one week. If participants </w:t>
      </w:r>
      <w:r w:rsidR="00D77763">
        <w:rPr>
          <w:rFonts w:cs="Times New Roman"/>
          <w:bCs/>
          <w:szCs w:val="24"/>
        </w:rPr>
        <w:t>did</w:t>
      </w:r>
      <w:r w:rsidR="00CA0970" w:rsidRPr="00074165">
        <w:rPr>
          <w:rFonts w:cs="Times New Roman"/>
          <w:bCs/>
          <w:szCs w:val="24"/>
        </w:rPr>
        <w:t xml:space="preserve"> not respond during the follow-up period, their information and data </w:t>
      </w:r>
      <w:r w:rsidR="00D77763">
        <w:rPr>
          <w:rFonts w:cs="Times New Roman"/>
          <w:bCs/>
          <w:szCs w:val="24"/>
        </w:rPr>
        <w:t>was</w:t>
      </w:r>
      <w:r w:rsidR="00CA0970" w:rsidRPr="00074165">
        <w:rPr>
          <w:rFonts w:cs="Times New Roman"/>
          <w:bCs/>
          <w:szCs w:val="24"/>
        </w:rPr>
        <w:t xml:space="preserve"> excluded from the project. All emails </w:t>
      </w:r>
      <w:r w:rsidR="00D77763">
        <w:rPr>
          <w:rFonts w:cs="Times New Roman"/>
          <w:bCs/>
          <w:szCs w:val="24"/>
        </w:rPr>
        <w:t>were</w:t>
      </w:r>
      <w:r w:rsidR="00CA0970" w:rsidRPr="00074165">
        <w:rPr>
          <w:rFonts w:cs="Times New Roman"/>
          <w:bCs/>
          <w:szCs w:val="24"/>
        </w:rPr>
        <w:t xml:space="preserve"> sent using the blind copy feature to protect participant privacy and confidentiality.</w:t>
      </w:r>
    </w:p>
    <w:p w14:paraId="3937F774" w14:textId="232DFC62" w:rsidR="00CA0970" w:rsidRPr="00074165" w:rsidRDefault="00CA0970" w:rsidP="00411BE6">
      <w:pPr>
        <w:spacing w:after="0" w:line="480" w:lineRule="auto"/>
        <w:ind w:firstLine="720"/>
        <w:rPr>
          <w:rFonts w:cs="Times New Roman"/>
          <w:bCs/>
          <w:szCs w:val="24"/>
        </w:rPr>
      </w:pPr>
      <w:r w:rsidRPr="00074165">
        <w:rPr>
          <w:rFonts w:cs="Times New Roman"/>
          <w:bCs/>
          <w:szCs w:val="24"/>
        </w:rPr>
        <w:t xml:space="preserve">Following the completion of the demographic questionnaire and pre-intervention knowledge assessment, participants </w:t>
      </w:r>
      <w:r w:rsidR="00D77763">
        <w:rPr>
          <w:rFonts w:cs="Times New Roman"/>
          <w:bCs/>
          <w:szCs w:val="24"/>
        </w:rPr>
        <w:t>were</w:t>
      </w:r>
      <w:r w:rsidR="000523E2" w:rsidRPr="00074165">
        <w:rPr>
          <w:rFonts w:cs="Times New Roman"/>
          <w:bCs/>
          <w:szCs w:val="24"/>
        </w:rPr>
        <w:t xml:space="preserve"> </w:t>
      </w:r>
      <w:r w:rsidRPr="00074165">
        <w:rPr>
          <w:rFonts w:cs="Times New Roman"/>
          <w:bCs/>
          <w:szCs w:val="24"/>
        </w:rPr>
        <w:t>emailed a link to an online educational module created by the principal investigator. The presentation include</w:t>
      </w:r>
      <w:r w:rsidR="00D77763">
        <w:rPr>
          <w:rFonts w:cs="Times New Roman"/>
          <w:bCs/>
          <w:szCs w:val="24"/>
        </w:rPr>
        <w:t>d</w:t>
      </w:r>
      <w:r w:rsidRPr="00074165">
        <w:rPr>
          <w:rFonts w:cs="Times New Roman"/>
          <w:bCs/>
          <w:szCs w:val="24"/>
        </w:rPr>
        <w:t xml:space="preserve"> a voice over PowerPoint presentation that </w:t>
      </w:r>
      <w:r w:rsidR="00D77763">
        <w:rPr>
          <w:rFonts w:cs="Times New Roman"/>
          <w:bCs/>
          <w:szCs w:val="24"/>
        </w:rPr>
        <w:t>was</w:t>
      </w:r>
      <w:r w:rsidRPr="00074165">
        <w:rPr>
          <w:rFonts w:cs="Times New Roman"/>
          <w:bCs/>
          <w:szCs w:val="24"/>
        </w:rPr>
        <w:t xml:space="preserve"> recorded and uploaded to YouTube. Instructions for viewing the presentation </w:t>
      </w:r>
      <w:r w:rsidR="00D77763">
        <w:rPr>
          <w:rFonts w:cs="Times New Roman"/>
          <w:bCs/>
          <w:szCs w:val="24"/>
        </w:rPr>
        <w:t>were</w:t>
      </w:r>
      <w:r w:rsidRPr="00074165">
        <w:rPr>
          <w:rFonts w:cs="Times New Roman"/>
          <w:bCs/>
          <w:szCs w:val="24"/>
        </w:rPr>
        <w:t xml:space="preserve"> provided in the email along with a request to reply to the email when the participant </w:t>
      </w:r>
      <w:r w:rsidR="00D77763">
        <w:rPr>
          <w:rFonts w:cs="Times New Roman"/>
          <w:bCs/>
          <w:szCs w:val="24"/>
        </w:rPr>
        <w:t>had</w:t>
      </w:r>
      <w:r w:rsidRPr="00074165">
        <w:rPr>
          <w:rFonts w:cs="Times New Roman"/>
          <w:bCs/>
          <w:szCs w:val="24"/>
        </w:rPr>
        <w:t xml:space="preserve"> completed viewing the presentation. </w:t>
      </w:r>
      <w:r w:rsidR="007A2048" w:rsidRPr="00074165">
        <w:rPr>
          <w:rFonts w:cs="Times New Roman"/>
          <w:bCs/>
          <w:szCs w:val="24"/>
        </w:rPr>
        <w:t xml:space="preserve">Participants </w:t>
      </w:r>
      <w:r w:rsidR="00D77763">
        <w:rPr>
          <w:rFonts w:cs="Times New Roman"/>
          <w:bCs/>
          <w:szCs w:val="24"/>
        </w:rPr>
        <w:t>were</w:t>
      </w:r>
      <w:r w:rsidR="007A2048" w:rsidRPr="00074165">
        <w:rPr>
          <w:rFonts w:cs="Times New Roman"/>
          <w:bCs/>
          <w:szCs w:val="24"/>
        </w:rPr>
        <w:t xml:space="preserve"> asked to view the presentation within two weeks. By the end of the two</w:t>
      </w:r>
      <w:r w:rsidR="007B4BAC" w:rsidRPr="00074165">
        <w:rPr>
          <w:rFonts w:cs="Times New Roman"/>
          <w:bCs/>
          <w:szCs w:val="24"/>
        </w:rPr>
        <w:t>-</w:t>
      </w:r>
      <w:r w:rsidR="007A2048" w:rsidRPr="00074165">
        <w:rPr>
          <w:rFonts w:cs="Times New Roman"/>
          <w:bCs/>
          <w:szCs w:val="24"/>
        </w:rPr>
        <w:t xml:space="preserve"> week period, participants that </w:t>
      </w:r>
      <w:r w:rsidR="00D77763">
        <w:rPr>
          <w:rFonts w:cs="Times New Roman"/>
          <w:bCs/>
          <w:szCs w:val="24"/>
        </w:rPr>
        <w:t>had</w:t>
      </w:r>
      <w:r w:rsidR="007A2048" w:rsidRPr="00074165">
        <w:rPr>
          <w:rFonts w:cs="Times New Roman"/>
          <w:bCs/>
          <w:szCs w:val="24"/>
        </w:rPr>
        <w:t xml:space="preserve"> not responded in the affirmative that the presentation has been viewed </w:t>
      </w:r>
      <w:r w:rsidR="00D77763">
        <w:rPr>
          <w:rFonts w:cs="Times New Roman"/>
          <w:bCs/>
          <w:szCs w:val="24"/>
        </w:rPr>
        <w:t>were</w:t>
      </w:r>
      <w:r w:rsidR="007A2048" w:rsidRPr="00074165">
        <w:rPr>
          <w:rFonts w:cs="Times New Roman"/>
          <w:bCs/>
          <w:szCs w:val="24"/>
        </w:rPr>
        <w:t xml:space="preserve"> sent a follow-up email and asked to complete the task within the next week. Participants that do not watch the video </w:t>
      </w:r>
      <w:r w:rsidR="00D77763">
        <w:rPr>
          <w:rFonts w:cs="Times New Roman"/>
          <w:bCs/>
          <w:szCs w:val="24"/>
        </w:rPr>
        <w:t>had</w:t>
      </w:r>
      <w:r w:rsidR="007A2048" w:rsidRPr="00074165">
        <w:rPr>
          <w:rFonts w:cs="Times New Roman"/>
          <w:bCs/>
          <w:szCs w:val="24"/>
        </w:rPr>
        <w:t xml:space="preserve"> their data excluded from the project. Again, all emails </w:t>
      </w:r>
      <w:r w:rsidR="00D77763">
        <w:rPr>
          <w:rFonts w:cs="Times New Roman"/>
          <w:bCs/>
          <w:szCs w:val="24"/>
        </w:rPr>
        <w:t>were</w:t>
      </w:r>
      <w:r w:rsidR="007A2048" w:rsidRPr="00074165">
        <w:rPr>
          <w:rFonts w:cs="Times New Roman"/>
          <w:bCs/>
          <w:szCs w:val="24"/>
        </w:rPr>
        <w:t xml:space="preserve"> sent using the blind copy feature to protect participant privacy and confidentiality.</w:t>
      </w:r>
    </w:p>
    <w:p w14:paraId="51D4D5F0" w14:textId="685F1F57" w:rsidR="007A2048" w:rsidRPr="00074165" w:rsidRDefault="00462D28" w:rsidP="00411BE6">
      <w:pPr>
        <w:spacing w:after="0" w:line="480" w:lineRule="auto"/>
        <w:ind w:firstLine="720"/>
        <w:rPr>
          <w:rFonts w:cs="Times New Roman"/>
          <w:bCs/>
          <w:szCs w:val="24"/>
        </w:rPr>
      </w:pPr>
      <w:r w:rsidRPr="00074165">
        <w:rPr>
          <w:rFonts w:cs="Times New Roman"/>
          <w:bCs/>
          <w:szCs w:val="24"/>
        </w:rPr>
        <w:t>After all eligible participants viewed the online educational module</w:t>
      </w:r>
      <w:r w:rsidR="007B4BAC" w:rsidRPr="00074165">
        <w:rPr>
          <w:rFonts w:cs="Times New Roman"/>
          <w:bCs/>
          <w:szCs w:val="24"/>
        </w:rPr>
        <w:t>,</w:t>
      </w:r>
      <w:r w:rsidRPr="00074165">
        <w:rPr>
          <w:rFonts w:cs="Times New Roman"/>
          <w:bCs/>
          <w:szCs w:val="24"/>
        </w:rPr>
        <w:t xml:space="preserve"> a final email </w:t>
      </w:r>
      <w:r w:rsidR="00440BC5">
        <w:rPr>
          <w:rFonts w:cs="Times New Roman"/>
          <w:bCs/>
          <w:szCs w:val="24"/>
        </w:rPr>
        <w:t>was</w:t>
      </w:r>
      <w:r w:rsidRPr="00074165">
        <w:rPr>
          <w:rFonts w:cs="Times New Roman"/>
          <w:bCs/>
          <w:szCs w:val="24"/>
        </w:rPr>
        <w:t xml:space="preserve"> sent for participants to complete the post-intervention knowledge assessment. The assessment will </w:t>
      </w:r>
      <w:r w:rsidR="007E1CF5" w:rsidRPr="00074165">
        <w:rPr>
          <w:rFonts w:cs="Times New Roman"/>
          <w:bCs/>
          <w:szCs w:val="24"/>
        </w:rPr>
        <w:t>include</w:t>
      </w:r>
      <w:r w:rsidRPr="00074165">
        <w:rPr>
          <w:rFonts w:cs="Times New Roman"/>
          <w:bCs/>
          <w:szCs w:val="24"/>
        </w:rPr>
        <w:t xml:space="preserve"> the same questions from the pre-test (Appendix </w:t>
      </w:r>
      <w:r w:rsidR="00440BC5">
        <w:rPr>
          <w:rFonts w:cs="Times New Roman"/>
          <w:bCs/>
          <w:szCs w:val="24"/>
        </w:rPr>
        <w:t>G</w:t>
      </w:r>
      <w:r w:rsidRPr="00074165">
        <w:rPr>
          <w:rFonts w:cs="Times New Roman"/>
          <w:bCs/>
          <w:szCs w:val="24"/>
        </w:rPr>
        <w:t xml:space="preserve">) with the questions rearranged to help reduce test bias. The knowledge test </w:t>
      </w:r>
      <w:r w:rsidR="00440BC5">
        <w:rPr>
          <w:rFonts w:cs="Times New Roman"/>
          <w:bCs/>
          <w:szCs w:val="24"/>
        </w:rPr>
        <w:t>was</w:t>
      </w:r>
      <w:r w:rsidRPr="00074165">
        <w:rPr>
          <w:rFonts w:cs="Times New Roman"/>
          <w:bCs/>
          <w:szCs w:val="24"/>
        </w:rPr>
        <w:t xml:space="preserve"> completed online at </w:t>
      </w:r>
      <w:r w:rsidR="007B4BAC" w:rsidRPr="00074165">
        <w:rPr>
          <w:rFonts w:cs="Times New Roman"/>
          <w:bCs/>
          <w:szCs w:val="24"/>
        </w:rPr>
        <w:t>SurveyMonkey,</w:t>
      </w:r>
      <w:r w:rsidRPr="00074165">
        <w:rPr>
          <w:rFonts w:cs="Times New Roman"/>
          <w:bCs/>
          <w:szCs w:val="24"/>
        </w:rPr>
        <w:t xml:space="preserve"> and participants </w:t>
      </w:r>
      <w:r w:rsidR="00440BC5">
        <w:rPr>
          <w:rFonts w:cs="Times New Roman"/>
          <w:bCs/>
          <w:szCs w:val="24"/>
        </w:rPr>
        <w:t>were</w:t>
      </w:r>
      <w:r w:rsidRPr="00074165">
        <w:rPr>
          <w:rFonts w:cs="Times New Roman"/>
          <w:bCs/>
          <w:szCs w:val="24"/>
        </w:rPr>
        <w:t xml:space="preserve"> asked to use their email addresses. This will </w:t>
      </w:r>
      <w:r w:rsidR="007E1CF5">
        <w:rPr>
          <w:rFonts w:cs="Times New Roman"/>
          <w:bCs/>
          <w:szCs w:val="24"/>
        </w:rPr>
        <w:t>make</w:t>
      </w:r>
      <w:r w:rsidRPr="00074165">
        <w:rPr>
          <w:rFonts w:cs="Times New Roman"/>
          <w:bCs/>
          <w:szCs w:val="24"/>
        </w:rPr>
        <w:t xml:space="preserve"> it possible to track </w:t>
      </w:r>
      <w:r w:rsidRPr="00074165">
        <w:rPr>
          <w:rFonts w:cs="Times New Roman"/>
          <w:bCs/>
          <w:szCs w:val="24"/>
        </w:rPr>
        <w:lastRenderedPageBreak/>
        <w:t xml:space="preserve">participation </w:t>
      </w:r>
      <w:r w:rsidR="007B4BAC" w:rsidRPr="00074165">
        <w:rPr>
          <w:rFonts w:cs="Times New Roman"/>
          <w:bCs/>
          <w:szCs w:val="24"/>
        </w:rPr>
        <w:t>and</w:t>
      </w:r>
      <w:r w:rsidRPr="00074165">
        <w:rPr>
          <w:rFonts w:cs="Times New Roman"/>
          <w:bCs/>
          <w:szCs w:val="24"/>
        </w:rPr>
        <w:t xml:space="preserve"> to match pre- and post-intervention knowledge assessments. Participants </w:t>
      </w:r>
      <w:r w:rsidR="00440BC5">
        <w:rPr>
          <w:rFonts w:cs="Times New Roman"/>
          <w:bCs/>
          <w:szCs w:val="24"/>
        </w:rPr>
        <w:t>were</w:t>
      </w:r>
      <w:r w:rsidRPr="00074165">
        <w:rPr>
          <w:rFonts w:cs="Times New Roman"/>
          <w:bCs/>
          <w:szCs w:val="24"/>
        </w:rPr>
        <w:t xml:space="preserve"> asked to complete the assessment within two weeks. Based on data from SurveyMonkey, participants that </w:t>
      </w:r>
      <w:r w:rsidR="00440BC5">
        <w:rPr>
          <w:rFonts w:cs="Times New Roman"/>
          <w:bCs/>
          <w:szCs w:val="24"/>
        </w:rPr>
        <w:t>had</w:t>
      </w:r>
      <w:r w:rsidRPr="00074165">
        <w:rPr>
          <w:rFonts w:cs="Times New Roman"/>
          <w:bCs/>
          <w:szCs w:val="24"/>
        </w:rPr>
        <w:t xml:space="preserve"> not completed the assessment </w:t>
      </w:r>
      <w:r w:rsidR="00440BC5">
        <w:rPr>
          <w:rFonts w:cs="Times New Roman"/>
          <w:bCs/>
          <w:szCs w:val="24"/>
        </w:rPr>
        <w:t>were</w:t>
      </w:r>
      <w:r w:rsidRPr="00074165">
        <w:rPr>
          <w:rFonts w:cs="Times New Roman"/>
          <w:bCs/>
          <w:szCs w:val="24"/>
        </w:rPr>
        <w:t xml:space="preserve"> sent a follow-up email and asked to complete the assessment within one week. Participants that </w:t>
      </w:r>
      <w:r w:rsidR="00440BC5">
        <w:rPr>
          <w:rFonts w:cs="Times New Roman"/>
          <w:bCs/>
          <w:szCs w:val="24"/>
        </w:rPr>
        <w:t>did</w:t>
      </w:r>
      <w:r w:rsidRPr="00074165">
        <w:rPr>
          <w:rFonts w:cs="Times New Roman"/>
          <w:bCs/>
          <w:szCs w:val="24"/>
        </w:rPr>
        <w:t xml:space="preserve"> not complete the assessment within the follow-up period </w:t>
      </w:r>
      <w:r w:rsidR="00440BC5">
        <w:rPr>
          <w:rFonts w:cs="Times New Roman"/>
          <w:bCs/>
          <w:szCs w:val="24"/>
        </w:rPr>
        <w:t xml:space="preserve">had </w:t>
      </w:r>
      <w:r w:rsidRPr="00074165">
        <w:rPr>
          <w:rFonts w:cs="Times New Roman"/>
          <w:bCs/>
          <w:szCs w:val="24"/>
        </w:rPr>
        <w:t xml:space="preserve">their data removed from the project. The blind copy feature </w:t>
      </w:r>
      <w:r w:rsidR="00440BC5">
        <w:rPr>
          <w:rFonts w:cs="Times New Roman"/>
          <w:bCs/>
          <w:szCs w:val="24"/>
        </w:rPr>
        <w:t>was</w:t>
      </w:r>
      <w:r w:rsidRPr="00074165">
        <w:rPr>
          <w:rFonts w:cs="Times New Roman"/>
          <w:bCs/>
          <w:szCs w:val="24"/>
        </w:rPr>
        <w:t xml:space="preserve"> used to protect participant privacy and confidentiality.</w:t>
      </w:r>
    </w:p>
    <w:p w14:paraId="683F8D1A" w14:textId="6DB27E3C" w:rsidR="000D67C3" w:rsidRPr="00074165" w:rsidRDefault="000D67C3" w:rsidP="000D67C3">
      <w:pPr>
        <w:spacing w:after="0" w:line="480" w:lineRule="auto"/>
        <w:rPr>
          <w:rFonts w:cs="Times New Roman"/>
          <w:b/>
          <w:szCs w:val="24"/>
        </w:rPr>
      </w:pPr>
      <w:bookmarkStart w:id="8" w:name="_Hlk120365749"/>
      <w:r w:rsidRPr="00074165">
        <w:rPr>
          <w:rFonts w:cs="Times New Roman"/>
          <w:b/>
          <w:szCs w:val="24"/>
        </w:rPr>
        <w:t>Protection of Human Subjects</w:t>
      </w:r>
    </w:p>
    <w:bookmarkEnd w:id="8"/>
    <w:p w14:paraId="6A231987" w14:textId="1925B0F3" w:rsidR="000D67C3" w:rsidRPr="00074165" w:rsidRDefault="00CD45B8" w:rsidP="002D36B6">
      <w:pPr>
        <w:spacing w:after="0" w:line="480" w:lineRule="auto"/>
        <w:ind w:firstLine="720"/>
        <w:rPr>
          <w:rFonts w:cs="Times New Roman"/>
          <w:bCs/>
          <w:szCs w:val="24"/>
        </w:rPr>
      </w:pPr>
      <w:r w:rsidRPr="00074165">
        <w:rPr>
          <w:rFonts w:cs="Times New Roman"/>
          <w:bCs/>
          <w:szCs w:val="24"/>
        </w:rPr>
        <w:t>Protection of human subjects</w:t>
      </w:r>
      <w:r w:rsidR="00440BC5">
        <w:rPr>
          <w:rFonts w:cs="Times New Roman"/>
          <w:bCs/>
          <w:szCs w:val="24"/>
        </w:rPr>
        <w:t xml:space="preserve"> for this quality improvement project</w:t>
      </w:r>
      <w:r w:rsidRPr="00074165">
        <w:rPr>
          <w:rFonts w:cs="Times New Roman"/>
          <w:bCs/>
          <w:szCs w:val="24"/>
        </w:rPr>
        <w:t xml:space="preserve"> </w:t>
      </w:r>
      <w:r w:rsidR="00440BC5">
        <w:rPr>
          <w:rFonts w:cs="Times New Roman"/>
          <w:bCs/>
          <w:szCs w:val="24"/>
        </w:rPr>
        <w:t>began</w:t>
      </w:r>
      <w:r w:rsidRPr="00074165">
        <w:rPr>
          <w:rFonts w:cs="Times New Roman"/>
          <w:bCs/>
          <w:szCs w:val="24"/>
        </w:rPr>
        <w:t xml:space="preserve"> with </w:t>
      </w:r>
      <w:r w:rsidR="00FF78EE" w:rsidRPr="00074165">
        <w:rPr>
          <w:rFonts w:cs="Times New Roman"/>
          <w:bCs/>
          <w:szCs w:val="24"/>
        </w:rPr>
        <w:t>IRB approval</w:t>
      </w:r>
      <w:r w:rsidR="00440BC5">
        <w:rPr>
          <w:rFonts w:cs="Times New Roman"/>
          <w:bCs/>
          <w:szCs w:val="24"/>
        </w:rPr>
        <w:t>. IRB approval was</w:t>
      </w:r>
      <w:r w:rsidR="00FF78EE" w:rsidRPr="00074165">
        <w:rPr>
          <w:rFonts w:cs="Times New Roman"/>
          <w:bCs/>
          <w:szCs w:val="24"/>
        </w:rPr>
        <w:t xml:space="preserve"> sought to ensure that the project </w:t>
      </w:r>
      <w:r w:rsidR="00440BC5">
        <w:rPr>
          <w:rFonts w:cs="Times New Roman"/>
          <w:bCs/>
          <w:szCs w:val="24"/>
        </w:rPr>
        <w:t>was</w:t>
      </w:r>
      <w:r w:rsidR="00FF78EE" w:rsidRPr="00074165">
        <w:rPr>
          <w:rFonts w:cs="Times New Roman"/>
          <w:bCs/>
          <w:szCs w:val="24"/>
        </w:rPr>
        <w:t xml:space="preserve"> ethically soun</w:t>
      </w:r>
      <w:r w:rsidRPr="00074165">
        <w:rPr>
          <w:rFonts w:cs="Times New Roman"/>
          <w:bCs/>
          <w:szCs w:val="24"/>
        </w:rPr>
        <w:t>d</w:t>
      </w:r>
      <w:r w:rsidR="00FF78EE" w:rsidRPr="00074165">
        <w:rPr>
          <w:rFonts w:cs="Times New Roman"/>
          <w:bCs/>
          <w:szCs w:val="24"/>
        </w:rPr>
        <w:t>. Second, t</w:t>
      </w:r>
      <w:r w:rsidR="00462D28" w:rsidRPr="00074165">
        <w:rPr>
          <w:rFonts w:cs="Times New Roman"/>
          <w:bCs/>
          <w:szCs w:val="24"/>
        </w:rPr>
        <w:t xml:space="preserve">he principal investigator </w:t>
      </w:r>
      <w:r w:rsidR="00440BC5">
        <w:rPr>
          <w:rFonts w:cs="Times New Roman"/>
          <w:bCs/>
          <w:szCs w:val="24"/>
        </w:rPr>
        <w:t>was</w:t>
      </w:r>
      <w:r w:rsidR="00462D28" w:rsidRPr="00074165">
        <w:rPr>
          <w:rFonts w:cs="Times New Roman"/>
          <w:bCs/>
          <w:szCs w:val="24"/>
        </w:rPr>
        <w:t xml:space="preserve"> the only individual in the study who </w:t>
      </w:r>
      <w:r w:rsidR="00440BC5">
        <w:rPr>
          <w:rFonts w:cs="Times New Roman"/>
          <w:bCs/>
          <w:szCs w:val="24"/>
        </w:rPr>
        <w:t>was</w:t>
      </w:r>
      <w:r w:rsidR="00462D28" w:rsidRPr="00074165">
        <w:rPr>
          <w:rFonts w:cs="Times New Roman"/>
          <w:bCs/>
          <w:szCs w:val="24"/>
        </w:rPr>
        <w:t xml:space="preserve"> aware of the specific providers from the practice that </w:t>
      </w:r>
      <w:r w:rsidR="00440BC5">
        <w:rPr>
          <w:rFonts w:cs="Times New Roman"/>
          <w:bCs/>
          <w:szCs w:val="24"/>
        </w:rPr>
        <w:t>were</w:t>
      </w:r>
      <w:r w:rsidR="00462D28" w:rsidRPr="00074165">
        <w:rPr>
          <w:rFonts w:cs="Times New Roman"/>
          <w:bCs/>
          <w:szCs w:val="24"/>
        </w:rPr>
        <w:t xml:space="preserve"> participating in the study. </w:t>
      </w:r>
      <w:r w:rsidR="00FF78EE" w:rsidRPr="00074165">
        <w:rPr>
          <w:rFonts w:cs="Times New Roman"/>
          <w:bCs/>
          <w:szCs w:val="24"/>
        </w:rPr>
        <w:t xml:space="preserve">All email communications </w:t>
      </w:r>
      <w:r w:rsidR="00440BC5">
        <w:rPr>
          <w:rFonts w:cs="Times New Roman"/>
          <w:bCs/>
          <w:szCs w:val="24"/>
        </w:rPr>
        <w:t>were</w:t>
      </w:r>
      <w:r w:rsidR="00FF78EE" w:rsidRPr="00074165">
        <w:rPr>
          <w:rFonts w:cs="Times New Roman"/>
          <w:bCs/>
          <w:szCs w:val="24"/>
        </w:rPr>
        <w:t xml:space="preserve"> sent via a secure server and </w:t>
      </w:r>
      <w:r w:rsidR="00440BC5">
        <w:rPr>
          <w:rFonts w:cs="Times New Roman"/>
          <w:bCs/>
          <w:szCs w:val="24"/>
        </w:rPr>
        <w:t>were</w:t>
      </w:r>
      <w:r w:rsidR="00FF78EE" w:rsidRPr="00074165">
        <w:rPr>
          <w:rFonts w:cs="Times New Roman"/>
          <w:bCs/>
          <w:szCs w:val="24"/>
        </w:rPr>
        <w:t xml:space="preserve"> </w:t>
      </w:r>
      <w:r w:rsidR="007E1CF5" w:rsidRPr="00074165">
        <w:rPr>
          <w:rFonts w:cs="Times New Roman"/>
          <w:bCs/>
          <w:szCs w:val="24"/>
        </w:rPr>
        <w:t>stored</w:t>
      </w:r>
      <w:r w:rsidR="00FF78EE" w:rsidRPr="00074165">
        <w:rPr>
          <w:rFonts w:cs="Times New Roman"/>
          <w:bCs/>
          <w:szCs w:val="24"/>
        </w:rPr>
        <w:t xml:space="preserve"> on a password protected laptop </w:t>
      </w:r>
      <w:r w:rsidR="00E82441" w:rsidRPr="00074165">
        <w:rPr>
          <w:rFonts w:cs="Times New Roman"/>
          <w:bCs/>
          <w:szCs w:val="24"/>
        </w:rPr>
        <w:t>and, in a password,</w:t>
      </w:r>
      <w:r w:rsidR="00FF78EE" w:rsidRPr="00074165">
        <w:rPr>
          <w:rFonts w:cs="Times New Roman"/>
          <w:bCs/>
          <w:szCs w:val="24"/>
        </w:rPr>
        <w:t xml:space="preserve"> protected file on the desktop. This include</w:t>
      </w:r>
      <w:r w:rsidR="00440BC5">
        <w:rPr>
          <w:rFonts w:cs="Times New Roman"/>
          <w:bCs/>
          <w:szCs w:val="24"/>
        </w:rPr>
        <w:t>d</w:t>
      </w:r>
      <w:r w:rsidR="00FF78EE" w:rsidRPr="00074165">
        <w:rPr>
          <w:rFonts w:cs="Times New Roman"/>
          <w:bCs/>
          <w:szCs w:val="24"/>
        </w:rPr>
        <w:t xml:space="preserve"> informed consent forms and all data from SurveyMonkey. SurveyMonkey is also a secure platform that provides password protection of data and will only be accessible by the principal investigator. Additionally, all providers wishing to participate in the study </w:t>
      </w:r>
      <w:r w:rsidR="00440BC5">
        <w:rPr>
          <w:rFonts w:cs="Times New Roman"/>
          <w:bCs/>
          <w:szCs w:val="24"/>
        </w:rPr>
        <w:t>were</w:t>
      </w:r>
      <w:r w:rsidR="00FF78EE" w:rsidRPr="00074165">
        <w:rPr>
          <w:rFonts w:cs="Times New Roman"/>
          <w:bCs/>
          <w:szCs w:val="24"/>
        </w:rPr>
        <w:t xml:space="preserve"> asked to complete an informed consent form indicating their acknowledgement of the risks and benefits of the project. The blind copy feature </w:t>
      </w:r>
      <w:r w:rsidR="00440BC5">
        <w:rPr>
          <w:rFonts w:cs="Times New Roman"/>
          <w:bCs/>
          <w:szCs w:val="24"/>
        </w:rPr>
        <w:t>was</w:t>
      </w:r>
      <w:r w:rsidR="00FF78EE" w:rsidRPr="00074165">
        <w:rPr>
          <w:rFonts w:cs="Times New Roman"/>
          <w:bCs/>
          <w:szCs w:val="24"/>
        </w:rPr>
        <w:t xml:space="preserve"> used on all email communications to ensure that participant privacy and confidentiality are maintained.</w:t>
      </w:r>
    </w:p>
    <w:p w14:paraId="163C9D30" w14:textId="4929D77E" w:rsidR="000D67C3" w:rsidRPr="00074165" w:rsidRDefault="000D67C3" w:rsidP="000D67C3">
      <w:pPr>
        <w:spacing w:after="0" w:line="480" w:lineRule="auto"/>
        <w:rPr>
          <w:rFonts w:cs="Times New Roman"/>
          <w:b/>
          <w:szCs w:val="24"/>
        </w:rPr>
      </w:pPr>
      <w:bookmarkStart w:id="9" w:name="_Hlk120365761"/>
      <w:r w:rsidRPr="00074165">
        <w:rPr>
          <w:rFonts w:cs="Times New Roman"/>
          <w:b/>
          <w:szCs w:val="24"/>
        </w:rPr>
        <w:t>Data Collection</w:t>
      </w:r>
    </w:p>
    <w:bookmarkEnd w:id="9"/>
    <w:p w14:paraId="3FECC2B8" w14:textId="2B011251" w:rsidR="000D67C3" w:rsidRPr="00074165" w:rsidRDefault="00FF78EE" w:rsidP="002D36B6">
      <w:pPr>
        <w:spacing w:after="0" w:line="480" w:lineRule="auto"/>
        <w:ind w:firstLine="720"/>
        <w:rPr>
          <w:rFonts w:cs="Times New Roman"/>
          <w:bCs/>
          <w:szCs w:val="24"/>
        </w:rPr>
      </w:pPr>
      <w:r w:rsidRPr="00074165">
        <w:rPr>
          <w:rFonts w:cs="Times New Roman"/>
          <w:bCs/>
          <w:szCs w:val="24"/>
        </w:rPr>
        <w:t xml:space="preserve">Data collection for the project </w:t>
      </w:r>
      <w:r w:rsidR="00440BC5">
        <w:rPr>
          <w:rFonts w:cs="Times New Roman"/>
          <w:bCs/>
          <w:szCs w:val="24"/>
        </w:rPr>
        <w:t xml:space="preserve">occurred </w:t>
      </w:r>
      <w:r w:rsidR="007E1CF5">
        <w:rPr>
          <w:rFonts w:cs="Times New Roman"/>
          <w:bCs/>
          <w:szCs w:val="24"/>
        </w:rPr>
        <w:t>using</w:t>
      </w:r>
      <w:r w:rsidR="00440BC5">
        <w:rPr>
          <w:rFonts w:cs="Times New Roman"/>
          <w:bCs/>
          <w:szCs w:val="24"/>
        </w:rPr>
        <w:t xml:space="preserve"> </w:t>
      </w:r>
      <w:r w:rsidRPr="00074165">
        <w:rPr>
          <w:rFonts w:cs="Times New Roman"/>
          <w:bCs/>
          <w:szCs w:val="24"/>
        </w:rPr>
        <w:t xml:space="preserve">SurveyMonkey. This online platform is secure and </w:t>
      </w:r>
      <w:r w:rsidR="00440BC5">
        <w:rPr>
          <w:rFonts w:cs="Times New Roman"/>
          <w:bCs/>
          <w:szCs w:val="24"/>
        </w:rPr>
        <w:t>was</w:t>
      </w:r>
      <w:r w:rsidRPr="00074165">
        <w:rPr>
          <w:rFonts w:cs="Times New Roman"/>
          <w:bCs/>
          <w:szCs w:val="24"/>
        </w:rPr>
        <w:t xml:space="preserve"> only be accessed by the principal investigator through </w:t>
      </w:r>
      <w:r w:rsidR="00096C54" w:rsidRPr="00074165">
        <w:rPr>
          <w:rFonts w:cs="Times New Roman"/>
          <w:bCs/>
          <w:szCs w:val="24"/>
        </w:rPr>
        <w:t>a password protected account. Forms used for data collection include</w:t>
      </w:r>
      <w:r w:rsidR="00440BC5">
        <w:rPr>
          <w:rFonts w:cs="Times New Roman"/>
          <w:bCs/>
          <w:szCs w:val="24"/>
        </w:rPr>
        <w:t>d</w:t>
      </w:r>
      <w:r w:rsidR="00096C54" w:rsidRPr="00074165">
        <w:rPr>
          <w:rFonts w:cs="Times New Roman"/>
          <w:bCs/>
          <w:szCs w:val="24"/>
        </w:rPr>
        <w:t xml:space="preserve"> a demographic survey (Appendix </w:t>
      </w:r>
      <w:r w:rsidR="00440BC5">
        <w:rPr>
          <w:rFonts w:cs="Times New Roman"/>
          <w:bCs/>
          <w:szCs w:val="24"/>
        </w:rPr>
        <w:t>F</w:t>
      </w:r>
      <w:r w:rsidR="00096C54" w:rsidRPr="00074165">
        <w:rPr>
          <w:rFonts w:cs="Times New Roman"/>
          <w:bCs/>
          <w:szCs w:val="24"/>
        </w:rPr>
        <w:t>) and a pre-/post-intervention knowledge assessment tool</w:t>
      </w:r>
      <w:r w:rsidR="000523E2" w:rsidRPr="00074165">
        <w:rPr>
          <w:rFonts w:cs="Times New Roman"/>
          <w:bCs/>
          <w:szCs w:val="24"/>
        </w:rPr>
        <w:t xml:space="preserve"> (Appendix </w:t>
      </w:r>
      <w:r w:rsidR="00440BC5">
        <w:rPr>
          <w:rFonts w:cs="Times New Roman"/>
          <w:bCs/>
          <w:szCs w:val="24"/>
        </w:rPr>
        <w:t>G</w:t>
      </w:r>
      <w:r w:rsidR="000523E2" w:rsidRPr="00074165">
        <w:rPr>
          <w:rFonts w:cs="Times New Roman"/>
          <w:bCs/>
          <w:szCs w:val="24"/>
        </w:rPr>
        <w:t>)</w:t>
      </w:r>
      <w:r w:rsidR="00096C54" w:rsidRPr="00074165">
        <w:rPr>
          <w:rFonts w:cs="Times New Roman"/>
          <w:bCs/>
          <w:szCs w:val="24"/>
        </w:rPr>
        <w:t xml:space="preserve">. The demographic questionnaire </w:t>
      </w:r>
      <w:r w:rsidR="00096C54" w:rsidRPr="00074165">
        <w:rPr>
          <w:rFonts w:cs="Times New Roman"/>
          <w:bCs/>
          <w:szCs w:val="24"/>
        </w:rPr>
        <w:lastRenderedPageBreak/>
        <w:t>include</w:t>
      </w:r>
      <w:r w:rsidR="00440BC5">
        <w:rPr>
          <w:rFonts w:cs="Times New Roman"/>
          <w:bCs/>
          <w:szCs w:val="24"/>
        </w:rPr>
        <w:t>d</w:t>
      </w:r>
      <w:r w:rsidR="00096C54" w:rsidRPr="00074165">
        <w:rPr>
          <w:rFonts w:cs="Times New Roman"/>
          <w:bCs/>
          <w:szCs w:val="24"/>
        </w:rPr>
        <w:t xml:space="preserve"> information regarding participant age, gender, race, and practice role as well as number of years in practice. The pre-/post-intervention knowledge assessment </w:t>
      </w:r>
      <w:r w:rsidR="00440BC5">
        <w:rPr>
          <w:rFonts w:cs="Times New Roman"/>
          <w:bCs/>
          <w:szCs w:val="24"/>
        </w:rPr>
        <w:t>was</w:t>
      </w:r>
      <w:r w:rsidR="00096C54" w:rsidRPr="00074165">
        <w:rPr>
          <w:rFonts w:cs="Times New Roman"/>
          <w:bCs/>
          <w:szCs w:val="24"/>
        </w:rPr>
        <w:t xml:space="preserve"> specifically designed for the project by the principal investigator based on the educational module. </w:t>
      </w:r>
      <w:r w:rsidR="0049296C" w:rsidRPr="00074165">
        <w:rPr>
          <w:rFonts w:cs="Times New Roman"/>
          <w:bCs/>
          <w:szCs w:val="24"/>
        </w:rPr>
        <w:t xml:space="preserve">Content validity of the assessment tool </w:t>
      </w:r>
      <w:r w:rsidR="00440BC5">
        <w:rPr>
          <w:rFonts w:cs="Times New Roman"/>
          <w:bCs/>
          <w:szCs w:val="24"/>
        </w:rPr>
        <w:t>was</w:t>
      </w:r>
      <w:r w:rsidR="0049296C" w:rsidRPr="00074165">
        <w:rPr>
          <w:rFonts w:cs="Times New Roman"/>
          <w:bCs/>
          <w:szCs w:val="24"/>
        </w:rPr>
        <w:t xml:space="preserve"> confirmed through a review of the assessment by two independent geriatric nurse practitioners and one nurse educator. Based on the feedback, revisions to the assessments </w:t>
      </w:r>
      <w:r w:rsidR="00440BC5">
        <w:rPr>
          <w:rFonts w:cs="Times New Roman"/>
          <w:bCs/>
          <w:szCs w:val="24"/>
        </w:rPr>
        <w:t>were</w:t>
      </w:r>
      <w:r w:rsidR="00C55BA8" w:rsidRPr="00074165">
        <w:rPr>
          <w:rFonts w:cs="Times New Roman"/>
          <w:bCs/>
          <w:szCs w:val="24"/>
        </w:rPr>
        <w:t xml:space="preserve"> made</w:t>
      </w:r>
      <w:r w:rsidR="0049296C" w:rsidRPr="00074165">
        <w:rPr>
          <w:rFonts w:cs="Times New Roman"/>
          <w:bCs/>
          <w:szCs w:val="24"/>
        </w:rPr>
        <w:t>. The assessments include</w:t>
      </w:r>
      <w:r w:rsidR="00440BC5">
        <w:rPr>
          <w:rFonts w:cs="Times New Roman"/>
          <w:bCs/>
          <w:szCs w:val="24"/>
        </w:rPr>
        <w:t>d</w:t>
      </w:r>
      <w:r w:rsidR="0049296C" w:rsidRPr="00074165">
        <w:rPr>
          <w:rFonts w:cs="Times New Roman"/>
          <w:bCs/>
          <w:szCs w:val="24"/>
        </w:rPr>
        <w:t xml:space="preserve"> 20 questions that will be scored on a </w:t>
      </w:r>
      <w:r w:rsidR="007B4BAC" w:rsidRPr="00074165">
        <w:rPr>
          <w:rFonts w:cs="Times New Roman"/>
          <w:bCs/>
          <w:szCs w:val="24"/>
        </w:rPr>
        <w:t>100-point</w:t>
      </w:r>
      <w:r w:rsidR="0049296C" w:rsidRPr="00074165">
        <w:rPr>
          <w:rFonts w:cs="Times New Roman"/>
          <w:bCs/>
          <w:szCs w:val="24"/>
        </w:rPr>
        <w:t xml:space="preserve"> scale.</w:t>
      </w:r>
    </w:p>
    <w:p w14:paraId="09E27344" w14:textId="76185EBE" w:rsidR="000D67C3" w:rsidRPr="00074165" w:rsidRDefault="000D67C3" w:rsidP="000D67C3">
      <w:pPr>
        <w:spacing w:after="0" w:line="480" w:lineRule="auto"/>
        <w:rPr>
          <w:rFonts w:cs="Times New Roman"/>
          <w:b/>
          <w:szCs w:val="24"/>
        </w:rPr>
      </w:pPr>
      <w:bookmarkStart w:id="10" w:name="_Hlk120365774"/>
      <w:r w:rsidRPr="00074165">
        <w:rPr>
          <w:rFonts w:cs="Times New Roman"/>
          <w:b/>
          <w:szCs w:val="24"/>
        </w:rPr>
        <w:t>Data Management and Analysis Plan</w:t>
      </w:r>
      <w:bookmarkEnd w:id="10"/>
    </w:p>
    <w:p w14:paraId="1693D986" w14:textId="4673E1FB" w:rsidR="000D67C3" w:rsidRPr="00074165" w:rsidRDefault="0049296C" w:rsidP="002D36B6">
      <w:pPr>
        <w:spacing w:after="0" w:line="480" w:lineRule="auto"/>
        <w:ind w:firstLine="720"/>
        <w:rPr>
          <w:rFonts w:cs="Times New Roman"/>
          <w:bCs/>
          <w:szCs w:val="24"/>
        </w:rPr>
      </w:pPr>
      <w:r w:rsidRPr="00074165">
        <w:rPr>
          <w:rFonts w:cs="Times New Roman"/>
          <w:bCs/>
          <w:szCs w:val="24"/>
        </w:rPr>
        <w:t xml:space="preserve">Data for the </w:t>
      </w:r>
      <w:r w:rsidR="007E1CF5" w:rsidRPr="00074165">
        <w:rPr>
          <w:rFonts w:cs="Times New Roman"/>
          <w:bCs/>
          <w:szCs w:val="24"/>
        </w:rPr>
        <w:t>project,</w:t>
      </w:r>
      <w:r w:rsidRPr="00074165">
        <w:rPr>
          <w:rFonts w:cs="Times New Roman"/>
          <w:bCs/>
          <w:szCs w:val="24"/>
        </w:rPr>
        <w:t xml:space="preserve"> including the email list of participants </w:t>
      </w:r>
      <w:r w:rsidR="00440BC5">
        <w:rPr>
          <w:rFonts w:cs="Times New Roman"/>
          <w:bCs/>
          <w:szCs w:val="24"/>
        </w:rPr>
        <w:t>was stored</w:t>
      </w:r>
      <w:r w:rsidRPr="00074165">
        <w:rPr>
          <w:rFonts w:cs="Times New Roman"/>
          <w:bCs/>
          <w:szCs w:val="24"/>
        </w:rPr>
        <w:t xml:space="preserve"> on a password protected laptop to which only the principal investigator </w:t>
      </w:r>
      <w:r w:rsidR="00440BC5">
        <w:rPr>
          <w:rFonts w:cs="Times New Roman"/>
          <w:bCs/>
          <w:szCs w:val="24"/>
        </w:rPr>
        <w:t>had</w:t>
      </w:r>
      <w:r w:rsidRPr="00074165">
        <w:rPr>
          <w:rFonts w:cs="Times New Roman"/>
          <w:bCs/>
          <w:szCs w:val="24"/>
        </w:rPr>
        <w:t xml:space="preserve"> access. </w:t>
      </w:r>
      <w:r w:rsidR="009214CB" w:rsidRPr="00074165">
        <w:rPr>
          <w:rFonts w:cs="Times New Roman"/>
          <w:bCs/>
          <w:szCs w:val="24"/>
        </w:rPr>
        <w:t xml:space="preserve">All signed informed consent forms </w:t>
      </w:r>
      <w:r w:rsidR="00440BC5">
        <w:rPr>
          <w:rFonts w:cs="Times New Roman"/>
          <w:bCs/>
          <w:szCs w:val="24"/>
        </w:rPr>
        <w:t>were</w:t>
      </w:r>
      <w:r w:rsidR="009214CB" w:rsidRPr="00074165">
        <w:rPr>
          <w:rFonts w:cs="Times New Roman"/>
          <w:bCs/>
          <w:szCs w:val="24"/>
        </w:rPr>
        <w:t xml:space="preserve"> stored on the same laptop in a password secured file on the desktop. Demographic data and assessment scores (pre- and post-intervention) </w:t>
      </w:r>
      <w:r w:rsidR="00440BC5">
        <w:rPr>
          <w:rFonts w:cs="Times New Roman"/>
          <w:bCs/>
          <w:szCs w:val="24"/>
        </w:rPr>
        <w:t xml:space="preserve">were </w:t>
      </w:r>
      <w:r w:rsidR="009214CB" w:rsidRPr="00074165">
        <w:rPr>
          <w:rFonts w:cs="Times New Roman"/>
          <w:bCs/>
          <w:szCs w:val="24"/>
        </w:rPr>
        <w:t xml:space="preserve">stored in SurveyMonkey along with participant emails. The data </w:t>
      </w:r>
      <w:r w:rsidR="00440BC5">
        <w:rPr>
          <w:rFonts w:cs="Times New Roman"/>
          <w:bCs/>
          <w:szCs w:val="24"/>
        </w:rPr>
        <w:t>was</w:t>
      </w:r>
      <w:r w:rsidR="009214CB" w:rsidRPr="00074165">
        <w:rPr>
          <w:rFonts w:cs="Times New Roman"/>
          <w:bCs/>
          <w:szCs w:val="24"/>
        </w:rPr>
        <w:t xml:space="preserve"> transferred to an Excel file that </w:t>
      </w:r>
      <w:r w:rsidR="00440BC5">
        <w:rPr>
          <w:rFonts w:cs="Times New Roman"/>
          <w:bCs/>
          <w:szCs w:val="24"/>
        </w:rPr>
        <w:t>was</w:t>
      </w:r>
      <w:r w:rsidR="009214CB" w:rsidRPr="00074165">
        <w:rPr>
          <w:rFonts w:cs="Times New Roman"/>
          <w:bCs/>
          <w:szCs w:val="24"/>
        </w:rPr>
        <w:t xml:space="preserve"> also password protected and stored on the laptop. Participant emails </w:t>
      </w:r>
      <w:r w:rsidR="00440BC5">
        <w:rPr>
          <w:rFonts w:cs="Times New Roman"/>
          <w:bCs/>
          <w:szCs w:val="24"/>
        </w:rPr>
        <w:t xml:space="preserve">were </w:t>
      </w:r>
      <w:r w:rsidR="009214CB" w:rsidRPr="00074165">
        <w:rPr>
          <w:rFonts w:cs="Times New Roman"/>
          <w:bCs/>
          <w:szCs w:val="24"/>
        </w:rPr>
        <w:t xml:space="preserve">not included in the Excel file. Rather, </w:t>
      </w:r>
      <w:r w:rsidR="00440BC5">
        <w:rPr>
          <w:rFonts w:cs="Times New Roman"/>
          <w:bCs/>
          <w:szCs w:val="24"/>
        </w:rPr>
        <w:t xml:space="preserve">the first participant was assigned a random </w:t>
      </w:r>
      <w:r w:rsidR="007E1CF5">
        <w:rPr>
          <w:rFonts w:cs="Times New Roman"/>
          <w:bCs/>
          <w:szCs w:val="24"/>
        </w:rPr>
        <w:t>three-digit</w:t>
      </w:r>
      <w:r w:rsidR="00440BC5">
        <w:rPr>
          <w:rFonts w:cs="Times New Roman"/>
          <w:bCs/>
          <w:szCs w:val="24"/>
        </w:rPr>
        <w:t xml:space="preserve"> code. Subsequent participants received a random code that was</w:t>
      </w:r>
      <w:r w:rsidR="009214CB" w:rsidRPr="00074165">
        <w:rPr>
          <w:rFonts w:cs="Times New Roman"/>
          <w:bCs/>
          <w:szCs w:val="24"/>
        </w:rPr>
        <w:t xml:space="preserve"> numbered sequentially.</w:t>
      </w:r>
      <w:r w:rsidR="00994F8D" w:rsidRPr="00074165">
        <w:rPr>
          <w:rFonts w:cs="Times New Roman"/>
          <w:bCs/>
          <w:szCs w:val="24"/>
        </w:rPr>
        <w:t xml:space="preserve"> Data </w:t>
      </w:r>
      <w:r w:rsidR="00440BC5">
        <w:rPr>
          <w:rFonts w:cs="Times New Roman"/>
          <w:bCs/>
          <w:szCs w:val="24"/>
        </w:rPr>
        <w:t>from this project is and will be</w:t>
      </w:r>
      <w:r w:rsidR="00994F8D" w:rsidRPr="00074165">
        <w:rPr>
          <w:rFonts w:cs="Times New Roman"/>
          <w:bCs/>
          <w:szCs w:val="24"/>
        </w:rPr>
        <w:t xml:space="preserve"> stored on the hard drive of the laptop for a period of five years after the completion of the </w:t>
      </w:r>
      <w:r w:rsidR="007E1CF5" w:rsidRPr="00074165">
        <w:rPr>
          <w:rFonts w:cs="Times New Roman"/>
          <w:bCs/>
          <w:szCs w:val="24"/>
        </w:rPr>
        <w:t>project,</w:t>
      </w:r>
      <w:r w:rsidR="00994F8D" w:rsidRPr="00074165">
        <w:rPr>
          <w:rFonts w:cs="Times New Roman"/>
          <w:bCs/>
          <w:szCs w:val="24"/>
        </w:rPr>
        <w:t xml:space="preserve"> </w:t>
      </w:r>
      <w:r w:rsidR="007D72F2" w:rsidRPr="00074165">
        <w:rPr>
          <w:rFonts w:cs="Times New Roman"/>
          <w:bCs/>
          <w:szCs w:val="24"/>
        </w:rPr>
        <w:t xml:space="preserve">at which time </w:t>
      </w:r>
      <w:r w:rsidR="00994F8D" w:rsidRPr="00074165">
        <w:rPr>
          <w:rFonts w:cs="Times New Roman"/>
          <w:bCs/>
          <w:szCs w:val="24"/>
        </w:rPr>
        <w:t>data will be professionally removed from the hard drive.</w:t>
      </w:r>
    </w:p>
    <w:p w14:paraId="4188BFD9" w14:textId="298D25BE" w:rsidR="009214CB" w:rsidRPr="00074165" w:rsidRDefault="009214CB" w:rsidP="002D36B6">
      <w:pPr>
        <w:spacing w:after="0" w:line="480" w:lineRule="auto"/>
        <w:ind w:firstLine="720"/>
        <w:rPr>
          <w:rFonts w:cs="Times New Roman"/>
          <w:bCs/>
          <w:szCs w:val="24"/>
        </w:rPr>
      </w:pPr>
      <w:r w:rsidRPr="00074165">
        <w:rPr>
          <w:rFonts w:cs="Times New Roman"/>
          <w:bCs/>
          <w:szCs w:val="24"/>
        </w:rPr>
        <w:t xml:space="preserve">Once data </w:t>
      </w:r>
      <w:r w:rsidR="007E1CF5">
        <w:rPr>
          <w:rFonts w:cs="Times New Roman"/>
          <w:bCs/>
          <w:szCs w:val="24"/>
        </w:rPr>
        <w:t>was</w:t>
      </w:r>
      <w:r w:rsidRPr="00074165">
        <w:rPr>
          <w:rFonts w:cs="Times New Roman"/>
          <w:bCs/>
          <w:szCs w:val="24"/>
        </w:rPr>
        <w:t xml:space="preserve"> transferred to the Excel file</w:t>
      </w:r>
      <w:r w:rsidR="007E1CF5">
        <w:rPr>
          <w:rFonts w:cs="Times New Roman"/>
          <w:bCs/>
          <w:szCs w:val="24"/>
        </w:rPr>
        <w:t xml:space="preserve">, it was </w:t>
      </w:r>
      <w:r w:rsidRPr="00074165">
        <w:rPr>
          <w:rFonts w:cs="Times New Roman"/>
          <w:bCs/>
          <w:szCs w:val="24"/>
        </w:rPr>
        <w:t xml:space="preserve">analyzed using descriptive and inferential statistics. Descriptive statistics including mean, frequency, and standard deviation </w:t>
      </w:r>
      <w:r w:rsidR="00440BC5">
        <w:rPr>
          <w:rFonts w:cs="Times New Roman"/>
          <w:bCs/>
          <w:szCs w:val="24"/>
        </w:rPr>
        <w:t>were</w:t>
      </w:r>
      <w:r w:rsidRPr="00074165">
        <w:rPr>
          <w:rFonts w:cs="Times New Roman"/>
          <w:bCs/>
          <w:szCs w:val="24"/>
        </w:rPr>
        <w:t xml:space="preserve"> used to evaluate demographic data and to provide an overview of the characteristics of the sample. Descriptive analysis </w:t>
      </w:r>
      <w:r w:rsidR="00440BC5">
        <w:rPr>
          <w:rFonts w:cs="Times New Roman"/>
          <w:bCs/>
          <w:szCs w:val="24"/>
        </w:rPr>
        <w:t>was</w:t>
      </w:r>
      <w:r w:rsidRPr="00074165">
        <w:rPr>
          <w:rFonts w:cs="Times New Roman"/>
          <w:bCs/>
          <w:szCs w:val="24"/>
        </w:rPr>
        <w:t xml:space="preserve"> also used to determine mean pre- and post-intervention knowledge scores to provide a comparison. Inferential statistics </w:t>
      </w:r>
      <w:r w:rsidR="00440BC5">
        <w:rPr>
          <w:rFonts w:cs="Times New Roman"/>
          <w:bCs/>
          <w:szCs w:val="24"/>
        </w:rPr>
        <w:t>were</w:t>
      </w:r>
      <w:r w:rsidRPr="00074165">
        <w:rPr>
          <w:rFonts w:cs="Times New Roman"/>
          <w:bCs/>
          <w:szCs w:val="24"/>
        </w:rPr>
        <w:t xml:space="preserve"> used to determine if the </w:t>
      </w:r>
      <w:r w:rsidRPr="00074165">
        <w:rPr>
          <w:rFonts w:cs="Times New Roman"/>
          <w:bCs/>
          <w:szCs w:val="24"/>
        </w:rPr>
        <w:lastRenderedPageBreak/>
        <w:t xml:space="preserve">difference between pre- and post-intervention knowledge scores </w:t>
      </w:r>
      <w:r w:rsidR="00C55BA8" w:rsidRPr="00074165">
        <w:rPr>
          <w:rFonts w:cs="Times New Roman"/>
          <w:bCs/>
          <w:szCs w:val="24"/>
        </w:rPr>
        <w:t>was</w:t>
      </w:r>
      <w:r w:rsidRPr="00074165">
        <w:rPr>
          <w:rFonts w:cs="Times New Roman"/>
          <w:bCs/>
          <w:szCs w:val="24"/>
        </w:rPr>
        <w:t xml:space="preserve"> statistically significant. More specifically, a </w:t>
      </w:r>
      <w:r w:rsidR="005105F6" w:rsidRPr="005105F6">
        <w:rPr>
          <w:rFonts w:cs="Times New Roman"/>
          <w:bCs/>
          <w:szCs w:val="24"/>
        </w:rPr>
        <w:t xml:space="preserve">Mann-Whitney U-test </w:t>
      </w:r>
      <w:r w:rsidR="00440BC5">
        <w:rPr>
          <w:rFonts w:cs="Times New Roman"/>
          <w:bCs/>
          <w:szCs w:val="24"/>
        </w:rPr>
        <w:t>was</w:t>
      </w:r>
      <w:r w:rsidRPr="00074165">
        <w:rPr>
          <w:rFonts w:cs="Times New Roman"/>
          <w:bCs/>
          <w:szCs w:val="24"/>
        </w:rPr>
        <w:t xml:space="preserve"> used </w:t>
      </w:r>
      <w:r w:rsidR="00994F8D" w:rsidRPr="00074165">
        <w:rPr>
          <w:rFonts w:cs="Times New Roman"/>
          <w:bCs/>
          <w:szCs w:val="24"/>
        </w:rPr>
        <w:t xml:space="preserve">with an alpha value of 0.05. If the results of the test indicate that the p-value is less than 0.05, this </w:t>
      </w:r>
      <w:r w:rsidR="00440BC5">
        <w:rPr>
          <w:rFonts w:cs="Times New Roman"/>
          <w:bCs/>
          <w:szCs w:val="24"/>
        </w:rPr>
        <w:t>would</w:t>
      </w:r>
      <w:r w:rsidR="00994F8D" w:rsidRPr="00074165">
        <w:rPr>
          <w:rFonts w:cs="Times New Roman"/>
          <w:bCs/>
          <w:szCs w:val="24"/>
        </w:rPr>
        <w:t xml:space="preserve"> </w:t>
      </w:r>
      <w:r w:rsidR="00C55BA8" w:rsidRPr="00074165">
        <w:rPr>
          <w:rFonts w:cs="Times New Roman"/>
          <w:bCs/>
          <w:szCs w:val="24"/>
        </w:rPr>
        <w:t>demonstrate</w:t>
      </w:r>
      <w:r w:rsidR="00994F8D" w:rsidRPr="00074165">
        <w:rPr>
          <w:rFonts w:cs="Times New Roman"/>
          <w:bCs/>
          <w:szCs w:val="24"/>
        </w:rPr>
        <w:t xml:space="preserve"> that a statistically significant change in the scores has occurred. By reviewing the mean scores</w:t>
      </w:r>
      <w:r w:rsidR="00921FB6" w:rsidRPr="00074165">
        <w:rPr>
          <w:rFonts w:cs="Times New Roman"/>
          <w:bCs/>
          <w:szCs w:val="24"/>
        </w:rPr>
        <w:t>,</w:t>
      </w:r>
      <w:r w:rsidR="00994F8D" w:rsidRPr="00074165">
        <w:rPr>
          <w:rFonts w:cs="Times New Roman"/>
          <w:bCs/>
          <w:szCs w:val="24"/>
        </w:rPr>
        <w:t xml:space="preserve"> it </w:t>
      </w:r>
      <w:r w:rsidR="00440BC5">
        <w:rPr>
          <w:rFonts w:cs="Times New Roman"/>
          <w:bCs/>
          <w:szCs w:val="24"/>
        </w:rPr>
        <w:t>was</w:t>
      </w:r>
      <w:r w:rsidR="00994F8D" w:rsidRPr="00074165">
        <w:rPr>
          <w:rFonts w:cs="Times New Roman"/>
          <w:bCs/>
          <w:szCs w:val="24"/>
        </w:rPr>
        <w:t xml:space="preserve"> possible to see if the scores increased or decreased as a result of the intervention.</w:t>
      </w:r>
    </w:p>
    <w:p w14:paraId="00604AE4" w14:textId="55173607" w:rsidR="000D67C3" w:rsidRPr="00074165" w:rsidRDefault="000D67C3" w:rsidP="000D67C3">
      <w:pPr>
        <w:spacing w:after="0" w:line="480" w:lineRule="auto"/>
        <w:rPr>
          <w:rFonts w:cs="Times New Roman"/>
          <w:b/>
          <w:szCs w:val="24"/>
        </w:rPr>
      </w:pPr>
      <w:bookmarkStart w:id="11" w:name="_Hlk120365786"/>
      <w:r w:rsidRPr="00074165">
        <w:rPr>
          <w:rFonts w:cs="Times New Roman"/>
          <w:b/>
          <w:szCs w:val="24"/>
        </w:rPr>
        <w:t>Discussion of the Results</w:t>
      </w:r>
    </w:p>
    <w:bookmarkEnd w:id="11"/>
    <w:p w14:paraId="5123313C" w14:textId="155F4D96" w:rsidR="00251055" w:rsidRPr="00074165" w:rsidRDefault="00994F8D" w:rsidP="00251055">
      <w:pPr>
        <w:spacing w:after="0" w:line="480" w:lineRule="auto"/>
        <w:ind w:firstLine="720"/>
        <w:rPr>
          <w:rFonts w:cs="Times New Roman"/>
        </w:rPr>
      </w:pPr>
      <w:r w:rsidRPr="00074165">
        <w:rPr>
          <w:rFonts w:cs="Times New Roman"/>
          <w:bCs/>
          <w:szCs w:val="24"/>
        </w:rPr>
        <w:t>Data from the literature indicates that provider education should increase STI screening rates in older adults 65 years of age and older (</w:t>
      </w:r>
      <w:r w:rsidR="004A7965" w:rsidRPr="00074165">
        <w:rPr>
          <w:rFonts w:cs="Times New Roman"/>
          <w:bCs/>
          <w:szCs w:val="24"/>
        </w:rPr>
        <w:t>Bauer et al., 2013; Horne et al., 2021; Jonsdottir et al. 2016</w:t>
      </w:r>
      <w:r w:rsidRPr="00074165">
        <w:rPr>
          <w:rFonts w:cs="Times New Roman"/>
          <w:bCs/>
          <w:szCs w:val="24"/>
        </w:rPr>
        <w:t>). While evaluations of increased provider knowledge following education were only measured in one study (</w:t>
      </w:r>
      <w:r w:rsidRPr="00074165">
        <w:rPr>
          <w:rFonts w:cs="Times New Roman"/>
        </w:rPr>
        <w:t xml:space="preserve">Aaberg, 2019), it is assumed that increased STI screening rates improved as a result of </w:t>
      </w:r>
      <w:r w:rsidR="00251055" w:rsidRPr="00074165">
        <w:rPr>
          <w:rFonts w:cs="Times New Roman"/>
        </w:rPr>
        <w:t xml:space="preserve">the knowledge gained by providers. Because this quality improvement project follows the literature, it </w:t>
      </w:r>
      <w:r w:rsidR="00440BC5">
        <w:rPr>
          <w:rFonts w:cs="Times New Roman"/>
        </w:rPr>
        <w:t>was initially</w:t>
      </w:r>
      <w:r w:rsidR="00251055" w:rsidRPr="00074165">
        <w:rPr>
          <w:rFonts w:cs="Times New Roman"/>
        </w:rPr>
        <w:t xml:space="preserve"> assumed that the results w</w:t>
      </w:r>
      <w:r w:rsidR="00440BC5">
        <w:rPr>
          <w:rFonts w:cs="Times New Roman"/>
        </w:rPr>
        <w:t xml:space="preserve">ould demonstrate an increase in </w:t>
      </w:r>
      <w:r w:rsidR="00251055" w:rsidRPr="00074165">
        <w:rPr>
          <w:rFonts w:cs="Times New Roman"/>
        </w:rPr>
        <w:t xml:space="preserve">knowledge for providers. This should also translate into practice changes including the willingness and ability of nurse practitioners working in </w:t>
      </w:r>
      <w:r w:rsidR="00C55BA8" w:rsidRPr="00074165">
        <w:rPr>
          <w:rFonts w:cs="Times New Roman"/>
        </w:rPr>
        <w:t>primary care practice</w:t>
      </w:r>
      <w:r w:rsidR="00251055" w:rsidRPr="00074165">
        <w:rPr>
          <w:rFonts w:cs="Times New Roman"/>
        </w:rPr>
        <w:t xml:space="preserve"> to complete sexual health histories and to provide STI screening for sexually active older adults. The implications for this project for advanced practice nursing are therefore worth considering.</w:t>
      </w:r>
    </w:p>
    <w:p w14:paraId="4A5EFD13" w14:textId="240757EC" w:rsidR="00251055" w:rsidRPr="00074165" w:rsidRDefault="00251055" w:rsidP="00251055">
      <w:pPr>
        <w:spacing w:after="0" w:line="480" w:lineRule="auto"/>
        <w:ind w:firstLine="720"/>
        <w:rPr>
          <w:rFonts w:cs="Times New Roman"/>
        </w:rPr>
      </w:pPr>
      <w:r w:rsidRPr="00074165">
        <w:rPr>
          <w:rFonts w:cs="Times New Roman"/>
        </w:rPr>
        <w:t xml:space="preserve">From educational and </w:t>
      </w:r>
      <w:r w:rsidR="00C55BA8" w:rsidRPr="00074165">
        <w:rPr>
          <w:rFonts w:cs="Times New Roman"/>
        </w:rPr>
        <w:t>clinical practice</w:t>
      </w:r>
      <w:r w:rsidRPr="00074165">
        <w:rPr>
          <w:rFonts w:cs="Times New Roman"/>
        </w:rPr>
        <w:t xml:space="preserve"> standpoint</w:t>
      </w:r>
      <w:r w:rsidR="00C55BA8" w:rsidRPr="00074165">
        <w:rPr>
          <w:rFonts w:cs="Times New Roman"/>
        </w:rPr>
        <w:t>s</w:t>
      </w:r>
      <w:r w:rsidRPr="00074165">
        <w:rPr>
          <w:rFonts w:cs="Times New Roman"/>
        </w:rPr>
        <w:t xml:space="preserve">, an increase in provider knowledge regarding STI screening among older adults should foster the need to expand the educational program such that other nurse practitioners working at different primary care sites are provided with the knowledge needed to address this vital health issue. Additionally, as noted, the educational program should result in changes to practice for the nurse practitioner including the use of sexual health history taking and STI screening as a routine part of care for older adults who are sexually active. These changes in practice should not only improve individual patient </w:t>
      </w:r>
      <w:r w:rsidRPr="00074165">
        <w:rPr>
          <w:rFonts w:cs="Times New Roman"/>
        </w:rPr>
        <w:lastRenderedPageBreak/>
        <w:t>health but also these changes should reduce the community spread of STIs and help to address issues such as increasing antimicrobial resistance. What this suggests is that the change should have systemic implications that extend far beyond the practice site.</w:t>
      </w:r>
    </w:p>
    <w:p w14:paraId="56AF3443" w14:textId="64964918" w:rsidR="00251055" w:rsidRPr="00074165" w:rsidRDefault="00251055" w:rsidP="00251055">
      <w:pPr>
        <w:spacing w:after="0" w:line="480" w:lineRule="auto"/>
        <w:ind w:firstLine="720"/>
        <w:rPr>
          <w:rFonts w:cs="Times New Roman"/>
        </w:rPr>
      </w:pPr>
      <w:r w:rsidRPr="00074165">
        <w:rPr>
          <w:rFonts w:cs="Times New Roman"/>
        </w:rPr>
        <w:t xml:space="preserve">The results of this quality improvement project should also spur changes in nursing research and leadership. </w:t>
      </w:r>
      <w:r w:rsidR="004A7965" w:rsidRPr="00074165">
        <w:rPr>
          <w:rFonts w:cs="Times New Roman"/>
        </w:rPr>
        <w:t>If the results demonstrate positive gains in knowledge, this should encourage nurse practitioners to consider other practice settings in which the educational module could be incorporated such as nursing homes or assisted living facilities. This may require research as evidence to support the use of this intervention in these settings may be scant. Further, positive knowledge gains made by practitioners as a result of this project should spur nurse leaders to advocate for the expansion of the program to other practice sites as well as for maintenance of the project at the current practice site: i.e., providing education for new nurse practitioners hired at the facility.</w:t>
      </w:r>
    </w:p>
    <w:p w14:paraId="747F05F1" w14:textId="4CBF1825" w:rsidR="000758D0" w:rsidRPr="00074165" w:rsidRDefault="000758D0" w:rsidP="000758D0">
      <w:pPr>
        <w:spacing w:after="0" w:line="480" w:lineRule="auto"/>
        <w:jc w:val="center"/>
        <w:rPr>
          <w:rFonts w:cs="Times New Roman"/>
          <w:b/>
          <w:bCs/>
        </w:rPr>
      </w:pPr>
      <w:r w:rsidRPr="00074165">
        <w:rPr>
          <w:rFonts w:cs="Times New Roman"/>
          <w:b/>
          <w:bCs/>
        </w:rPr>
        <w:t>Results</w:t>
      </w:r>
    </w:p>
    <w:p w14:paraId="4DED8691" w14:textId="003C8200" w:rsidR="00673A76" w:rsidRPr="00074165" w:rsidRDefault="00673A76" w:rsidP="00673A76">
      <w:pPr>
        <w:spacing w:after="0" w:line="480" w:lineRule="auto"/>
        <w:ind w:firstLine="720"/>
        <w:rPr>
          <w:rFonts w:cs="Times New Roman"/>
        </w:rPr>
      </w:pPr>
      <w:r w:rsidRPr="00074165">
        <w:rPr>
          <w:rFonts w:cs="Times New Roman"/>
        </w:rPr>
        <w:t xml:space="preserve">The results from this quality improvement project are reviewed in this section. Descriptive statistics were initially used to provide an overview of the characteristics of the subjects involved in this project based on data collected from the demographic questionnaire (Appendix </w:t>
      </w:r>
      <w:r w:rsidR="00440BC5">
        <w:rPr>
          <w:rFonts w:cs="Times New Roman"/>
        </w:rPr>
        <w:t>F</w:t>
      </w:r>
      <w:r w:rsidRPr="00074165">
        <w:rPr>
          <w:rFonts w:cs="Times New Roman"/>
        </w:rPr>
        <w:t>). Table 1 includes a summary of this demographic data for the sample (n = 1</w:t>
      </w:r>
      <w:r w:rsidR="00276B80">
        <w:rPr>
          <w:rFonts w:cs="Times New Roman"/>
        </w:rPr>
        <w:t>0</w:t>
      </w:r>
      <w:r w:rsidRPr="00074165">
        <w:rPr>
          <w:rFonts w:cs="Times New Roman"/>
        </w:rPr>
        <w:t>)</w:t>
      </w:r>
      <w:r w:rsidR="00CD45B8" w:rsidRPr="00074165">
        <w:rPr>
          <w:rFonts w:cs="Times New Roman"/>
        </w:rPr>
        <w:t xml:space="preserve"> which included medical providers (physicians and advanced practice nurses) from the facility</w:t>
      </w:r>
      <w:r w:rsidRPr="00074165">
        <w:rPr>
          <w:rFonts w:cs="Times New Roman"/>
        </w:rPr>
        <w:t>.</w:t>
      </w:r>
    </w:p>
    <w:p w14:paraId="2ED8C44F" w14:textId="28B5241A" w:rsidR="00673A76" w:rsidRPr="00074165" w:rsidRDefault="00673A76" w:rsidP="00673A76">
      <w:pPr>
        <w:spacing w:after="0" w:line="480" w:lineRule="auto"/>
        <w:rPr>
          <w:rFonts w:cs="Times New Roman"/>
        </w:rPr>
      </w:pPr>
      <w:r w:rsidRPr="00074165">
        <w:rPr>
          <w:rFonts w:cs="Times New Roman"/>
          <w:b/>
          <w:bCs/>
        </w:rPr>
        <w:t>Table 1</w:t>
      </w:r>
    </w:p>
    <w:p w14:paraId="4836C100" w14:textId="1E106234" w:rsidR="00673A76" w:rsidRPr="00074165" w:rsidRDefault="00673A76" w:rsidP="00673A76">
      <w:pPr>
        <w:spacing w:after="0" w:line="480" w:lineRule="auto"/>
        <w:rPr>
          <w:rFonts w:cs="Times New Roman"/>
        </w:rPr>
      </w:pPr>
      <w:r w:rsidRPr="00074165">
        <w:rPr>
          <w:rFonts w:cs="Times New Roman"/>
          <w:i/>
          <w:iCs/>
        </w:rPr>
        <w:t xml:space="preserve">Demographics of the Sample (n = </w:t>
      </w:r>
      <w:r w:rsidR="00440BC5">
        <w:rPr>
          <w:rFonts w:cs="Times New Roman"/>
          <w:i/>
          <w:iCs/>
        </w:rPr>
        <w:t>10</w:t>
      </w:r>
      <w:r w:rsidRPr="00074165">
        <w:rPr>
          <w:rFonts w:cs="Times New Roman"/>
          <w:i/>
          <w:iCs/>
        </w:rPr>
        <w:t>)</w:t>
      </w:r>
    </w:p>
    <w:tbl>
      <w:tblPr>
        <w:tblStyle w:val="TableGrid"/>
        <w:tblW w:w="0" w:type="auto"/>
        <w:tblLook w:val="04A0" w:firstRow="1" w:lastRow="0" w:firstColumn="1" w:lastColumn="0" w:noHBand="0" w:noVBand="1"/>
      </w:tblPr>
      <w:tblGrid>
        <w:gridCol w:w="4315"/>
        <w:gridCol w:w="3870"/>
      </w:tblGrid>
      <w:tr w:rsidR="00074165" w:rsidRPr="00074165" w14:paraId="74E6F36E" w14:textId="77777777" w:rsidTr="007D06E4">
        <w:tc>
          <w:tcPr>
            <w:tcW w:w="4315" w:type="dxa"/>
          </w:tcPr>
          <w:p w14:paraId="2F274480" w14:textId="2A76A389" w:rsidR="007D06E4" w:rsidRPr="00074165" w:rsidRDefault="007D06E4" w:rsidP="00FC7D4A">
            <w:pPr>
              <w:spacing w:line="360" w:lineRule="auto"/>
              <w:jc w:val="center"/>
              <w:rPr>
                <w:rFonts w:cs="Times New Roman"/>
                <w:b/>
                <w:bCs/>
              </w:rPr>
            </w:pPr>
            <w:r w:rsidRPr="00074165">
              <w:rPr>
                <w:rFonts w:cs="Times New Roman"/>
                <w:b/>
                <w:bCs/>
              </w:rPr>
              <w:t>Measure</w:t>
            </w:r>
          </w:p>
        </w:tc>
        <w:tc>
          <w:tcPr>
            <w:tcW w:w="3870" w:type="dxa"/>
          </w:tcPr>
          <w:p w14:paraId="107BB54D" w14:textId="11B140EE" w:rsidR="007D06E4" w:rsidRPr="00074165" w:rsidRDefault="007D06E4" w:rsidP="00FC7D4A">
            <w:pPr>
              <w:spacing w:line="360" w:lineRule="auto"/>
              <w:jc w:val="center"/>
              <w:rPr>
                <w:rFonts w:cs="Times New Roman"/>
                <w:b/>
                <w:bCs/>
              </w:rPr>
            </w:pPr>
            <w:r w:rsidRPr="00074165">
              <w:rPr>
                <w:rFonts w:cs="Times New Roman"/>
                <w:b/>
                <w:bCs/>
              </w:rPr>
              <w:t>Result</w:t>
            </w:r>
          </w:p>
        </w:tc>
      </w:tr>
      <w:tr w:rsidR="00074165" w:rsidRPr="00074165" w14:paraId="4D73DDE9" w14:textId="77777777" w:rsidTr="007D06E4">
        <w:tc>
          <w:tcPr>
            <w:tcW w:w="4315" w:type="dxa"/>
          </w:tcPr>
          <w:p w14:paraId="5B15C675" w14:textId="4902442C" w:rsidR="007D06E4" w:rsidRPr="00074165" w:rsidRDefault="007D06E4" w:rsidP="00FC7D4A">
            <w:pPr>
              <w:spacing w:line="360" w:lineRule="auto"/>
              <w:rPr>
                <w:rFonts w:cs="Times New Roman"/>
              </w:rPr>
            </w:pPr>
            <w:r w:rsidRPr="00074165">
              <w:rPr>
                <w:rFonts w:cs="Times New Roman"/>
              </w:rPr>
              <w:t>Age</w:t>
            </w:r>
          </w:p>
        </w:tc>
        <w:tc>
          <w:tcPr>
            <w:tcW w:w="3870" w:type="dxa"/>
          </w:tcPr>
          <w:p w14:paraId="6D6B6E50" w14:textId="68B4AD1C" w:rsidR="007D06E4" w:rsidRPr="00440BC5" w:rsidRDefault="00440BC5" w:rsidP="00FC7D4A">
            <w:pPr>
              <w:spacing w:line="360" w:lineRule="auto"/>
              <w:jc w:val="center"/>
              <w:rPr>
                <w:rFonts w:cs="Times New Roman"/>
              </w:rPr>
            </w:pPr>
            <w:bookmarkStart w:id="12" w:name="_Hlk120366438"/>
            <w:r>
              <w:rPr>
                <w:rFonts w:cs="Times New Roman"/>
              </w:rPr>
              <w:t>39.4 years (</w:t>
            </w:r>
            <w:r>
              <w:rPr>
                <w:rFonts w:cs="Times New Roman"/>
                <w:i/>
                <w:iCs/>
              </w:rPr>
              <w:t>SD</w:t>
            </w:r>
            <w:r>
              <w:rPr>
                <w:rFonts w:cs="Times New Roman"/>
              </w:rPr>
              <w:t xml:space="preserve"> 4.43)</w:t>
            </w:r>
            <w:bookmarkEnd w:id="12"/>
            <w:r>
              <w:rPr>
                <w:rFonts w:cs="Times New Roman"/>
              </w:rPr>
              <w:t>, Range (28-58)</w:t>
            </w:r>
          </w:p>
        </w:tc>
      </w:tr>
      <w:tr w:rsidR="00074165" w:rsidRPr="00074165" w14:paraId="5121A612" w14:textId="77777777" w:rsidTr="007D06E4">
        <w:tc>
          <w:tcPr>
            <w:tcW w:w="4315" w:type="dxa"/>
          </w:tcPr>
          <w:p w14:paraId="71150E61" w14:textId="3B15F792" w:rsidR="007D06E4" w:rsidRPr="00074165" w:rsidRDefault="007D06E4" w:rsidP="00FC7D4A">
            <w:pPr>
              <w:spacing w:line="360" w:lineRule="auto"/>
              <w:rPr>
                <w:rFonts w:cs="Times New Roman"/>
              </w:rPr>
            </w:pPr>
            <w:r w:rsidRPr="00074165">
              <w:rPr>
                <w:rFonts w:cs="Times New Roman"/>
              </w:rPr>
              <w:t>Gender</w:t>
            </w:r>
          </w:p>
        </w:tc>
        <w:tc>
          <w:tcPr>
            <w:tcW w:w="3870" w:type="dxa"/>
          </w:tcPr>
          <w:p w14:paraId="4FD59E2B" w14:textId="77777777" w:rsidR="007D06E4" w:rsidRPr="00074165" w:rsidRDefault="007D06E4" w:rsidP="00FC7D4A">
            <w:pPr>
              <w:spacing w:line="360" w:lineRule="auto"/>
              <w:jc w:val="center"/>
              <w:rPr>
                <w:rFonts w:cs="Times New Roman"/>
              </w:rPr>
            </w:pPr>
          </w:p>
        </w:tc>
      </w:tr>
      <w:tr w:rsidR="00074165" w:rsidRPr="00074165" w14:paraId="156C4416" w14:textId="77777777" w:rsidTr="007D06E4">
        <w:tc>
          <w:tcPr>
            <w:tcW w:w="4315" w:type="dxa"/>
          </w:tcPr>
          <w:p w14:paraId="12ECE133" w14:textId="07C7064C" w:rsidR="007D06E4" w:rsidRPr="00074165" w:rsidRDefault="007D06E4" w:rsidP="00FC7D4A">
            <w:pPr>
              <w:spacing w:line="360" w:lineRule="auto"/>
              <w:rPr>
                <w:rFonts w:cs="Times New Roman"/>
              </w:rPr>
            </w:pPr>
            <w:r w:rsidRPr="00074165">
              <w:rPr>
                <w:rFonts w:cs="Times New Roman"/>
              </w:rPr>
              <w:t xml:space="preserve">     Male</w:t>
            </w:r>
          </w:p>
        </w:tc>
        <w:tc>
          <w:tcPr>
            <w:tcW w:w="3870" w:type="dxa"/>
          </w:tcPr>
          <w:p w14:paraId="24882125" w14:textId="1900BC32" w:rsidR="007D06E4" w:rsidRPr="00074165" w:rsidRDefault="00FC7D4A" w:rsidP="00FC7D4A">
            <w:pPr>
              <w:spacing w:line="360" w:lineRule="auto"/>
              <w:jc w:val="center"/>
              <w:rPr>
                <w:rFonts w:cs="Times New Roman"/>
              </w:rPr>
            </w:pPr>
            <w:r>
              <w:rPr>
                <w:rFonts w:cs="Times New Roman"/>
              </w:rPr>
              <w:t>3 (30%)</w:t>
            </w:r>
          </w:p>
        </w:tc>
      </w:tr>
      <w:tr w:rsidR="00074165" w:rsidRPr="00074165" w14:paraId="1E492572" w14:textId="77777777" w:rsidTr="007D06E4">
        <w:tc>
          <w:tcPr>
            <w:tcW w:w="4315" w:type="dxa"/>
          </w:tcPr>
          <w:p w14:paraId="757CC9F2" w14:textId="6E5ED98B" w:rsidR="007D06E4" w:rsidRPr="00074165" w:rsidRDefault="007D06E4" w:rsidP="00FC7D4A">
            <w:pPr>
              <w:spacing w:line="360" w:lineRule="auto"/>
              <w:rPr>
                <w:rFonts w:cs="Times New Roman"/>
              </w:rPr>
            </w:pPr>
            <w:r w:rsidRPr="00074165">
              <w:rPr>
                <w:rFonts w:cs="Times New Roman"/>
              </w:rPr>
              <w:lastRenderedPageBreak/>
              <w:t xml:space="preserve">     Female</w:t>
            </w:r>
          </w:p>
        </w:tc>
        <w:tc>
          <w:tcPr>
            <w:tcW w:w="3870" w:type="dxa"/>
          </w:tcPr>
          <w:p w14:paraId="4F5C2D78" w14:textId="0E4C94D4" w:rsidR="007D06E4" w:rsidRPr="00074165" w:rsidRDefault="00FC7D4A" w:rsidP="00FC7D4A">
            <w:pPr>
              <w:spacing w:line="360" w:lineRule="auto"/>
              <w:jc w:val="center"/>
              <w:rPr>
                <w:rFonts w:cs="Times New Roman"/>
              </w:rPr>
            </w:pPr>
            <w:r>
              <w:rPr>
                <w:rFonts w:cs="Times New Roman"/>
              </w:rPr>
              <w:t>7 (70%)</w:t>
            </w:r>
          </w:p>
        </w:tc>
      </w:tr>
      <w:tr w:rsidR="00074165" w:rsidRPr="00074165" w14:paraId="2080AFDA" w14:textId="77777777" w:rsidTr="007D06E4">
        <w:tc>
          <w:tcPr>
            <w:tcW w:w="4315" w:type="dxa"/>
          </w:tcPr>
          <w:p w14:paraId="410D061C" w14:textId="2C8C5DBA" w:rsidR="007D06E4" w:rsidRPr="00074165" w:rsidRDefault="007D06E4" w:rsidP="00FC7D4A">
            <w:pPr>
              <w:spacing w:line="360" w:lineRule="auto"/>
              <w:rPr>
                <w:rFonts w:cs="Times New Roman"/>
              </w:rPr>
            </w:pPr>
            <w:r w:rsidRPr="00074165">
              <w:rPr>
                <w:rFonts w:cs="Times New Roman"/>
              </w:rPr>
              <w:t>Race</w:t>
            </w:r>
          </w:p>
        </w:tc>
        <w:tc>
          <w:tcPr>
            <w:tcW w:w="3870" w:type="dxa"/>
          </w:tcPr>
          <w:p w14:paraId="2BB02B7A" w14:textId="77777777" w:rsidR="007D06E4" w:rsidRPr="00074165" w:rsidRDefault="007D06E4" w:rsidP="00FC7D4A">
            <w:pPr>
              <w:spacing w:line="360" w:lineRule="auto"/>
              <w:jc w:val="center"/>
              <w:rPr>
                <w:rFonts w:cs="Times New Roman"/>
              </w:rPr>
            </w:pPr>
          </w:p>
        </w:tc>
      </w:tr>
      <w:tr w:rsidR="00074165" w:rsidRPr="00074165" w14:paraId="606D1E81" w14:textId="77777777" w:rsidTr="007D06E4">
        <w:tc>
          <w:tcPr>
            <w:tcW w:w="4315" w:type="dxa"/>
          </w:tcPr>
          <w:p w14:paraId="2A2770A8" w14:textId="1FF4674A" w:rsidR="007D06E4" w:rsidRPr="00074165" w:rsidRDefault="007D06E4" w:rsidP="00FC7D4A">
            <w:pPr>
              <w:spacing w:line="360" w:lineRule="auto"/>
              <w:rPr>
                <w:rFonts w:cs="Times New Roman"/>
              </w:rPr>
            </w:pPr>
            <w:r w:rsidRPr="00074165">
              <w:rPr>
                <w:rFonts w:cs="Times New Roman"/>
              </w:rPr>
              <w:t xml:space="preserve">     White/Non-Hispanic</w:t>
            </w:r>
          </w:p>
        </w:tc>
        <w:tc>
          <w:tcPr>
            <w:tcW w:w="3870" w:type="dxa"/>
          </w:tcPr>
          <w:p w14:paraId="4619A21D" w14:textId="6644421A" w:rsidR="007D06E4" w:rsidRPr="00074165" w:rsidRDefault="00FC7D4A" w:rsidP="00FC7D4A">
            <w:pPr>
              <w:spacing w:line="360" w:lineRule="auto"/>
              <w:jc w:val="center"/>
              <w:rPr>
                <w:rFonts w:cs="Times New Roman"/>
              </w:rPr>
            </w:pPr>
            <w:r>
              <w:rPr>
                <w:rFonts w:cs="Times New Roman"/>
              </w:rPr>
              <w:t>0 (0%)</w:t>
            </w:r>
          </w:p>
        </w:tc>
      </w:tr>
      <w:tr w:rsidR="00074165" w:rsidRPr="00074165" w14:paraId="7152293C" w14:textId="77777777" w:rsidTr="007D06E4">
        <w:tc>
          <w:tcPr>
            <w:tcW w:w="4315" w:type="dxa"/>
          </w:tcPr>
          <w:p w14:paraId="3B3D4A8C" w14:textId="7E2B36A1" w:rsidR="007D06E4" w:rsidRPr="00074165" w:rsidRDefault="007D06E4" w:rsidP="00FC7D4A">
            <w:pPr>
              <w:spacing w:line="360" w:lineRule="auto"/>
              <w:rPr>
                <w:rFonts w:cs="Times New Roman"/>
              </w:rPr>
            </w:pPr>
            <w:r w:rsidRPr="00074165">
              <w:rPr>
                <w:rFonts w:cs="Times New Roman"/>
              </w:rPr>
              <w:t xml:space="preserve">     African American</w:t>
            </w:r>
          </w:p>
        </w:tc>
        <w:tc>
          <w:tcPr>
            <w:tcW w:w="3870" w:type="dxa"/>
          </w:tcPr>
          <w:p w14:paraId="3961A05F" w14:textId="5FBBF117" w:rsidR="007D06E4" w:rsidRPr="00074165" w:rsidRDefault="00FC7D4A" w:rsidP="00FC7D4A">
            <w:pPr>
              <w:spacing w:line="360" w:lineRule="auto"/>
              <w:jc w:val="center"/>
              <w:rPr>
                <w:rFonts w:cs="Times New Roman"/>
              </w:rPr>
            </w:pPr>
            <w:r>
              <w:rPr>
                <w:rFonts w:cs="Times New Roman"/>
              </w:rPr>
              <w:t>1 (10%)</w:t>
            </w:r>
          </w:p>
        </w:tc>
      </w:tr>
      <w:tr w:rsidR="00074165" w:rsidRPr="00074165" w14:paraId="653C3BA9" w14:textId="77777777" w:rsidTr="007D06E4">
        <w:tc>
          <w:tcPr>
            <w:tcW w:w="4315" w:type="dxa"/>
          </w:tcPr>
          <w:p w14:paraId="0A44A7D3" w14:textId="5ADBB9E5" w:rsidR="007D06E4" w:rsidRPr="00074165" w:rsidRDefault="007D06E4" w:rsidP="00FC7D4A">
            <w:pPr>
              <w:spacing w:line="360" w:lineRule="auto"/>
              <w:rPr>
                <w:rFonts w:cs="Times New Roman"/>
              </w:rPr>
            </w:pPr>
            <w:r w:rsidRPr="00074165">
              <w:rPr>
                <w:rFonts w:cs="Times New Roman"/>
              </w:rPr>
              <w:t xml:space="preserve">     Hispanic/Latino</w:t>
            </w:r>
          </w:p>
        </w:tc>
        <w:tc>
          <w:tcPr>
            <w:tcW w:w="3870" w:type="dxa"/>
          </w:tcPr>
          <w:p w14:paraId="06E6F471" w14:textId="39E70610" w:rsidR="007D06E4" w:rsidRPr="00074165" w:rsidRDefault="00FC7D4A" w:rsidP="00FC7D4A">
            <w:pPr>
              <w:spacing w:line="360" w:lineRule="auto"/>
              <w:jc w:val="center"/>
              <w:rPr>
                <w:rFonts w:cs="Times New Roman"/>
              </w:rPr>
            </w:pPr>
            <w:r>
              <w:rPr>
                <w:rFonts w:cs="Times New Roman"/>
              </w:rPr>
              <w:t>7 (70%)</w:t>
            </w:r>
          </w:p>
        </w:tc>
      </w:tr>
      <w:tr w:rsidR="00074165" w:rsidRPr="00074165" w14:paraId="0ECA7EB4" w14:textId="77777777" w:rsidTr="007D06E4">
        <w:tc>
          <w:tcPr>
            <w:tcW w:w="4315" w:type="dxa"/>
          </w:tcPr>
          <w:p w14:paraId="7E7FA6D5" w14:textId="3A776653" w:rsidR="007D06E4" w:rsidRPr="00074165" w:rsidRDefault="007D06E4" w:rsidP="00FC7D4A">
            <w:pPr>
              <w:spacing w:line="360" w:lineRule="auto"/>
              <w:rPr>
                <w:rFonts w:cs="Times New Roman"/>
              </w:rPr>
            </w:pPr>
            <w:r w:rsidRPr="00074165">
              <w:rPr>
                <w:rFonts w:cs="Times New Roman"/>
              </w:rPr>
              <w:t xml:space="preserve">     Asian/Pacific Islander</w:t>
            </w:r>
          </w:p>
        </w:tc>
        <w:tc>
          <w:tcPr>
            <w:tcW w:w="3870" w:type="dxa"/>
          </w:tcPr>
          <w:p w14:paraId="0230376A" w14:textId="55F645AA" w:rsidR="007D06E4" w:rsidRPr="00074165" w:rsidRDefault="00FC7D4A" w:rsidP="00FC7D4A">
            <w:pPr>
              <w:spacing w:line="360" w:lineRule="auto"/>
              <w:jc w:val="center"/>
              <w:rPr>
                <w:rFonts w:cs="Times New Roman"/>
              </w:rPr>
            </w:pPr>
            <w:r>
              <w:rPr>
                <w:rFonts w:cs="Times New Roman"/>
              </w:rPr>
              <w:t>0 (0%)</w:t>
            </w:r>
          </w:p>
        </w:tc>
      </w:tr>
      <w:tr w:rsidR="00074165" w:rsidRPr="00074165" w14:paraId="4BB48740" w14:textId="77777777" w:rsidTr="007D06E4">
        <w:tc>
          <w:tcPr>
            <w:tcW w:w="4315" w:type="dxa"/>
          </w:tcPr>
          <w:p w14:paraId="0FD0F759" w14:textId="119D59B8" w:rsidR="007D06E4" w:rsidRPr="00074165" w:rsidRDefault="007D06E4" w:rsidP="00FC7D4A">
            <w:pPr>
              <w:spacing w:line="360" w:lineRule="auto"/>
              <w:rPr>
                <w:rFonts w:cs="Times New Roman"/>
              </w:rPr>
            </w:pPr>
            <w:r w:rsidRPr="00074165">
              <w:rPr>
                <w:rFonts w:cs="Times New Roman"/>
              </w:rPr>
              <w:t xml:space="preserve">     Other</w:t>
            </w:r>
          </w:p>
        </w:tc>
        <w:tc>
          <w:tcPr>
            <w:tcW w:w="3870" w:type="dxa"/>
          </w:tcPr>
          <w:p w14:paraId="5EADC6E7" w14:textId="12117DDD" w:rsidR="007D06E4" w:rsidRPr="00074165" w:rsidRDefault="00FC7D4A" w:rsidP="00FC7D4A">
            <w:pPr>
              <w:spacing w:line="360" w:lineRule="auto"/>
              <w:jc w:val="center"/>
              <w:rPr>
                <w:rFonts w:cs="Times New Roman"/>
              </w:rPr>
            </w:pPr>
            <w:r>
              <w:rPr>
                <w:rFonts w:cs="Times New Roman"/>
              </w:rPr>
              <w:t>1 (10%)</w:t>
            </w:r>
          </w:p>
        </w:tc>
      </w:tr>
      <w:tr w:rsidR="00074165" w:rsidRPr="00074165" w14:paraId="464F9543" w14:textId="77777777" w:rsidTr="007D06E4">
        <w:tc>
          <w:tcPr>
            <w:tcW w:w="4315" w:type="dxa"/>
          </w:tcPr>
          <w:p w14:paraId="2F9A5379" w14:textId="1597CC9E" w:rsidR="007D06E4" w:rsidRPr="00074165" w:rsidRDefault="007D06E4" w:rsidP="00FC7D4A">
            <w:pPr>
              <w:spacing w:line="360" w:lineRule="auto"/>
              <w:rPr>
                <w:rFonts w:cs="Times New Roman"/>
              </w:rPr>
            </w:pPr>
            <w:r w:rsidRPr="00074165">
              <w:rPr>
                <w:rFonts w:cs="Times New Roman"/>
              </w:rPr>
              <w:t>Years as a RN</w:t>
            </w:r>
          </w:p>
        </w:tc>
        <w:tc>
          <w:tcPr>
            <w:tcW w:w="3870" w:type="dxa"/>
          </w:tcPr>
          <w:p w14:paraId="4E8102A7" w14:textId="70B5B6CA" w:rsidR="007D06E4" w:rsidRPr="00FC7D4A" w:rsidRDefault="00FC7D4A" w:rsidP="00FC7D4A">
            <w:pPr>
              <w:spacing w:line="360" w:lineRule="auto"/>
              <w:jc w:val="center"/>
              <w:rPr>
                <w:rFonts w:cs="Times New Roman"/>
              </w:rPr>
            </w:pPr>
            <w:r>
              <w:rPr>
                <w:rFonts w:cs="Times New Roman"/>
              </w:rPr>
              <w:t>8.45 (</w:t>
            </w:r>
            <w:r>
              <w:rPr>
                <w:rFonts w:cs="Times New Roman"/>
                <w:i/>
                <w:iCs/>
              </w:rPr>
              <w:t>SD</w:t>
            </w:r>
            <w:r>
              <w:rPr>
                <w:rFonts w:cs="Times New Roman"/>
              </w:rPr>
              <w:t xml:space="preserve"> 6.29)</w:t>
            </w:r>
          </w:p>
        </w:tc>
      </w:tr>
      <w:tr w:rsidR="00074165" w:rsidRPr="00074165" w14:paraId="7E28664C" w14:textId="77777777" w:rsidTr="007D06E4">
        <w:tc>
          <w:tcPr>
            <w:tcW w:w="4315" w:type="dxa"/>
          </w:tcPr>
          <w:p w14:paraId="0A234A2A" w14:textId="5DB339AD" w:rsidR="007D06E4" w:rsidRPr="00074165" w:rsidRDefault="007D06E4" w:rsidP="00FC7D4A">
            <w:pPr>
              <w:spacing w:line="360" w:lineRule="auto"/>
              <w:rPr>
                <w:rFonts w:cs="Times New Roman"/>
              </w:rPr>
            </w:pPr>
            <w:r w:rsidRPr="00074165">
              <w:rPr>
                <w:rFonts w:cs="Times New Roman"/>
              </w:rPr>
              <w:t>Highest Level of Education</w:t>
            </w:r>
          </w:p>
        </w:tc>
        <w:tc>
          <w:tcPr>
            <w:tcW w:w="3870" w:type="dxa"/>
          </w:tcPr>
          <w:p w14:paraId="06E0EE73" w14:textId="77777777" w:rsidR="007D06E4" w:rsidRPr="00074165" w:rsidRDefault="007D06E4" w:rsidP="00FC7D4A">
            <w:pPr>
              <w:spacing w:line="360" w:lineRule="auto"/>
              <w:jc w:val="center"/>
              <w:rPr>
                <w:rFonts w:cs="Times New Roman"/>
              </w:rPr>
            </w:pPr>
          </w:p>
        </w:tc>
      </w:tr>
      <w:tr w:rsidR="00074165" w:rsidRPr="00074165" w14:paraId="670E7A65" w14:textId="77777777" w:rsidTr="007D06E4">
        <w:tc>
          <w:tcPr>
            <w:tcW w:w="4315" w:type="dxa"/>
          </w:tcPr>
          <w:p w14:paraId="0AF51E75" w14:textId="7AD5D283" w:rsidR="007D06E4" w:rsidRPr="00074165" w:rsidRDefault="007D06E4" w:rsidP="00FC7D4A">
            <w:pPr>
              <w:spacing w:line="360" w:lineRule="auto"/>
              <w:rPr>
                <w:rFonts w:cs="Times New Roman"/>
              </w:rPr>
            </w:pPr>
            <w:r w:rsidRPr="00074165">
              <w:rPr>
                <w:rFonts w:cs="Times New Roman"/>
              </w:rPr>
              <w:t xml:space="preserve">     Bachelor’s (BSN)</w:t>
            </w:r>
          </w:p>
        </w:tc>
        <w:tc>
          <w:tcPr>
            <w:tcW w:w="3870" w:type="dxa"/>
          </w:tcPr>
          <w:p w14:paraId="789E2C18" w14:textId="00566F13" w:rsidR="007D06E4" w:rsidRPr="00074165" w:rsidRDefault="00FC7D4A" w:rsidP="00FC7D4A">
            <w:pPr>
              <w:spacing w:line="360" w:lineRule="auto"/>
              <w:jc w:val="center"/>
              <w:rPr>
                <w:rFonts w:cs="Times New Roman"/>
              </w:rPr>
            </w:pPr>
            <w:r>
              <w:rPr>
                <w:rFonts w:cs="Times New Roman"/>
              </w:rPr>
              <w:t>5 (50%)</w:t>
            </w:r>
          </w:p>
        </w:tc>
      </w:tr>
      <w:tr w:rsidR="00074165" w:rsidRPr="00074165" w14:paraId="08D97622" w14:textId="77777777" w:rsidTr="007D06E4">
        <w:tc>
          <w:tcPr>
            <w:tcW w:w="4315" w:type="dxa"/>
          </w:tcPr>
          <w:p w14:paraId="6B120652" w14:textId="7E4009E6" w:rsidR="007D06E4" w:rsidRPr="00074165" w:rsidRDefault="007D06E4" w:rsidP="00FC7D4A">
            <w:pPr>
              <w:spacing w:line="360" w:lineRule="auto"/>
              <w:rPr>
                <w:rFonts w:cs="Times New Roman"/>
              </w:rPr>
            </w:pPr>
            <w:r w:rsidRPr="00074165">
              <w:rPr>
                <w:rFonts w:cs="Times New Roman"/>
              </w:rPr>
              <w:t xml:space="preserve">     Masters (MSN)</w:t>
            </w:r>
          </w:p>
        </w:tc>
        <w:tc>
          <w:tcPr>
            <w:tcW w:w="3870" w:type="dxa"/>
          </w:tcPr>
          <w:p w14:paraId="2D8956F3" w14:textId="549D2198" w:rsidR="007D06E4" w:rsidRPr="00074165" w:rsidRDefault="00FC7D4A" w:rsidP="00FC7D4A">
            <w:pPr>
              <w:spacing w:line="360" w:lineRule="auto"/>
              <w:jc w:val="center"/>
              <w:rPr>
                <w:rFonts w:cs="Times New Roman"/>
              </w:rPr>
            </w:pPr>
            <w:r>
              <w:rPr>
                <w:rFonts w:cs="Times New Roman"/>
              </w:rPr>
              <w:t>3 (30%)</w:t>
            </w:r>
          </w:p>
        </w:tc>
      </w:tr>
      <w:tr w:rsidR="00074165" w:rsidRPr="00074165" w14:paraId="18C1A1C0" w14:textId="77777777" w:rsidTr="007D06E4">
        <w:tc>
          <w:tcPr>
            <w:tcW w:w="4315" w:type="dxa"/>
          </w:tcPr>
          <w:p w14:paraId="071C15BF" w14:textId="1C5C753B" w:rsidR="007D06E4" w:rsidRPr="00074165" w:rsidRDefault="007D06E4" w:rsidP="00FC7D4A">
            <w:pPr>
              <w:spacing w:line="360" w:lineRule="auto"/>
              <w:rPr>
                <w:rFonts w:cs="Times New Roman"/>
              </w:rPr>
            </w:pPr>
            <w:r w:rsidRPr="00074165">
              <w:rPr>
                <w:rFonts w:cs="Times New Roman"/>
              </w:rPr>
              <w:t xml:space="preserve">     </w:t>
            </w:r>
            <w:r w:rsidR="00FC7D4A">
              <w:rPr>
                <w:rFonts w:cs="Times New Roman"/>
              </w:rPr>
              <w:t>Physician (MD)</w:t>
            </w:r>
          </w:p>
        </w:tc>
        <w:tc>
          <w:tcPr>
            <w:tcW w:w="3870" w:type="dxa"/>
          </w:tcPr>
          <w:p w14:paraId="5B7B0026" w14:textId="613B6F8C" w:rsidR="007D06E4" w:rsidRPr="00074165" w:rsidRDefault="00FC7D4A" w:rsidP="00FC7D4A">
            <w:pPr>
              <w:spacing w:line="360" w:lineRule="auto"/>
              <w:jc w:val="center"/>
              <w:rPr>
                <w:rFonts w:cs="Times New Roman"/>
              </w:rPr>
            </w:pPr>
            <w:r>
              <w:rPr>
                <w:rFonts w:cs="Times New Roman"/>
              </w:rPr>
              <w:t>2 (20%)</w:t>
            </w:r>
          </w:p>
        </w:tc>
      </w:tr>
      <w:tr w:rsidR="00074165" w:rsidRPr="00074165" w14:paraId="3AA0714C" w14:textId="77777777" w:rsidTr="007D06E4">
        <w:tc>
          <w:tcPr>
            <w:tcW w:w="4315" w:type="dxa"/>
          </w:tcPr>
          <w:p w14:paraId="4E07006D" w14:textId="25A6EDFF" w:rsidR="007D06E4" w:rsidRPr="00074165" w:rsidRDefault="007D06E4" w:rsidP="00FC7D4A">
            <w:pPr>
              <w:spacing w:line="360" w:lineRule="auto"/>
              <w:rPr>
                <w:rFonts w:cs="Times New Roman"/>
              </w:rPr>
            </w:pPr>
            <w:r w:rsidRPr="00074165">
              <w:rPr>
                <w:rFonts w:cs="Times New Roman"/>
              </w:rPr>
              <w:t>Older adults seen weekly</w:t>
            </w:r>
            <w:r w:rsidR="00FC7D4A">
              <w:rPr>
                <w:rFonts w:cs="Times New Roman"/>
              </w:rPr>
              <w:t xml:space="preserve"> (average)</w:t>
            </w:r>
          </w:p>
        </w:tc>
        <w:tc>
          <w:tcPr>
            <w:tcW w:w="3870" w:type="dxa"/>
          </w:tcPr>
          <w:p w14:paraId="7DA83FB1" w14:textId="2F11FFEE" w:rsidR="007D06E4" w:rsidRPr="00074165" w:rsidRDefault="00FC7D4A" w:rsidP="00FC7D4A">
            <w:pPr>
              <w:spacing w:line="360" w:lineRule="auto"/>
              <w:jc w:val="center"/>
              <w:rPr>
                <w:rFonts w:cs="Times New Roman"/>
              </w:rPr>
            </w:pPr>
            <w:r>
              <w:rPr>
                <w:rFonts w:cs="Times New Roman"/>
              </w:rPr>
              <w:t>250</w:t>
            </w:r>
          </w:p>
        </w:tc>
      </w:tr>
      <w:tr w:rsidR="00074165" w:rsidRPr="00074165" w14:paraId="1627143D" w14:textId="77777777" w:rsidTr="007D06E4">
        <w:tc>
          <w:tcPr>
            <w:tcW w:w="4315" w:type="dxa"/>
          </w:tcPr>
          <w:p w14:paraId="36DA372F" w14:textId="59093AD6" w:rsidR="007D06E4" w:rsidRPr="00074165" w:rsidRDefault="007D06E4" w:rsidP="00FC7D4A">
            <w:pPr>
              <w:spacing w:line="360" w:lineRule="auto"/>
              <w:rPr>
                <w:rFonts w:cs="Times New Roman"/>
              </w:rPr>
            </w:pPr>
            <w:r w:rsidRPr="00074165">
              <w:rPr>
                <w:rFonts w:cs="Times New Roman"/>
              </w:rPr>
              <w:t>Care for older adult outside clinic</w:t>
            </w:r>
          </w:p>
        </w:tc>
        <w:tc>
          <w:tcPr>
            <w:tcW w:w="3870" w:type="dxa"/>
          </w:tcPr>
          <w:p w14:paraId="6C83C4F0" w14:textId="77777777" w:rsidR="007D06E4" w:rsidRPr="00074165" w:rsidRDefault="007D06E4" w:rsidP="00FC7D4A">
            <w:pPr>
              <w:spacing w:line="360" w:lineRule="auto"/>
              <w:jc w:val="center"/>
              <w:rPr>
                <w:rFonts w:cs="Times New Roman"/>
              </w:rPr>
            </w:pPr>
          </w:p>
        </w:tc>
      </w:tr>
      <w:tr w:rsidR="00074165" w:rsidRPr="00074165" w14:paraId="0356DF8D" w14:textId="77777777" w:rsidTr="007D06E4">
        <w:tc>
          <w:tcPr>
            <w:tcW w:w="4315" w:type="dxa"/>
          </w:tcPr>
          <w:p w14:paraId="212B6E59" w14:textId="25621762" w:rsidR="007D06E4" w:rsidRPr="00074165" w:rsidRDefault="007D06E4" w:rsidP="00FC7D4A">
            <w:pPr>
              <w:spacing w:line="360" w:lineRule="auto"/>
              <w:rPr>
                <w:rFonts w:cs="Times New Roman"/>
              </w:rPr>
            </w:pPr>
            <w:r w:rsidRPr="00074165">
              <w:rPr>
                <w:rFonts w:cs="Times New Roman"/>
              </w:rPr>
              <w:t xml:space="preserve">     Yes</w:t>
            </w:r>
          </w:p>
        </w:tc>
        <w:tc>
          <w:tcPr>
            <w:tcW w:w="3870" w:type="dxa"/>
          </w:tcPr>
          <w:p w14:paraId="1A35219A" w14:textId="656F670A" w:rsidR="007D06E4" w:rsidRPr="00074165" w:rsidRDefault="00FC7D4A" w:rsidP="00FC7D4A">
            <w:pPr>
              <w:spacing w:line="360" w:lineRule="auto"/>
              <w:jc w:val="center"/>
              <w:rPr>
                <w:rFonts w:cs="Times New Roman"/>
              </w:rPr>
            </w:pPr>
            <w:r>
              <w:rPr>
                <w:rFonts w:cs="Times New Roman"/>
              </w:rPr>
              <w:t>9 (90%)</w:t>
            </w:r>
          </w:p>
        </w:tc>
      </w:tr>
      <w:tr w:rsidR="00074165" w:rsidRPr="00074165" w14:paraId="7AF1B91E" w14:textId="77777777" w:rsidTr="007D06E4">
        <w:tc>
          <w:tcPr>
            <w:tcW w:w="4315" w:type="dxa"/>
          </w:tcPr>
          <w:p w14:paraId="4F40DB1C" w14:textId="162F0E8C" w:rsidR="007D06E4" w:rsidRPr="00074165" w:rsidRDefault="007D06E4" w:rsidP="00FC7D4A">
            <w:pPr>
              <w:spacing w:line="360" w:lineRule="auto"/>
              <w:rPr>
                <w:rFonts w:cs="Times New Roman"/>
              </w:rPr>
            </w:pPr>
            <w:r w:rsidRPr="00074165">
              <w:rPr>
                <w:rFonts w:cs="Times New Roman"/>
              </w:rPr>
              <w:t xml:space="preserve">     No</w:t>
            </w:r>
          </w:p>
        </w:tc>
        <w:tc>
          <w:tcPr>
            <w:tcW w:w="3870" w:type="dxa"/>
          </w:tcPr>
          <w:p w14:paraId="0622AA73" w14:textId="27B7F35D" w:rsidR="007D06E4" w:rsidRPr="00074165" w:rsidRDefault="00FC7D4A" w:rsidP="00FC7D4A">
            <w:pPr>
              <w:spacing w:line="360" w:lineRule="auto"/>
              <w:jc w:val="center"/>
              <w:rPr>
                <w:rFonts w:cs="Times New Roman"/>
              </w:rPr>
            </w:pPr>
            <w:r>
              <w:rPr>
                <w:rFonts w:cs="Times New Roman"/>
              </w:rPr>
              <w:t>1 (10%)</w:t>
            </w:r>
          </w:p>
        </w:tc>
      </w:tr>
    </w:tbl>
    <w:p w14:paraId="449AF283" w14:textId="77777777" w:rsidR="00FC7D4A" w:rsidRDefault="00FC7D4A" w:rsidP="00FC7D4A">
      <w:pPr>
        <w:spacing w:after="0" w:line="240" w:lineRule="auto"/>
        <w:rPr>
          <w:rFonts w:cs="Times New Roman"/>
        </w:rPr>
      </w:pPr>
    </w:p>
    <w:p w14:paraId="48254E12" w14:textId="375429C4" w:rsidR="000758D0" w:rsidRPr="00074165" w:rsidRDefault="007D06E4" w:rsidP="00251055">
      <w:pPr>
        <w:spacing w:after="0" w:line="480" w:lineRule="auto"/>
        <w:ind w:firstLine="720"/>
        <w:rPr>
          <w:rFonts w:cs="Times New Roman"/>
        </w:rPr>
      </w:pPr>
      <w:r w:rsidRPr="00074165">
        <w:rPr>
          <w:rFonts w:cs="Times New Roman"/>
        </w:rPr>
        <w:t xml:space="preserve">Descriptive statistics were also used to assess the scores from the pre- and post-intervention assessments (Appendix </w:t>
      </w:r>
      <w:r w:rsidR="00FC7D4A">
        <w:rPr>
          <w:rFonts w:cs="Times New Roman"/>
        </w:rPr>
        <w:t>G</w:t>
      </w:r>
      <w:r w:rsidRPr="00074165">
        <w:rPr>
          <w:rFonts w:cs="Times New Roman"/>
        </w:rPr>
        <w:t xml:space="preserve">). </w:t>
      </w:r>
      <w:r w:rsidR="00BB642C" w:rsidRPr="00074165">
        <w:rPr>
          <w:rFonts w:cs="Times New Roman"/>
        </w:rPr>
        <w:t>This included a calculation of the mean scores along with standard deviation. Scores from the assessment were based on a total score of 20 points. Scores are compared in Table 2 and in Figure 1 to visually demonstrate that change in scores the occurred following the educational program</w:t>
      </w:r>
    </w:p>
    <w:p w14:paraId="0E054F55" w14:textId="0027E19F" w:rsidR="00BB642C" w:rsidRPr="00074165" w:rsidRDefault="00BB642C" w:rsidP="00BB642C">
      <w:pPr>
        <w:spacing w:after="0" w:line="480" w:lineRule="auto"/>
        <w:rPr>
          <w:rFonts w:cs="Times New Roman"/>
        </w:rPr>
      </w:pPr>
      <w:r w:rsidRPr="00074165">
        <w:rPr>
          <w:rFonts w:cs="Times New Roman"/>
          <w:b/>
          <w:bCs/>
        </w:rPr>
        <w:t>Table 2</w:t>
      </w:r>
    </w:p>
    <w:p w14:paraId="15073F85" w14:textId="1A10B07A" w:rsidR="00BB642C" w:rsidRPr="00074165" w:rsidRDefault="00BB642C" w:rsidP="00BB642C">
      <w:pPr>
        <w:spacing w:after="0" w:line="480" w:lineRule="auto"/>
        <w:rPr>
          <w:rFonts w:cs="Times New Roman"/>
        </w:rPr>
      </w:pPr>
      <w:r w:rsidRPr="00074165">
        <w:rPr>
          <w:rFonts w:cs="Times New Roman"/>
          <w:i/>
          <w:iCs/>
        </w:rPr>
        <w:t>Pre- and Post-Test Mean Scores and Standard Deviation (n = 1</w:t>
      </w:r>
      <w:r w:rsidR="00FC7D4A">
        <w:rPr>
          <w:rFonts w:cs="Times New Roman"/>
          <w:i/>
          <w:iCs/>
        </w:rPr>
        <w:t>0</w:t>
      </w:r>
      <w:r w:rsidRPr="00074165">
        <w:rPr>
          <w:rFonts w:cs="Times New Roman"/>
          <w:i/>
          <w:iCs/>
        </w:rPr>
        <w:t>)</w:t>
      </w:r>
    </w:p>
    <w:tbl>
      <w:tblPr>
        <w:tblStyle w:val="TableGrid"/>
        <w:tblW w:w="0" w:type="auto"/>
        <w:tblLook w:val="04A0" w:firstRow="1" w:lastRow="0" w:firstColumn="1" w:lastColumn="0" w:noHBand="0" w:noVBand="1"/>
      </w:tblPr>
      <w:tblGrid>
        <w:gridCol w:w="3775"/>
        <w:gridCol w:w="2700"/>
        <w:gridCol w:w="2875"/>
      </w:tblGrid>
      <w:tr w:rsidR="00074165" w:rsidRPr="00074165" w14:paraId="310236B8" w14:textId="77777777" w:rsidTr="00FC7D4A">
        <w:tc>
          <w:tcPr>
            <w:tcW w:w="3775" w:type="dxa"/>
          </w:tcPr>
          <w:p w14:paraId="48AFAB73" w14:textId="77777777" w:rsidR="00BB642C" w:rsidRPr="00074165" w:rsidRDefault="00BB642C" w:rsidP="00BB642C">
            <w:pPr>
              <w:spacing w:line="360" w:lineRule="auto"/>
              <w:rPr>
                <w:rFonts w:cs="Times New Roman"/>
              </w:rPr>
            </w:pPr>
          </w:p>
        </w:tc>
        <w:tc>
          <w:tcPr>
            <w:tcW w:w="2700" w:type="dxa"/>
          </w:tcPr>
          <w:p w14:paraId="165130CD" w14:textId="07A9DEDA" w:rsidR="00BB642C" w:rsidRPr="00074165" w:rsidRDefault="00FC7D4A" w:rsidP="00BB642C">
            <w:pPr>
              <w:spacing w:line="360" w:lineRule="auto"/>
              <w:jc w:val="center"/>
              <w:rPr>
                <w:rFonts w:cs="Times New Roman"/>
                <w:b/>
                <w:bCs/>
              </w:rPr>
            </w:pPr>
            <w:r>
              <w:rPr>
                <w:rFonts w:cs="Times New Roman"/>
                <w:b/>
                <w:bCs/>
              </w:rPr>
              <w:t>Mean</w:t>
            </w:r>
          </w:p>
        </w:tc>
        <w:tc>
          <w:tcPr>
            <w:tcW w:w="2875" w:type="dxa"/>
          </w:tcPr>
          <w:p w14:paraId="43C9D521" w14:textId="5F67BFAA" w:rsidR="00BB642C" w:rsidRPr="00074165" w:rsidRDefault="00FC7D4A" w:rsidP="00BB642C">
            <w:pPr>
              <w:spacing w:line="360" w:lineRule="auto"/>
              <w:jc w:val="center"/>
              <w:rPr>
                <w:rFonts w:cs="Times New Roman"/>
                <w:b/>
                <w:bCs/>
              </w:rPr>
            </w:pPr>
            <w:r>
              <w:rPr>
                <w:rFonts w:cs="Times New Roman"/>
                <w:b/>
                <w:bCs/>
              </w:rPr>
              <w:t>Standard Deviation</w:t>
            </w:r>
          </w:p>
        </w:tc>
      </w:tr>
      <w:tr w:rsidR="00FC7D4A" w:rsidRPr="00074165" w14:paraId="5293407C" w14:textId="77777777" w:rsidTr="00FC7D4A">
        <w:tc>
          <w:tcPr>
            <w:tcW w:w="3775" w:type="dxa"/>
          </w:tcPr>
          <w:p w14:paraId="3CFA019E" w14:textId="7598DDC8" w:rsidR="00BB642C" w:rsidRPr="00074165" w:rsidRDefault="00FC7D4A" w:rsidP="00BB642C">
            <w:pPr>
              <w:spacing w:line="360" w:lineRule="auto"/>
              <w:rPr>
                <w:rFonts w:cs="Times New Roman"/>
                <w:b/>
                <w:bCs/>
              </w:rPr>
            </w:pPr>
            <w:r>
              <w:rPr>
                <w:rFonts w:cs="Times New Roman"/>
                <w:b/>
                <w:bCs/>
              </w:rPr>
              <w:t>Pre-Intervention Knowledge Test</w:t>
            </w:r>
          </w:p>
        </w:tc>
        <w:tc>
          <w:tcPr>
            <w:tcW w:w="2700" w:type="dxa"/>
          </w:tcPr>
          <w:p w14:paraId="5E1CDCE5" w14:textId="12ACBB6E" w:rsidR="00BB642C" w:rsidRPr="00074165" w:rsidRDefault="00FC7D4A" w:rsidP="00FC7D4A">
            <w:pPr>
              <w:spacing w:line="360" w:lineRule="auto"/>
              <w:jc w:val="center"/>
              <w:rPr>
                <w:rFonts w:cs="Times New Roman"/>
              </w:rPr>
            </w:pPr>
            <w:r>
              <w:rPr>
                <w:rFonts w:cs="Times New Roman"/>
              </w:rPr>
              <w:t>9.85</w:t>
            </w:r>
          </w:p>
        </w:tc>
        <w:tc>
          <w:tcPr>
            <w:tcW w:w="2875" w:type="dxa"/>
          </w:tcPr>
          <w:p w14:paraId="14531682" w14:textId="67C72C7C" w:rsidR="00BB642C" w:rsidRPr="00074165" w:rsidRDefault="00FC7D4A" w:rsidP="00FC7D4A">
            <w:pPr>
              <w:spacing w:line="360" w:lineRule="auto"/>
              <w:jc w:val="center"/>
              <w:rPr>
                <w:rFonts w:cs="Times New Roman"/>
              </w:rPr>
            </w:pPr>
            <w:r>
              <w:rPr>
                <w:rFonts w:cs="Times New Roman"/>
              </w:rPr>
              <w:t>5.48</w:t>
            </w:r>
          </w:p>
        </w:tc>
      </w:tr>
      <w:tr w:rsidR="00FC7D4A" w:rsidRPr="00074165" w14:paraId="5D0C6822" w14:textId="77777777" w:rsidTr="00FC7D4A">
        <w:tc>
          <w:tcPr>
            <w:tcW w:w="3775" w:type="dxa"/>
          </w:tcPr>
          <w:p w14:paraId="13520531" w14:textId="7CD24FAA" w:rsidR="00FC7D4A" w:rsidRDefault="00FC7D4A" w:rsidP="00BB642C">
            <w:pPr>
              <w:spacing w:line="360" w:lineRule="auto"/>
              <w:rPr>
                <w:rFonts w:cs="Times New Roman"/>
                <w:b/>
                <w:bCs/>
              </w:rPr>
            </w:pPr>
            <w:r>
              <w:rPr>
                <w:rFonts w:cs="Times New Roman"/>
                <w:b/>
                <w:bCs/>
              </w:rPr>
              <w:t>Post-Intervention Knowledge Test</w:t>
            </w:r>
          </w:p>
        </w:tc>
        <w:tc>
          <w:tcPr>
            <w:tcW w:w="2700" w:type="dxa"/>
          </w:tcPr>
          <w:p w14:paraId="4C9DDA8D" w14:textId="32D5A0D4" w:rsidR="00FC7D4A" w:rsidRPr="00074165" w:rsidRDefault="00FC7D4A" w:rsidP="00FC7D4A">
            <w:pPr>
              <w:spacing w:line="360" w:lineRule="auto"/>
              <w:jc w:val="center"/>
              <w:rPr>
                <w:rFonts w:cs="Times New Roman"/>
              </w:rPr>
            </w:pPr>
            <w:r>
              <w:rPr>
                <w:rFonts w:cs="Times New Roman"/>
              </w:rPr>
              <w:t>19.62</w:t>
            </w:r>
          </w:p>
        </w:tc>
        <w:tc>
          <w:tcPr>
            <w:tcW w:w="2875" w:type="dxa"/>
          </w:tcPr>
          <w:p w14:paraId="5ED64470" w14:textId="1E393971" w:rsidR="00FC7D4A" w:rsidRPr="00074165" w:rsidRDefault="00FC7D4A" w:rsidP="00FC7D4A">
            <w:pPr>
              <w:spacing w:line="360" w:lineRule="auto"/>
              <w:jc w:val="center"/>
              <w:rPr>
                <w:rFonts w:cs="Times New Roman"/>
              </w:rPr>
            </w:pPr>
            <w:r>
              <w:rPr>
                <w:rFonts w:cs="Times New Roman"/>
              </w:rPr>
              <w:t>6.03</w:t>
            </w:r>
          </w:p>
        </w:tc>
      </w:tr>
    </w:tbl>
    <w:p w14:paraId="4E832CFA" w14:textId="0AB233CC" w:rsidR="00BB642C" w:rsidRDefault="00BB642C" w:rsidP="00BB642C">
      <w:pPr>
        <w:spacing w:after="0" w:line="240" w:lineRule="auto"/>
        <w:rPr>
          <w:rFonts w:cs="Times New Roman"/>
        </w:rPr>
      </w:pPr>
    </w:p>
    <w:p w14:paraId="7179D07B" w14:textId="77777777" w:rsidR="00FC7D4A" w:rsidRPr="00074165" w:rsidRDefault="00FC7D4A" w:rsidP="00BB642C">
      <w:pPr>
        <w:spacing w:after="0" w:line="240" w:lineRule="auto"/>
        <w:rPr>
          <w:rFonts w:cs="Times New Roman"/>
        </w:rPr>
      </w:pPr>
    </w:p>
    <w:p w14:paraId="659E6E1C" w14:textId="4D69DEB0" w:rsidR="00BB642C" w:rsidRPr="00074165" w:rsidRDefault="00BB642C" w:rsidP="00BB642C">
      <w:pPr>
        <w:spacing w:after="0" w:line="480" w:lineRule="auto"/>
        <w:rPr>
          <w:rFonts w:cs="Times New Roman"/>
        </w:rPr>
      </w:pPr>
      <w:r w:rsidRPr="00074165">
        <w:rPr>
          <w:rFonts w:cs="Times New Roman"/>
          <w:b/>
          <w:bCs/>
        </w:rPr>
        <w:lastRenderedPageBreak/>
        <w:t>Figure 1</w:t>
      </w:r>
    </w:p>
    <w:p w14:paraId="7190ED1C" w14:textId="27BE8286" w:rsidR="00BB642C" w:rsidRPr="00074165" w:rsidRDefault="00BB642C" w:rsidP="00BB642C">
      <w:pPr>
        <w:spacing w:after="0" w:line="480" w:lineRule="auto"/>
        <w:rPr>
          <w:rFonts w:cs="Times New Roman"/>
        </w:rPr>
      </w:pPr>
      <w:r w:rsidRPr="00074165">
        <w:rPr>
          <w:rFonts w:cs="Times New Roman"/>
          <w:i/>
          <w:iCs/>
        </w:rPr>
        <w:t>Comparison of Pre-/Post-Test Scores (n = 1</w:t>
      </w:r>
      <w:r w:rsidR="00FC7D4A">
        <w:rPr>
          <w:rFonts w:cs="Times New Roman"/>
          <w:i/>
          <w:iCs/>
        </w:rPr>
        <w:t>0</w:t>
      </w:r>
      <w:r w:rsidRPr="00074165">
        <w:rPr>
          <w:rFonts w:cs="Times New Roman"/>
          <w:i/>
          <w:iCs/>
        </w:rPr>
        <w:t>)</w:t>
      </w:r>
    </w:p>
    <w:p w14:paraId="19F06E5A" w14:textId="74193C23" w:rsidR="00BB642C" w:rsidRPr="00074165" w:rsidRDefault="00FC7D4A" w:rsidP="00BB642C">
      <w:pPr>
        <w:spacing w:after="0" w:line="480" w:lineRule="auto"/>
        <w:rPr>
          <w:rFonts w:cs="Times New Roman"/>
        </w:rPr>
      </w:pPr>
      <w:r>
        <w:rPr>
          <w:noProof/>
        </w:rPr>
        <w:drawing>
          <wp:inline distT="0" distB="0" distL="0" distR="0" wp14:anchorId="0724FCE9" wp14:editId="3107233A">
            <wp:extent cx="4572000" cy="2743200"/>
            <wp:effectExtent l="0" t="0" r="0" b="0"/>
            <wp:docPr id="1" name="Chart 1">
              <a:extLst xmlns:a="http://schemas.openxmlformats.org/drawingml/2006/main">
                <a:ext uri="{FF2B5EF4-FFF2-40B4-BE49-F238E27FC236}">
                  <a16:creationId xmlns:a16="http://schemas.microsoft.com/office/drawing/2014/main" id="{ECB6CD0D-84DC-C123-99C9-2DC609E3E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E5FE71" w14:textId="1D5AB9A8" w:rsidR="00BB642C" w:rsidRPr="00074165" w:rsidRDefault="00550066" w:rsidP="00550066">
      <w:pPr>
        <w:spacing w:after="0" w:line="480" w:lineRule="auto"/>
        <w:ind w:firstLine="720"/>
        <w:rPr>
          <w:rFonts w:cs="Times New Roman"/>
        </w:rPr>
      </w:pPr>
      <w:r w:rsidRPr="00074165">
        <w:rPr>
          <w:rFonts w:cs="Times New Roman"/>
        </w:rPr>
        <w:t xml:space="preserve">To determine if the change in test scores from the pre- to post-intervention phase of the project </w:t>
      </w:r>
      <w:r w:rsidR="005C2D12" w:rsidRPr="00074165">
        <w:rPr>
          <w:rFonts w:cs="Times New Roman"/>
        </w:rPr>
        <w:t>was</w:t>
      </w:r>
      <w:r w:rsidRPr="00074165">
        <w:rPr>
          <w:rFonts w:cs="Times New Roman"/>
        </w:rPr>
        <w:t xml:space="preserve"> statistically significant a Mann-Whitney </w:t>
      </w:r>
      <w:r w:rsidR="005105F6">
        <w:rPr>
          <w:rFonts w:cs="Times New Roman"/>
        </w:rPr>
        <w:t>U-</w:t>
      </w:r>
      <w:r w:rsidRPr="00074165">
        <w:rPr>
          <w:rFonts w:cs="Times New Roman"/>
        </w:rPr>
        <w:t>test was performed. Because of the small size of the sample (n = 1</w:t>
      </w:r>
      <w:r w:rsidR="005105F6">
        <w:rPr>
          <w:rFonts w:cs="Times New Roman"/>
        </w:rPr>
        <w:t>0</w:t>
      </w:r>
      <w:r w:rsidRPr="00074165">
        <w:rPr>
          <w:rFonts w:cs="Times New Roman"/>
        </w:rPr>
        <w:t xml:space="preserve">), it was reasoned that the data would not be normally distributed. Consequently, a paired t-test could not be used to compare scores and the nonparametric equivalent was needed: i.e., the Mann-Whitney </w:t>
      </w:r>
      <w:r w:rsidR="005105F6">
        <w:rPr>
          <w:rFonts w:cs="Times New Roman"/>
        </w:rPr>
        <w:t>U-</w:t>
      </w:r>
      <w:r w:rsidRPr="00074165">
        <w:rPr>
          <w:rFonts w:cs="Times New Roman"/>
        </w:rPr>
        <w:t xml:space="preserve">test. An alpha value of 0.05 was used to demonstrate significance in the results. </w:t>
      </w:r>
      <w:r w:rsidR="003929F6">
        <w:rPr>
          <w:rFonts w:cs="Times New Roman"/>
        </w:rPr>
        <w:t xml:space="preserve">Results from the test indicated the following </w:t>
      </w:r>
      <w:r w:rsidR="003929F6" w:rsidRPr="00D47479">
        <w:rPr>
          <w:rFonts w:cs="Times New Roman"/>
          <w:bCs/>
          <w:i/>
          <w:iCs/>
          <w:szCs w:val="24"/>
        </w:rPr>
        <w:t>z</w:t>
      </w:r>
      <w:r w:rsidR="003929F6">
        <w:rPr>
          <w:rFonts w:cs="Times New Roman"/>
          <w:bCs/>
          <w:szCs w:val="24"/>
        </w:rPr>
        <w:t xml:space="preserve"> = - 3.691, p &lt; 0.001. </w:t>
      </w:r>
      <w:r w:rsidRPr="00074165">
        <w:rPr>
          <w:rFonts w:cs="Times New Roman"/>
        </w:rPr>
        <w:t xml:space="preserve">Comparison with the alpha value </w:t>
      </w:r>
      <w:r w:rsidR="003929F6">
        <w:rPr>
          <w:rFonts w:cs="Times New Roman"/>
        </w:rPr>
        <w:t xml:space="preserve">with the p-value </w:t>
      </w:r>
      <w:r w:rsidRPr="00074165">
        <w:rPr>
          <w:rFonts w:cs="Times New Roman"/>
        </w:rPr>
        <w:t xml:space="preserve">indicates that the results were statically significant suggesting that the educational program </w:t>
      </w:r>
      <w:r w:rsidR="00853C54" w:rsidRPr="00074165">
        <w:rPr>
          <w:rFonts w:cs="Times New Roman"/>
        </w:rPr>
        <w:t xml:space="preserve">did </w:t>
      </w:r>
      <w:r w:rsidR="00B15E7D" w:rsidRPr="00074165">
        <w:rPr>
          <w:rFonts w:cs="Times New Roman"/>
        </w:rPr>
        <w:t>contribute</w:t>
      </w:r>
      <w:r w:rsidR="00853C54" w:rsidRPr="00074165">
        <w:rPr>
          <w:rFonts w:cs="Times New Roman"/>
        </w:rPr>
        <w:t xml:space="preserve"> to the change in scores noted from the descriptive analysis (Table 2).</w:t>
      </w:r>
    </w:p>
    <w:p w14:paraId="76D81E43" w14:textId="37C88557" w:rsidR="000758D0" w:rsidRPr="00074165" w:rsidRDefault="000758D0" w:rsidP="000758D0">
      <w:pPr>
        <w:spacing w:after="0" w:line="480" w:lineRule="auto"/>
        <w:jc w:val="center"/>
        <w:rPr>
          <w:rFonts w:cs="Times New Roman"/>
          <w:b/>
          <w:bCs/>
        </w:rPr>
      </w:pPr>
      <w:r w:rsidRPr="00074165">
        <w:rPr>
          <w:rFonts w:cs="Times New Roman"/>
          <w:b/>
          <w:bCs/>
        </w:rPr>
        <w:t>Discussion</w:t>
      </w:r>
    </w:p>
    <w:p w14:paraId="3A93A68D" w14:textId="08D5E9E8" w:rsidR="00853C54" w:rsidRPr="00074165" w:rsidRDefault="00853C54" w:rsidP="00853C54">
      <w:pPr>
        <w:spacing w:after="0" w:line="480" w:lineRule="auto"/>
        <w:ind w:firstLine="720"/>
        <w:rPr>
          <w:rFonts w:cs="Times New Roman"/>
        </w:rPr>
      </w:pPr>
      <w:r w:rsidRPr="00074165">
        <w:rPr>
          <w:rFonts w:cs="Times New Roman"/>
        </w:rPr>
        <w:t xml:space="preserve">The results of this project demonstrate that education for nursing professionals can serve to increase knowledge of sexual health and STI screening in older adults. As demonstrated when reviewing the background to this project, sexual health in older adults represents a significant </w:t>
      </w:r>
      <w:r w:rsidRPr="00074165">
        <w:rPr>
          <w:rFonts w:cs="Times New Roman"/>
        </w:rPr>
        <w:lastRenderedPageBreak/>
        <w:t>health issue. Older adults are the second largest group in the population that contract sexually transmitted infections (</w:t>
      </w:r>
      <w:r w:rsidR="00A678B1" w:rsidRPr="00074165">
        <w:rPr>
          <w:rFonts w:cs="Times New Roman"/>
        </w:rPr>
        <w:t>CDC, 2017</w:t>
      </w:r>
      <w:r w:rsidRPr="00074165">
        <w:rPr>
          <w:rFonts w:cs="Times New Roman"/>
        </w:rPr>
        <w:t>). Provider bias as well as provider lack of knowledge regarding this topic are factors that can perpetuate and exacerbate the problem (</w:t>
      </w:r>
      <w:r w:rsidR="00A678B1" w:rsidRPr="00074165">
        <w:rPr>
          <w:rFonts w:cs="Times New Roman"/>
        </w:rPr>
        <w:t>Flynn et al., 2016</w:t>
      </w:r>
      <w:r w:rsidRPr="00074165">
        <w:rPr>
          <w:rFonts w:cs="Times New Roman"/>
        </w:rPr>
        <w:t xml:space="preserve">). By increasing knowledge among healthcare providers, it is believed that this knowledge will translate into the ability and willingness of healthcare providers to change practice such that sexual health is integrated as part of routine care for the older adult. This would include increasing sexual health history taking, discussing sexual health topics with older adults, and performing STI screening in older adults </w:t>
      </w:r>
      <w:r w:rsidR="00FC717E" w:rsidRPr="00074165">
        <w:rPr>
          <w:rFonts w:cs="Times New Roman"/>
        </w:rPr>
        <w:t>who are sexually active and involved in non-monogamous relationships.</w:t>
      </w:r>
    </w:p>
    <w:p w14:paraId="682FA2ED" w14:textId="0DCE348D" w:rsidR="00FC717E" w:rsidRDefault="00FC717E" w:rsidP="00853C54">
      <w:pPr>
        <w:spacing w:after="0" w:line="480" w:lineRule="auto"/>
        <w:ind w:firstLine="720"/>
        <w:rPr>
          <w:rFonts w:cs="Times New Roman"/>
        </w:rPr>
      </w:pPr>
      <w:r w:rsidRPr="00074165">
        <w:rPr>
          <w:rFonts w:cs="Times New Roman"/>
        </w:rPr>
        <w:t>The results of this quality improvement project do support the literature indicating the provider knowledge can increase as a result of providing education on this topic (</w:t>
      </w:r>
      <w:r w:rsidR="00A678B1" w:rsidRPr="00074165">
        <w:rPr>
          <w:rFonts w:cs="Times New Roman"/>
        </w:rPr>
        <w:t>Verrastro et al., 2022</w:t>
      </w:r>
      <w:r w:rsidRPr="00074165">
        <w:rPr>
          <w:rFonts w:cs="Times New Roman"/>
        </w:rPr>
        <w:t xml:space="preserve">). Consequently, the results from this project will add to a growing body of literature on the topic of improving sexual health and STI screening in older adults. Although there has been an increase in interest on this topic in recent years, there are a limited number of studies supporting the use of provider education for addressing the sexual health needs of older adults. Further, there are few evidence-based educational programs for providers or older adults to help them navigate this topic. It is hoped that the educational program and content from this quality improvement project will be used in the future to guide the evolution of evidence-based educational materials on the topic to help fill this gap in practice. Clearly, there are significant gaps in practice that need to be ameliorated in order to ensure that older adults </w:t>
      </w:r>
      <w:r w:rsidR="00130898" w:rsidRPr="00074165">
        <w:rPr>
          <w:rFonts w:cs="Times New Roman"/>
        </w:rPr>
        <w:t>can</w:t>
      </w:r>
      <w:r w:rsidRPr="00074165">
        <w:rPr>
          <w:rFonts w:cs="Times New Roman"/>
        </w:rPr>
        <w:t xml:space="preserve"> meet their sexual health needs.</w:t>
      </w:r>
    </w:p>
    <w:p w14:paraId="26E8C530" w14:textId="4AE197A1" w:rsidR="003929F6" w:rsidRDefault="003929F6" w:rsidP="003929F6">
      <w:pPr>
        <w:spacing w:after="0" w:line="480" w:lineRule="auto"/>
        <w:rPr>
          <w:rFonts w:cs="Times New Roman"/>
        </w:rPr>
      </w:pPr>
    </w:p>
    <w:p w14:paraId="4B82E97C" w14:textId="259E240B" w:rsidR="003929F6" w:rsidRDefault="003929F6" w:rsidP="003929F6">
      <w:pPr>
        <w:spacing w:after="0" w:line="480" w:lineRule="auto"/>
        <w:rPr>
          <w:rFonts w:cs="Times New Roman"/>
        </w:rPr>
      </w:pPr>
    </w:p>
    <w:p w14:paraId="3ED97F28" w14:textId="7DB69357" w:rsidR="00757576" w:rsidRPr="00757576" w:rsidRDefault="00757576" w:rsidP="00757576">
      <w:pPr>
        <w:spacing w:after="0" w:line="480" w:lineRule="auto"/>
        <w:jc w:val="center"/>
        <w:rPr>
          <w:rFonts w:cs="Times New Roman"/>
          <w:b/>
          <w:bCs/>
        </w:rPr>
      </w:pPr>
      <w:r>
        <w:rPr>
          <w:rFonts w:cs="Times New Roman"/>
          <w:b/>
          <w:bCs/>
        </w:rPr>
        <w:lastRenderedPageBreak/>
        <w:t>Limitations</w:t>
      </w:r>
    </w:p>
    <w:p w14:paraId="0E787D21" w14:textId="77777777" w:rsidR="00757576" w:rsidRDefault="00757576" w:rsidP="00757576">
      <w:pPr>
        <w:spacing w:after="0" w:line="480" w:lineRule="auto"/>
        <w:ind w:firstLine="720"/>
        <w:rPr>
          <w:rFonts w:eastAsia="Times New Roman"/>
          <w:bCs/>
          <w:szCs w:val="24"/>
        </w:rPr>
      </w:pPr>
      <w:r>
        <w:rPr>
          <w:rFonts w:eastAsia="Times New Roman"/>
          <w:bCs/>
          <w:szCs w:val="24"/>
        </w:rPr>
        <w:t>Although the results of this project did indicate that provider education was effective and aligned with the current evidence on the topic, there are some pertinent limitations to the project that need to be discussed. The project was implemented at a single practice site with a limited number of providers. This small sample coupled with the use of a single practice site limit the generalizability of the findings to other primary care sites or other clinical settings such as an acute care facility. Thus, there is no guarantee that the success of the project at the current practice site could be translated to others.</w:t>
      </w:r>
    </w:p>
    <w:p w14:paraId="3F6508C5" w14:textId="77777777" w:rsidR="00757576" w:rsidRDefault="00757576" w:rsidP="00757576">
      <w:pPr>
        <w:spacing w:after="0" w:line="480" w:lineRule="auto"/>
        <w:ind w:firstLine="720"/>
        <w:rPr>
          <w:rFonts w:eastAsia="Times New Roman"/>
          <w:bCs/>
          <w:szCs w:val="24"/>
        </w:rPr>
      </w:pPr>
      <w:r>
        <w:rPr>
          <w:rFonts w:eastAsia="Times New Roman"/>
          <w:bCs/>
          <w:szCs w:val="24"/>
        </w:rPr>
        <w:t>An additional limitation of the study was the short duration of the project. As noted in this work, the penultimate goal for this project was to affect a change in behavior by educating providers. Evaluating a change in practice would have required several months of data collection to determine if STI screening rates or sexual health history taking among older adults increased at the primary care facility. Because this quality improvement project was implemented over several weeks, rather than several months, provider knowledge was the most salient measure to evaluate. Although it is reasonable to believe that a practice change should result for providers due to increased knowledge, it was not possible to quantify this outcome for the project. Consequently, it is not responsible to state with certainty that provider practice will change.</w:t>
      </w:r>
    </w:p>
    <w:p w14:paraId="220E46BC" w14:textId="77777777" w:rsidR="00757576" w:rsidRDefault="00757576" w:rsidP="00757576">
      <w:pPr>
        <w:spacing w:after="0" w:line="480" w:lineRule="auto"/>
        <w:ind w:firstLine="720"/>
        <w:rPr>
          <w:rFonts w:eastAsia="Times New Roman"/>
          <w:bCs/>
          <w:szCs w:val="24"/>
        </w:rPr>
      </w:pPr>
      <w:r>
        <w:rPr>
          <w:rFonts w:eastAsia="Times New Roman"/>
          <w:bCs/>
          <w:szCs w:val="24"/>
        </w:rPr>
        <w:t xml:space="preserve">Limitations for the project also include those related directly to the methodology and data analysis techniques used. The methodology employed was a pre-/post-implementation design that involved a single group. This approach does not allow for a direct comparison of the intervention group to a non-intervention group, limiting the conclusions that could be drawn from causality. In short, although the statistical significance does indicate that there was a change in provider knowledge that was not due to chance, it is not possible to state with certainty that </w:t>
      </w:r>
      <w:r>
        <w:rPr>
          <w:rFonts w:eastAsia="Times New Roman"/>
          <w:bCs/>
          <w:szCs w:val="24"/>
        </w:rPr>
        <w:lastRenderedPageBreak/>
        <w:t>the change was the result of the educational program. Additionally, the small sample made it necessary to use a Mann-Whitney U-test which lacks the statistical strength of its parametric equivalent the paired t-test. The Mann-Whitney test compared sample medians rather than sample means. Evaluations based on median rather than mean have less statistical power.</w:t>
      </w:r>
    </w:p>
    <w:p w14:paraId="68E839C3" w14:textId="49D906C0" w:rsidR="000758D0" w:rsidRPr="00074165" w:rsidRDefault="000758D0" w:rsidP="000758D0">
      <w:pPr>
        <w:spacing w:after="0" w:line="480" w:lineRule="auto"/>
        <w:jc w:val="center"/>
        <w:rPr>
          <w:rFonts w:cs="Times New Roman"/>
          <w:b/>
          <w:bCs/>
        </w:rPr>
      </w:pPr>
      <w:r w:rsidRPr="00074165">
        <w:rPr>
          <w:rFonts w:cs="Times New Roman"/>
          <w:b/>
          <w:bCs/>
        </w:rPr>
        <w:t>Implications for Advanced Nursing Practice</w:t>
      </w:r>
    </w:p>
    <w:p w14:paraId="2937B60E" w14:textId="545939C0" w:rsidR="000366F8" w:rsidRPr="00074165" w:rsidRDefault="00FC717E" w:rsidP="000366F8">
      <w:pPr>
        <w:spacing w:after="0" w:line="480" w:lineRule="auto"/>
        <w:ind w:firstLine="720"/>
        <w:rPr>
          <w:rFonts w:cs="Times New Roman"/>
        </w:rPr>
      </w:pPr>
      <w:r w:rsidRPr="00074165">
        <w:rPr>
          <w:rFonts w:cs="Times New Roman"/>
        </w:rPr>
        <w:t xml:space="preserve">The implications of the project for advanced nursing practice can be reviewed in terms of education, practice, and leadership. Considering first the implications of this project for advanced practice nursing education, it seems feasible to argue that this quality improvement project has demonstrated </w:t>
      </w:r>
      <w:r w:rsidR="000366F8" w:rsidRPr="00074165">
        <w:rPr>
          <w:rFonts w:cs="Times New Roman"/>
        </w:rPr>
        <w:t>the role of education in enhancing the knowledge of providers to improve sexual health and STI screening in older adults. Demonstrating the value of education to increase knowledge about a topic that is rarely addressed in advanced practice nursing education should serve as an impetus for changing curriculum and/or increasing staff education about this topic in the clinical setting. Advanced practice nurses working in education should be able to make changes to nursing curriculum and course content to enhance the ability of nursing students to understand the topic and to integrate sexual healthcare into standard care used when delivering care to older adults. Advanced practice nurses are responsible for identifying gaps in practice and working to address them (</w:t>
      </w:r>
      <w:r w:rsidR="008F712C" w:rsidRPr="00074165">
        <w:rPr>
          <w:rFonts w:cs="Times New Roman"/>
        </w:rPr>
        <w:t>Cusson et al., 2020</w:t>
      </w:r>
      <w:r w:rsidR="000366F8" w:rsidRPr="00074165">
        <w:rPr>
          <w:rFonts w:cs="Times New Roman"/>
        </w:rPr>
        <w:t>). This project demonstrates that there is a gap in nursing education and further that this gap can be addressed through strengthening education and curriculum for nursing students.</w:t>
      </w:r>
    </w:p>
    <w:p w14:paraId="14DD7254" w14:textId="56DF2ED2" w:rsidR="000758D0" w:rsidRPr="00074165" w:rsidRDefault="000366F8" w:rsidP="00251055">
      <w:pPr>
        <w:spacing w:after="0" w:line="480" w:lineRule="auto"/>
        <w:ind w:firstLine="720"/>
        <w:rPr>
          <w:rFonts w:cs="Times New Roman"/>
        </w:rPr>
      </w:pPr>
      <w:r w:rsidRPr="00074165">
        <w:rPr>
          <w:rFonts w:cs="Times New Roman"/>
        </w:rPr>
        <w:t xml:space="preserve">This quality improvement project also has implications for practice. More specifically, this project highlights the </w:t>
      </w:r>
      <w:r w:rsidR="00FC717E" w:rsidRPr="00074165">
        <w:rPr>
          <w:rFonts w:cs="Times New Roman"/>
        </w:rPr>
        <w:t xml:space="preserve">benefits that can be achieved </w:t>
      </w:r>
      <w:r w:rsidR="00E82441" w:rsidRPr="00074165">
        <w:rPr>
          <w:rFonts w:cs="Times New Roman"/>
        </w:rPr>
        <w:t>using</w:t>
      </w:r>
      <w:r w:rsidR="00FC717E" w:rsidRPr="00074165">
        <w:rPr>
          <w:rFonts w:cs="Times New Roman"/>
        </w:rPr>
        <w:t xml:space="preserve"> evidence-based education to improve the knowledge of providers regarding sexual health and STI screening in older adults. Consequently, advanced practice nurses working with older adult patients will have access to </w:t>
      </w:r>
      <w:r w:rsidR="00FC717E" w:rsidRPr="00074165">
        <w:rPr>
          <w:rFonts w:cs="Times New Roman"/>
        </w:rPr>
        <w:lastRenderedPageBreak/>
        <w:t xml:space="preserve">critical resources that can improve </w:t>
      </w:r>
      <w:r w:rsidRPr="00074165">
        <w:rPr>
          <w:rFonts w:cs="Times New Roman"/>
        </w:rPr>
        <w:t xml:space="preserve">their knowledge and, ideally, change their practice. Nurses completing this educational program can no longer </w:t>
      </w:r>
      <w:r w:rsidR="00033F7A" w:rsidRPr="00074165">
        <w:rPr>
          <w:rFonts w:cs="Times New Roman"/>
        </w:rPr>
        <w:t>ignore the sexual health needs of older adult patients. Those participating in the program have an evidence-based solution that can be applied to practice to improve the care of patients. The implementation of evidence-based care in practice is a foundational component of the advanced practice role (</w:t>
      </w:r>
      <w:r w:rsidR="008F712C" w:rsidRPr="00074165">
        <w:rPr>
          <w:rFonts w:cs="Times New Roman"/>
        </w:rPr>
        <w:t>Melnyk et al., 2018</w:t>
      </w:r>
      <w:r w:rsidR="00033F7A" w:rsidRPr="00074165">
        <w:rPr>
          <w:rFonts w:cs="Times New Roman"/>
        </w:rPr>
        <w:t>). Consequently, advanced practice nurses working in direct clinical care with older adult patients will have a responsibility to act and to use this knowledge to improve care of the patient.</w:t>
      </w:r>
    </w:p>
    <w:p w14:paraId="08A53294" w14:textId="02BFE3D0" w:rsidR="00033F7A" w:rsidRPr="00074165" w:rsidRDefault="00033F7A" w:rsidP="00251055">
      <w:pPr>
        <w:spacing w:after="0" w:line="480" w:lineRule="auto"/>
        <w:ind w:firstLine="720"/>
        <w:rPr>
          <w:rFonts w:cs="Times New Roman"/>
        </w:rPr>
      </w:pPr>
      <w:r w:rsidRPr="00074165">
        <w:rPr>
          <w:rFonts w:cs="Times New Roman"/>
        </w:rPr>
        <w:t>Leadership in the advanced practice role must also be considered in the context of this quality improvement project. Advanced practice nurses are expected to lead practice change for the improvement of the healthcare system and for individual and population health (</w:t>
      </w:r>
      <w:r w:rsidR="008F712C" w:rsidRPr="00074165">
        <w:rPr>
          <w:rFonts w:cs="Times New Roman"/>
        </w:rPr>
        <w:t>Casey &amp; O’Connor, 2022</w:t>
      </w:r>
      <w:r w:rsidRPr="00074165">
        <w:rPr>
          <w:rFonts w:cs="Times New Roman"/>
        </w:rPr>
        <w:t xml:space="preserve">). While the nurses involved in this project may not initially be able to lead change in implementing education, as new nurses are hired at the practice site, providing education to these nurses would be an excellent method for leading practice change. Additionally, advanced practice nurses that </w:t>
      </w:r>
      <w:r w:rsidR="009216DA" w:rsidRPr="00074165">
        <w:rPr>
          <w:rFonts w:cs="Times New Roman"/>
        </w:rPr>
        <w:t>possess</w:t>
      </w:r>
      <w:r w:rsidRPr="00074165">
        <w:rPr>
          <w:rFonts w:cs="Times New Roman"/>
        </w:rPr>
        <w:t xml:space="preserve"> this knowledge, should be able to disseminate it with other nurses to enhance the care of older adults in other practice sites. Through the dissemination of the results and through advocacy to provide staff education and on the topic at other practice sites, it should be possible to affect systems change within the healthcare to address the sexual health needs of individual patients while also contributing to improvements in population health through a reduction in the community spread of STIs.</w:t>
      </w:r>
    </w:p>
    <w:p w14:paraId="31877C69" w14:textId="68D7DC1E" w:rsidR="000758D0" w:rsidRPr="00074165" w:rsidRDefault="000758D0" w:rsidP="000758D0">
      <w:pPr>
        <w:spacing w:after="0" w:line="480" w:lineRule="auto"/>
        <w:jc w:val="center"/>
        <w:rPr>
          <w:rFonts w:cs="Times New Roman"/>
          <w:b/>
          <w:bCs/>
        </w:rPr>
      </w:pPr>
      <w:r w:rsidRPr="00074165">
        <w:rPr>
          <w:rFonts w:cs="Times New Roman"/>
          <w:b/>
          <w:bCs/>
        </w:rPr>
        <w:t>Conclusions</w:t>
      </w:r>
    </w:p>
    <w:p w14:paraId="716D008E" w14:textId="0B28AFAE" w:rsidR="000758D0" w:rsidRPr="00074165" w:rsidRDefault="00033F7A" w:rsidP="00251055">
      <w:pPr>
        <w:spacing w:after="0" w:line="480" w:lineRule="auto"/>
        <w:ind w:firstLine="720"/>
        <w:rPr>
          <w:rFonts w:cs="Times New Roman"/>
        </w:rPr>
      </w:pPr>
      <w:r w:rsidRPr="00074165">
        <w:rPr>
          <w:rFonts w:cs="Times New Roman"/>
        </w:rPr>
        <w:t>This quality improvement project not only demonstrates the value of provider education to improve sexual health and STI screening in</w:t>
      </w:r>
      <w:r w:rsidR="00A678B1" w:rsidRPr="00074165">
        <w:rPr>
          <w:rFonts w:cs="Times New Roman"/>
        </w:rPr>
        <w:t xml:space="preserve"> older adults but also this project provides a solid foundation upon which to systematically improve the care delivered to older adults. Increased </w:t>
      </w:r>
      <w:r w:rsidR="00A678B1" w:rsidRPr="00074165">
        <w:rPr>
          <w:rFonts w:cs="Times New Roman"/>
        </w:rPr>
        <w:lastRenderedPageBreak/>
        <w:t>knowledge among providers should lead to improvements in screening rates at the practice site, which should, in turn, help reduce the spread of STIs in the community and the overuse of antibiotics to treat STIs. Dissemination of this educational intervention to other practice sites should have a systemic impact on change, allowing for improvements in older adult health across the healthcare system. Prevention and early detection of STIs among older adults will also serve to reduce costs and will have a positive impact on overall population health. Arguably, there are extensive benefits for implementing this practice change that must be considered outside of this project.</w:t>
      </w:r>
    </w:p>
    <w:p w14:paraId="2E77463D" w14:textId="7B35A4B0" w:rsidR="00FE767F" w:rsidRPr="00074165" w:rsidRDefault="00FE767F">
      <w:pPr>
        <w:rPr>
          <w:rFonts w:cs="Times New Roman"/>
          <w:bCs/>
          <w:szCs w:val="24"/>
        </w:rPr>
      </w:pPr>
      <w:r w:rsidRPr="00074165">
        <w:rPr>
          <w:rFonts w:cs="Times New Roman"/>
          <w:bCs/>
          <w:szCs w:val="24"/>
        </w:rPr>
        <w:br w:type="page"/>
      </w:r>
    </w:p>
    <w:p w14:paraId="2650DB0C" w14:textId="437A6A80" w:rsidR="00D96531" w:rsidRPr="00074165" w:rsidRDefault="00D96531" w:rsidP="00D96531">
      <w:pPr>
        <w:jc w:val="center"/>
        <w:rPr>
          <w:rFonts w:cs="Times New Roman"/>
          <w:b/>
          <w:szCs w:val="24"/>
        </w:rPr>
      </w:pPr>
      <w:r w:rsidRPr="00074165">
        <w:rPr>
          <w:rFonts w:cs="Times New Roman"/>
          <w:b/>
          <w:szCs w:val="24"/>
        </w:rPr>
        <w:lastRenderedPageBreak/>
        <w:t>References</w:t>
      </w:r>
    </w:p>
    <w:p w14:paraId="52A4B820" w14:textId="3FC87682" w:rsidR="00D44C79" w:rsidRPr="00074165" w:rsidRDefault="00D44C79" w:rsidP="00D44C79">
      <w:pPr>
        <w:spacing w:after="0" w:line="480" w:lineRule="auto"/>
        <w:ind w:left="720" w:hanging="720"/>
        <w:rPr>
          <w:bCs/>
          <w:iCs/>
          <w:szCs w:val="24"/>
        </w:rPr>
      </w:pPr>
      <w:r w:rsidRPr="00074165">
        <w:rPr>
          <w:bCs/>
          <w:iCs/>
          <w:szCs w:val="24"/>
        </w:rPr>
        <w:t xml:space="preserve">Aaberg, V. (2019). Increasing student </w:t>
      </w:r>
      <w:r w:rsidR="00B91265" w:rsidRPr="00074165">
        <w:rPr>
          <w:bCs/>
          <w:iCs/>
          <w:szCs w:val="24"/>
        </w:rPr>
        <w:t>knowledge,</w:t>
      </w:r>
      <w:r w:rsidRPr="00074165">
        <w:rPr>
          <w:bCs/>
          <w:iCs/>
          <w:szCs w:val="24"/>
        </w:rPr>
        <w:t xml:space="preserve"> attitudes, and self-efficacy in sexuality education. </w:t>
      </w:r>
      <w:r w:rsidRPr="00074165">
        <w:rPr>
          <w:bCs/>
          <w:i/>
          <w:szCs w:val="24"/>
        </w:rPr>
        <w:t>Journal of Obstetric, Gynecologic, and Neonatal Nursing, 48</w:t>
      </w:r>
      <w:r w:rsidRPr="00074165">
        <w:rPr>
          <w:bCs/>
          <w:iCs/>
          <w:szCs w:val="24"/>
        </w:rPr>
        <w:t xml:space="preserve">(S1), S76-85. </w:t>
      </w:r>
      <w:hyperlink r:id="rId11" w:history="1">
        <w:r w:rsidRPr="00074165">
          <w:rPr>
            <w:rStyle w:val="Hyperlink"/>
            <w:bCs/>
            <w:iCs/>
            <w:color w:val="auto"/>
            <w:szCs w:val="24"/>
          </w:rPr>
          <w:t>https://doi.org/10.1016/j.jogn.2019.04.015</w:t>
        </w:r>
      </w:hyperlink>
    </w:p>
    <w:p w14:paraId="461D74D6"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t xml:space="preserve">Batras, D., Duff, C., &amp; Smith, B. J. (2016). Organizational change theory: Implications for health promotion practice. </w:t>
      </w:r>
      <w:r w:rsidRPr="00074165">
        <w:rPr>
          <w:rFonts w:cs="Times New Roman"/>
          <w:i/>
          <w:szCs w:val="24"/>
        </w:rPr>
        <w:t>Health Promotion International, 31</w:t>
      </w:r>
      <w:r w:rsidRPr="00074165">
        <w:rPr>
          <w:rFonts w:cs="Times New Roman"/>
          <w:iCs/>
          <w:szCs w:val="24"/>
        </w:rPr>
        <w:t xml:space="preserve">(1), 231-241. </w:t>
      </w:r>
      <w:hyperlink r:id="rId12" w:history="1">
        <w:r w:rsidRPr="00074165">
          <w:rPr>
            <w:rStyle w:val="Hyperlink"/>
            <w:rFonts w:cs="Times New Roman"/>
            <w:iCs/>
            <w:color w:val="auto"/>
            <w:szCs w:val="24"/>
          </w:rPr>
          <w:t>https://doi.org/10.1093/heapro/dau098</w:t>
        </w:r>
      </w:hyperlink>
    </w:p>
    <w:p w14:paraId="14388B7B" w14:textId="77777777" w:rsidR="00D44C79" w:rsidRPr="00074165" w:rsidRDefault="00D44C79" w:rsidP="00D44C79">
      <w:pPr>
        <w:spacing w:after="0" w:line="480" w:lineRule="auto"/>
        <w:ind w:left="720" w:hanging="720"/>
        <w:rPr>
          <w:bCs/>
          <w:iCs/>
          <w:szCs w:val="24"/>
        </w:rPr>
      </w:pPr>
      <w:r w:rsidRPr="00074165">
        <w:rPr>
          <w:bCs/>
          <w:iCs/>
          <w:szCs w:val="24"/>
        </w:rPr>
        <w:t xml:space="preserve">Bauer, M., McAuliffe, L., Nay, R., &amp; Chenco, C. (2013). Sexuality in older adults: Effective of and education intervention on attitudes, and beliefs of residential aged care staff. </w:t>
      </w:r>
      <w:r w:rsidRPr="00074165">
        <w:rPr>
          <w:bCs/>
          <w:i/>
          <w:szCs w:val="24"/>
        </w:rPr>
        <w:t>Educational Gerontology, 39</w:t>
      </w:r>
      <w:r w:rsidRPr="00074165">
        <w:rPr>
          <w:bCs/>
          <w:iCs/>
          <w:szCs w:val="24"/>
        </w:rPr>
        <w:t xml:space="preserve">, 82-91. </w:t>
      </w:r>
      <w:hyperlink r:id="rId13" w:history="1">
        <w:r w:rsidRPr="00074165">
          <w:rPr>
            <w:rStyle w:val="Hyperlink"/>
            <w:bCs/>
            <w:iCs/>
            <w:color w:val="auto"/>
            <w:szCs w:val="24"/>
          </w:rPr>
          <w:t>https://doi.org/10.1080/03601277.2012.682953</w:t>
        </w:r>
      </w:hyperlink>
    </w:p>
    <w:p w14:paraId="1B0E0A59"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t xml:space="preserve">Burnes, B. (2019). The origins of Lewin’s three-step model of change. </w:t>
      </w:r>
      <w:r w:rsidRPr="00074165">
        <w:rPr>
          <w:rFonts w:cs="Times New Roman"/>
          <w:i/>
          <w:szCs w:val="24"/>
        </w:rPr>
        <w:t>The Journal of Applied Behavioral Science, 56</w:t>
      </w:r>
      <w:r w:rsidRPr="00074165">
        <w:rPr>
          <w:rFonts w:cs="Times New Roman"/>
          <w:iCs/>
          <w:szCs w:val="24"/>
        </w:rPr>
        <w:t xml:space="preserve">(1), 32-59. </w:t>
      </w:r>
      <w:hyperlink r:id="rId14" w:history="1">
        <w:r w:rsidRPr="00074165">
          <w:rPr>
            <w:rStyle w:val="Hyperlink"/>
            <w:rFonts w:cs="Times New Roman"/>
            <w:iCs/>
            <w:color w:val="auto"/>
            <w:szCs w:val="24"/>
          </w:rPr>
          <w:t>https://doi.org/10.1177/0021886319892685</w:t>
        </w:r>
      </w:hyperlink>
    </w:p>
    <w:p w14:paraId="27C7ABA8" w14:textId="67E0AC74" w:rsidR="008F712C" w:rsidRPr="00074165" w:rsidRDefault="008F712C" w:rsidP="000D67C3">
      <w:pPr>
        <w:spacing w:after="0" w:line="480" w:lineRule="auto"/>
        <w:ind w:left="720" w:hanging="720"/>
        <w:rPr>
          <w:rFonts w:cs="Times New Roman"/>
          <w:iCs/>
          <w:szCs w:val="24"/>
        </w:rPr>
      </w:pPr>
      <w:r w:rsidRPr="00074165">
        <w:rPr>
          <w:rFonts w:cs="Times New Roman"/>
          <w:iCs/>
          <w:szCs w:val="24"/>
        </w:rPr>
        <w:t xml:space="preserve">Casey, M., &amp; O’Connor, L. (2022). Advanced practice nursing: Should research be the icing on the cake? </w:t>
      </w:r>
      <w:r w:rsidRPr="00074165">
        <w:rPr>
          <w:rFonts w:cs="Times New Roman"/>
          <w:i/>
          <w:szCs w:val="24"/>
        </w:rPr>
        <w:t>Nursing Open, 9</w:t>
      </w:r>
      <w:r w:rsidRPr="00074165">
        <w:rPr>
          <w:rFonts w:cs="Times New Roman"/>
          <w:iCs/>
          <w:szCs w:val="24"/>
        </w:rPr>
        <w:t xml:space="preserve">(1), 8-10. </w:t>
      </w:r>
      <w:hyperlink r:id="rId15" w:history="1">
        <w:r w:rsidRPr="00074165">
          <w:rPr>
            <w:rStyle w:val="Hyperlink"/>
            <w:rFonts w:cs="Times New Roman"/>
            <w:iCs/>
            <w:color w:val="auto"/>
            <w:szCs w:val="24"/>
          </w:rPr>
          <w:t>https://doi.org/10.1002/nop2.1122</w:t>
        </w:r>
      </w:hyperlink>
    </w:p>
    <w:p w14:paraId="4ABF7A4A" w14:textId="0568FD3C"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Centers for Disease Control and Prevention. (2017). </w:t>
      </w:r>
      <w:r w:rsidRPr="00074165">
        <w:rPr>
          <w:rFonts w:cs="Times New Roman"/>
          <w:i/>
          <w:szCs w:val="24"/>
        </w:rPr>
        <w:t>STDs at record high, indicating urgent need for prevention</w:t>
      </w:r>
      <w:r w:rsidRPr="00074165">
        <w:rPr>
          <w:rFonts w:cs="Times New Roman"/>
          <w:iCs/>
          <w:szCs w:val="24"/>
        </w:rPr>
        <w:t xml:space="preserve">. </w:t>
      </w:r>
      <w:hyperlink r:id="rId16" w:history="1">
        <w:r w:rsidRPr="00074165">
          <w:rPr>
            <w:rStyle w:val="Hyperlink"/>
            <w:rFonts w:cs="Times New Roman"/>
            <w:iCs/>
            <w:color w:val="auto"/>
            <w:szCs w:val="24"/>
          </w:rPr>
          <w:t>https://www.cdc.gov/nchhstp/newsroom/2017/std-surveillance-report-2016-press-release.html</w:t>
        </w:r>
      </w:hyperlink>
    </w:p>
    <w:p w14:paraId="60171564" w14:textId="6F96BB7E" w:rsidR="00024F72" w:rsidRPr="00074165" w:rsidRDefault="00024F72" w:rsidP="00D44C79">
      <w:pPr>
        <w:spacing w:after="0" w:line="480" w:lineRule="auto"/>
        <w:ind w:left="720" w:hanging="720"/>
        <w:rPr>
          <w:bCs/>
          <w:szCs w:val="24"/>
        </w:rPr>
      </w:pPr>
      <w:r w:rsidRPr="00074165">
        <w:rPr>
          <w:bCs/>
          <w:szCs w:val="24"/>
        </w:rPr>
        <w:t xml:space="preserve">Cusson, R. M., Meehan, C., Bourgault, A., &amp; Kelley, T. (2020). Educating the next generation of nurses to be innovators and change agents. </w:t>
      </w:r>
      <w:r w:rsidRPr="00074165">
        <w:rPr>
          <w:bCs/>
          <w:i/>
          <w:iCs/>
          <w:szCs w:val="24"/>
        </w:rPr>
        <w:t>Journal of Professional Nursing, 36</w:t>
      </w:r>
      <w:r w:rsidRPr="00074165">
        <w:rPr>
          <w:bCs/>
          <w:szCs w:val="24"/>
        </w:rPr>
        <w:t xml:space="preserve">(2), 13-19. </w:t>
      </w:r>
      <w:hyperlink r:id="rId17" w:history="1">
        <w:r w:rsidRPr="00074165">
          <w:rPr>
            <w:rStyle w:val="Hyperlink"/>
            <w:bCs/>
            <w:color w:val="auto"/>
            <w:szCs w:val="24"/>
          </w:rPr>
          <w:t>https://doi.org/10.1016/j.profnurs.2019.07.004</w:t>
        </w:r>
      </w:hyperlink>
    </w:p>
    <w:p w14:paraId="3F66DEE0" w14:textId="477B4BC8" w:rsidR="00D44C79" w:rsidRPr="00074165" w:rsidRDefault="00D44C79" w:rsidP="00D44C79">
      <w:pPr>
        <w:spacing w:after="0" w:line="480" w:lineRule="auto"/>
        <w:ind w:left="720" w:hanging="720"/>
        <w:rPr>
          <w:bCs/>
          <w:szCs w:val="24"/>
        </w:rPr>
      </w:pPr>
      <w:r w:rsidRPr="00074165">
        <w:rPr>
          <w:bCs/>
          <w:szCs w:val="24"/>
        </w:rPr>
        <w:t xml:space="preserve">Dang, D., &amp; Dearholt, S. (2017). </w:t>
      </w:r>
      <w:r w:rsidRPr="00074165">
        <w:rPr>
          <w:bCs/>
          <w:i/>
          <w:iCs/>
          <w:szCs w:val="24"/>
        </w:rPr>
        <w:t>Johns Hopkins nursing evidence-based practice: model and guidelines</w:t>
      </w:r>
      <w:r w:rsidRPr="00074165">
        <w:rPr>
          <w:bCs/>
          <w:szCs w:val="24"/>
        </w:rPr>
        <w:t xml:space="preserve"> (3rd ed.). Sigma Theta Tau International.</w:t>
      </w:r>
    </w:p>
    <w:p w14:paraId="2EC336BC"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lastRenderedPageBreak/>
        <w:t xml:space="preserve">Davis, T., Teaster, P. B., Thornton, A., Watkins, J. F., Alexander, L., &amp; Zanjani, F. (2016). Primary health care providers’ HIV prevention practices among older adults. </w:t>
      </w:r>
      <w:r w:rsidRPr="00074165">
        <w:rPr>
          <w:rFonts w:cs="Times New Roman"/>
          <w:i/>
          <w:szCs w:val="24"/>
        </w:rPr>
        <w:t>Journal of Applied Gerontology, 35</w:t>
      </w:r>
      <w:r w:rsidRPr="00074165">
        <w:rPr>
          <w:rFonts w:cs="Times New Roman"/>
          <w:iCs/>
          <w:szCs w:val="24"/>
        </w:rPr>
        <w:t xml:space="preserve">(12), 1325-1342. </w:t>
      </w:r>
      <w:hyperlink r:id="rId18" w:history="1">
        <w:r w:rsidRPr="00074165">
          <w:rPr>
            <w:rStyle w:val="Hyperlink"/>
            <w:rFonts w:cs="Times New Roman"/>
            <w:iCs/>
            <w:color w:val="auto"/>
            <w:szCs w:val="24"/>
          </w:rPr>
          <w:t>https://doi.org/10.1177/0733464815574093</w:t>
        </w:r>
      </w:hyperlink>
    </w:p>
    <w:p w14:paraId="12179993"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Dhingra, I., De Sousa, A., &amp; Sonavane, S. (2016). Sexuality in older adults: Clinical and psychosocial dilemmas. </w:t>
      </w:r>
      <w:r w:rsidRPr="00074165">
        <w:rPr>
          <w:rFonts w:cs="Times New Roman"/>
          <w:i/>
          <w:szCs w:val="24"/>
        </w:rPr>
        <w:t>Journal of Geriatric Mental Health, 3</w:t>
      </w:r>
      <w:r w:rsidRPr="00074165">
        <w:rPr>
          <w:rFonts w:cs="Times New Roman"/>
          <w:iCs/>
          <w:szCs w:val="24"/>
        </w:rPr>
        <w:t xml:space="preserve">(2), 131-139. </w:t>
      </w:r>
      <w:hyperlink r:id="rId19" w:history="1">
        <w:r w:rsidRPr="00074165">
          <w:rPr>
            <w:rStyle w:val="Hyperlink"/>
            <w:rFonts w:cs="Times New Roman"/>
            <w:iCs/>
            <w:color w:val="auto"/>
            <w:szCs w:val="24"/>
          </w:rPr>
          <w:t>https://doi.org/10.4103/2348-9995.195629</w:t>
        </w:r>
      </w:hyperlink>
    </w:p>
    <w:p w14:paraId="2E6B569F"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Estill, A., Mock, S. E., Schryer, E., &amp; Eibach, R. P. (2018). The effects of subjective age and aging attitudes on mid- to late-life sexuality. </w:t>
      </w:r>
      <w:r w:rsidRPr="00074165">
        <w:rPr>
          <w:rFonts w:cs="Times New Roman"/>
          <w:i/>
          <w:szCs w:val="24"/>
        </w:rPr>
        <w:t>The Journal of Sex Research, 55</w:t>
      </w:r>
      <w:r w:rsidRPr="00074165">
        <w:rPr>
          <w:rFonts w:cs="Times New Roman"/>
          <w:iCs/>
          <w:szCs w:val="24"/>
        </w:rPr>
        <w:t xml:space="preserve">(2), 146-151. </w:t>
      </w:r>
      <w:r w:rsidRPr="00074165">
        <w:rPr>
          <w:rFonts w:cs="Times New Roman"/>
          <w:i/>
          <w:szCs w:val="24"/>
        </w:rPr>
        <w:t>The Journal of Sex Research, 55</w:t>
      </w:r>
      <w:r w:rsidRPr="00074165">
        <w:rPr>
          <w:rFonts w:cs="Times New Roman"/>
          <w:iCs/>
          <w:szCs w:val="24"/>
        </w:rPr>
        <w:t xml:space="preserve">(2), 146-151. </w:t>
      </w:r>
      <w:hyperlink r:id="rId20" w:history="1">
        <w:r w:rsidRPr="00074165">
          <w:rPr>
            <w:rStyle w:val="Hyperlink"/>
            <w:rFonts w:cs="Times New Roman"/>
            <w:iCs/>
            <w:color w:val="auto"/>
            <w:szCs w:val="24"/>
          </w:rPr>
          <w:t>https://doi.org/10.1080/00224499.2017.1293603</w:t>
        </w:r>
      </w:hyperlink>
    </w:p>
    <w:p w14:paraId="66E6F0C5"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Flynn, K. E., Kin, L., Bruner, D. W., Cyranowski, J. M., Hahn, E. A., Jeffery, D. D., Reese, J. B., Reeve, B. B., Shelby, R. A., &amp; Weinfurt, K. P. (2016). Sexual satisfaction and the importance of sexual health to quality of life throughout the life course of U.S. adults. </w:t>
      </w:r>
      <w:r w:rsidRPr="00074165">
        <w:rPr>
          <w:rFonts w:cs="Times New Roman"/>
          <w:i/>
          <w:szCs w:val="24"/>
        </w:rPr>
        <w:t>The Journal of Sex Medicine, 13</w:t>
      </w:r>
      <w:r w:rsidRPr="00074165">
        <w:rPr>
          <w:rFonts w:cs="Times New Roman"/>
          <w:iCs/>
          <w:szCs w:val="24"/>
        </w:rPr>
        <w:t xml:space="preserve">(11), 1642-1650. </w:t>
      </w:r>
      <w:hyperlink r:id="rId21" w:history="1">
        <w:r w:rsidRPr="00074165">
          <w:rPr>
            <w:rStyle w:val="Hyperlink"/>
            <w:rFonts w:cs="Times New Roman"/>
            <w:iCs/>
            <w:color w:val="auto"/>
            <w:szCs w:val="24"/>
          </w:rPr>
          <w:t>https://doi.org/10.1016/j.jsxm.2016.08.011</w:t>
        </w:r>
      </w:hyperlink>
    </w:p>
    <w:p w14:paraId="44AF9BB2"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Gewirtz-Meydan, A., &amp; Ayalon, L. (2017). Physicians' response to sexual dysfunction presented by a younger vs. an older adult. </w:t>
      </w:r>
      <w:r w:rsidRPr="00074165">
        <w:rPr>
          <w:rFonts w:cs="Times New Roman"/>
          <w:i/>
          <w:szCs w:val="24"/>
        </w:rPr>
        <w:t>International Journal of Geriatric Psychiatry, 32</w:t>
      </w:r>
      <w:r w:rsidRPr="00074165">
        <w:rPr>
          <w:rFonts w:cs="Times New Roman"/>
          <w:iCs/>
          <w:szCs w:val="24"/>
        </w:rPr>
        <w:t xml:space="preserve">(12), 1476-1483. </w:t>
      </w:r>
      <w:hyperlink r:id="rId22" w:history="1">
        <w:r w:rsidRPr="00074165">
          <w:rPr>
            <w:rStyle w:val="Hyperlink"/>
            <w:rFonts w:cs="Times New Roman"/>
            <w:iCs/>
            <w:color w:val="auto"/>
            <w:szCs w:val="24"/>
          </w:rPr>
          <w:t>https://doi.org/10.1002/gps.4638</w:t>
        </w:r>
      </w:hyperlink>
    </w:p>
    <w:p w14:paraId="1FF4C53F"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Haesler, E., Bauer, M., &amp; Fetherstonhaugh, D. (2016). Sexuality, sexual health and older people: A systematic review of research on the knowledge and attitudes of health professionals. </w:t>
      </w:r>
      <w:r w:rsidRPr="00074165">
        <w:rPr>
          <w:rFonts w:cs="Times New Roman"/>
          <w:i/>
          <w:szCs w:val="24"/>
        </w:rPr>
        <w:t>Nurse Education Today, 40</w:t>
      </w:r>
      <w:r w:rsidRPr="00074165">
        <w:rPr>
          <w:rFonts w:cs="Times New Roman"/>
          <w:iCs/>
          <w:szCs w:val="24"/>
        </w:rPr>
        <w:t xml:space="preserve">, 57-71. </w:t>
      </w:r>
      <w:hyperlink r:id="rId23" w:history="1">
        <w:r w:rsidRPr="00074165">
          <w:rPr>
            <w:rStyle w:val="Hyperlink"/>
            <w:rFonts w:cs="Times New Roman"/>
            <w:iCs/>
            <w:color w:val="auto"/>
            <w:szCs w:val="24"/>
          </w:rPr>
          <w:t>https://doi.org/10.1016/j.nedt.2016.02.012</w:t>
        </w:r>
      </w:hyperlink>
    </w:p>
    <w:p w14:paraId="7F0749B0"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lastRenderedPageBreak/>
        <w:t xml:space="preserve">Harding, J. R., &amp; Manry, J. (2017). Provider sexual health assessment of the aging adult. </w:t>
      </w:r>
      <w:r w:rsidRPr="00074165">
        <w:rPr>
          <w:rFonts w:cs="Times New Roman"/>
          <w:i/>
          <w:iCs/>
          <w:szCs w:val="24"/>
        </w:rPr>
        <w:t>Educational Gerontology, 43</w:t>
      </w:r>
      <w:r w:rsidRPr="00074165">
        <w:rPr>
          <w:rFonts w:cs="Times New Roman"/>
          <w:iCs/>
          <w:szCs w:val="24"/>
        </w:rPr>
        <w:t xml:space="preserve">(9), 462-467. </w:t>
      </w:r>
      <w:hyperlink r:id="rId24" w:history="1">
        <w:r w:rsidRPr="00074165">
          <w:rPr>
            <w:rStyle w:val="Hyperlink"/>
            <w:rFonts w:cs="Times New Roman"/>
            <w:iCs/>
            <w:color w:val="auto"/>
            <w:szCs w:val="24"/>
          </w:rPr>
          <w:t>https://doi.org/10.1080/03601277.2017.1326226</w:t>
        </w:r>
      </w:hyperlink>
    </w:p>
    <w:p w14:paraId="31E3ED19" w14:textId="77777777" w:rsidR="00476245" w:rsidRPr="00074165" w:rsidRDefault="00476245" w:rsidP="00476245">
      <w:pPr>
        <w:spacing w:after="0" w:line="480" w:lineRule="auto"/>
        <w:ind w:left="720" w:hanging="720"/>
        <w:rPr>
          <w:rFonts w:cs="Times New Roman"/>
          <w:iCs/>
          <w:szCs w:val="24"/>
        </w:rPr>
      </w:pPr>
      <w:r w:rsidRPr="00074165">
        <w:rPr>
          <w:rFonts w:cs="Times New Roman"/>
          <w:iCs/>
          <w:szCs w:val="24"/>
        </w:rPr>
        <w:t xml:space="preserve">Heidari, S. (2016). Sexuality and older people: A neglected issue. </w:t>
      </w:r>
      <w:r w:rsidRPr="00074165">
        <w:rPr>
          <w:rFonts w:cs="Times New Roman"/>
          <w:i/>
          <w:iCs/>
          <w:szCs w:val="24"/>
        </w:rPr>
        <w:t>Reproductive Health Matters, 24</w:t>
      </w:r>
      <w:r w:rsidRPr="00074165">
        <w:rPr>
          <w:rFonts w:cs="Times New Roman"/>
          <w:iCs/>
          <w:szCs w:val="24"/>
        </w:rPr>
        <w:t xml:space="preserve">(48), 1-5. </w:t>
      </w:r>
      <w:hyperlink r:id="rId25" w:history="1">
        <w:r w:rsidRPr="00074165">
          <w:rPr>
            <w:rStyle w:val="Hyperlink"/>
            <w:rFonts w:cs="Times New Roman"/>
            <w:iCs/>
            <w:color w:val="auto"/>
            <w:szCs w:val="24"/>
          </w:rPr>
          <w:t>https://doi.org/10.1016/j.rhm.2016.11.011</w:t>
        </w:r>
      </w:hyperlink>
    </w:p>
    <w:p w14:paraId="534A3FD3"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t xml:space="preserve">Horne, M., Youell, J., Brown, L. J. E., Simpson, P., Dickinson, T., &amp; Brown-Wilson, C. (2021). A scoping review of education and training resources supporting care home staff in facilitating residents’ sexuality, intimacy and relational needs. </w:t>
      </w:r>
      <w:r w:rsidRPr="00074165">
        <w:rPr>
          <w:rFonts w:cs="Times New Roman"/>
          <w:i/>
          <w:szCs w:val="24"/>
        </w:rPr>
        <w:t>Age and Ageing, 50</w:t>
      </w:r>
      <w:r w:rsidRPr="00074165">
        <w:rPr>
          <w:rFonts w:cs="Times New Roman"/>
          <w:iCs/>
          <w:szCs w:val="24"/>
        </w:rPr>
        <w:t xml:space="preserve">, 785-771. </w:t>
      </w:r>
      <w:hyperlink r:id="rId26" w:history="1">
        <w:r w:rsidRPr="00074165">
          <w:rPr>
            <w:rStyle w:val="Hyperlink"/>
            <w:rFonts w:cs="Times New Roman"/>
            <w:iCs/>
            <w:color w:val="auto"/>
            <w:szCs w:val="24"/>
          </w:rPr>
          <w:t>https://doi.org/10.1093/ageing/afab022</w:t>
        </w:r>
      </w:hyperlink>
    </w:p>
    <w:p w14:paraId="627F7604"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t xml:space="preserve">Jonsdottir, J. I., Zoega, S., Saevarsdottir, T., Sverrisdottir, A., Thorsdottir, T., Einarsson, G. V., Gunnarsdottir, S., &amp; Fridriksdottir, N. (2016). Changes in attitudes, practices and barriers among oncology health care professionals regarding sexual health care: Outcomes from a 2-year educational intervention at a university hospital. </w:t>
      </w:r>
      <w:r w:rsidRPr="00074165">
        <w:rPr>
          <w:rFonts w:cs="Times New Roman"/>
          <w:i/>
          <w:szCs w:val="24"/>
        </w:rPr>
        <w:t>European Journal of Oncology Nursing, 21</w:t>
      </w:r>
      <w:r w:rsidRPr="00074165">
        <w:rPr>
          <w:rFonts w:cs="Times New Roman"/>
          <w:iCs/>
          <w:szCs w:val="24"/>
        </w:rPr>
        <w:t xml:space="preserve">, 24-30. </w:t>
      </w:r>
      <w:hyperlink r:id="rId27" w:history="1">
        <w:r w:rsidRPr="00074165">
          <w:rPr>
            <w:rStyle w:val="Hyperlink"/>
            <w:rFonts w:cs="Times New Roman"/>
            <w:iCs/>
            <w:color w:val="auto"/>
            <w:szCs w:val="24"/>
          </w:rPr>
          <w:t>https://doi.org/10.1016/j.ejon.2015.12.004</w:t>
        </w:r>
      </w:hyperlink>
    </w:p>
    <w:p w14:paraId="053FA9E4"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Karpiak, S. E., &amp; Lunievicz, J. L. (2017). Age is not a condom: HIV and sexual health for older adults. </w:t>
      </w:r>
      <w:r w:rsidRPr="00074165">
        <w:rPr>
          <w:rFonts w:cs="Times New Roman"/>
          <w:i/>
          <w:szCs w:val="24"/>
        </w:rPr>
        <w:t>Current Sexual Health Reports, 9</w:t>
      </w:r>
      <w:r w:rsidRPr="00074165">
        <w:rPr>
          <w:rFonts w:cs="Times New Roman"/>
          <w:iCs/>
          <w:szCs w:val="24"/>
        </w:rPr>
        <w:t xml:space="preserve">, 109-115. </w:t>
      </w:r>
      <w:hyperlink r:id="rId28" w:history="1">
        <w:r w:rsidRPr="00074165">
          <w:rPr>
            <w:rStyle w:val="Hyperlink"/>
            <w:rFonts w:cs="Times New Roman"/>
            <w:iCs/>
            <w:color w:val="auto"/>
            <w:szCs w:val="24"/>
          </w:rPr>
          <w:t>https://doi.org/10.1007/s11930-017-0119-0</w:t>
        </w:r>
      </w:hyperlink>
    </w:p>
    <w:p w14:paraId="7665331E" w14:textId="77777777" w:rsidR="000D67C3" w:rsidRPr="00074165" w:rsidRDefault="000D67C3" w:rsidP="000D67C3">
      <w:pPr>
        <w:spacing w:after="0" w:line="480" w:lineRule="auto"/>
        <w:ind w:left="720" w:hanging="720"/>
      </w:pPr>
      <w:r w:rsidRPr="00074165">
        <w:rPr>
          <w:rFonts w:cs="Times New Roman"/>
          <w:iCs/>
          <w:szCs w:val="24"/>
        </w:rPr>
        <w:t xml:space="preserve">Kirkman, K., Fox, C., &amp; Dickson-Swift, V. (2016). A case for sexual health policy that includes midlife and older adult sexuality and sexual health. </w:t>
      </w:r>
      <w:r w:rsidRPr="00074165">
        <w:rPr>
          <w:rFonts w:cs="Times New Roman"/>
          <w:i/>
          <w:szCs w:val="24"/>
        </w:rPr>
        <w:t>Aging and Society, 6</w:t>
      </w:r>
      <w:r w:rsidRPr="00074165">
        <w:rPr>
          <w:rFonts w:cs="Times New Roman"/>
          <w:iCs/>
          <w:szCs w:val="24"/>
        </w:rPr>
        <w:t xml:space="preserve">(2), 1-12. </w:t>
      </w:r>
      <w:hyperlink r:id="rId29" w:history="1">
        <w:r w:rsidRPr="00074165">
          <w:rPr>
            <w:rStyle w:val="Hyperlink"/>
            <w:rFonts w:cs="Times New Roman"/>
            <w:iCs/>
            <w:color w:val="auto"/>
            <w:szCs w:val="24"/>
          </w:rPr>
          <w:t>https://doi.org/</w:t>
        </w:r>
        <w:r w:rsidRPr="00074165">
          <w:rPr>
            <w:rStyle w:val="Hyperlink"/>
            <w:color w:val="auto"/>
          </w:rPr>
          <w:t>10.18848/2160-1909/CGP/v06i02/17-27</w:t>
        </w:r>
      </w:hyperlink>
    </w:p>
    <w:p w14:paraId="2366F4F2"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Low, N., &amp; Broutet, N. J. (2017). Sexually transmitted infections—Research priorities for new challenges. </w:t>
      </w:r>
      <w:r w:rsidRPr="00074165">
        <w:rPr>
          <w:rFonts w:cs="Times New Roman"/>
          <w:i/>
          <w:szCs w:val="24"/>
        </w:rPr>
        <w:t>PLoS Medicine, 14</w:t>
      </w:r>
      <w:r w:rsidRPr="00074165">
        <w:rPr>
          <w:rFonts w:cs="Times New Roman"/>
          <w:iCs/>
          <w:szCs w:val="24"/>
        </w:rPr>
        <w:t xml:space="preserve">(12), e1002481. </w:t>
      </w:r>
      <w:hyperlink r:id="rId30" w:history="1">
        <w:r w:rsidRPr="00074165">
          <w:rPr>
            <w:rStyle w:val="Hyperlink"/>
            <w:rFonts w:cs="Times New Roman"/>
            <w:iCs/>
            <w:color w:val="auto"/>
            <w:szCs w:val="24"/>
          </w:rPr>
          <w:t>https://doi.org/10.1371/journal.pmed.1002481</w:t>
        </w:r>
      </w:hyperlink>
    </w:p>
    <w:p w14:paraId="71478330"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lastRenderedPageBreak/>
        <w:t xml:space="preserve">Lu, M., Li, J., Wu, C., Huong, P. T. T., Hsu, P., Chang, C. (2021). Effectiveness of a sexual health care training to enhance psychiatric nurses’ knowledge, attitude, and self-efficacy: A quasi-experimental study in southern Tiawan. </w:t>
      </w:r>
      <w:r w:rsidRPr="00074165">
        <w:rPr>
          <w:rFonts w:cs="Times New Roman"/>
          <w:i/>
          <w:szCs w:val="24"/>
        </w:rPr>
        <w:t>Journal of the American Psychiatric Nurses Association, 17</w:t>
      </w:r>
      <w:r w:rsidRPr="00074165">
        <w:rPr>
          <w:rFonts w:cs="Times New Roman"/>
          <w:iCs/>
          <w:szCs w:val="24"/>
        </w:rPr>
        <w:t xml:space="preserve">, 1-9. </w:t>
      </w:r>
      <w:hyperlink r:id="rId31" w:history="1">
        <w:r w:rsidRPr="00074165">
          <w:rPr>
            <w:rStyle w:val="Hyperlink"/>
            <w:rFonts w:cs="Times New Roman"/>
            <w:iCs/>
            <w:color w:val="auto"/>
            <w:szCs w:val="24"/>
          </w:rPr>
          <w:t>https://doi.org/10.1177/10783903211045733</w:t>
        </w:r>
      </w:hyperlink>
    </w:p>
    <w:p w14:paraId="3FCFA2E2"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Lu, W., Pinkhart, H., &amp; Sacker, A. (2019). Domains and measurement of healthy aging in epidemiological studies: A review. </w:t>
      </w:r>
      <w:r w:rsidRPr="00074165">
        <w:rPr>
          <w:rFonts w:cs="Times New Roman"/>
          <w:i/>
          <w:szCs w:val="24"/>
        </w:rPr>
        <w:t>The Gerontologist, 59</w:t>
      </w:r>
      <w:r w:rsidRPr="00074165">
        <w:rPr>
          <w:rFonts w:cs="Times New Roman"/>
          <w:iCs/>
          <w:szCs w:val="24"/>
        </w:rPr>
        <w:t xml:space="preserve">(4), 294-310. </w:t>
      </w:r>
      <w:hyperlink r:id="rId32" w:history="1">
        <w:r w:rsidRPr="00074165">
          <w:rPr>
            <w:rStyle w:val="Hyperlink"/>
            <w:rFonts w:cs="Times New Roman"/>
            <w:iCs/>
            <w:color w:val="auto"/>
            <w:szCs w:val="24"/>
          </w:rPr>
          <w:t>https://doi.org/10.1093/geront/gny029</w:t>
        </w:r>
      </w:hyperlink>
    </w:p>
    <w:p w14:paraId="1BA89012"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Malta, S., Temple-Smith, M., Buckerstaffe, A., Bourchier, L., &amp; Hocking, J. (2020). ‘That might be a bit sexy for somebody your age’: Older adult sexual health conversations in primary care. </w:t>
      </w:r>
      <w:r w:rsidRPr="00074165">
        <w:rPr>
          <w:rFonts w:cs="Times New Roman"/>
          <w:i/>
          <w:szCs w:val="24"/>
        </w:rPr>
        <w:t>Australasian Journal of Ageing, 29</w:t>
      </w:r>
      <w:r w:rsidRPr="00074165">
        <w:rPr>
          <w:rFonts w:cs="Times New Roman"/>
          <w:iCs/>
          <w:szCs w:val="24"/>
        </w:rPr>
        <w:t xml:space="preserve">(S1), 40-48. </w:t>
      </w:r>
      <w:hyperlink r:id="rId33" w:history="1">
        <w:r w:rsidRPr="00074165">
          <w:rPr>
            <w:rStyle w:val="Hyperlink"/>
            <w:rFonts w:cs="Times New Roman"/>
            <w:iCs/>
            <w:color w:val="auto"/>
            <w:szCs w:val="24"/>
          </w:rPr>
          <w:t>https://doi.org/10.1111/ajag.12762</w:t>
        </w:r>
      </w:hyperlink>
    </w:p>
    <w:p w14:paraId="51909274" w14:textId="1293E8F7" w:rsidR="002E4A7E" w:rsidRPr="00074165" w:rsidRDefault="002E4A7E" w:rsidP="000D67C3">
      <w:pPr>
        <w:spacing w:after="0" w:line="480" w:lineRule="auto"/>
        <w:ind w:left="720" w:hanging="720"/>
        <w:rPr>
          <w:rFonts w:cs="Times New Roman"/>
          <w:iCs/>
          <w:szCs w:val="24"/>
        </w:rPr>
      </w:pPr>
      <w:r w:rsidRPr="00074165">
        <w:rPr>
          <w:rFonts w:cs="Times New Roman"/>
          <w:iCs/>
          <w:szCs w:val="24"/>
        </w:rPr>
        <w:t xml:space="preserve">McCormack, D., &amp; Koons, K. (2019). Sexually transmitted infections. </w:t>
      </w:r>
      <w:r w:rsidRPr="00074165">
        <w:rPr>
          <w:rFonts w:cs="Times New Roman"/>
          <w:i/>
          <w:szCs w:val="24"/>
        </w:rPr>
        <w:t>Emergency Medicine Clinics, 37</w:t>
      </w:r>
      <w:r w:rsidRPr="00074165">
        <w:rPr>
          <w:rFonts w:cs="Times New Roman"/>
          <w:iCs/>
          <w:szCs w:val="24"/>
        </w:rPr>
        <w:t xml:space="preserve">(4), 725-738. </w:t>
      </w:r>
      <w:hyperlink r:id="rId34" w:history="1">
        <w:r w:rsidRPr="00074165">
          <w:rPr>
            <w:rStyle w:val="Hyperlink"/>
            <w:rFonts w:cs="Times New Roman"/>
            <w:iCs/>
            <w:color w:val="auto"/>
            <w:szCs w:val="24"/>
          </w:rPr>
          <w:t>https://doi.org/10.1016/j.emc.2019.07.009</w:t>
        </w:r>
      </w:hyperlink>
    </w:p>
    <w:p w14:paraId="4B1849C3" w14:textId="656636B0" w:rsidR="008F712C" w:rsidRPr="00074165" w:rsidRDefault="008F712C" w:rsidP="000D67C3">
      <w:pPr>
        <w:spacing w:after="0" w:line="480" w:lineRule="auto"/>
        <w:ind w:left="720" w:hanging="720"/>
        <w:rPr>
          <w:rFonts w:cs="Times New Roman"/>
          <w:iCs/>
          <w:szCs w:val="24"/>
        </w:rPr>
      </w:pPr>
      <w:r w:rsidRPr="00074165">
        <w:rPr>
          <w:rFonts w:cs="Times New Roman"/>
          <w:iCs/>
          <w:szCs w:val="24"/>
        </w:rPr>
        <w:t xml:space="preserve">Melnyk, B. M., Gallagher-Ford, L., Zellefrow, C., Tucker, S., Thomas, B., Sinnot, L. T., &amp; Tan, A. (2018). The first U.S. study on nurses’ evidence-based practice competencies indicates major deficits that threaten healthcare quality, safety, and patient outcomes. </w:t>
      </w:r>
      <w:r w:rsidRPr="00074165">
        <w:rPr>
          <w:rFonts w:cs="Times New Roman"/>
          <w:i/>
          <w:szCs w:val="24"/>
        </w:rPr>
        <w:t>Worldviews on Evidence-Based Nursing, 15</w:t>
      </w:r>
      <w:r w:rsidRPr="00074165">
        <w:rPr>
          <w:rFonts w:cs="Times New Roman"/>
          <w:iCs/>
          <w:szCs w:val="24"/>
        </w:rPr>
        <w:t xml:space="preserve">(1), 16-25. </w:t>
      </w:r>
      <w:hyperlink r:id="rId35" w:history="1">
        <w:r w:rsidR="00024F72" w:rsidRPr="00074165">
          <w:rPr>
            <w:rStyle w:val="Hyperlink"/>
            <w:rFonts w:cs="Times New Roman"/>
            <w:iCs/>
            <w:color w:val="auto"/>
            <w:szCs w:val="24"/>
          </w:rPr>
          <w:t>https://doi.org/10.1111/wvn.12269</w:t>
        </w:r>
      </w:hyperlink>
    </w:p>
    <w:p w14:paraId="2CABBF75" w14:textId="40DF2196"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Michel, J., &amp; Sadana, R. (2017). “Healthy aging” concepts and measures. </w:t>
      </w:r>
      <w:r w:rsidRPr="00074165">
        <w:rPr>
          <w:rFonts w:cs="Times New Roman"/>
          <w:i/>
          <w:szCs w:val="24"/>
        </w:rPr>
        <w:t>The Journal of Post-Acute and Long-Term Medicine, 18</w:t>
      </w:r>
      <w:r w:rsidRPr="00074165">
        <w:rPr>
          <w:rFonts w:cs="Times New Roman"/>
          <w:iCs/>
          <w:szCs w:val="24"/>
        </w:rPr>
        <w:t xml:space="preserve">(6), 460-464. </w:t>
      </w:r>
      <w:hyperlink r:id="rId36" w:history="1">
        <w:r w:rsidRPr="00074165">
          <w:rPr>
            <w:rStyle w:val="Hyperlink"/>
            <w:rFonts w:cs="Times New Roman"/>
            <w:iCs/>
            <w:color w:val="auto"/>
            <w:szCs w:val="24"/>
          </w:rPr>
          <w:t>https://doi.org/10.1016/j.jamda.2017.03.008</w:t>
        </w:r>
      </w:hyperlink>
    </w:p>
    <w:p w14:paraId="53DCB8D4"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Nelson, T. D. Promoting healthy aging by confronting ageism. </w:t>
      </w:r>
      <w:r w:rsidRPr="00074165">
        <w:rPr>
          <w:rFonts w:cs="Times New Roman"/>
          <w:i/>
          <w:szCs w:val="24"/>
        </w:rPr>
        <w:t>American Psychologist, 71</w:t>
      </w:r>
      <w:r w:rsidRPr="00074165">
        <w:rPr>
          <w:rFonts w:cs="Times New Roman"/>
          <w:iCs/>
          <w:szCs w:val="24"/>
        </w:rPr>
        <w:t xml:space="preserve">(4), 276-282. </w:t>
      </w:r>
      <w:hyperlink r:id="rId37" w:history="1">
        <w:r w:rsidRPr="00074165">
          <w:rPr>
            <w:rStyle w:val="Hyperlink"/>
            <w:rFonts w:cs="Times New Roman"/>
            <w:iCs/>
            <w:color w:val="auto"/>
            <w:szCs w:val="24"/>
          </w:rPr>
          <w:t>https://doi.org/10.1037/a0040221</w:t>
        </w:r>
      </w:hyperlink>
    </w:p>
    <w:p w14:paraId="55AB883D"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lastRenderedPageBreak/>
        <w:t xml:space="preserve">Pearson, W. S., Tao, G., Kroeger, K., &amp; Peterman, T. A. (2017). Increase in urgent care center visits for sexually transmitted infections, United States, 2010-2014. </w:t>
      </w:r>
      <w:r w:rsidRPr="00074165">
        <w:rPr>
          <w:rFonts w:cs="Times New Roman"/>
          <w:i/>
          <w:szCs w:val="24"/>
        </w:rPr>
        <w:t>Emerging Infectious Diseases, 23</w:t>
      </w:r>
      <w:r w:rsidRPr="00074165">
        <w:rPr>
          <w:rFonts w:cs="Times New Roman"/>
          <w:iCs/>
          <w:szCs w:val="24"/>
        </w:rPr>
        <w:t xml:space="preserve">(2), 367-369. </w:t>
      </w:r>
      <w:hyperlink r:id="rId38" w:history="1">
        <w:r w:rsidRPr="00074165">
          <w:rPr>
            <w:rStyle w:val="Hyperlink"/>
            <w:rFonts w:cs="Times New Roman"/>
            <w:iCs/>
            <w:color w:val="auto"/>
            <w:szCs w:val="24"/>
          </w:rPr>
          <w:t>https://doi.org/10.3201/eid2302.161707</w:t>
        </w:r>
      </w:hyperlink>
    </w:p>
    <w:p w14:paraId="3096633A"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Roberts, A. W., Ogunwole, S. U., Blakeslee, L., &amp; Rabe, M. A. (2018). The population 65 years and older in the United States. </w:t>
      </w:r>
      <w:r w:rsidRPr="00074165">
        <w:rPr>
          <w:rFonts w:cs="Times New Roman"/>
          <w:i/>
          <w:szCs w:val="24"/>
        </w:rPr>
        <w:t>United States Census Bureau</w:t>
      </w:r>
      <w:r w:rsidRPr="00074165">
        <w:rPr>
          <w:rFonts w:cs="Times New Roman"/>
          <w:iCs/>
          <w:szCs w:val="24"/>
        </w:rPr>
        <w:t xml:space="preserve">. </w:t>
      </w:r>
      <w:hyperlink r:id="rId39" w:history="1">
        <w:r w:rsidRPr="00074165">
          <w:rPr>
            <w:rStyle w:val="Hyperlink"/>
            <w:rFonts w:cs="Times New Roman"/>
            <w:iCs/>
            <w:color w:val="auto"/>
            <w:szCs w:val="24"/>
          </w:rPr>
          <w:t>https://www.census.gov/content/dam/Census/library/publications/2018/acs/ACS-38.pdf</w:t>
        </w:r>
      </w:hyperlink>
    </w:p>
    <w:p w14:paraId="60C8731C" w14:textId="17BC594C" w:rsidR="009E209D" w:rsidRPr="00074165" w:rsidRDefault="009E209D" w:rsidP="000D67C3">
      <w:pPr>
        <w:spacing w:after="0" w:line="480" w:lineRule="auto"/>
        <w:ind w:left="720" w:hanging="720"/>
        <w:rPr>
          <w:rFonts w:cs="Times New Roman"/>
          <w:iCs/>
          <w:szCs w:val="24"/>
        </w:rPr>
      </w:pPr>
      <w:r w:rsidRPr="00074165">
        <w:rPr>
          <w:rFonts w:cs="Times New Roman"/>
          <w:iCs/>
          <w:szCs w:val="24"/>
        </w:rPr>
        <w:t xml:space="preserve">Savoy, M., O’Guerk, D., &amp; Brown-James, A. (2020). Sexual health history: Techniques and tips. </w:t>
      </w:r>
      <w:r w:rsidRPr="00074165">
        <w:rPr>
          <w:rFonts w:cs="Times New Roman"/>
          <w:i/>
          <w:szCs w:val="24"/>
        </w:rPr>
        <w:t>American Family Physician, 101</w:t>
      </w:r>
      <w:r w:rsidRPr="00074165">
        <w:rPr>
          <w:rFonts w:cs="Times New Roman"/>
          <w:iCs/>
          <w:szCs w:val="24"/>
        </w:rPr>
        <w:t xml:space="preserve">(5), 286-293. </w:t>
      </w:r>
      <w:hyperlink r:id="rId40" w:history="1">
        <w:r w:rsidRPr="00074165">
          <w:rPr>
            <w:rStyle w:val="Hyperlink"/>
            <w:rFonts w:cs="Times New Roman"/>
            <w:iCs/>
            <w:color w:val="auto"/>
            <w:szCs w:val="24"/>
          </w:rPr>
          <w:t>https://www.aafp.org/dam/AAFP/documents/journals/afp/Savoy.pdf</w:t>
        </w:r>
      </w:hyperlink>
    </w:p>
    <w:p w14:paraId="290B3593" w14:textId="6CFDD45A" w:rsidR="002E4A7E" w:rsidRPr="00074165" w:rsidRDefault="002E4A7E" w:rsidP="000D67C3">
      <w:pPr>
        <w:spacing w:after="0" w:line="480" w:lineRule="auto"/>
        <w:ind w:left="720" w:hanging="720"/>
        <w:rPr>
          <w:rFonts w:cs="Times New Roman"/>
          <w:iCs/>
          <w:szCs w:val="24"/>
        </w:rPr>
      </w:pPr>
      <w:r w:rsidRPr="00074165">
        <w:rPr>
          <w:rFonts w:cs="Times New Roman"/>
          <w:iCs/>
          <w:szCs w:val="24"/>
        </w:rPr>
        <w:t xml:space="preserve">Seigler, E. L., Burchett, C. O., &amp; Glesby, M. J. (2018). Older people with HIV are an essential part of the continuum of HIV care. </w:t>
      </w:r>
      <w:r w:rsidRPr="00074165">
        <w:rPr>
          <w:rFonts w:cs="Times New Roman"/>
          <w:i/>
          <w:szCs w:val="24"/>
        </w:rPr>
        <w:t>Journal of the International AIDS Society, 21</w:t>
      </w:r>
      <w:r w:rsidRPr="00074165">
        <w:rPr>
          <w:rFonts w:cs="Times New Roman"/>
          <w:iCs/>
          <w:szCs w:val="24"/>
        </w:rPr>
        <w:t xml:space="preserve">(10), e25188. </w:t>
      </w:r>
      <w:hyperlink r:id="rId41" w:history="1">
        <w:r w:rsidRPr="00074165">
          <w:rPr>
            <w:rStyle w:val="Hyperlink"/>
            <w:rFonts w:cs="Times New Roman"/>
            <w:iCs/>
            <w:color w:val="auto"/>
            <w:szCs w:val="24"/>
          </w:rPr>
          <w:t>https://doi.org/10.1002/jia2.25188</w:t>
        </w:r>
      </w:hyperlink>
    </w:p>
    <w:p w14:paraId="14698476" w14:textId="67E3CBB8"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Smith, M. L., Bergeron, C. D., Goltz, H. H., Coffey, T., &amp; Boolani, A. (2020). Sexually transmitted infection knowledge among older adults: Psychometrics and test-retest reliability. </w:t>
      </w:r>
      <w:r w:rsidRPr="00074165">
        <w:rPr>
          <w:rFonts w:cs="Times New Roman"/>
          <w:i/>
          <w:szCs w:val="24"/>
        </w:rPr>
        <w:t>International Journal of Environmental Research and Public Health, 17</w:t>
      </w:r>
      <w:r w:rsidRPr="00074165">
        <w:rPr>
          <w:rFonts w:cs="Times New Roman"/>
          <w:iCs/>
          <w:szCs w:val="24"/>
        </w:rPr>
        <w:t xml:space="preserve">(7), 2462-2474. </w:t>
      </w:r>
      <w:hyperlink r:id="rId42" w:history="1">
        <w:r w:rsidRPr="00074165">
          <w:rPr>
            <w:rStyle w:val="Hyperlink"/>
            <w:rFonts w:cs="Times New Roman"/>
            <w:iCs/>
            <w:color w:val="auto"/>
            <w:szCs w:val="24"/>
          </w:rPr>
          <w:t>https://doi.org/10.3390/ijerph17072462</w:t>
        </w:r>
      </w:hyperlink>
    </w:p>
    <w:p w14:paraId="2F0B54EC"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Srinivasan, S., Glover, J., Tampi, R. R., Tampi, D. J., &amp; Sewell, D. D. (2019). Sexuality and the older adult. </w:t>
      </w:r>
      <w:r w:rsidRPr="00074165">
        <w:rPr>
          <w:rFonts w:cs="Times New Roman"/>
          <w:i/>
          <w:szCs w:val="24"/>
        </w:rPr>
        <w:t>Current Psychiatry Reports, 21</w:t>
      </w:r>
      <w:r w:rsidRPr="00074165">
        <w:rPr>
          <w:rFonts w:cs="Times New Roman"/>
          <w:iCs/>
          <w:szCs w:val="24"/>
        </w:rPr>
        <w:t xml:space="preserve">, 97-105. </w:t>
      </w:r>
      <w:hyperlink r:id="rId43" w:history="1">
        <w:r w:rsidRPr="00074165">
          <w:rPr>
            <w:rStyle w:val="Hyperlink"/>
            <w:rFonts w:cs="Times New Roman"/>
            <w:iCs/>
            <w:color w:val="auto"/>
            <w:szCs w:val="24"/>
          </w:rPr>
          <w:t>https://doi.org/10.1007/s11920-019-1090-4</w:t>
        </w:r>
      </w:hyperlink>
    </w:p>
    <w:p w14:paraId="157B9193"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t xml:space="preserve">Sung, S., &amp; Lin, Y. (2013). Effectiveness of the sexual healthcare education in nursing students' knowledge, attitude, and self-efficacy on sexual healthcare. </w:t>
      </w:r>
      <w:r w:rsidRPr="00074165">
        <w:rPr>
          <w:rFonts w:cs="Times New Roman"/>
          <w:i/>
          <w:szCs w:val="24"/>
        </w:rPr>
        <w:t>Nurse Education Today, 33</w:t>
      </w:r>
      <w:r w:rsidRPr="00074165">
        <w:rPr>
          <w:rFonts w:cs="Times New Roman"/>
          <w:iCs/>
          <w:szCs w:val="24"/>
        </w:rPr>
        <w:t xml:space="preserve">, 498-503. </w:t>
      </w:r>
      <w:hyperlink r:id="rId44" w:history="1">
        <w:r w:rsidRPr="00074165">
          <w:rPr>
            <w:rStyle w:val="Hyperlink"/>
            <w:rFonts w:cs="Times New Roman"/>
            <w:iCs/>
            <w:color w:val="auto"/>
            <w:szCs w:val="24"/>
          </w:rPr>
          <w:t>https://doi.org/10.1016/j.nedt.2012.06.019</w:t>
        </w:r>
      </w:hyperlink>
    </w:p>
    <w:p w14:paraId="408C5F90"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lastRenderedPageBreak/>
        <w:t xml:space="preserve">Sung, S., Jiang, H., Chen, R., &amp; Chao, J. (2016). Bridging the gap in sexual healthcare in nursing practice: implementing a sexual healthcare training program to improve outcomes. </w:t>
      </w:r>
      <w:r w:rsidRPr="00074165">
        <w:rPr>
          <w:rFonts w:cs="Times New Roman"/>
          <w:i/>
          <w:szCs w:val="24"/>
        </w:rPr>
        <w:t>Journal of Clinical Nursing, 25</w:t>
      </w:r>
      <w:r w:rsidRPr="00074165">
        <w:rPr>
          <w:rFonts w:cs="Times New Roman"/>
          <w:iCs/>
          <w:szCs w:val="24"/>
        </w:rPr>
        <w:t xml:space="preserve">(19-20), 2898-3000. </w:t>
      </w:r>
      <w:hyperlink r:id="rId45" w:history="1">
        <w:r w:rsidRPr="00074165">
          <w:rPr>
            <w:rStyle w:val="Hyperlink"/>
            <w:rFonts w:cs="Times New Roman"/>
            <w:iCs/>
            <w:color w:val="auto"/>
            <w:szCs w:val="24"/>
          </w:rPr>
          <w:t>https://doi.org/10.1111/jocn.13441</w:t>
        </w:r>
      </w:hyperlink>
    </w:p>
    <w:p w14:paraId="60C5A219"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Syme, M. L., Cohn, T. J., &amp; Barnack-Tavlaris, J. B. (2017). A comparison of actual and perceived sexual risk among older adults. </w:t>
      </w:r>
      <w:r w:rsidRPr="00074165">
        <w:rPr>
          <w:rFonts w:cs="Times New Roman"/>
          <w:i/>
          <w:szCs w:val="24"/>
        </w:rPr>
        <w:t>The Journal of Sex Research, 54</w:t>
      </w:r>
      <w:r w:rsidRPr="00074165">
        <w:rPr>
          <w:rFonts w:cs="Times New Roman"/>
          <w:iCs/>
          <w:szCs w:val="24"/>
        </w:rPr>
        <w:t xml:space="preserve">(2), 149-160. </w:t>
      </w:r>
      <w:hyperlink r:id="rId46" w:history="1">
        <w:r w:rsidRPr="00074165">
          <w:rPr>
            <w:rStyle w:val="Hyperlink"/>
            <w:rFonts w:cs="Times New Roman"/>
            <w:iCs/>
            <w:color w:val="auto"/>
            <w:szCs w:val="24"/>
          </w:rPr>
          <w:t>https://doi.org/10.1080/00224499.2015.1124379</w:t>
        </w:r>
      </w:hyperlink>
    </w:p>
    <w:p w14:paraId="18E8740C" w14:textId="491B2306"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Unemo, M., &amp; Jensen, J. S. (2017). Antimicrobial-resistant sexually transmitted infections: </w:t>
      </w:r>
      <w:r w:rsidR="00411E3F" w:rsidRPr="00074165">
        <w:rPr>
          <w:rFonts w:cs="Times New Roman"/>
          <w:iCs/>
          <w:szCs w:val="24"/>
        </w:rPr>
        <w:t>gonorrhea</w:t>
      </w:r>
      <w:r w:rsidRPr="00074165">
        <w:rPr>
          <w:rFonts w:cs="Times New Roman"/>
          <w:iCs/>
          <w:szCs w:val="24"/>
        </w:rPr>
        <w:t xml:space="preserve"> and </w:t>
      </w:r>
      <w:r w:rsidRPr="00074165">
        <w:rPr>
          <w:rFonts w:cs="Times New Roman"/>
          <w:i/>
          <w:szCs w:val="24"/>
        </w:rPr>
        <w:t>Mycoplasma genitalium</w:t>
      </w:r>
      <w:r w:rsidRPr="00074165">
        <w:rPr>
          <w:rFonts w:cs="Times New Roman"/>
          <w:iCs/>
          <w:szCs w:val="24"/>
        </w:rPr>
        <w:t xml:space="preserve">. </w:t>
      </w:r>
      <w:r w:rsidRPr="00074165">
        <w:rPr>
          <w:rFonts w:cs="Times New Roman"/>
          <w:i/>
          <w:szCs w:val="24"/>
        </w:rPr>
        <w:t>Nature Reviews: Urology, 14</w:t>
      </w:r>
      <w:r w:rsidRPr="00074165">
        <w:rPr>
          <w:rFonts w:cs="Times New Roman"/>
          <w:iCs/>
          <w:szCs w:val="24"/>
        </w:rPr>
        <w:t xml:space="preserve">, 139-152. </w:t>
      </w:r>
      <w:hyperlink r:id="rId47" w:history="1">
        <w:r w:rsidRPr="00074165">
          <w:rPr>
            <w:rStyle w:val="Hyperlink"/>
            <w:rFonts w:cs="Times New Roman"/>
            <w:iCs/>
            <w:color w:val="auto"/>
            <w:szCs w:val="24"/>
          </w:rPr>
          <w:t>https://doi.org/10.1038/nrurol.2016.268</w:t>
        </w:r>
      </w:hyperlink>
    </w:p>
    <w:p w14:paraId="673A0744"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t xml:space="preserve">Verrastro, V., Saladino, V., Petruccelli, F., &amp; Eleuteri, S. (2020). Medical and health care professionals’ sexuality education: State of the art and recommendations. </w:t>
      </w:r>
      <w:r w:rsidRPr="00074165">
        <w:rPr>
          <w:rFonts w:cs="Times New Roman"/>
          <w:i/>
          <w:szCs w:val="24"/>
        </w:rPr>
        <w:t>International Journal of Environmental Research and Public Health, 17</w:t>
      </w:r>
      <w:r w:rsidRPr="00074165">
        <w:rPr>
          <w:rFonts w:cs="Times New Roman"/>
          <w:iCs/>
          <w:szCs w:val="24"/>
        </w:rPr>
        <w:t xml:space="preserve">(7), 2186-2195. </w:t>
      </w:r>
      <w:hyperlink r:id="rId48" w:history="1">
        <w:r w:rsidRPr="00074165">
          <w:rPr>
            <w:rStyle w:val="Hyperlink"/>
            <w:rFonts w:cs="Times New Roman"/>
            <w:iCs/>
            <w:color w:val="auto"/>
            <w:szCs w:val="24"/>
          </w:rPr>
          <w:t>https://doi.org/10.3390/ijerph17072186</w:t>
        </w:r>
      </w:hyperlink>
    </w:p>
    <w:p w14:paraId="3835B769" w14:textId="77777777" w:rsidR="00D44C79" w:rsidRPr="00074165" w:rsidRDefault="00D44C79" w:rsidP="00D44C79">
      <w:pPr>
        <w:spacing w:after="0" w:line="480" w:lineRule="auto"/>
        <w:ind w:left="720" w:hanging="720"/>
        <w:rPr>
          <w:rFonts w:cs="Times New Roman"/>
          <w:iCs/>
          <w:szCs w:val="24"/>
        </w:rPr>
      </w:pPr>
      <w:r w:rsidRPr="00074165">
        <w:rPr>
          <w:rFonts w:cs="Times New Roman"/>
          <w:iCs/>
          <w:szCs w:val="24"/>
        </w:rPr>
        <w:t xml:space="preserve">White, B. P., Abuelezam, N. A., Dwyer, A. A., &amp; Fontenot, H. B. (2020). A sexual health course for advanced practice registered nurses: Effect on preparedness, comfort, and confidence in delivering comprehensive care. </w:t>
      </w:r>
      <w:r w:rsidRPr="00074165">
        <w:rPr>
          <w:rFonts w:cs="Times New Roman"/>
          <w:i/>
          <w:szCs w:val="24"/>
        </w:rPr>
        <w:t>Nurse Education Today, 92</w:t>
      </w:r>
      <w:r w:rsidRPr="00074165">
        <w:rPr>
          <w:rFonts w:cs="Times New Roman"/>
          <w:iCs/>
          <w:szCs w:val="24"/>
        </w:rPr>
        <w:t xml:space="preserve">, 1-6. </w:t>
      </w:r>
      <w:hyperlink r:id="rId49" w:history="1">
        <w:r w:rsidRPr="00074165">
          <w:rPr>
            <w:rStyle w:val="Hyperlink"/>
            <w:rFonts w:cs="Times New Roman"/>
            <w:iCs/>
            <w:color w:val="auto"/>
            <w:szCs w:val="24"/>
          </w:rPr>
          <w:t>https://doi.org/10.1016/j.nedt.2020.104506</w:t>
        </w:r>
      </w:hyperlink>
    </w:p>
    <w:p w14:paraId="28B8B778" w14:textId="77777777" w:rsidR="000D67C3" w:rsidRPr="00074165" w:rsidRDefault="000D67C3" w:rsidP="000D67C3">
      <w:pPr>
        <w:spacing w:after="0" w:line="480" w:lineRule="auto"/>
        <w:ind w:left="720" w:hanging="720"/>
        <w:rPr>
          <w:rFonts w:cs="Times New Roman"/>
          <w:iCs/>
          <w:szCs w:val="24"/>
        </w:rPr>
      </w:pPr>
      <w:r w:rsidRPr="00074165">
        <w:rPr>
          <w:rFonts w:cs="Times New Roman"/>
          <w:iCs/>
          <w:szCs w:val="24"/>
        </w:rPr>
        <w:t xml:space="preserve">Zachor, H., Chang, J. C., Zelazny, S., Jones, K. A., &amp; Miller, E. (2018). Training reproductive health providers to talk about intimate partner violence and reproductive coercion: An exploratory study. </w:t>
      </w:r>
      <w:r w:rsidRPr="00074165">
        <w:rPr>
          <w:rFonts w:cs="Times New Roman"/>
          <w:i/>
          <w:szCs w:val="24"/>
        </w:rPr>
        <w:t>Health Education Research, 33</w:t>
      </w:r>
      <w:r w:rsidRPr="00074165">
        <w:rPr>
          <w:rFonts w:cs="Times New Roman"/>
          <w:iCs/>
          <w:szCs w:val="24"/>
        </w:rPr>
        <w:t xml:space="preserve">(2), 175-185. </w:t>
      </w:r>
      <w:hyperlink r:id="rId50" w:history="1">
        <w:r w:rsidRPr="00074165">
          <w:rPr>
            <w:rStyle w:val="Hyperlink"/>
            <w:rFonts w:cs="Times New Roman"/>
            <w:iCs/>
            <w:color w:val="auto"/>
            <w:szCs w:val="24"/>
          </w:rPr>
          <w:t>https://doi.org/10.1093/her/cyy007</w:t>
        </w:r>
      </w:hyperlink>
    </w:p>
    <w:p w14:paraId="5AB74BD6" w14:textId="44E53B24" w:rsidR="00A14EB0" w:rsidRPr="00074165" w:rsidRDefault="00A14EB0" w:rsidP="004D1487">
      <w:pPr>
        <w:spacing w:after="0" w:line="480" w:lineRule="auto"/>
        <w:ind w:left="720" w:hanging="720"/>
        <w:rPr>
          <w:rFonts w:cs="Times New Roman"/>
          <w:iCs/>
          <w:szCs w:val="24"/>
        </w:rPr>
      </w:pPr>
    </w:p>
    <w:p w14:paraId="4992D9AC" w14:textId="77777777" w:rsidR="0003352A" w:rsidRPr="00074165" w:rsidRDefault="0003352A" w:rsidP="004D1487">
      <w:pPr>
        <w:spacing w:after="0" w:line="480" w:lineRule="auto"/>
        <w:ind w:left="720" w:hanging="720"/>
        <w:rPr>
          <w:rFonts w:cs="Times New Roman"/>
          <w:iCs/>
          <w:szCs w:val="24"/>
        </w:rPr>
        <w:sectPr w:rsidR="0003352A" w:rsidRPr="00074165" w:rsidSect="004D1487">
          <w:headerReference w:type="first" r:id="rId51"/>
          <w:pgSz w:w="12240" w:h="15840"/>
          <w:pgMar w:top="1440" w:right="1440" w:bottom="1440" w:left="1440" w:header="720" w:footer="720" w:gutter="0"/>
          <w:cols w:space="720"/>
          <w:titlePg/>
          <w:docGrid w:linePitch="360"/>
        </w:sectPr>
      </w:pPr>
    </w:p>
    <w:p w14:paraId="12ADC4B0" w14:textId="0A1F89D7" w:rsidR="0003352A" w:rsidRPr="00074165" w:rsidRDefault="0003352A" w:rsidP="0003352A">
      <w:pPr>
        <w:spacing w:after="0" w:line="480" w:lineRule="auto"/>
        <w:ind w:left="720" w:hanging="720"/>
        <w:jc w:val="center"/>
        <w:rPr>
          <w:rFonts w:cs="Times New Roman"/>
          <w:iCs/>
          <w:szCs w:val="24"/>
        </w:rPr>
      </w:pPr>
      <w:r w:rsidRPr="00074165">
        <w:rPr>
          <w:rFonts w:cs="Times New Roman"/>
          <w:b/>
          <w:bCs/>
          <w:iCs/>
          <w:szCs w:val="24"/>
        </w:rPr>
        <w:lastRenderedPageBreak/>
        <w:t>Appendix</w:t>
      </w:r>
      <w:r w:rsidR="00757576">
        <w:rPr>
          <w:rFonts w:cs="Times New Roman"/>
          <w:b/>
          <w:bCs/>
          <w:iCs/>
          <w:szCs w:val="24"/>
        </w:rPr>
        <w:t xml:space="preserve"> A</w:t>
      </w:r>
      <w:r w:rsidRPr="00074165">
        <w:rPr>
          <w:rFonts w:cs="Times New Roman"/>
          <w:b/>
          <w:bCs/>
          <w:iCs/>
          <w:szCs w:val="24"/>
        </w:rPr>
        <w:t xml:space="preserve">: </w:t>
      </w:r>
      <w:r w:rsidRPr="00074165">
        <w:rPr>
          <w:rFonts w:cs="Times New Roman"/>
          <w:iCs/>
          <w:szCs w:val="24"/>
        </w:rPr>
        <w:t>Summary Literature Table</w:t>
      </w:r>
    </w:p>
    <w:tbl>
      <w:tblPr>
        <w:tblpPr w:leftFromText="180" w:rightFromText="180" w:vertAnchor="text" w:horzAnchor="margin" w:tblpXSpec="center" w:tblpY="10"/>
        <w:tblW w:w="12404"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1075"/>
        <w:gridCol w:w="1530"/>
        <w:gridCol w:w="1350"/>
        <w:gridCol w:w="1710"/>
        <w:gridCol w:w="2482"/>
        <w:gridCol w:w="1377"/>
        <w:gridCol w:w="1440"/>
        <w:gridCol w:w="1440"/>
      </w:tblGrid>
      <w:tr w:rsidR="00074165" w:rsidRPr="00074165" w14:paraId="35E7E2E2" w14:textId="77777777" w:rsidTr="00EB713F">
        <w:trPr>
          <w:trHeight w:val="920"/>
        </w:trPr>
        <w:tc>
          <w:tcPr>
            <w:tcW w:w="1075" w:type="dxa"/>
            <w:shd w:val="clear" w:color="auto" w:fill="D1D3D4"/>
          </w:tcPr>
          <w:p w14:paraId="2F5F55E0" w14:textId="77777777" w:rsidR="0003352A" w:rsidRPr="00074165" w:rsidRDefault="0003352A" w:rsidP="00EB713F">
            <w:pPr>
              <w:pStyle w:val="TableParagraph"/>
              <w:spacing w:before="155" w:line="240" w:lineRule="atLeast"/>
              <w:ind w:left="103" w:right="138"/>
              <w:jc w:val="center"/>
              <w:rPr>
                <w:rFonts w:ascii="Times New Roman" w:hAnsi="Times New Roman" w:cs="Times New Roman"/>
                <w:b/>
              </w:rPr>
            </w:pPr>
            <w:r w:rsidRPr="00074165">
              <w:rPr>
                <w:rFonts w:ascii="Times New Roman" w:hAnsi="Times New Roman" w:cs="Times New Roman"/>
                <w:b/>
                <w:w w:val="105"/>
              </w:rPr>
              <w:t xml:space="preserve">Article </w:t>
            </w:r>
            <w:r w:rsidRPr="00074165">
              <w:rPr>
                <w:rFonts w:ascii="Times New Roman" w:hAnsi="Times New Roman" w:cs="Times New Roman"/>
                <w:b/>
              </w:rPr>
              <w:t>Number</w:t>
            </w:r>
          </w:p>
        </w:tc>
        <w:tc>
          <w:tcPr>
            <w:tcW w:w="1530" w:type="dxa"/>
            <w:shd w:val="clear" w:color="auto" w:fill="D1D3D4"/>
          </w:tcPr>
          <w:p w14:paraId="776E4637" w14:textId="77777777" w:rsidR="0003352A" w:rsidRPr="00074165" w:rsidRDefault="0003352A" w:rsidP="00EB713F">
            <w:pPr>
              <w:pStyle w:val="TableParagraph"/>
              <w:spacing w:before="176"/>
              <w:ind w:left="103"/>
              <w:jc w:val="center"/>
              <w:rPr>
                <w:rFonts w:ascii="Times New Roman" w:hAnsi="Times New Roman" w:cs="Times New Roman"/>
                <w:b/>
              </w:rPr>
            </w:pPr>
            <w:r w:rsidRPr="00074165">
              <w:rPr>
                <w:rFonts w:ascii="Times New Roman" w:hAnsi="Times New Roman" w:cs="Times New Roman"/>
                <w:b/>
              </w:rPr>
              <w:t>Author and Date</w:t>
            </w:r>
          </w:p>
        </w:tc>
        <w:tc>
          <w:tcPr>
            <w:tcW w:w="1350" w:type="dxa"/>
            <w:shd w:val="clear" w:color="auto" w:fill="D1D3D4"/>
          </w:tcPr>
          <w:p w14:paraId="5C88B5FF" w14:textId="77777777" w:rsidR="0003352A" w:rsidRPr="00074165" w:rsidRDefault="0003352A" w:rsidP="00EB713F">
            <w:pPr>
              <w:pStyle w:val="TableParagraph"/>
              <w:spacing w:before="176"/>
              <w:ind w:left="103"/>
              <w:jc w:val="center"/>
              <w:rPr>
                <w:rFonts w:ascii="Times New Roman" w:hAnsi="Times New Roman" w:cs="Times New Roman"/>
                <w:b/>
              </w:rPr>
            </w:pPr>
            <w:r w:rsidRPr="00074165">
              <w:rPr>
                <w:rFonts w:ascii="Times New Roman" w:hAnsi="Times New Roman" w:cs="Times New Roman"/>
                <w:b/>
              </w:rPr>
              <w:t>Evidence Type</w:t>
            </w:r>
          </w:p>
        </w:tc>
        <w:tc>
          <w:tcPr>
            <w:tcW w:w="1710" w:type="dxa"/>
            <w:shd w:val="clear" w:color="auto" w:fill="D1D3D4"/>
          </w:tcPr>
          <w:p w14:paraId="03BAE7F5" w14:textId="77777777" w:rsidR="0003352A" w:rsidRPr="00074165" w:rsidRDefault="0003352A" w:rsidP="00EB713F">
            <w:pPr>
              <w:pStyle w:val="TableParagraph"/>
              <w:spacing w:before="155" w:line="240" w:lineRule="atLeast"/>
              <w:ind w:left="103" w:right="112"/>
              <w:jc w:val="center"/>
              <w:rPr>
                <w:rFonts w:ascii="Times New Roman" w:hAnsi="Times New Roman" w:cs="Times New Roman"/>
                <w:b/>
              </w:rPr>
            </w:pPr>
            <w:r w:rsidRPr="00074165">
              <w:rPr>
                <w:rFonts w:ascii="Times New Roman" w:hAnsi="Times New Roman" w:cs="Times New Roman"/>
                <w:b/>
                <w:w w:val="105"/>
              </w:rPr>
              <w:t>Sample, Sample Size, Setting</w:t>
            </w:r>
          </w:p>
        </w:tc>
        <w:tc>
          <w:tcPr>
            <w:tcW w:w="2482" w:type="dxa"/>
            <w:shd w:val="clear" w:color="auto" w:fill="D1D3D4"/>
          </w:tcPr>
          <w:p w14:paraId="34616032" w14:textId="77777777" w:rsidR="0003352A" w:rsidRPr="00074165" w:rsidRDefault="0003352A" w:rsidP="00EB713F">
            <w:pPr>
              <w:pStyle w:val="TableParagraph"/>
              <w:spacing w:before="167" w:line="240" w:lineRule="atLeast"/>
              <w:ind w:left="103"/>
              <w:jc w:val="center"/>
              <w:rPr>
                <w:rFonts w:ascii="Times New Roman" w:hAnsi="Times New Roman" w:cs="Times New Roman"/>
                <w:b/>
              </w:rPr>
            </w:pPr>
            <w:r w:rsidRPr="00074165">
              <w:rPr>
                <w:rFonts w:ascii="Times New Roman" w:hAnsi="Times New Roman" w:cs="Times New Roman"/>
                <w:b/>
              </w:rPr>
              <w:t>Findings That Help Answer the PICO Question</w:t>
            </w:r>
          </w:p>
        </w:tc>
        <w:tc>
          <w:tcPr>
            <w:tcW w:w="1377" w:type="dxa"/>
            <w:shd w:val="clear" w:color="auto" w:fill="D1D3D4"/>
          </w:tcPr>
          <w:p w14:paraId="16B42EDD" w14:textId="77777777" w:rsidR="0003352A" w:rsidRPr="00074165" w:rsidRDefault="0003352A" w:rsidP="00EB713F">
            <w:pPr>
              <w:pStyle w:val="TableParagraph"/>
              <w:spacing w:before="155" w:line="240" w:lineRule="atLeast"/>
              <w:ind w:left="103" w:right="124"/>
              <w:jc w:val="center"/>
              <w:rPr>
                <w:rFonts w:ascii="Times New Roman" w:hAnsi="Times New Roman" w:cs="Times New Roman"/>
                <w:b/>
              </w:rPr>
            </w:pPr>
            <w:r w:rsidRPr="00074165">
              <w:rPr>
                <w:rFonts w:ascii="Times New Roman" w:hAnsi="Times New Roman" w:cs="Times New Roman"/>
                <w:b/>
              </w:rPr>
              <w:t xml:space="preserve">Observable </w:t>
            </w:r>
            <w:r w:rsidRPr="00074165">
              <w:rPr>
                <w:rFonts w:ascii="Times New Roman" w:hAnsi="Times New Roman" w:cs="Times New Roman"/>
                <w:b/>
                <w:w w:val="105"/>
              </w:rPr>
              <w:t>Measures</w:t>
            </w:r>
          </w:p>
        </w:tc>
        <w:tc>
          <w:tcPr>
            <w:tcW w:w="1440" w:type="dxa"/>
            <w:shd w:val="clear" w:color="auto" w:fill="D1D3D4"/>
          </w:tcPr>
          <w:p w14:paraId="19769FD1" w14:textId="77777777" w:rsidR="0003352A" w:rsidRPr="00074165" w:rsidRDefault="0003352A" w:rsidP="00EB713F">
            <w:pPr>
              <w:pStyle w:val="TableParagraph"/>
              <w:spacing w:before="176"/>
              <w:ind w:left="103"/>
              <w:jc w:val="center"/>
              <w:rPr>
                <w:rFonts w:ascii="Times New Roman" w:hAnsi="Times New Roman" w:cs="Times New Roman"/>
                <w:b/>
              </w:rPr>
            </w:pPr>
            <w:r w:rsidRPr="00074165">
              <w:rPr>
                <w:rFonts w:ascii="Times New Roman" w:hAnsi="Times New Roman" w:cs="Times New Roman"/>
                <w:b/>
                <w:w w:val="105"/>
              </w:rPr>
              <w:t>Limitations</w:t>
            </w:r>
          </w:p>
        </w:tc>
        <w:tc>
          <w:tcPr>
            <w:tcW w:w="1440" w:type="dxa"/>
            <w:shd w:val="clear" w:color="auto" w:fill="D1D3D4"/>
          </w:tcPr>
          <w:p w14:paraId="76DDCBFF" w14:textId="77777777" w:rsidR="0003352A" w:rsidRPr="00074165" w:rsidRDefault="0003352A" w:rsidP="00EB713F">
            <w:pPr>
              <w:pStyle w:val="TableParagraph"/>
              <w:spacing w:before="155" w:line="240" w:lineRule="atLeast"/>
              <w:ind w:left="103" w:right="107"/>
              <w:jc w:val="center"/>
              <w:rPr>
                <w:rFonts w:ascii="Times New Roman" w:hAnsi="Times New Roman" w:cs="Times New Roman"/>
                <w:b/>
              </w:rPr>
            </w:pPr>
            <w:r w:rsidRPr="00074165">
              <w:rPr>
                <w:rFonts w:ascii="Times New Roman" w:hAnsi="Times New Roman" w:cs="Times New Roman"/>
                <w:b/>
                <w:w w:val="105"/>
              </w:rPr>
              <w:t>Evidence Level, Quality</w:t>
            </w:r>
          </w:p>
        </w:tc>
      </w:tr>
      <w:tr w:rsidR="00074165" w:rsidRPr="00074165" w14:paraId="78A04F87" w14:textId="77777777" w:rsidTr="00EB713F">
        <w:trPr>
          <w:trHeight w:val="954"/>
        </w:trPr>
        <w:tc>
          <w:tcPr>
            <w:tcW w:w="1075" w:type="dxa"/>
          </w:tcPr>
          <w:p w14:paraId="1BF7CBA6"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1</w:t>
            </w:r>
          </w:p>
        </w:tc>
        <w:tc>
          <w:tcPr>
            <w:tcW w:w="1530" w:type="dxa"/>
          </w:tcPr>
          <w:p w14:paraId="0C4C6717"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Aaberg, 2019</w:t>
            </w:r>
          </w:p>
        </w:tc>
        <w:tc>
          <w:tcPr>
            <w:tcW w:w="1350" w:type="dxa"/>
          </w:tcPr>
          <w:p w14:paraId="6A1B9147"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Quasi-experimental, before-after design</w:t>
            </w:r>
          </w:p>
        </w:tc>
        <w:tc>
          <w:tcPr>
            <w:tcW w:w="1710" w:type="dxa"/>
          </w:tcPr>
          <w:p w14:paraId="3EA14C46"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50 BSN nursing students enrolled in their senior year of nursing school.</w:t>
            </w:r>
          </w:p>
        </w:tc>
        <w:tc>
          <w:tcPr>
            <w:tcW w:w="2482" w:type="dxa"/>
          </w:tcPr>
          <w:p w14:paraId="4CF80075"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The results indicate the education increased student knowledge, attitudes and self-efficacy for engaging in sexual health history taking with all population groups including older adults.</w:t>
            </w:r>
          </w:p>
          <w:p w14:paraId="613658FA"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Mean scores increased form 60.27 on the pre-test to 97.67 on the post-test, t = 4.46, p = 0.001.</w:t>
            </w:r>
          </w:p>
        </w:tc>
        <w:tc>
          <w:tcPr>
            <w:tcW w:w="1377" w:type="dxa"/>
          </w:tcPr>
          <w:p w14:paraId="7D004BCE"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Improvements in knowledge, attitudes, and self-efficacy</w:t>
            </w:r>
          </w:p>
        </w:tc>
        <w:tc>
          <w:tcPr>
            <w:tcW w:w="1440" w:type="dxa"/>
          </w:tcPr>
          <w:p w14:paraId="0F6907A3"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Small sample size at a single site limits the application of the findings to other provider groups.</w:t>
            </w:r>
          </w:p>
          <w:p w14:paraId="4B56BDF9"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 comparison group to show causality.</w:t>
            </w:r>
          </w:p>
        </w:tc>
        <w:tc>
          <w:tcPr>
            <w:tcW w:w="1440" w:type="dxa"/>
          </w:tcPr>
          <w:p w14:paraId="59C2D76A"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Level II</w:t>
            </w:r>
          </w:p>
          <w:p w14:paraId="22CEF52C"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B</w:t>
            </w:r>
          </w:p>
        </w:tc>
      </w:tr>
      <w:tr w:rsidR="00074165" w:rsidRPr="00074165" w14:paraId="03140E53" w14:textId="77777777" w:rsidTr="00EB713F">
        <w:trPr>
          <w:trHeight w:val="954"/>
        </w:trPr>
        <w:tc>
          <w:tcPr>
            <w:tcW w:w="1075" w:type="dxa"/>
          </w:tcPr>
          <w:p w14:paraId="3917F73D"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2</w:t>
            </w:r>
          </w:p>
        </w:tc>
        <w:tc>
          <w:tcPr>
            <w:tcW w:w="1530" w:type="dxa"/>
          </w:tcPr>
          <w:p w14:paraId="6774A91D"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Bauer et al., 2013</w:t>
            </w:r>
          </w:p>
        </w:tc>
        <w:tc>
          <w:tcPr>
            <w:tcW w:w="1350" w:type="dxa"/>
          </w:tcPr>
          <w:p w14:paraId="0188A218"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Quasi-experimental, before-after design</w:t>
            </w:r>
          </w:p>
        </w:tc>
        <w:tc>
          <w:tcPr>
            <w:tcW w:w="1710" w:type="dxa"/>
          </w:tcPr>
          <w:p w14:paraId="71BF1D0D"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112 providers including registered nurses, and licensed practical nurses working in long-term care homes serving the elderly.</w:t>
            </w:r>
          </w:p>
        </w:tc>
        <w:tc>
          <w:tcPr>
            <w:tcW w:w="2482" w:type="dxa"/>
          </w:tcPr>
          <w:p w14:paraId="4BCA6D9D"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Following the educational program, knowledge of sexual health and attitudes regarding sexuality in older adults improved.</w:t>
            </w:r>
          </w:p>
          <w:p w14:paraId="2FDC0903"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Pre-test mean difference (MD) scores were 55 compared with post-test MD of 77. Statistical significance was shown by P = 0.001</w:t>
            </w:r>
          </w:p>
        </w:tc>
        <w:tc>
          <w:tcPr>
            <w:tcW w:w="1377" w:type="dxa"/>
          </w:tcPr>
          <w:p w14:paraId="27527DED" w14:textId="4C3C2DD6"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 xml:space="preserve">Improvements in </w:t>
            </w:r>
            <w:r w:rsidR="000F5684" w:rsidRPr="00074165">
              <w:rPr>
                <w:rFonts w:ascii="Times New Roman" w:hAnsi="Times New Roman" w:cs="Times New Roman"/>
              </w:rPr>
              <w:t>knowledge, and</w:t>
            </w:r>
            <w:r w:rsidRPr="00074165">
              <w:rPr>
                <w:rFonts w:ascii="Times New Roman" w:hAnsi="Times New Roman" w:cs="Times New Roman"/>
              </w:rPr>
              <w:t xml:space="preserve"> attitudes regarding sexuality and sexual health in the older adult.</w:t>
            </w:r>
          </w:p>
        </w:tc>
        <w:tc>
          <w:tcPr>
            <w:tcW w:w="1440" w:type="dxa"/>
          </w:tcPr>
          <w:p w14:paraId="22B5ABAA"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Small sample size from a single site limiting application of the findings.</w:t>
            </w:r>
          </w:p>
          <w:p w14:paraId="2E8765EF"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 control or comparison group to show cause-</w:t>
            </w:r>
            <w:r w:rsidRPr="00074165">
              <w:rPr>
                <w:rFonts w:ascii="Times New Roman" w:hAnsi="Times New Roman" w:cs="Times New Roman"/>
              </w:rPr>
              <w:lastRenderedPageBreak/>
              <w:t>effect relationship</w:t>
            </w:r>
          </w:p>
        </w:tc>
        <w:tc>
          <w:tcPr>
            <w:tcW w:w="1440" w:type="dxa"/>
          </w:tcPr>
          <w:p w14:paraId="1B5E5F1D"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lastRenderedPageBreak/>
              <w:t>Level II</w:t>
            </w:r>
          </w:p>
          <w:p w14:paraId="0E73947C"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B</w:t>
            </w:r>
          </w:p>
        </w:tc>
      </w:tr>
      <w:tr w:rsidR="00074165" w:rsidRPr="00074165" w14:paraId="749FAD33" w14:textId="77777777" w:rsidTr="00EB713F">
        <w:trPr>
          <w:trHeight w:val="954"/>
        </w:trPr>
        <w:tc>
          <w:tcPr>
            <w:tcW w:w="1075" w:type="dxa"/>
          </w:tcPr>
          <w:p w14:paraId="33763F40"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3</w:t>
            </w:r>
          </w:p>
        </w:tc>
        <w:tc>
          <w:tcPr>
            <w:tcW w:w="1530" w:type="dxa"/>
          </w:tcPr>
          <w:p w14:paraId="5A653D76"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Horne et al., 2021</w:t>
            </w:r>
          </w:p>
        </w:tc>
        <w:tc>
          <w:tcPr>
            <w:tcW w:w="1350" w:type="dxa"/>
          </w:tcPr>
          <w:p w14:paraId="78F3C615"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Systematic review without meta-analysis</w:t>
            </w:r>
          </w:p>
        </w:tc>
        <w:tc>
          <w:tcPr>
            <w:tcW w:w="1710" w:type="dxa"/>
          </w:tcPr>
          <w:p w14:paraId="3B031B40"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11 studies reviewing interventions to improve sexual health knowledge and history taking in older adults.</w:t>
            </w:r>
          </w:p>
        </w:tc>
        <w:tc>
          <w:tcPr>
            <w:tcW w:w="2482" w:type="dxa"/>
          </w:tcPr>
          <w:p w14:paraId="01393767"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Review of educational interventions indicated that each was effective for improving knowledge and changing staff attitudes toward older adult sexuality.</w:t>
            </w:r>
          </w:p>
          <w:p w14:paraId="0B0F1308"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Demonstrates that results are consistent across studies.</w:t>
            </w:r>
          </w:p>
        </w:tc>
        <w:tc>
          <w:tcPr>
            <w:tcW w:w="1377" w:type="dxa"/>
          </w:tcPr>
          <w:p w14:paraId="5C59DE9E"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Improvements in knowledge and staff attitudes as a result of providing education.</w:t>
            </w:r>
          </w:p>
        </w:tc>
        <w:tc>
          <w:tcPr>
            <w:tcW w:w="1440" w:type="dxa"/>
          </w:tcPr>
          <w:p w14:paraId="7EBE2807"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Limited studies to review.</w:t>
            </w:r>
          </w:p>
          <w:p w14:paraId="601287C8"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Not enough data to conduct a meta-analysis.</w:t>
            </w:r>
          </w:p>
          <w:p w14:paraId="41EFEB95"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Lack of congruity between educational programs reviewed.</w:t>
            </w:r>
          </w:p>
        </w:tc>
        <w:tc>
          <w:tcPr>
            <w:tcW w:w="1440" w:type="dxa"/>
          </w:tcPr>
          <w:p w14:paraId="2C2D8A7F"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Level I</w:t>
            </w:r>
          </w:p>
          <w:p w14:paraId="6A26FC08"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B</w:t>
            </w:r>
          </w:p>
        </w:tc>
      </w:tr>
      <w:tr w:rsidR="00074165" w:rsidRPr="00074165" w14:paraId="228E51F0" w14:textId="77777777" w:rsidTr="00EB713F">
        <w:trPr>
          <w:trHeight w:val="954"/>
        </w:trPr>
        <w:tc>
          <w:tcPr>
            <w:tcW w:w="1075" w:type="dxa"/>
          </w:tcPr>
          <w:p w14:paraId="2CC465C1"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4</w:t>
            </w:r>
          </w:p>
        </w:tc>
        <w:tc>
          <w:tcPr>
            <w:tcW w:w="1530" w:type="dxa"/>
          </w:tcPr>
          <w:p w14:paraId="05806A12"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Jonsdottir et al. 2016</w:t>
            </w:r>
          </w:p>
        </w:tc>
        <w:tc>
          <w:tcPr>
            <w:tcW w:w="1350" w:type="dxa"/>
          </w:tcPr>
          <w:p w14:paraId="2A71D68F"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Quasi-experimental, before-after time series design</w:t>
            </w:r>
          </w:p>
        </w:tc>
        <w:tc>
          <w:tcPr>
            <w:tcW w:w="1710" w:type="dxa"/>
          </w:tcPr>
          <w:p w14:paraId="6C40F141"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216 nurses working with older adults receiving oncology services.</w:t>
            </w:r>
          </w:p>
        </w:tc>
        <w:tc>
          <w:tcPr>
            <w:tcW w:w="2482" w:type="dxa"/>
          </w:tcPr>
          <w:p w14:paraId="12744B7E"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Intervention was successful at increasing nurse knowledge regarding how to manage sexual health in older adults.</w:t>
            </w:r>
          </w:p>
        </w:tc>
        <w:tc>
          <w:tcPr>
            <w:tcW w:w="1377" w:type="dxa"/>
          </w:tcPr>
          <w:p w14:paraId="1280E470"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Knowledge gains were the primary outcome measured. Attitudes and self-efficacy were not considered.</w:t>
            </w:r>
          </w:p>
        </w:tc>
        <w:tc>
          <w:tcPr>
            <w:tcW w:w="1440" w:type="dxa"/>
          </w:tcPr>
          <w:p w14:paraId="75C850FC"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Small sample from a single setting.</w:t>
            </w:r>
          </w:p>
          <w:p w14:paraId="20D7CB82"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 xml:space="preserve">Does not indicate how increased knowledge will impact practice, especially in light of missing attitude and self-efficacy </w:t>
            </w:r>
            <w:r w:rsidRPr="00074165">
              <w:rPr>
                <w:rFonts w:ascii="Times New Roman" w:hAnsi="Times New Roman" w:cs="Times New Roman"/>
              </w:rPr>
              <w:lastRenderedPageBreak/>
              <w:t>data.</w:t>
            </w:r>
          </w:p>
        </w:tc>
        <w:tc>
          <w:tcPr>
            <w:tcW w:w="1440" w:type="dxa"/>
          </w:tcPr>
          <w:p w14:paraId="11A70CBA"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lastRenderedPageBreak/>
              <w:t>Level II</w:t>
            </w:r>
          </w:p>
          <w:p w14:paraId="509FEE85"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B</w:t>
            </w:r>
          </w:p>
        </w:tc>
      </w:tr>
      <w:tr w:rsidR="00074165" w:rsidRPr="00074165" w14:paraId="1896EA2E" w14:textId="77777777" w:rsidTr="00EB713F">
        <w:trPr>
          <w:trHeight w:val="954"/>
        </w:trPr>
        <w:tc>
          <w:tcPr>
            <w:tcW w:w="1075" w:type="dxa"/>
          </w:tcPr>
          <w:p w14:paraId="48EA3410"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5</w:t>
            </w:r>
          </w:p>
        </w:tc>
        <w:tc>
          <w:tcPr>
            <w:tcW w:w="1530" w:type="dxa"/>
          </w:tcPr>
          <w:p w14:paraId="5BDC156A"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Lu et al., 2021</w:t>
            </w:r>
          </w:p>
        </w:tc>
        <w:tc>
          <w:tcPr>
            <w:tcW w:w="1350" w:type="dxa"/>
          </w:tcPr>
          <w:p w14:paraId="252E67EA"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Randomized controlled trial</w:t>
            </w:r>
          </w:p>
        </w:tc>
        <w:tc>
          <w:tcPr>
            <w:tcW w:w="1710" w:type="dxa"/>
          </w:tcPr>
          <w:p w14:paraId="00553EC6" w14:textId="6755A64E"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 xml:space="preserve">43 psychiatric mental health nurse practitioners assigned to the education or experimental group. </w:t>
            </w:r>
            <w:r w:rsidR="000F5684" w:rsidRPr="00074165">
              <w:rPr>
                <w:rFonts w:ascii="Times New Roman" w:hAnsi="Times New Roman" w:cs="Times New Roman"/>
                <w:bCs/>
              </w:rPr>
              <w:t xml:space="preserve">32 </w:t>
            </w:r>
            <w:r w:rsidR="000F5684" w:rsidRPr="00074165">
              <w:t>psychiatric</w:t>
            </w:r>
            <w:r w:rsidRPr="00074165">
              <w:rPr>
                <w:rFonts w:ascii="Times New Roman" w:hAnsi="Times New Roman" w:cs="Times New Roman"/>
                <w:bCs/>
              </w:rPr>
              <w:t xml:space="preserve"> mental health nurse practitioners assigned to the control or no education group.</w:t>
            </w:r>
          </w:p>
        </w:tc>
        <w:tc>
          <w:tcPr>
            <w:tcW w:w="2482" w:type="dxa"/>
          </w:tcPr>
          <w:p w14:paraId="6155DF56"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Results indicate that nurse level of knowledge was the same at baseline.</w:t>
            </w:r>
          </w:p>
          <w:p w14:paraId="3665C2EE"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Knowledge increased for those enrolled in the educational program along with attitude and self-efficacy.</w:t>
            </w:r>
          </w:p>
          <w:p w14:paraId="78F400C5"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Knowledge scores measured through MD showed (MD = −1.53, 95% confidence interval [CI; −1.96, −1.10], p &lt; .001</w:t>
            </w:r>
          </w:p>
        </w:tc>
        <w:tc>
          <w:tcPr>
            <w:tcW w:w="1377" w:type="dxa"/>
          </w:tcPr>
          <w:p w14:paraId="43CE7D60"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Knowledge for providers improved along with self-efficacy and attitudes, suggesting that nurses had the requisite support needed to effectively complete sexual health histories and STI screening in older adults.</w:t>
            </w:r>
          </w:p>
        </w:tc>
        <w:tc>
          <w:tcPr>
            <w:tcW w:w="1440" w:type="dxa"/>
          </w:tcPr>
          <w:p w14:paraId="63ACB6CC"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Small sample size drawn from a specialized population: mental health nurses.</w:t>
            </w:r>
          </w:p>
          <w:p w14:paraId="73ED91AA"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 indication that increased knowledge will lead to practice change.</w:t>
            </w:r>
          </w:p>
        </w:tc>
        <w:tc>
          <w:tcPr>
            <w:tcW w:w="1440" w:type="dxa"/>
          </w:tcPr>
          <w:p w14:paraId="7BFA13A0"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Level I</w:t>
            </w:r>
          </w:p>
          <w:p w14:paraId="43CFDE7B"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B</w:t>
            </w:r>
          </w:p>
        </w:tc>
      </w:tr>
      <w:tr w:rsidR="00074165" w:rsidRPr="00074165" w14:paraId="73ABB2B0" w14:textId="77777777" w:rsidTr="00EB713F">
        <w:trPr>
          <w:trHeight w:val="954"/>
        </w:trPr>
        <w:tc>
          <w:tcPr>
            <w:tcW w:w="1075" w:type="dxa"/>
          </w:tcPr>
          <w:p w14:paraId="70A2A3DA"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6</w:t>
            </w:r>
          </w:p>
        </w:tc>
        <w:tc>
          <w:tcPr>
            <w:tcW w:w="1530" w:type="dxa"/>
          </w:tcPr>
          <w:p w14:paraId="2A74C46E"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Sung &amp; Lin, 2013</w:t>
            </w:r>
          </w:p>
        </w:tc>
        <w:tc>
          <w:tcPr>
            <w:tcW w:w="1350" w:type="dxa"/>
          </w:tcPr>
          <w:p w14:paraId="5CA06888"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Quasi-experimental, before-after design with control. Participants were not randomly selected</w:t>
            </w:r>
          </w:p>
        </w:tc>
        <w:tc>
          <w:tcPr>
            <w:tcW w:w="1710" w:type="dxa"/>
          </w:tcPr>
          <w:p w14:paraId="10D70892"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95 nursing students received the educational program (experimental) and 95 did not (control). All students were drawn from a single nursing school.</w:t>
            </w:r>
          </w:p>
        </w:tc>
        <w:tc>
          <w:tcPr>
            <w:tcW w:w="2482" w:type="dxa"/>
          </w:tcPr>
          <w:p w14:paraId="24707061"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Participants in the educational group demonstrated significant gains in knowledge, attitudes, and self-efficacy.</w:t>
            </w:r>
          </w:p>
          <w:p w14:paraId="0893FA94"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All results were statistically significant with knowledge gains noted to have the greatest improvement:</w:t>
            </w:r>
            <w:r w:rsidRPr="00074165">
              <w:t xml:space="preserve"> </w:t>
            </w:r>
            <w:r w:rsidRPr="00074165">
              <w:rPr>
                <w:rFonts w:ascii="Times New Roman" w:hAnsi="Times New Roman" w:cs="Times New Roman"/>
              </w:rPr>
              <w:t>(β = −0.27, P &lt; 0.001).</w:t>
            </w:r>
          </w:p>
        </w:tc>
        <w:tc>
          <w:tcPr>
            <w:tcW w:w="1377" w:type="dxa"/>
          </w:tcPr>
          <w:p w14:paraId="3000C23A"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Knowledge, attitudes, and self-efficacy were all measured in this study and demonstrated improvement.</w:t>
            </w:r>
          </w:p>
        </w:tc>
        <w:tc>
          <w:tcPr>
            <w:tcW w:w="1440" w:type="dxa"/>
          </w:tcPr>
          <w:p w14:paraId="28280955"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Small sample of nursing students drawn from a single site. Data may not be applicable beyond this setting.</w:t>
            </w:r>
          </w:p>
          <w:p w14:paraId="22FAC8B0"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 xml:space="preserve">Not a randomized controlled trial. Does </w:t>
            </w:r>
            <w:r w:rsidRPr="00074165">
              <w:rPr>
                <w:rFonts w:ascii="Times New Roman" w:hAnsi="Times New Roman" w:cs="Times New Roman"/>
              </w:rPr>
              <w:lastRenderedPageBreak/>
              <w:t>not show causality.</w:t>
            </w:r>
          </w:p>
        </w:tc>
        <w:tc>
          <w:tcPr>
            <w:tcW w:w="1440" w:type="dxa"/>
          </w:tcPr>
          <w:p w14:paraId="09F1D45E"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lastRenderedPageBreak/>
              <w:t>Level II</w:t>
            </w:r>
          </w:p>
          <w:p w14:paraId="1D6CD81E"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A</w:t>
            </w:r>
          </w:p>
        </w:tc>
      </w:tr>
      <w:tr w:rsidR="00074165" w:rsidRPr="00074165" w14:paraId="7E2C8493" w14:textId="77777777" w:rsidTr="00EB713F">
        <w:trPr>
          <w:trHeight w:val="954"/>
        </w:trPr>
        <w:tc>
          <w:tcPr>
            <w:tcW w:w="1075" w:type="dxa"/>
          </w:tcPr>
          <w:p w14:paraId="1CF30832"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7</w:t>
            </w:r>
          </w:p>
        </w:tc>
        <w:tc>
          <w:tcPr>
            <w:tcW w:w="1530" w:type="dxa"/>
          </w:tcPr>
          <w:p w14:paraId="328E1C30"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Sung et al., 2016</w:t>
            </w:r>
          </w:p>
        </w:tc>
        <w:tc>
          <w:tcPr>
            <w:tcW w:w="1350" w:type="dxa"/>
          </w:tcPr>
          <w:p w14:paraId="10DC35DB"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Quasi-experimental, before-after design with control. Subjects were not randomized.</w:t>
            </w:r>
          </w:p>
        </w:tc>
        <w:tc>
          <w:tcPr>
            <w:tcW w:w="1710" w:type="dxa"/>
          </w:tcPr>
          <w:p w14:paraId="6B0AD2EB"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 xml:space="preserve">Nurses working in various healthcare settings. A total of 59 were enrolled in the education (experimental) group and 58 were enrolled in the control group which received no education. </w:t>
            </w:r>
          </w:p>
        </w:tc>
        <w:tc>
          <w:tcPr>
            <w:tcW w:w="2482" w:type="dxa"/>
          </w:tcPr>
          <w:p w14:paraId="194A82B3"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Nurses enrolled in the education group had higher levels of knowledge following the education as well as higher levels of self-efficacy and better attitudes toward sexuality and sexual health screening in all populations including older adults.</w:t>
            </w:r>
          </w:p>
          <w:p w14:paraId="5A84D448"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Increases in knowledge scores were statistically significant: (β = 0.16, p &lt; 0.01)</w:t>
            </w:r>
          </w:p>
        </w:tc>
        <w:tc>
          <w:tcPr>
            <w:tcW w:w="1377" w:type="dxa"/>
          </w:tcPr>
          <w:p w14:paraId="34D0C465"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Knowledge, attitudes, and self-efficacy toward sexual health history taking and sexuality in patients were all measured in this study and demonstrated improvement.</w:t>
            </w:r>
          </w:p>
        </w:tc>
        <w:tc>
          <w:tcPr>
            <w:tcW w:w="1440" w:type="dxa"/>
          </w:tcPr>
          <w:p w14:paraId="480B224B"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Small sample of nursing students drawn from a single site. Data may not be applicable beyond this setting.</w:t>
            </w:r>
          </w:p>
          <w:p w14:paraId="6E2F7BA6"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Not a randomized controlled trial. Does not show causality.</w:t>
            </w:r>
          </w:p>
          <w:p w14:paraId="2EA7786E"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 data showing how improved outcomes impact practice.</w:t>
            </w:r>
          </w:p>
        </w:tc>
        <w:tc>
          <w:tcPr>
            <w:tcW w:w="1440" w:type="dxa"/>
          </w:tcPr>
          <w:p w14:paraId="69C3E7CE"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Level II</w:t>
            </w:r>
          </w:p>
          <w:p w14:paraId="1BA0AD7E"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A</w:t>
            </w:r>
          </w:p>
        </w:tc>
      </w:tr>
      <w:tr w:rsidR="00074165" w:rsidRPr="00074165" w14:paraId="2C5E991D" w14:textId="77777777" w:rsidTr="00EB713F">
        <w:trPr>
          <w:trHeight w:val="954"/>
        </w:trPr>
        <w:tc>
          <w:tcPr>
            <w:tcW w:w="1075" w:type="dxa"/>
          </w:tcPr>
          <w:p w14:paraId="0CE6F863"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8</w:t>
            </w:r>
          </w:p>
        </w:tc>
        <w:tc>
          <w:tcPr>
            <w:tcW w:w="1530" w:type="dxa"/>
          </w:tcPr>
          <w:p w14:paraId="13D3A08B"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Verrastro et al., 2022</w:t>
            </w:r>
          </w:p>
        </w:tc>
        <w:tc>
          <w:tcPr>
            <w:tcW w:w="1350" w:type="dxa"/>
          </w:tcPr>
          <w:p w14:paraId="38C2BF46"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Systematic review without meta-analysis</w:t>
            </w:r>
          </w:p>
        </w:tc>
        <w:tc>
          <w:tcPr>
            <w:tcW w:w="1710" w:type="dxa"/>
          </w:tcPr>
          <w:p w14:paraId="2230C4E9"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11 articles drawn from eight scholarly electronic databases published between 2000 and 2020</w:t>
            </w:r>
          </w:p>
        </w:tc>
        <w:tc>
          <w:tcPr>
            <w:tcW w:w="2482" w:type="dxa"/>
          </w:tcPr>
          <w:p w14:paraId="43FEE860"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 xml:space="preserve">Educational programs were shown in all studies to have a positive impact on provider knowledge of sexual health and sexual health history taking in various </w:t>
            </w:r>
            <w:r w:rsidRPr="00074165">
              <w:rPr>
                <w:rFonts w:ascii="Times New Roman" w:hAnsi="Times New Roman" w:cs="Times New Roman"/>
              </w:rPr>
              <w:lastRenderedPageBreak/>
              <w:t>populations including older adults.</w:t>
            </w:r>
          </w:p>
        </w:tc>
        <w:tc>
          <w:tcPr>
            <w:tcW w:w="1377" w:type="dxa"/>
          </w:tcPr>
          <w:p w14:paraId="25257A87"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lastRenderedPageBreak/>
              <w:t xml:space="preserve">Knowledge increases for providers in the areas of sexual health history taking and sexual health needs of </w:t>
            </w:r>
            <w:r w:rsidRPr="00074165">
              <w:rPr>
                <w:rFonts w:ascii="Times New Roman" w:hAnsi="Times New Roman" w:cs="Times New Roman"/>
              </w:rPr>
              <w:lastRenderedPageBreak/>
              <w:t>patients.</w:t>
            </w:r>
          </w:p>
        </w:tc>
        <w:tc>
          <w:tcPr>
            <w:tcW w:w="1440" w:type="dxa"/>
          </w:tcPr>
          <w:p w14:paraId="29DA43BE"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lastRenderedPageBreak/>
              <w:t>Small study with limited results.</w:t>
            </w:r>
          </w:p>
          <w:p w14:paraId="35659A6E"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Not enough data to conduct a meta-</w:t>
            </w:r>
            <w:r w:rsidRPr="00074165">
              <w:rPr>
                <w:rFonts w:ascii="Times New Roman" w:hAnsi="Times New Roman" w:cs="Times New Roman"/>
              </w:rPr>
              <w:lastRenderedPageBreak/>
              <w:t>analysis.</w:t>
            </w:r>
          </w:p>
          <w:p w14:paraId="15E22F9A"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Lack of description and similarity of educational programs for comparison</w:t>
            </w:r>
          </w:p>
        </w:tc>
        <w:tc>
          <w:tcPr>
            <w:tcW w:w="1440" w:type="dxa"/>
          </w:tcPr>
          <w:p w14:paraId="2148DEEB"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lastRenderedPageBreak/>
              <w:t>Level I</w:t>
            </w:r>
          </w:p>
          <w:p w14:paraId="039CAB27"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B</w:t>
            </w:r>
          </w:p>
        </w:tc>
      </w:tr>
      <w:tr w:rsidR="00074165" w:rsidRPr="00074165" w14:paraId="3A898F5C" w14:textId="77777777" w:rsidTr="00EB713F">
        <w:trPr>
          <w:trHeight w:val="954"/>
        </w:trPr>
        <w:tc>
          <w:tcPr>
            <w:tcW w:w="1075" w:type="dxa"/>
          </w:tcPr>
          <w:p w14:paraId="4424ABE0"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9</w:t>
            </w:r>
          </w:p>
        </w:tc>
        <w:tc>
          <w:tcPr>
            <w:tcW w:w="1530" w:type="dxa"/>
          </w:tcPr>
          <w:p w14:paraId="4DE28F02"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White et al., 2020</w:t>
            </w:r>
          </w:p>
        </w:tc>
        <w:tc>
          <w:tcPr>
            <w:tcW w:w="1350" w:type="dxa"/>
          </w:tcPr>
          <w:p w14:paraId="07952961"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Quasi-experimental, before-after design with control</w:t>
            </w:r>
          </w:p>
        </w:tc>
        <w:tc>
          <w:tcPr>
            <w:tcW w:w="1710" w:type="dxa"/>
          </w:tcPr>
          <w:p w14:paraId="00612610" w14:textId="77777777" w:rsidR="0003352A" w:rsidRPr="00074165" w:rsidRDefault="0003352A" w:rsidP="00EB713F">
            <w:pPr>
              <w:pStyle w:val="TableParagraph"/>
              <w:jc w:val="center"/>
              <w:rPr>
                <w:rFonts w:ascii="Times New Roman" w:hAnsi="Times New Roman" w:cs="Times New Roman"/>
                <w:bCs/>
              </w:rPr>
            </w:pPr>
            <w:r w:rsidRPr="00074165">
              <w:rPr>
                <w:rFonts w:ascii="Times New Roman" w:hAnsi="Times New Roman" w:cs="Times New Roman"/>
                <w:bCs/>
              </w:rPr>
              <w:t>Advanced practice registered nursing students enrolled in a single institution. 30 participated in the educational intervention and 64 were controls and were not enrolled in the program.</w:t>
            </w:r>
          </w:p>
        </w:tc>
        <w:tc>
          <w:tcPr>
            <w:tcW w:w="2482" w:type="dxa"/>
          </w:tcPr>
          <w:p w14:paraId="29FDF3A7"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Levels of knowledge were similar in both groups before the educational program.</w:t>
            </w:r>
          </w:p>
          <w:p w14:paraId="0E791E38" w14:textId="2B659A0B"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 xml:space="preserve">Knowledge of sexual health history </w:t>
            </w:r>
            <w:r w:rsidR="001B4170" w:rsidRPr="00074165">
              <w:rPr>
                <w:rFonts w:ascii="Times New Roman" w:hAnsi="Times New Roman" w:cs="Times New Roman"/>
              </w:rPr>
              <w:t>taking,</w:t>
            </w:r>
            <w:r w:rsidRPr="00074165">
              <w:rPr>
                <w:rFonts w:ascii="Times New Roman" w:hAnsi="Times New Roman" w:cs="Times New Roman"/>
              </w:rPr>
              <w:t xml:space="preserve"> and sexuality increased along with comfort and confidence.</w:t>
            </w:r>
          </w:p>
          <w:p w14:paraId="57891652" w14:textId="77777777" w:rsidR="0003352A" w:rsidRPr="00074165" w:rsidRDefault="0003352A" w:rsidP="00EB713F">
            <w:pPr>
              <w:pStyle w:val="TableParagraph"/>
              <w:numPr>
                <w:ilvl w:val="0"/>
                <w:numId w:val="2"/>
              </w:numPr>
              <w:ind w:left="449"/>
              <w:rPr>
                <w:rFonts w:ascii="Times New Roman" w:hAnsi="Times New Roman" w:cs="Times New Roman"/>
              </w:rPr>
            </w:pPr>
            <w:r w:rsidRPr="00074165">
              <w:rPr>
                <w:rFonts w:ascii="Times New Roman" w:hAnsi="Times New Roman" w:cs="Times New Roman"/>
              </w:rPr>
              <w:t xml:space="preserve">Knowledge of providing sexual health screening and sexuality of sexual minorities including older adults increased: </w:t>
            </w:r>
            <w:r w:rsidRPr="00074165">
              <w:t xml:space="preserve"> </w:t>
            </w:r>
            <w:r w:rsidRPr="00074165">
              <w:rPr>
                <w:rFonts w:ascii="Times New Roman" w:hAnsi="Times New Roman" w:cs="Times New Roman"/>
              </w:rPr>
              <w:t>MD = 1.39, p &lt; 0.05).</w:t>
            </w:r>
          </w:p>
        </w:tc>
        <w:tc>
          <w:tcPr>
            <w:tcW w:w="1377" w:type="dxa"/>
          </w:tcPr>
          <w:p w14:paraId="412A28AC"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Measures of knowledge, comfort, and confidence in different patient populations was assessed including older adults.</w:t>
            </w:r>
          </w:p>
        </w:tc>
        <w:tc>
          <w:tcPr>
            <w:tcW w:w="1440" w:type="dxa"/>
          </w:tcPr>
          <w:p w14:paraId="09672302"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Smale sample with a focused provider group limits application to other provider groups.</w:t>
            </w:r>
          </w:p>
          <w:p w14:paraId="54B6B301"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Study does not show causality.</w:t>
            </w:r>
          </w:p>
          <w:p w14:paraId="7FFE1ECD" w14:textId="77777777" w:rsidR="0003352A" w:rsidRPr="00074165" w:rsidRDefault="0003352A" w:rsidP="00EB713F">
            <w:pPr>
              <w:pStyle w:val="TableParagraph"/>
              <w:numPr>
                <w:ilvl w:val="0"/>
                <w:numId w:val="3"/>
              </w:numPr>
              <w:ind w:left="369"/>
              <w:rPr>
                <w:rFonts w:ascii="Times New Roman" w:hAnsi="Times New Roman" w:cs="Times New Roman"/>
              </w:rPr>
            </w:pPr>
            <w:r w:rsidRPr="00074165">
              <w:rPr>
                <w:rFonts w:ascii="Times New Roman" w:hAnsi="Times New Roman" w:cs="Times New Roman"/>
              </w:rPr>
              <w:t>No data regarding the impact of improved knowledge, confidence or comfort on practice.</w:t>
            </w:r>
          </w:p>
        </w:tc>
        <w:tc>
          <w:tcPr>
            <w:tcW w:w="1440" w:type="dxa"/>
          </w:tcPr>
          <w:p w14:paraId="52F09ED3"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Level II</w:t>
            </w:r>
          </w:p>
          <w:p w14:paraId="7409E455" w14:textId="77777777" w:rsidR="0003352A" w:rsidRPr="00074165" w:rsidRDefault="0003352A" w:rsidP="00EB713F">
            <w:pPr>
              <w:pStyle w:val="TableParagraph"/>
              <w:jc w:val="center"/>
              <w:rPr>
                <w:rFonts w:ascii="Times New Roman" w:hAnsi="Times New Roman" w:cs="Times New Roman"/>
              </w:rPr>
            </w:pPr>
            <w:r w:rsidRPr="00074165">
              <w:rPr>
                <w:rFonts w:ascii="Times New Roman" w:hAnsi="Times New Roman" w:cs="Times New Roman"/>
              </w:rPr>
              <w:t>Quality A</w:t>
            </w:r>
          </w:p>
        </w:tc>
      </w:tr>
    </w:tbl>
    <w:p w14:paraId="7532E141" w14:textId="77777777" w:rsidR="00C55BA8" w:rsidRPr="00074165" w:rsidRDefault="00C55BA8">
      <w:pPr>
        <w:rPr>
          <w:rFonts w:cs="Times New Roman"/>
          <w:iCs/>
          <w:szCs w:val="24"/>
        </w:rPr>
        <w:sectPr w:rsidR="00C55BA8" w:rsidRPr="00074165" w:rsidSect="00644F7F">
          <w:headerReference w:type="default" r:id="rId52"/>
          <w:headerReference w:type="first" r:id="rId53"/>
          <w:pgSz w:w="15840" w:h="12240" w:orient="landscape"/>
          <w:pgMar w:top="1440" w:right="1440" w:bottom="1440" w:left="1440" w:header="720" w:footer="720" w:gutter="0"/>
          <w:cols w:space="720"/>
          <w:titlePg/>
          <w:docGrid w:linePitch="360"/>
        </w:sectPr>
      </w:pPr>
    </w:p>
    <w:p w14:paraId="4CF0761C" w14:textId="7CCA57BC" w:rsidR="00C55BA8" w:rsidRPr="00074165" w:rsidRDefault="002E4A7E" w:rsidP="002E4A7E">
      <w:pPr>
        <w:jc w:val="center"/>
        <w:rPr>
          <w:rFonts w:cs="Times New Roman"/>
          <w:iCs/>
          <w:szCs w:val="24"/>
        </w:rPr>
      </w:pPr>
      <w:r w:rsidRPr="00074165">
        <w:rPr>
          <w:rFonts w:cs="Times New Roman"/>
          <w:b/>
          <w:bCs/>
          <w:iCs/>
          <w:szCs w:val="24"/>
        </w:rPr>
        <w:lastRenderedPageBreak/>
        <w:t>Appendix B:</w:t>
      </w:r>
      <w:r w:rsidRPr="00074165">
        <w:rPr>
          <w:rFonts w:cs="Times New Roman"/>
          <w:iCs/>
          <w:szCs w:val="24"/>
        </w:rPr>
        <w:t xml:space="preserve"> Letter of Organizational Support</w:t>
      </w:r>
    </w:p>
    <w:p w14:paraId="405973E3" w14:textId="149D0941" w:rsidR="0003352A" w:rsidRPr="00074165" w:rsidRDefault="005D1926" w:rsidP="0003352A">
      <w:pPr>
        <w:spacing w:after="0" w:line="480" w:lineRule="auto"/>
        <w:ind w:left="720" w:hanging="720"/>
        <w:rPr>
          <w:rFonts w:cs="Times New Roman"/>
          <w:iCs/>
          <w:szCs w:val="24"/>
        </w:rPr>
      </w:pPr>
      <w:r>
        <w:rPr>
          <w:rFonts w:cs="Times New Roman"/>
          <w:iCs/>
          <w:noProof/>
          <w:szCs w:val="24"/>
        </w:rPr>
        <w:drawing>
          <wp:inline distT="0" distB="0" distL="0" distR="0" wp14:anchorId="42F3B40B" wp14:editId="4945C4D5">
            <wp:extent cx="5937885" cy="6032500"/>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7885" cy="6032500"/>
                    </a:xfrm>
                    <a:prstGeom prst="rect">
                      <a:avLst/>
                    </a:prstGeom>
                    <a:noFill/>
                    <a:ln>
                      <a:noFill/>
                    </a:ln>
                  </pic:spPr>
                </pic:pic>
              </a:graphicData>
            </a:graphic>
          </wp:inline>
        </w:drawing>
      </w:r>
    </w:p>
    <w:p w14:paraId="291AAB39" w14:textId="7994C300" w:rsidR="002E4A7E" w:rsidRPr="00074165" w:rsidRDefault="002E4A7E">
      <w:pPr>
        <w:rPr>
          <w:rFonts w:cs="Times New Roman"/>
          <w:iCs/>
          <w:szCs w:val="24"/>
        </w:rPr>
      </w:pPr>
      <w:r w:rsidRPr="00074165">
        <w:rPr>
          <w:rFonts w:cs="Times New Roman"/>
          <w:iCs/>
          <w:szCs w:val="24"/>
        </w:rPr>
        <w:br w:type="page"/>
      </w:r>
    </w:p>
    <w:p w14:paraId="3F2FCCEF" w14:textId="77777777" w:rsidR="003929F6" w:rsidRDefault="003929F6" w:rsidP="003929F6">
      <w:pPr>
        <w:jc w:val="center"/>
        <w:rPr>
          <w:rFonts w:cs="Times New Roman"/>
          <w:iCs/>
          <w:szCs w:val="24"/>
        </w:rPr>
      </w:pPr>
      <w:bookmarkStart w:id="13" w:name="_Hlk120365909"/>
      <w:r>
        <w:rPr>
          <w:rFonts w:cs="Times New Roman"/>
          <w:b/>
          <w:bCs/>
          <w:iCs/>
          <w:szCs w:val="24"/>
        </w:rPr>
        <w:lastRenderedPageBreak/>
        <w:t>Appendix C</w:t>
      </w:r>
      <w:r>
        <w:rPr>
          <w:rFonts w:cs="Times New Roman"/>
          <w:iCs/>
          <w:szCs w:val="24"/>
        </w:rPr>
        <w:t>: FIU IRB Approval/Exemption Letter</w:t>
      </w:r>
      <w:bookmarkEnd w:id="13"/>
    </w:p>
    <w:p w14:paraId="4BD09062" w14:textId="02824DAF" w:rsidR="003929F6" w:rsidRDefault="003929F6" w:rsidP="003929F6">
      <w:pPr>
        <w:jc w:val="center"/>
        <w:rPr>
          <w:rFonts w:cs="Times New Roman"/>
          <w:iCs/>
          <w:szCs w:val="24"/>
        </w:rPr>
      </w:pPr>
      <w:r>
        <w:rPr>
          <w:rFonts w:cs="Times New Roman"/>
          <w:iCs/>
          <w:noProof/>
          <w:szCs w:val="24"/>
        </w:rPr>
        <w:drawing>
          <wp:inline distT="0" distB="0" distL="0" distR="0" wp14:anchorId="7BF6CE01" wp14:editId="660C5769">
            <wp:extent cx="5937885" cy="669163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7885" cy="6691630"/>
                    </a:xfrm>
                    <a:prstGeom prst="rect">
                      <a:avLst/>
                    </a:prstGeom>
                    <a:noFill/>
                    <a:ln>
                      <a:noFill/>
                    </a:ln>
                  </pic:spPr>
                </pic:pic>
              </a:graphicData>
            </a:graphic>
          </wp:inline>
        </w:drawing>
      </w:r>
    </w:p>
    <w:p w14:paraId="11544A57" w14:textId="564EFEB2" w:rsidR="003929F6" w:rsidRDefault="003929F6" w:rsidP="003929F6">
      <w:pPr>
        <w:jc w:val="center"/>
        <w:rPr>
          <w:rFonts w:cs="Times New Roman"/>
          <w:b/>
          <w:bCs/>
          <w:iCs/>
          <w:szCs w:val="24"/>
        </w:rPr>
      </w:pPr>
      <w:r>
        <w:rPr>
          <w:rFonts w:cs="Times New Roman"/>
          <w:b/>
          <w:bCs/>
          <w:iCs/>
          <w:szCs w:val="24"/>
        </w:rPr>
        <w:br w:type="page"/>
      </w:r>
    </w:p>
    <w:p w14:paraId="5B09D301" w14:textId="5F937ADC" w:rsidR="00A14EB0" w:rsidRPr="00074165" w:rsidRDefault="002E4A7E" w:rsidP="002E4A7E">
      <w:pPr>
        <w:spacing w:after="0" w:line="480" w:lineRule="auto"/>
        <w:ind w:left="720" w:hanging="720"/>
        <w:jc w:val="center"/>
        <w:rPr>
          <w:rFonts w:cs="Times New Roman"/>
          <w:iCs/>
          <w:szCs w:val="24"/>
        </w:rPr>
      </w:pPr>
      <w:bookmarkStart w:id="14" w:name="_Hlk120365918"/>
      <w:r w:rsidRPr="00074165">
        <w:rPr>
          <w:rFonts w:cs="Times New Roman"/>
          <w:b/>
          <w:bCs/>
          <w:iCs/>
          <w:szCs w:val="24"/>
        </w:rPr>
        <w:lastRenderedPageBreak/>
        <w:t xml:space="preserve">Appendix </w:t>
      </w:r>
      <w:r w:rsidR="003929F6">
        <w:rPr>
          <w:rFonts w:cs="Times New Roman"/>
          <w:b/>
          <w:bCs/>
          <w:iCs/>
          <w:szCs w:val="24"/>
        </w:rPr>
        <w:t>D</w:t>
      </w:r>
      <w:r w:rsidRPr="00074165">
        <w:rPr>
          <w:rFonts w:cs="Times New Roman"/>
          <w:b/>
          <w:bCs/>
          <w:iCs/>
          <w:szCs w:val="24"/>
        </w:rPr>
        <w:t xml:space="preserve">: </w:t>
      </w:r>
      <w:r w:rsidRPr="00074165">
        <w:rPr>
          <w:rFonts w:cs="Times New Roman"/>
          <w:iCs/>
          <w:szCs w:val="24"/>
        </w:rPr>
        <w:t>Participant Recruitment Letter/Email</w:t>
      </w:r>
    </w:p>
    <w:bookmarkEnd w:id="14"/>
    <w:p w14:paraId="2000E8FA" w14:textId="77777777" w:rsidR="00024F72" w:rsidRPr="00074165" w:rsidRDefault="00024F72" w:rsidP="00024F72">
      <w:pPr>
        <w:spacing w:after="0" w:line="360" w:lineRule="auto"/>
        <w:rPr>
          <w:rFonts w:eastAsia="Times New Roman"/>
          <w:bCs/>
          <w:szCs w:val="24"/>
        </w:rPr>
      </w:pPr>
      <w:r w:rsidRPr="00074165">
        <w:rPr>
          <w:rFonts w:eastAsia="Times New Roman"/>
          <w:bCs/>
          <w:szCs w:val="24"/>
        </w:rPr>
        <w:t>Greetings Staff and Prospective Participants,</w:t>
      </w:r>
    </w:p>
    <w:p w14:paraId="5DF6900B" w14:textId="6CF91D1B" w:rsidR="00024F72" w:rsidRPr="00074165" w:rsidRDefault="00024F72" w:rsidP="00024F72">
      <w:pPr>
        <w:spacing w:after="0" w:line="360" w:lineRule="auto"/>
        <w:ind w:firstLine="720"/>
        <w:rPr>
          <w:rFonts w:eastAsia="Times New Roman"/>
          <w:bCs/>
          <w:szCs w:val="24"/>
        </w:rPr>
      </w:pPr>
      <w:r w:rsidRPr="00074165">
        <w:rPr>
          <w:rFonts w:eastAsia="Times New Roman"/>
          <w:bCs/>
          <w:szCs w:val="24"/>
        </w:rPr>
        <w:t xml:space="preserve">My name is Sergio Amador Perez and I am currently enrolled as a Doctor of Nursing Practice (DNP) student at Florida International University. As part of my education, I am required to complete a quality improvement project to improve some </w:t>
      </w:r>
      <w:r w:rsidR="005C2D12" w:rsidRPr="00074165">
        <w:rPr>
          <w:rFonts w:eastAsia="Times New Roman"/>
          <w:bCs/>
          <w:szCs w:val="24"/>
        </w:rPr>
        <w:t>aspects</w:t>
      </w:r>
      <w:r w:rsidRPr="00074165">
        <w:rPr>
          <w:rFonts w:eastAsia="Times New Roman"/>
          <w:bCs/>
          <w:szCs w:val="24"/>
        </w:rPr>
        <w:t xml:space="preserve"> of patient care in my practice setting. For my project, I chose to focus on sexual health and sexually transmitted infection screening in older adults over the age of 65. More specifically, I have created an education module for staff to raise awareness about the current gaps in care, the need for STI screening in this patient group, and steps that can be taken to improve sexual health care for older adults. The goal of my project is to increase your knowledge of this topic such that you can integrate this knowledge into care and improve sexual health and STI screening among older adults.</w:t>
      </w:r>
    </w:p>
    <w:p w14:paraId="5700CBF0" w14:textId="64D59281" w:rsidR="00024F72" w:rsidRPr="00074165" w:rsidRDefault="00024F72" w:rsidP="00024F72">
      <w:pPr>
        <w:spacing w:after="0" w:line="360" w:lineRule="auto"/>
        <w:ind w:firstLine="720"/>
        <w:rPr>
          <w:rFonts w:eastAsia="Times New Roman"/>
          <w:bCs/>
          <w:szCs w:val="24"/>
        </w:rPr>
      </w:pPr>
      <w:r w:rsidRPr="00074165">
        <w:rPr>
          <w:rFonts w:eastAsia="Times New Roman"/>
          <w:bCs/>
          <w:szCs w:val="24"/>
        </w:rPr>
        <w:t xml:space="preserve">It is my hope that you will be willing to participate in this project. In order to participate you will be asked to sign a letter of informed consent, to complete a demographic survey, to complete a pre- and post-test assessment of knowledge, and to view an online educational module regarding the topic. It is anticipated that </w:t>
      </w:r>
      <w:r w:rsidR="00181293" w:rsidRPr="00074165">
        <w:rPr>
          <w:rFonts w:eastAsia="Times New Roman"/>
          <w:bCs/>
          <w:szCs w:val="24"/>
        </w:rPr>
        <w:t>all</w:t>
      </w:r>
      <w:r w:rsidRPr="00074165">
        <w:rPr>
          <w:rFonts w:eastAsia="Times New Roman"/>
          <w:bCs/>
          <w:szCs w:val="24"/>
        </w:rPr>
        <w:t xml:space="preserve"> these activities will take 90 minutes total to complete. This educational project has been approved by the Florida International University Institutional Review Board and the presentation should benefit you in terms of improving your knowledge of the topic and ability to provide sexual health care to older adults seen in your practice.</w:t>
      </w:r>
    </w:p>
    <w:p w14:paraId="549C9D23" w14:textId="61066862" w:rsidR="00024F72" w:rsidRPr="00074165" w:rsidRDefault="00024F72" w:rsidP="00024F72">
      <w:pPr>
        <w:spacing w:after="0" w:line="360" w:lineRule="auto"/>
        <w:ind w:firstLine="720"/>
        <w:rPr>
          <w:rFonts w:eastAsia="Times New Roman"/>
          <w:bCs/>
          <w:szCs w:val="24"/>
        </w:rPr>
      </w:pPr>
      <w:r w:rsidRPr="00074165">
        <w:rPr>
          <w:rFonts w:eastAsia="Times New Roman"/>
          <w:bCs/>
          <w:szCs w:val="24"/>
        </w:rPr>
        <w:t>If you are interested in participating in this project, I would request that you respond to this email within one week to confirm your interest. By participating in this project</w:t>
      </w:r>
      <w:r w:rsidR="009F02C5" w:rsidRPr="00074165">
        <w:rPr>
          <w:rFonts w:eastAsia="Times New Roman"/>
          <w:bCs/>
          <w:szCs w:val="24"/>
        </w:rPr>
        <w:t>,</w:t>
      </w:r>
      <w:r w:rsidRPr="00074165">
        <w:rPr>
          <w:rFonts w:eastAsia="Times New Roman"/>
          <w:bCs/>
          <w:szCs w:val="24"/>
        </w:rPr>
        <w:t xml:space="preserve"> you will have the opportunity to improve patient care and expand your understanding of a very important topic. If you have any further questions about the project, I can be contacted by email at samad024@fiu.edu or by phone at (585)-285-2588. I look forward to hearing from you and educating you about this important and timely topic.</w:t>
      </w:r>
    </w:p>
    <w:p w14:paraId="17453796" w14:textId="77777777" w:rsidR="00024F72" w:rsidRPr="00074165" w:rsidRDefault="00024F72" w:rsidP="00024F72">
      <w:pPr>
        <w:spacing w:after="0" w:line="360" w:lineRule="auto"/>
        <w:rPr>
          <w:rFonts w:eastAsia="Times New Roman"/>
          <w:bCs/>
          <w:szCs w:val="24"/>
        </w:rPr>
      </w:pPr>
    </w:p>
    <w:p w14:paraId="5572303C" w14:textId="77777777" w:rsidR="00024F72" w:rsidRPr="00074165" w:rsidRDefault="00024F72" w:rsidP="00024F72">
      <w:pPr>
        <w:spacing w:after="0" w:line="360" w:lineRule="auto"/>
        <w:rPr>
          <w:rFonts w:eastAsia="Times New Roman"/>
          <w:bCs/>
          <w:szCs w:val="24"/>
        </w:rPr>
      </w:pPr>
      <w:r w:rsidRPr="00074165">
        <w:rPr>
          <w:rFonts w:eastAsia="Times New Roman"/>
          <w:bCs/>
          <w:szCs w:val="24"/>
        </w:rPr>
        <w:t>Regards,</w:t>
      </w:r>
    </w:p>
    <w:p w14:paraId="18B15739" w14:textId="77777777" w:rsidR="00024F72" w:rsidRPr="00074165" w:rsidRDefault="00024F72" w:rsidP="00024F72">
      <w:pPr>
        <w:spacing w:after="0" w:line="360" w:lineRule="auto"/>
        <w:rPr>
          <w:rFonts w:ascii="Lucida Handwriting" w:eastAsia="Times New Roman" w:hAnsi="Lucida Handwriting"/>
          <w:bCs/>
        </w:rPr>
      </w:pPr>
      <w:r w:rsidRPr="00074165">
        <w:rPr>
          <w:rFonts w:ascii="Lucida Handwriting" w:eastAsia="Times New Roman" w:hAnsi="Lucida Handwriting"/>
          <w:bCs/>
        </w:rPr>
        <w:t>Sergio Amador Perez</w:t>
      </w:r>
    </w:p>
    <w:p w14:paraId="4925A2BE" w14:textId="1F09D694" w:rsidR="002E4A7E" w:rsidRPr="00074165" w:rsidRDefault="002E4A7E">
      <w:pPr>
        <w:rPr>
          <w:rFonts w:cs="Times New Roman"/>
          <w:iCs/>
          <w:szCs w:val="24"/>
        </w:rPr>
      </w:pPr>
      <w:r w:rsidRPr="00074165">
        <w:rPr>
          <w:rFonts w:cs="Times New Roman"/>
          <w:iCs/>
          <w:szCs w:val="24"/>
        </w:rPr>
        <w:br w:type="page"/>
      </w:r>
    </w:p>
    <w:p w14:paraId="5779A383" w14:textId="39E85F0E" w:rsidR="002E4A7E" w:rsidRPr="00074165" w:rsidRDefault="002E4A7E" w:rsidP="002E4A7E">
      <w:pPr>
        <w:spacing w:after="0" w:line="480" w:lineRule="auto"/>
        <w:ind w:left="720" w:hanging="720"/>
        <w:jc w:val="center"/>
        <w:rPr>
          <w:rFonts w:cs="Times New Roman"/>
          <w:iCs/>
          <w:szCs w:val="24"/>
        </w:rPr>
      </w:pPr>
      <w:bookmarkStart w:id="15" w:name="_Hlk120365928"/>
      <w:r w:rsidRPr="00074165">
        <w:rPr>
          <w:rFonts w:cs="Times New Roman"/>
          <w:b/>
          <w:bCs/>
          <w:iCs/>
          <w:szCs w:val="24"/>
        </w:rPr>
        <w:lastRenderedPageBreak/>
        <w:t xml:space="preserve">Appendix </w:t>
      </w:r>
      <w:r w:rsidR="003929F6">
        <w:rPr>
          <w:rFonts w:cs="Times New Roman"/>
          <w:b/>
          <w:bCs/>
          <w:iCs/>
          <w:szCs w:val="24"/>
        </w:rPr>
        <w:t>E</w:t>
      </w:r>
      <w:r w:rsidRPr="00074165">
        <w:rPr>
          <w:rFonts w:cs="Times New Roman"/>
          <w:b/>
          <w:bCs/>
          <w:iCs/>
          <w:szCs w:val="24"/>
        </w:rPr>
        <w:t>:</w:t>
      </w:r>
      <w:r w:rsidRPr="00074165">
        <w:rPr>
          <w:rFonts w:cs="Times New Roman"/>
          <w:iCs/>
          <w:szCs w:val="24"/>
        </w:rPr>
        <w:t xml:space="preserve"> Informed Consent Form</w:t>
      </w:r>
    </w:p>
    <w:bookmarkEnd w:id="15"/>
    <w:p w14:paraId="21898CDF" w14:textId="77777777" w:rsidR="00024F72" w:rsidRPr="00074165" w:rsidRDefault="00024F72" w:rsidP="00024F72">
      <w:pPr>
        <w:rPr>
          <w:rFonts w:ascii="Arial" w:hAnsi="Arial" w:cs="Arial"/>
          <w:noProof/>
        </w:rPr>
      </w:pPr>
    </w:p>
    <w:p w14:paraId="34EDFA0A" w14:textId="77777777" w:rsidR="00024F72" w:rsidRPr="00074165" w:rsidRDefault="00024F72" w:rsidP="00024F72">
      <w:pPr>
        <w:rPr>
          <w:rFonts w:ascii="Arial" w:hAnsi="Arial" w:cs="Arial"/>
          <w:noProof/>
        </w:rPr>
      </w:pPr>
    </w:p>
    <w:p w14:paraId="289E1FDC" w14:textId="4DE3F82C" w:rsidR="00024F72" w:rsidRPr="00074165" w:rsidRDefault="00024F72" w:rsidP="00024F72">
      <w:pPr>
        <w:jc w:val="center"/>
      </w:pPr>
      <w:r w:rsidRPr="00074165">
        <w:rPr>
          <w:noProof/>
        </w:rPr>
        <w:drawing>
          <wp:inline distT="0" distB="0" distL="0" distR="0" wp14:anchorId="1FEB50DA" wp14:editId="2DFC94C4">
            <wp:extent cx="2859405" cy="512445"/>
            <wp:effectExtent l="0" t="0" r="0" b="190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59405" cy="512445"/>
                    </a:xfrm>
                    <a:prstGeom prst="rect">
                      <a:avLst/>
                    </a:prstGeom>
                    <a:noFill/>
                    <a:ln>
                      <a:noFill/>
                    </a:ln>
                  </pic:spPr>
                </pic:pic>
              </a:graphicData>
            </a:graphic>
          </wp:inline>
        </w:drawing>
      </w:r>
    </w:p>
    <w:p w14:paraId="553906AC" w14:textId="77777777" w:rsidR="00024F72" w:rsidRPr="00074165" w:rsidRDefault="00024F72" w:rsidP="00024F72">
      <w:pPr>
        <w:jc w:val="center"/>
      </w:pPr>
    </w:p>
    <w:p w14:paraId="07C1E6D4" w14:textId="77777777" w:rsidR="00024F72" w:rsidRPr="00074165" w:rsidRDefault="00024F72" w:rsidP="00024F72">
      <w:pPr>
        <w:jc w:val="center"/>
      </w:pPr>
      <w:r w:rsidRPr="00074165">
        <w:rPr>
          <w:b/>
        </w:rPr>
        <w:t>ADULT CONSENT TO PARTICIPATE IN A RESEARCH STUDY</w:t>
      </w:r>
    </w:p>
    <w:p w14:paraId="34C10D89" w14:textId="77777777" w:rsidR="00024F72" w:rsidRPr="00074165" w:rsidRDefault="00024F72" w:rsidP="00024F72">
      <w:pPr>
        <w:jc w:val="center"/>
        <w:rPr>
          <w:b/>
        </w:rPr>
      </w:pPr>
      <w:r w:rsidRPr="00074165">
        <w:rPr>
          <w:b/>
        </w:rPr>
        <w:t>Provider Education to Increase Knowledge and Awareness of Sexually Transmitted Infections in Older Adult (65+ Years)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74165" w:rsidRPr="00074165" w14:paraId="67FC4AA2" w14:textId="77777777" w:rsidTr="00DD035B">
        <w:tc>
          <w:tcPr>
            <w:tcW w:w="9576" w:type="dxa"/>
            <w:shd w:val="clear" w:color="auto" w:fill="auto"/>
          </w:tcPr>
          <w:p w14:paraId="6D311549" w14:textId="4EE7AFF2" w:rsidR="00024F72" w:rsidRPr="00074165" w:rsidRDefault="00024F72" w:rsidP="00DD035B">
            <w:pPr>
              <w:rPr>
                <w:b/>
              </w:rPr>
            </w:pPr>
            <w:r w:rsidRPr="00074165">
              <w:rPr>
                <w:b/>
              </w:rPr>
              <w:t>SUMMARY INFORMATION</w:t>
            </w:r>
          </w:p>
          <w:p w14:paraId="22E43F33" w14:textId="77777777" w:rsidR="00024F72" w:rsidRPr="00074165" w:rsidRDefault="00024F72" w:rsidP="00DD035B">
            <w:r w:rsidRPr="00074165">
              <w:t>Things you should know about this study:</w:t>
            </w:r>
          </w:p>
          <w:p w14:paraId="604A7ABF" w14:textId="77777777" w:rsidR="00024F72" w:rsidRPr="00074165" w:rsidRDefault="00024F72" w:rsidP="00024F72">
            <w:pPr>
              <w:numPr>
                <w:ilvl w:val="0"/>
                <w:numId w:val="9"/>
              </w:numPr>
              <w:spacing w:after="0" w:line="240" w:lineRule="auto"/>
            </w:pPr>
            <w:r w:rsidRPr="00074165">
              <w:rPr>
                <w:b/>
                <w:u w:val="single"/>
              </w:rPr>
              <w:t>Purpose</w:t>
            </w:r>
            <w:r w:rsidRPr="00074165">
              <w:rPr>
                <w:b/>
              </w:rPr>
              <w:t xml:space="preserve">: </w:t>
            </w:r>
            <w:r w:rsidRPr="00074165">
              <w:t>The purpose of this quality improvement project is to increase primary care provider knowledge of sexually transmitted infection (STI) disease risk in older adults including those 65 years of age and older.</w:t>
            </w:r>
          </w:p>
          <w:p w14:paraId="2453E946" w14:textId="77777777" w:rsidR="00024F72" w:rsidRPr="00074165" w:rsidRDefault="00024F72" w:rsidP="00024F72">
            <w:pPr>
              <w:numPr>
                <w:ilvl w:val="0"/>
                <w:numId w:val="9"/>
              </w:numPr>
              <w:spacing w:after="0" w:line="240" w:lineRule="auto"/>
            </w:pPr>
            <w:r w:rsidRPr="00074165">
              <w:rPr>
                <w:b/>
                <w:u w:val="single"/>
              </w:rPr>
              <w:t>Procedures</w:t>
            </w:r>
            <w:r w:rsidRPr="00074165">
              <w:t>: If you choose to participate, you will be asked to sign this letter of informed consent, to complete a demographic survey, to complete a pre- and post-intervention knowledge test, and to view an online educational module on the topic.</w:t>
            </w:r>
          </w:p>
          <w:p w14:paraId="4228EDE2" w14:textId="77777777" w:rsidR="00024F72" w:rsidRPr="00074165" w:rsidRDefault="00024F72" w:rsidP="00024F72">
            <w:pPr>
              <w:numPr>
                <w:ilvl w:val="0"/>
                <w:numId w:val="9"/>
              </w:numPr>
              <w:spacing w:after="0" w:line="240" w:lineRule="auto"/>
            </w:pPr>
            <w:r w:rsidRPr="00074165">
              <w:rPr>
                <w:b/>
                <w:u w:val="single"/>
              </w:rPr>
              <w:t>Duration</w:t>
            </w:r>
            <w:r w:rsidRPr="00074165">
              <w:rPr>
                <w:b/>
              </w:rPr>
              <w:t>:</w:t>
            </w:r>
            <w:r w:rsidRPr="00074165">
              <w:t xml:space="preserve"> This will take about 1.5 hours.</w:t>
            </w:r>
          </w:p>
          <w:p w14:paraId="373ACD92" w14:textId="295E55B1" w:rsidR="00024F72" w:rsidRPr="00074165" w:rsidRDefault="00024F72" w:rsidP="00024F72">
            <w:pPr>
              <w:numPr>
                <w:ilvl w:val="0"/>
                <w:numId w:val="9"/>
              </w:numPr>
              <w:spacing w:after="0" w:line="240" w:lineRule="auto"/>
            </w:pPr>
            <w:r w:rsidRPr="00074165">
              <w:rPr>
                <w:b/>
                <w:u w:val="single"/>
              </w:rPr>
              <w:t>Risks</w:t>
            </w:r>
            <w:r w:rsidRPr="00074165">
              <w:t xml:space="preserve">: The main risk or discomfort from this research is </w:t>
            </w:r>
            <w:r w:rsidR="005C2D12" w:rsidRPr="00074165">
              <w:t>the potential</w:t>
            </w:r>
            <w:r w:rsidRPr="00074165">
              <w:t xml:space="preserve"> for you to become uncomfortable while completing the educational module.</w:t>
            </w:r>
          </w:p>
          <w:p w14:paraId="65ED250A" w14:textId="77777777" w:rsidR="00024F72" w:rsidRPr="00074165" w:rsidRDefault="00024F72" w:rsidP="00024F72">
            <w:pPr>
              <w:numPr>
                <w:ilvl w:val="0"/>
                <w:numId w:val="9"/>
              </w:numPr>
              <w:spacing w:after="0" w:line="240" w:lineRule="auto"/>
            </w:pPr>
            <w:r w:rsidRPr="00074165">
              <w:rPr>
                <w:b/>
                <w:u w:val="single"/>
              </w:rPr>
              <w:t>Benefits</w:t>
            </w:r>
            <w:r w:rsidRPr="00074165">
              <w:rPr>
                <w:b/>
              </w:rPr>
              <w:t>:</w:t>
            </w:r>
            <w:r w:rsidRPr="00074165">
              <w:t xml:space="preserve"> The main benefit to you from this research is to increase your knowledge of sexual health issues and STI screening in older adults.</w:t>
            </w:r>
          </w:p>
          <w:p w14:paraId="55B2EA04" w14:textId="77777777" w:rsidR="00024F72" w:rsidRPr="00074165" w:rsidRDefault="00024F72" w:rsidP="00024F72">
            <w:pPr>
              <w:numPr>
                <w:ilvl w:val="0"/>
                <w:numId w:val="9"/>
              </w:numPr>
              <w:spacing w:after="0" w:line="240" w:lineRule="auto"/>
            </w:pPr>
            <w:r w:rsidRPr="00074165">
              <w:rPr>
                <w:b/>
                <w:u w:val="single"/>
              </w:rPr>
              <w:t>Alternatives</w:t>
            </w:r>
            <w:r w:rsidRPr="00074165">
              <w:rPr>
                <w:b/>
              </w:rPr>
              <w:t>:</w:t>
            </w:r>
            <w:r w:rsidRPr="00074165">
              <w:t xml:space="preserve"> There are no known alternatives available to you other than not taking part in this study. </w:t>
            </w:r>
          </w:p>
          <w:p w14:paraId="4BC87F2F" w14:textId="77777777" w:rsidR="00024F72" w:rsidRPr="00074165" w:rsidRDefault="00024F72" w:rsidP="00024F72">
            <w:pPr>
              <w:numPr>
                <w:ilvl w:val="0"/>
                <w:numId w:val="9"/>
              </w:numPr>
              <w:spacing w:after="0" w:line="240" w:lineRule="auto"/>
            </w:pPr>
            <w:r w:rsidRPr="00074165">
              <w:rPr>
                <w:b/>
                <w:u w:val="single"/>
              </w:rPr>
              <w:t>Participation</w:t>
            </w:r>
            <w:r w:rsidRPr="00074165">
              <w:rPr>
                <w:b/>
              </w:rPr>
              <w:t>:</w:t>
            </w:r>
            <w:r w:rsidRPr="00074165">
              <w:t xml:space="preserve"> Taking part in this research project is voluntary. </w:t>
            </w:r>
          </w:p>
          <w:p w14:paraId="50E478D4" w14:textId="2955AC8F" w:rsidR="00024F72" w:rsidRPr="00074165" w:rsidRDefault="00024F72" w:rsidP="00DD035B">
            <w:r w:rsidRPr="00074165">
              <w:t>Please carefully read the entire document before agreeing to participate.</w:t>
            </w:r>
          </w:p>
        </w:tc>
      </w:tr>
    </w:tbl>
    <w:p w14:paraId="54C81F16" w14:textId="77777777" w:rsidR="00024F72" w:rsidRPr="00074165" w:rsidRDefault="00024F72" w:rsidP="00024F72">
      <w:pPr>
        <w:rPr>
          <w:b/>
        </w:rPr>
      </w:pPr>
      <w:r w:rsidRPr="00074165">
        <w:rPr>
          <w:b/>
        </w:rPr>
        <w:br/>
        <w:t>PURPOSE OF THE STUDY</w:t>
      </w:r>
    </w:p>
    <w:p w14:paraId="4A291B68" w14:textId="77777777" w:rsidR="00024F72" w:rsidRPr="00074165" w:rsidRDefault="00024F72" w:rsidP="00024F72">
      <w:r w:rsidRPr="00074165">
        <w:t>The purpose of this quality improvement project is to increase primary care provider knowledge of sexually transmitted infection (STI) disease risk in older adults including those 65 years of age and older.</w:t>
      </w:r>
    </w:p>
    <w:p w14:paraId="6772910D" w14:textId="77777777" w:rsidR="00024F72" w:rsidRPr="00074165" w:rsidRDefault="00024F72" w:rsidP="00024F72">
      <w:pPr>
        <w:rPr>
          <w:b/>
        </w:rPr>
      </w:pPr>
      <w:r w:rsidRPr="00074165">
        <w:rPr>
          <w:b/>
        </w:rPr>
        <w:t>NUMBER OF STUDY PARTICIPANTS</w:t>
      </w:r>
    </w:p>
    <w:p w14:paraId="1F389613" w14:textId="77777777" w:rsidR="00024F72" w:rsidRPr="00074165" w:rsidRDefault="00024F72" w:rsidP="00024F72">
      <w:r w:rsidRPr="00074165">
        <w:t>If you decide to be in this study, you will be one of 15-20 people enrolled.</w:t>
      </w:r>
    </w:p>
    <w:p w14:paraId="722B031D" w14:textId="77777777" w:rsidR="00024F72" w:rsidRPr="00074165" w:rsidRDefault="00024F72" w:rsidP="00024F72">
      <w:pPr>
        <w:rPr>
          <w:b/>
        </w:rPr>
      </w:pPr>
      <w:r w:rsidRPr="00074165">
        <w:rPr>
          <w:b/>
        </w:rPr>
        <w:lastRenderedPageBreak/>
        <w:t>DURATION OF THE STUDY</w:t>
      </w:r>
    </w:p>
    <w:p w14:paraId="26572DD7" w14:textId="77777777" w:rsidR="00024F72" w:rsidRPr="00074165" w:rsidRDefault="00024F72" w:rsidP="00024F72">
      <w:pPr>
        <w:rPr>
          <w:i/>
        </w:rPr>
      </w:pPr>
      <w:r w:rsidRPr="00074165">
        <w:t xml:space="preserve">Your participation will involve 4 weeks in total, and out of those weeks the time spent will be about 1.5 hours. </w:t>
      </w:r>
    </w:p>
    <w:p w14:paraId="30498B0F" w14:textId="77777777" w:rsidR="00024F72" w:rsidRPr="00074165" w:rsidRDefault="00024F72" w:rsidP="00024F72">
      <w:pPr>
        <w:rPr>
          <w:b/>
        </w:rPr>
      </w:pPr>
      <w:r w:rsidRPr="00074165">
        <w:rPr>
          <w:b/>
        </w:rPr>
        <w:t>PROCEDURES</w:t>
      </w:r>
    </w:p>
    <w:p w14:paraId="162BB1A1" w14:textId="77777777" w:rsidR="00024F72" w:rsidRPr="00074165" w:rsidRDefault="00024F72" w:rsidP="00024F72">
      <w:r w:rsidRPr="00074165">
        <w:t>If you agree to be in the study, we will ask you to do the following things:</w:t>
      </w:r>
    </w:p>
    <w:p w14:paraId="254A2769" w14:textId="5880B5A2" w:rsidR="00024F72" w:rsidRPr="00074165" w:rsidRDefault="00024F72" w:rsidP="00024F72">
      <w:pPr>
        <w:numPr>
          <w:ilvl w:val="0"/>
          <w:numId w:val="7"/>
        </w:numPr>
        <w:spacing w:after="0" w:line="240" w:lineRule="auto"/>
        <w:rPr>
          <w:i/>
        </w:rPr>
      </w:pPr>
      <w:r w:rsidRPr="00074165">
        <w:t xml:space="preserve">Fill out a </w:t>
      </w:r>
      <w:r w:rsidR="005C2D12" w:rsidRPr="00074165">
        <w:t>pre-intervention</w:t>
      </w:r>
      <w:r w:rsidRPr="00074165">
        <w:t xml:space="preserve"> knowledge test and a demographic survey on an online platform (Survey Monkey).</w:t>
      </w:r>
    </w:p>
    <w:p w14:paraId="28D6AA48" w14:textId="77777777" w:rsidR="00024F72" w:rsidRPr="00074165" w:rsidRDefault="00024F72" w:rsidP="00024F72">
      <w:pPr>
        <w:numPr>
          <w:ilvl w:val="0"/>
          <w:numId w:val="7"/>
        </w:numPr>
        <w:spacing w:after="0" w:line="240" w:lineRule="auto"/>
        <w:rPr>
          <w:b/>
        </w:rPr>
      </w:pPr>
      <w:r w:rsidRPr="00074165">
        <w:t>Watch a PowerPoint presentation on YouTube via a link provided to your email address.</w:t>
      </w:r>
    </w:p>
    <w:p w14:paraId="4E4F5C67" w14:textId="77777777" w:rsidR="00024F72" w:rsidRPr="00074165" w:rsidRDefault="00024F72" w:rsidP="00024F72">
      <w:pPr>
        <w:numPr>
          <w:ilvl w:val="0"/>
          <w:numId w:val="7"/>
        </w:numPr>
        <w:spacing w:after="0" w:line="240" w:lineRule="auto"/>
        <w:rPr>
          <w:b/>
        </w:rPr>
      </w:pPr>
      <w:r w:rsidRPr="00074165">
        <w:t>Fill out a post presentation knowledge test on an online platform (Survey Monkey).</w:t>
      </w:r>
    </w:p>
    <w:p w14:paraId="5598C9DC" w14:textId="77777777" w:rsidR="00024F72" w:rsidRPr="00074165" w:rsidRDefault="00024F72" w:rsidP="00024F72">
      <w:pPr>
        <w:ind w:left="360"/>
        <w:rPr>
          <w:b/>
        </w:rPr>
      </w:pPr>
    </w:p>
    <w:p w14:paraId="6184F315" w14:textId="77777777" w:rsidR="00024F72" w:rsidRPr="00074165" w:rsidRDefault="00024F72" w:rsidP="00024F72">
      <w:pPr>
        <w:rPr>
          <w:b/>
        </w:rPr>
      </w:pPr>
      <w:r w:rsidRPr="00074165">
        <w:rPr>
          <w:b/>
        </w:rPr>
        <w:t>RISKS AND/OR DISCOMFORTS</w:t>
      </w:r>
    </w:p>
    <w:p w14:paraId="58247DA6" w14:textId="77777777" w:rsidR="00024F72" w:rsidRPr="00074165" w:rsidRDefault="00024F72" w:rsidP="00024F72">
      <w:r w:rsidRPr="00074165">
        <w:t>The study has the following possible risks to you: You may become uncomfortable during the time required to review the intervention; threats to privacy and confidentiality.</w:t>
      </w:r>
    </w:p>
    <w:p w14:paraId="7B8E1A60" w14:textId="77777777" w:rsidR="00024F72" w:rsidRPr="00074165" w:rsidRDefault="00024F72" w:rsidP="00024F72">
      <w:pPr>
        <w:rPr>
          <w:b/>
        </w:rPr>
      </w:pPr>
      <w:r w:rsidRPr="00074165">
        <w:rPr>
          <w:b/>
        </w:rPr>
        <w:t>BENEFITS</w:t>
      </w:r>
    </w:p>
    <w:p w14:paraId="543D2BAC" w14:textId="08D68C2F" w:rsidR="00024F72" w:rsidRPr="00074165" w:rsidRDefault="00024F72" w:rsidP="00024F72">
      <w:r w:rsidRPr="00074165">
        <w:t xml:space="preserve">The study has the following possible benefits to you: increased knowledge about the topic, the ability to provide better patient care, enhanced confidence in managing sexual health needs among older adults. Benefits for </w:t>
      </w:r>
      <w:r w:rsidR="005C2D12" w:rsidRPr="00074165">
        <w:t>society</w:t>
      </w:r>
      <w:r w:rsidRPr="00074165">
        <w:t xml:space="preserve"> will include reducing the spread of STIs in the community, lowering the costs to provide care for patients who contract STIs, and reducing antimicrobial resistance associated with STIs.</w:t>
      </w:r>
    </w:p>
    <w:p w14:paraId="17C0ACA5" w14:textId="77777777" w:rsidR="00024F72" w:rsidRPr="00074165" w:rsidRDefault="00024F72" w:rsidP="00024F72">
      <w:pPr>
        <w:rPr>
          <w:b/>
        </w:rPr>
      </w:pPr>
      <w:r w:rsidRPr="00074165">
        <w:rPr>
          <w:b/>
        </w:rPr>
        <w:t>ALTERNATIVES</w:t>
      </w:r>
    </w:p>
    <w:p w14:paraId="3E93E624" w14:textId="77777777" w:rsidR="00024F72" w:rsidRPr="00074165" w:rsidRDefault="00024F72" w:rsidP="00024F72">
      <w:pPr>
        <w:rPr>
          <w:i/>
        </w:rPr>
      </w:pPr>
      <w:r w:rsidRPr="00074165">
        <w:t xml:space="preserve">There are no known alternatives available to you other than not taking part in this study </w:t>
      </w:r>
      <w:bookmarkStart w:id="16" w:name="OLE_LINK17"/>
      <w:bookmarkStart w:id="17" w:name="OLE_LINK18"/>
    </w:p>
    <w:bookmarkEnd w:id="16"/>
    <w:bookmarkEnd w:id="17"/>
    <w:p w14:paraId="0FE1685A" w14:textId="77777777" w:rsidR="00024F72" w:rsidRPr="00074165" w:rsidRDefault="00024F72" w:rsidP="00024F72">
      <w:pPr>
        <w:rPr>
          <w:b/>
        </w:rPr>
      </w:pPr>
      <w:r w:rsidRPr="00074165">
        <w:rPr>
          <w:b/>
        </w:rPr>
        <w:t>CONFIDENTIALITY</w:t>
      </w:r>
    </w:p>
    <w:p w14:paraId="52484CD5" w14:textId="77777777" w:rsidR="00024F72" w:rsidRPr="00074165" w:rsidRDefault="00024F72" w:rsidP="00024F72">
      <w:r w:rsidRPr="00074165">
        <w:t>The records of this study will be kept private and will be protected to the fullest extent provided by law. In any sort of report, we might publish, we will not include any information that will make it possible to identify you.  Research records will be stored securely, and only the researcher team will have access to the records.  However, your records may be inspected by authorized University personnel or other agents who will also keep the information confidential.</w:t>
      </w:r>
    </w:p>
    <w:p w14:paraId="5272E51B" w14:textId="77777777" w:rsidR="00024F72" w:rsidRPr="00074165" w:rsidRDefault="00024F72" w:rsidP="00024F72">
      <w:pPr>
        <w:rPr>
          <w:b/>
        </w:rPr>
      </w:pPr>
      <w:r w:rsidRPr="00074165">
        <w:rPr>
          <w:b/>
        </w:rPr>
        <w:t>USE OF YOUR INFORMATION</w:t>
      </w:r>
    </w:p>
    <w:p w14:paraId="5BB619AD" w14:textId="77777777" w:rsidR="00024F72" w:rsidRPr="00074165" w:rsidRDefault="00024F72" w:rsidP="00024F72">
      <w:pPr>
        <w:numPr>
          <w:ilvl w:val="0"/>
          <w:numId w:val="8"/>
        </w:numPr>
        <w:spacing w:after="0" w:line="240" w:lineRule="auto"/>
      </w:pPr>
      <w:r w:rsidRPr="00074165">
        <w:t>Your information collected as part of the research will not be used or distributed for future research studies even if identifiers are removed.</w:t>
      </w:r>
    </w:p>
    <w:p w14:paraId="0E7720B3" w14:textId="77777777" w:rsidR="00024F72" w:rsidRPr="00074165" w:rsidRDefault="00024F72" w:rsidP="00024F72">
      <w:pPr>
        <w:rPr>
          <w:b/>
        </w:rPr>
      </w:pPr>
    </w:p>
    <w:p w14:paraId="06765E4B" w14:textId="77777777" w:rsidR="00024F72" w:rsidRPr="00074165" w:rsidRDefault="00024F72" w:rsidP="00024F72">
      <w:pPr>
        <w:rPr>
          <w:b/>
        </w:rPr>
      </w:pPr>
    </w:p>
    <w:p w14:paraId="06B07DA0" w14:textId="0B2E3365" w:rsidR="00024F72" w:rsidRPr="00074165" w:rsidRDefault="00024F72" w:rsidP="00024F72">
      <w:pPr>
        <w:rPr>
          <w:b/>
        </w:rPr>
      </w:pPr>
      <w:r w:rsidRPr="00074165">
        <w:rPr>
          <w:b/>
        </w:rPr>
        <w:lastRenderedPageBreak/>
        <w:t>COMPENSATION &amp; COSTS</w:t>
      </w:r>
    </w:p>
    <w:p w14:paraId="39983CC3" w14:textId="77777777" w:rsidR="00024F72" w:rsidRPr="00074165" w:rsidRDefault="00024F72" w:rsidP="00024F72">
      <w:pPr>
        <w:rPr>
          <w:i/>
        </w:rPr>
      </w:pPr>
      <w:r w:rsidRPr="00074165">
        <w:t>There are no costs to you for participating in this study.</w:t>
      </w:r>
    </w:p>
    <w:p w14:paraId="1AA0975B" w14:textId="77777777" w:rsidR="00024F72" w:rsidRPr="00074165" w:rsidRDefault="00024F72" w:rsidP="00024F72">
      <w:pPr>
        <w:rPr>
          <w:b/>
        </w:rPr>
      </w:pPr>
      <w:r w:rsidRPr="00074165">
        <w:rPr>
          <w:b/>
        </w:rPr>
        <w:t>RIGHT TO DECLINE OR WITHDRAW</w:t>
      </w:r>
    </w:p>
    <w:p w14:paraId="0171D39F" w14:textId="77777777" w:rsidR="00024F72" w:rsidRPr="00074165" w:rsidRDefault="00024F72" w:rsidP="00024F72">
      <w:r w:rsidRPr="00074165">
        <w:t>Your participation in this study is voluntary.  You are free to participate in the study or withdraw your consent at any time during the study.  You will not lose any benefits if you decide not to participate or if you quit the study early.  The investigator reserves the right to remove you without your consent at such time that he/she feels it is in the best interest.</w:t>
      </w:r>
    </w:p>
    <w:p w14:paraId="7A3A5AF6" w14:textId="77777777" w:rsidR="00024F72" w:rsidRPr="00074165" w:rsidRDefault="00024F72" w:rsidP="00024F72">
      <w:pPr>
        <w:rPr>
          <w:b/>
        </w:rPr>
      </w:pPr>
      <w:r w:rsidRPr="00074165">
        <w:rPr>
          <w:b/>
        </w:rPr>
        <w:t>RESEARCHER CONTACT INFORMATION</w:t>
      </w:r>
    </w:p>
    <w:p w14:paraId="147D5F42" w14:textId="77777777" w:rsidR="00024F72" w:rsidRPr="00074165" w:rsidRDefault="00024F72" w:rsidP="00024F72">
      <w:r w:rsidRPr="00074165">
        <w:t xml:space="preserve">If you have any questions about the purpose, procedures, or any other issues relating to this research study you may contact </w:t>
      </w:r>
      <w:r w:rsidRPr="00074165">
        <w:rPr>
          <w:bCs/>
        </w:rPr>
        <w:t xml:space="preserve">Sergio Amador Perez at </w:t>
      </w:r>
      <w:r w:rsidRPr="00074165">
        <w:t xml:space="preserve">(585)-285-2588 or samad024@fiu.edu.  </w:t>
      </w:r>
    </w:p>
    <w:p w14:paraId="532A477E" w14:textId="77777777" w:rsidR="00024F72" w:rsidRPr="00074165" w:rsidRDefault="00024F72" w:rsidP="00024F72">
      <w:pPr>
        <w:rPr>
          <w:b/>
        </w:rPr>
      </w:pPr>
      <w:r w:rsidRPr="00074165">
        <w:rPr>
          <w:b/>
        </w:rPr>
        <w:t>IRB CONTACT INFORMATION</w:t>
      </w:r>
    </w:p>
    <w:p w14:paraId="29404D3B" w14:textId="77777777" w:rsidR="00024F72" w:rsidRPr="00074165" w:rsidRDefault="00024F72" w:rsidP="00024F72">
      <w:r w:rsidRPr="00074165">
        <w:t>If you would like to talk with someone about your rights of being a subject in this research study or about ethical issues with this research study, you may contact the FIU Office of Research Integrity by phone at 305-348-2494 or by email at ori@fiu.edu.</w:t>
      </w:r>
    </w:p>
    <w:p w14:paraId="22DFA39B" w14:textId="060C2A5B" w:rsidR="00024F72" w:rsidRPr="00074165" w:rsidRDefault="00024F72" w:rsidP="00024F72">
      <w:pPr>
        <w:rPr>
          <w:b/>
        </w:rPr>
      </w:pPr>
      <w:r w:rsidRPr="00074165">
        <w:rPr>
          <w:b/>
        </w:rPr>
        <w:t>PARTICIPANT AGREEMENT</w:t>
      </w:r>
    </w:p>
    <w:p w14:paraId="69E61B90" w14:textId="77777777" w:rsidR="00024F72" w:rsidRPr="00074165" w:rsidRDefault="00024F72" w:rsidP="00024F72">
      <w:r w:rsidRPr="00074165">
        <w:t>I have read the information in this consent form and agree to participate in this study.  I have had a chance to ask any questions I have about this study, and they have been answered for me.  I understand that I will be given a copy of this form for my records.</w:t>
      </w:r>
    </w:p>
    <w:p w14:paraId="422ABB56" w14:textId="77777777" w:rsidR="00024F72" w:rsidRPr="00074165" w:rsidRDefault="00024F72" w:rsidP="00024F72">
      <w:r w:rsidRPr="00074165">
        <w:t xml:space="preserve">________________________________        </w:t>
      </w:r>
      <w:r w:rsidRPr="00074165">
        <w:tab/>
      </w:r>
      <w:r w:rsidRPr="00074165">
        <w:tab/>
      </w:r>
      <w:r w:rsidRPr="00074165">
        <w:tab/>
        <w:t>__________________</w:t>
      </w:r>
    </w:p>
    <w:p w14:paraId="7C61A0FD" w14:textId="77777777" w:rsidR="00024F72" w:rsidRPr="00074165" w:rsidRDefault="00024F72" w:rsidP="00024F72">
      <w:r w:rsidRPr="00074165">
        <w:t>Signature of Participant</w:t>
      </w:r>
      <w:r w:rsidRPr="00074165">
        <w:tab/>
      </w:r>
      <w:r w:rsidRPr="00074165">
        <w:tab/>
      </w:r>
      <w:r w:rsidRPr="00074165">
        <w:tab/>
      </w:r>
      <w:r w:rsidRPr="00074165">
        <w:tab/>
      </w:r>
      <w:r w:rsidRPr="00074165">
        <w:tab/>
      </w:r>
      <w:r w:rsidRPr="00074165">
        <w:tab/>
        <w:t>Date</w:t>
      </w:r>
    </w:p>
    <w:p w14:paraId="2685F2B2" w14:textId="77777777" w:rsidR="00024F72" w:rsidRPr="00074165" w:rsidRDefault="00024F72" w:rsidP="00024F72">
      <w:r w:rsidRPr="00074165">
        <w:t>________________________________</w:t>
      </w:r>
    </w:p>
    <w:p w14:paraId="7BBC61BD" w14:textId="77777777" w:rsidR="00024F72" w:rsidRPr="00074165" w:rsidRDefault="00024F72" w:rsidP="00024F72">
      <w:r w:rsidRPr="00074165">
        <w:t>Printed Name of Participant</w:t>
      </w:r>
    </w:p>
    <w:p w14:paraId="34E7A2C6" w14:textId="77777777" w:rsidR="00024F72" w:rsidRPr="00074165" w:rsidRDefault="00024F72" w:rsidP="00024F72">
      <w:r w:rsidRPr="00074165">
        <w:t>________________________________</w:t>
      </w:r>
      <w:r w:rsidRPr="00074165">
        <w:tab/>
      </w:r>
      <w:r w:rsidRPr="00074165">
        <w:tab/>
      </w:r>
      <w:r w:rsidRPr="00074165">
        <w:tab/>
      </w:r>
      <w:r w:rsidRPr="00074165">
        <w:tab/>
        <w:t>__________________</w:t>
      </w:r>
    </w:p>
    <w:p w14:paraId="355C5E0C" w14:textId="77777777" w:rsidR="00024F72" w:rsidRPr="00074165" w:rsidRDefault="00024F72" w:rsidP="00024F72">
      <w:r w:rsidRPr="00074165">
        <w:t>Signature of Person Obtaining Consent</w:t>
      </w:r>
      <w:r w:rsidRPr="00074165">
        <w:tab/>
      </w:r>
      <w:r w:rsidRPr="00074165">
        <w:tab/>
      </w:r>
      <w:r w:rsidRPr="00074165">
        <w:tab/>
      </w:r>
      <w:r w:rsidRPr="00074165">
        <w:tab/>
        <w:t>Date</w:t>
      </w:r>
    </w:p>
    <w:p w14:paraId="2F329B17" w14:textId="244D0E0C" w:rsidR="002E4A7E" w:rsidRPr="00074165" w:rsidRDefault="002E4A7E" w:rsidP="004D1487">
      <w:pPr>
        <w:spacing w:after="0" w:line="480" w:lineRule="auto"/>
        <w:ind w:left="720" w:hanging="720"/>
        <w:rPr>
          <w:rFonts w:cs="Times New Roman"/>
          <w:iCs/>
          <w:szCs w:val="24"/>
        </w:rPr>
      </w:pPr>
    </w:p>
    <w:p w14:paraId="3B209E74" w14:textId="077103E7" w:rsidR="002E4A7E" w:rsidRPr="00074165" w:rsidRDefault="002E4A7E">
      <w:pPr>
        <w:rPr>
          <w:rFonts w:cs="Times New Roman"/>
          <w:iCs/>
          <w:szCs w:val="24"/>
        </w:rPr>
      </w:pPr>
      <w:r w:rsidRPr="00074165">
        <w:rPr>
          <w:rFonts w:cs="Times New Roman"/>
          <w:iCs/>
          <w:szCs w:val="24"/>
        </w:rPr>
        <w:br w:type="page"/>
      </w:r>
    </w:p>
    <w:p w14:paraId="15AF6B2B" w14:textId="0DD23A44" w:rsidR="002E4A7E" w:rsidRPr="00074165" w:rsidRDefault="002E4A7E" w:rsidP="002E4A7E">
      <w:pPr>
        <w:spacing w:after="0" w:line="480" w:lineRule="auto"/>
        <w:ind w:left="720" w:hanging="720"/>
        <w:jc w:val="center"/>
        <w:rPr>
          <w:rFonts w:cs="Times New Roman"/>
          <w:iCs/>
          <w:szCs w:val="24"/>
        </w:rPr>
      </w:pPr>
      <w:bookmarkStart w:id="18" w:name="_Hlk120365946"/>
      <w:r w:rsidRPr="00074165">
        <w:rPr>
          <w:rFonts w:cs="Times New Roman"/>
          <w:b/>
          <w:bCs/>
          <w:iCs/>
          <w:szCs w:val="24"/>
        </w:rPr>
        <w:lastRenderedPageBreak/>
        <w:t xml:space="preserve">Appendix </w:t>
      </w:r>
      <w:r w:rsidR="003929F6">
        <w:rPr>
          <w:rFonts w:cs="Times New Roman"/>
          <w:b/>
          <w:bCs/>
          <w:iCs/>
          <w:szCs w:val="24"/>
        </w:rPr>
        <w:t>F</w:t>
      </w:r>
      <w:r w:rsidRPr="00074165">
        <w:rPr>
          <w:rFonts w:cs="Times New Roman"/>
          <w:iCs/>
          <w:szCs w:val="24"/>
        </w:rPr>
        <w:t>: Demographic Form</w:t>
      </w:r>
    </w:p>
    <w:bookmarkEnd w:id="18"/>
    <w:p w14:paraId="689A698C" w14:textId="77777777" w:rsidR="007D06E4" w:rsidRPr="00074165" w:rsidRDefault="007D06E4" w:rsidP="007D06E4">
      <w:pPr>
        <w:spacing w:after="0" w:line="480" w:lineRule="auto"/>
        <w:rPr>
          <w:rFonts w:eastAsia="Times New Roman"/>
          <w:bCs/>
          <w:szCs w:val="24"/>
        </w:rPr>
      </w:pPr>
      <w:r w:rsidRPr="00074165">
        <w:rPr>
          <w:rFonts w:eastAsia="Times New Roman"/>
          <w:b/>
          <w:szCs w:val="24"/>
        </w:rPr>
        <w:t>Instructions</w:t>
      </w:r>
      <w:r w:rsidRPr="00074165">
        <w:rPr>
          <w:rFonts w:eastAsia="Times New Roman"/>
          <w:bCs/>
          <w:szCs w:val="24"/>
        </w:rPr>
        <w:t>: Please complete the following form by circling the correct answer or entering the correct answer on the line provided.</w:t>
      </w:r>
    </w:p>
    <w:p w14:paraId="06D0167A" w14:textId="77777777" w:rsidR="007D06E4" w:rsidRPr="00074165" w:rsidRDefault="007D06E4" w:rsidP="007D06E4">
      <w:pPr>
        <w:numPr>
          <w:ilvl w:val="0"/>
          <w:numId w:val="6"/>
        </w:numPr>
        <w:spacing w:after="0" w:line="480" w:lineRule="auto"/>
        <w:rPr>
          <w:rFonts w:eastAsia="Times New Roman"/>
          <w:bCs/>
          <w:szCs w:val="24"/>
        </w:rPr>
      </w:pPr>
      <w:r w:rsidRPr="00074165">
        <w:rPr>
          <w:rFonts w:eastAsia="Times New Roman"/>
          <w:bCs/>
          <w:szCs w:val="24"/>
        </w:rPr>
        <w:t>What is your age in years? ____ years</w:t>
      </w:r>
    </w:p>
    <w:p w14:paraId="77FAE809" w14:textId="77777777" w:rsidR="007D06E4" w:rsidRPr="00074165" w:rsidRDefault="007D06E4" w:rsidP="007D06E4">
      <w:pPr>
        <w:numPr>
          <w:ilvl w:val="0"/>
          <w:numId w:val="6"/>
        </w:numPr>
        <w:spacing w:after="0" w:line="480" w:lineRule="auto"/>
        <w:rPr>
          <w:rFonts w:eastAsia="Times New Roman"/>
          <w:bCs/>
          <w:szCs w:val="24"/>
        </w:rPr>
      </w:pPr>
      <w:r w:rsidRPr="00074165">
        <w:rPr>
          <w:rFonts w:eastAsia="Times New Roman"/>
          <w:bCs/>
          <w:szCs w:val="24"/>
        </w:rPr>
        <w:t>What is your gender? Please circle one.</w:t>
      </w:r>
    </w:p>
    <w:p w14:paraId="6FA4976E"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Male</w:t>
      </w:r>
      <w:r w:rsidRPr="00074165">
        <w:rPr>
          <w:rFonts w:eastAsia="Times New Roman"/>
          <w:bCs/>
          <w:szCs w:val="24"/>
        </w:rPr>
        <w:tab/>
      </w:r>
      <w:r w:rsidRPr="00074165">
        <w:rPr>
          <w:rFonts w:eastAsia="Times New Roman"/>
          <w:bCs/>
          <w:szCs w:val="24"/>
        </w:rPr>
        <w:tab/>
      </w:r>
      <w:r w:rsidRPr="00074165">
        <w:rPr>
          <w:rFonts w:eastAsia="Times New Roman"/>
          <w:bCs/>
          <w:szCs w:val="24"/>
        </w:rPr>
        <w:tab/>
        <w:t>Female</w:t>
      </w:r>
      <w:r w:rsidRPr="00074165">
        <w:rPr>
          <w:rFonts w:eastAsia="Times New Roman"/>
          <w:bCs/>
          <w:szCs w:val="24"/>
        </w:rPr>
        <w:tab/>
      </w:r>
      <w:r w:rsidRPr="00074165">
        <w:rPr>
          <w:rFonts w:eastAsia="Times New Roman"/>
          <w:bCs/>
          <w:szCs w:val="24"/>
        </w:rPr>
        <w:tab/>
      </w:r>
      <w:r w:rsidRPr="00074165">
        <w:rPr>
          <w:rFonts w:eastAsia="Times New Roman"/>
          <w:bCs/>
          <w:szCs w:val="24"/>
        </w:rPr>
        <w:tab/>
        <w:t>Nonbinary</w:t>
      </w:r>
      <w:r w:rsidRPr="00074165">
        <w:rPr>
          <w:rFonts w:eastAsia="Times New Roman"/>
          <w:bCs/>
          <w:szCs w:val="24"/>
        </w:rPr>
        <w:tab/>
      </w:r>
      <w:r w:rsidRPr="00074165">
        <w:rPr>
          <w:rFonts w:eastAsia="Times New Roman"/>
          <w:bCs/>
          <w:szCs w:val="24"/>
        </w:rPr>
        <w:tab/>
        <w:t>Prefer Not to Say</w:t>
      </w:r>
    </w:p>
    <w:p w14:paraId="18524209" w14:textId="77777777" w:rsidR="007D06E4" w:rsidRPr="00074165" w:rsidRDefault="007D06E4" w:rsidP="007D06E4">
      <w:pPr>
        <w:numPr>
          <w:ilvl w:val="0"/>
          <w:numId w:val="6"/>
        </w:numPr>
        <w:spacing w:after="0" w:line="480" w:lineRule="auto"/>
        <w:rPr>
          <w:rFonts w:eastAsia="Times New Roman"/>
          <w:bCs/>
          <w:szCs w:val="24"/>
        </w:rPr>
      </w:pPr>
      <w:r w:rsidRPr="00074165">
        <w:rPr>
          <w:rFonts w:eastAsia="Times New Roman"/>
          <w:bCs/>
          <w:szCs w:val="24"/>
        </w:rPr>
        <w:t>What is your race? Please circle one.</w:t>
      </w:r>
    </w:p>
    <w:p w14:paraId="26BC1C7A"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White/Non-Hispanic</w:t>
      </w:r>
    </w:p>
    <w:p w14:paraId="199D398F"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African American</w:t>
      </w:r>
    </w:p>
    <w:p w14:paraId="3FB5D022"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Hispanic/Latino</w:t>
      </w:r>
    </w:p>
    <w:p w14:paraId="3CFE7022"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Asian/Pacific Islander</w:t>
      </w:r>
    </w:p>
    <w:p w14:paraId="0820A2A5"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Other</w:t>
      </w:r>
    </w:p>
    <w:p w14:paraId="670C42B2"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Prefer Not to Say</w:t>
      </w:r>
    </w:p>
    <w:p w14:paraId="5C678DB0" w14:textId="77777777" w:rsidR="007D06E4" w:rsidRPr="00074165" w:rsidRDefault="007D06E4" w:rsidP="007D06E4">
      <w:pPr>
        <w:numPr>
          <w:ilvl w:val="0"/>
          <w:numId w:val="6"/>
        </w:numPr>
        <w:spacing w:after="0" w:line="480" w:lineRule="auto"/>
        <w:rPr>
          <w:rFonts w:eastAsia="Times New Roman"/>
          <w:bCs/>
          <w:szCs w:val="24"/>
        </w:rPr>
      </w:pPr>
      <w:r w:rsidRPr="00074165">
        <w:rPr>
          <w:rFonts w:eastAsia="Times New Roman"/>
          <w:bCs/>
          <w:szCs w:val="24"/>
        </w:rPr>
        <w:t>How many years have you been a registered nurse? ____ years</w:t>
      </w:r>
    </w:p>
    <w:p w14:paraId="0BB38FC7" w14:textId="77777777" w:rsidR="007D06E4" w:rsidRPr="00074165" w:rsidRDefault="007D06E4" w:rsidP="007D06E4">
      <w:pPr>
        <w:numPr>
          <w:ilvl w:val="0"/>
          <w:numId w:val="6"/>
        </w:numPr>
        <w:spacing w:after="0" w:line="480" w:lineRule="auto"/>
        <w:rPr>
          <w:rFonts w:eastAsia="Times New Roman"/>
          <w:bCs/>
          <w:szCs w:val="24"/>
        </w:rPr>
      </w:pPr>
      <w:r w:rsidRPr="00074165">
        <w:rPr>
          <w:rFonts w:eastAsia="Times New Roman"/>
          <w:bCs/>
          <w:szCs w:val="24"/>
        </w:rPr>
        <w:t>What is your highest level of nursing education? Please circle one.</w:t>
      </w:r>
    </w:p>
    <w:p w14:paraId="029F7BEB"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Registered nurse (diploma).</w:t>
      </w:r>
    </w:p>
    <w:p w14:paraId="3B61A9CF" w14:textId="77777777" w:rsidR="007D06E4" w:rsidRPr="00074165" w:rsidRDefault="007D06E4" w:rsidP="007D06E4">
      <w:pPr>
        <w:spacing w:after="0" w:line="480" w:lineRule="auto"/>
        <w:ind w:left="720"/>
        <w:rPr>
          <w:rFonts w:eastAsia="Times New Roman"/>
          <w:bCs/>
          <w:szCs w:val="24"/>
        </w:rPr>
      </w:pPr>
      <w:r w:rsidRPr="00074165">
        <w:rPr>
          <w:rFonts w:eastAsia="Times New Roman"/>
          <w:bCs/>
          <w:szCs w:val="24"/>
        </w:rPr>
        <w:t>Baccalaureate degree (BSN)</w:t>
      </w:r>
    </w:p>
    <w:p w14:paraId="2CBC2FF6" w14:textId="5B525187" w:rsidR="007D06E4" w:rsidRPr="00074165" w:rsidRDefault="00E82441" w:rsidP="007D06E4">
      <w:pPr>
        <w:spacing w:after="0" w:line="480" w:lineRule="auto"/>
        <w:ind w:left="720"/>
        <w:rPr>
          <w:rFonts w:eastAsia="Times New Roman"/>
          <w:bCs/>
          <w:szCs w:val="24"/>
        </w:rPr>
      </w:pPr>
      <w:r w:rsidRPr="00074165">
        <w:rPr>
          <w:rFonts w:eastAsia="Times New Roman"/>
          <w:bCs/>
          <w:szCs w:val="24"/>
        </w:rPr>
        <w:t>Master’s</w:t>
      </w:r>
      <w:r w:rsidR="007D06E4" w:rsidRPr="00074165">
        <w:rPr>
          <w:rFonts w:eastAsia="Times New Roman"/>
          <w:bCs/>
          <w:szCs w:val="24"/>
        </w:rPr>
        <w:t xml:space="preserve"> Degree (MSN advanced practice nurse).</w:t>
      </w:r>
    </w:p>
    <w:p w14:paraId="4A88BEF7" w14:textId="3326BB75" w:rsidR="007D06E4" w:rsidRPr="00074165" w:rsidRDefault="00F917BF" w:rsidP="007D06E4">
      <w:pPr>
        <w:spacing w:after="0" w:line="480" w:lineRule="auto"/>
        <w:ind w:left="720"/>
        <w:rPr>
          <w:rFonts w:eastAsia="Times New Roman"/>
          <w:bCs/>
          <w:szCs w:val="24"/>
        </w:rPr>
      </w:pPr>
      <w:r>
        <w:rPr>
          <w:rFonts w:eastAsia="Times New Roman"/>
          <w:bCs/>
          <w:szCs w:val="24"/>
        </w:rPr>
        <w:t>Physician (MD)</w:t>
      </w:r>
    </w:p>
    <w:p w14:paraId="7B12F852" w14:textId="278039D9" w:rsidR="007D06E4" w:rsidRPr="00074165" w:rsidRDefault="007D06E4" w:rsidP="007D06E4">
      <w:pPr>
        <w:numPr>
          <w:ilvl w:val="0"/>
          <w:numId w:val="6"/>
        </w:numPr>
        <w:spacing w:after="0" w:line="480" w:lineRule="auto"/>
        <w:rPr>
          <w:rFonts w:eastAsia="Times New Roman"/>
          <w:bCs/>
          <w:szCs w:val="24"/>
        </w:rPr>
      </w:pPr>
      <w:r w:rsidRPr="00074165">
        <w:rPr>
          <w:rFonts w:eastAsia="Times New Roman"/>
          <w:bCs/>
          <w:szCs w:val="24"/>
        </w:rPr>
        <w:t xml:space="preserve">On average, how many older adults </w:t>
      </w:r>
      <w:r w:rsidR="005C2D12" w:rsidRPr="00074165">
        <w:rPr>
          <w:rFonts w:eastAsia="Times New Roman"/>
          <w:bCs/>
          <w:szCs w:val="24"/>
        </w:rPr>
        <w:t>do</w:t>
      </w:r>
      <w:r w:rsidRPr="00074165">
        <w:rPr>
          <w:rFonts w:eastAsia="Times New Roman"/>
          <w:bCs/>
          <w:szCs w:val="24"/>
        </w:rPr>
        <w:t xml:space="preserve"> you care for on a weekly basis? _____ patients.</w:t>
      </w:r>
    </w:p>
    <w:p w14:paraId="21CD65E4" w14:textId="77777777" w:rsidR="007D06E4" w:rsidRPr="00074165" w:rsidRDefault="007D06E4" w:rsidP="007D06E4">
      <w:pPr>
        <w:numPr>
          <w:ilvl w:val="0"/>
          <w:numId w:val="6"/>
        </w:numPr>
        <w:spacing w:after="0" w:line="480" w:lineRule="auto"/>
        <w:rPr>
          <w:rFonts w:eastAsia="Times New Roman"/>
          <w:bCs/>
          <w:szCs w:val="24"/>
        </w:rPr>
      </w:pPr>
      <w:r w:rsidRPr="00074165">
        <w:rPr>
          <w:rFonts w:eastAsia="Times New Roman"/>
          <w:bCs/>
          <w:szCs w:val="24"/>
        </w:rPr>
        <w:t>Outside of the clinical setting, do you provide caregiving support for an older adult? Please circle one.</w:t>
      </w:r>
    </w:p>
    <w:p w14:paraId="32387BD8" w14:textId="6720A3D3" w:rsidR="002E4A7E" w:rsidRPr="00074165" w:rsidRDefault="007D06E4" w:rsidP="007D06E4">
      <w:pPr>
        <w:spacing w:after="0" w:line="480" w:lineRule="auto"/>
        <w:ind w:left="720"/>
        <w:rPr>
          <w:rFonts w:cs="Times New Roman"/>
          <w:iCs/>
          <w:szCs w:val="24"/>
        </w:rPr>
      </w:pPr>
      <w:r w:rsidRPr="00074165">
        <w:rPr>
          <w:rFonts w:eastAsia="Times New Roman"/>
          <w:bCs/>
          <w:szCs w:val="24"/>
        </w:rPr>
        <w:t>Yes</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No</w:t>
      </w:r>
      <w:r w:rsidR="002E4A7E" w:rsidRPr="00074165">
        <w:rPr>
          <w:rFonts w:cs="Times New Roman"/>
          <w:iCs/>
          <w:szCs w:val="24"/>
        </w:rPr>
        <w:br w:type="page"/>
      </w:r>
    </w:p>
    <w:p w14:paraId="61E17637" w14:textId="2C7A3BC2" w:rsidR="002E4A7E" w:rsidRPr="00074165" w:rsidRDefault="002E4A7E" w:rsidP="002E4A7E">
      <w:pPr>
        <w:spacing w:after="0" w:line="480" w:lineRule="auto"/>
        <w:ind w:left="720" w:hanging="720"/>
        <w:jc w:val="center"/>
        <w:rPr>
          <w:rFonts w:cs="Times New Roman"/>
          <w:iCs/>
          <w:szCs w:val="24"/>
        </w:rPr>
      </w:pPr>
      <w:bookmarkStart w:id="19" w:name="_Hlk120365978"/>
      <w:r w:rsidRPr="00074165">
        <w:rPr>
          <w:rFonts w:cs="Times New Roman"/>
          <w:b/>
          <w:bCs/>
          <w:iCs/>
          <w:szCs w:val="24"/>
        </w:rPr>
        <w:lastRenderedPageBreak/>
        <w:t xml:space="preserve">Appendix </w:t>
      </w:r>
      <w:r w:rsidR="003929F6">
        <w:rPr>
          <w:rFonts w:cs="Times New Roman"/>
          <w:b/>
          <w:bCs/>
          <w:iCs/>
          <w:szCs w:val="24"/>
        </w:rPr>
        <w:t>G</w:t>
      </w:r>
      <w:r w:rsidRPr="00074165">
        <w:rPr>
          <w:rFonts w:cs="Times New Roman"/>
          <w:iCs/>
          <w:szCs w:val="24"/>
        </w:rPr>
        <w:t>: Pre-/Post-Intervention Assessment</w:t>
      </w:r>
      <w:bookmarkEnd w:id="19"/>
    </w:p>
    <w:p w14:paraId="2A1AE4EA" w14:textId="77777777" w:rsidR="00024F72" w:rsidRPr="00074165" w:rsidRDefault="00024F72" w:rsidP="00024F72">
      <w:pPr>
        <w:spacing w:after="0" w:line="480" w:lineRule="auto"/>
        <w:rPr>
          <w:rFonts w:eastAsia="Times New Roman"/>
          <w:b/>
          <w:szCs w:val="24"/>
        </w:rPr>
      </w:pPr>
      <w:r w:rsidRPr="00074165">
        <w:rPr>
          <w:rFonts w:eastAsia="Times New Roman"/>
          <w:b/>
          <w:szCs w:val="24"/>
        </w:rPr>
        <w:t>True and False</w:t>
      </w:r>
    </w:p>
    <w:p w14:paraId="64CCC0A5" w14:textId="77777777" w:rsidR="00024F72" w:rsidRPr="00074165" w:rsidRDefault="00024F72" w:rsidP="00024F72">
      <w:pPr>
        <w:spacing w:after="0" w:line="480" w:lineRule="auto"/>
        <w:rPr>
          <w:rFonts w:eastAsia="Times New Roman"/>
          <w:bCs/>
          <w:szCs w:val="24"/>
        </w:rPr>
      </w:pPr>
      <w:r w:rsidRPr="00074165">
        <w:rPr>
          <w:rFonts w:eastAsia="Times New Roman"/>
          <w:b/>
          <w:szCs w:val="24"/>
        </w:rPr>
        <w:t xml:space="preserve">Instructions: </w:t>
      </w:r>
      <w:r w:rsidRPr="00074165">
        <w:rPr>
          <w:rFonts w:eastAsia="Times New Roman"/>
          <w:bCs/>
          <w:szCs w:val="24"/>
        </w:rPr>
        <w:t>Read and evaluate each statement. Circle the correct answer True or False</w:t>
      </w:r>
    </w:p>
    <w:p w14:paraId="1E075967" w14:textId="0F47AD00" w:rsidR="00024F72" w:rsidRPr="00074165" w:rsidRDefault="001B4170" w:rsidP="00024F72">
      <w:pPr>
        <w:numPr>
          <w:ilvl w:val="0"/>
          <w:numId w:val="10"/>
        </w:numPr>
        <w:spacing w:after="0" w:line="480" w:lineRule="auto"/>
        <w:rPr>
          <w:rFonts w:eastAsia="Times New Roman"/>
          <w:bCs/>
          <w:szCs w:val="24"/>
        </w:rPr>
      </w:pPr>
      <w:r w:rsidRPr="00074165">
        <w:rPr>
          <w:rFonts w:eastAsia="Times New Roman"/>
          <w:bCs/>
          <w:szCs w:val="24"/>
        </w:rPr>
        <w:t>Most</w:t>
      </w:r>
      <w:r w:rsidR="00024F72" w:rsidRPr="00074165">
        <w:rPr>
          <w:rFonts w:eastAsia="Times New Roman"/>
          <w:bCs/>
          <w:szCs w:val="24"/>
        </w:rPr>
        <w:t xml:space="preserve"> older adults (those 65 years of age and older) are not sexually active.</w:t>
      </w:r>
    </w:p>
    <w:p w14:paraId="1AFD87A2"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0B4902B5"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The rate of sexually transmitted infections increases each year among older adults.</w:t>
      </w:r>
    </w:p>
    <w:p w14:paraId="0AF99DB8"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252445A8"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Most providers are aware of the need to provide older adults with sexual health education.</w:t>
      </w:r>
    </w:p>
    <w:p w14:paraId="7B90FF24"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0499025D"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Over half of all HIV positive individuals in the U.S. are older adults.</w:t>
      </w:r>
    </w:p>
    <w:p w14:paraId="7CFC6E0B"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7B16880A" w14:textId="6EA5B2FB" w:rsidR="00024F72" w:rsidRPr="00074165" w:rsidRDefault="005C2D12" w:rsidP="00024F72">
      <w:pPr>
        <w:numPr>
          <w:ilvl w:val="0"/>
          <w:numId w:val="10"/>
        </w:numPr>
        <w:spacing w:after="0" w:line="480" w:lineRule="auto"/>
        <w:rPr>
          <w:rFonts w:eastAsia="Times New Roman"/>
          <w:bCs/>
          <w:szCs w:val="24"/>
        </w:rPr>
      </w:pPr>
      <w:r w:rsidRPr="00074165">
        <w:rPr>
          <w:rFonts w:eastAsia="Times New Roman"/>
          <w:bCs/>
          <w:szCs w:val="24"/>
        </w:rPr>
        <w:t>Most</w:t>
      </w:r>
      <w:r w:rsidR="00024F72" w:rsidRPr="00074165">
        <w:rPr>
          <w:rFonts w:eastAsia="Times New Roman"/>
          <w:bCs/>
          <w:szCs w:val="24"/>
        </w:rPr>
        <w:t xml:space="preserve"> older adult </w:t>
      </w:r>
      <w:r w:rsidRPr="00074165">
        <w:rPr>
          <w:rFonts w:eastAsia="Times New Roman"/>
          <w:bCs/>
          <w:szCs w:val="24"/>
        </w:rPr>
        <w:t>males’</w:t>
      </w:r>
      <w:r w:rsidR="00E82441" w:rsidRPr="00074165">
        <w:rPr>
          <w:rFonts w:eastAsia="Times New Roman"/>
          <w:bCs/>
          <w:szCs w:val="24"/>
        </w:rPr>
        <w:t xml:space="preserve"> </w:t>
      </w:r>
      <w:r w:rsidR="00024F72" w:rsidRPr="00074165">
        <w:rPr>
          <w:rFonts w:eastAsia="Times New Roman"/>
          <w:bCs/>
          <w:szCs w:val="24"/>
        </w:rPr>
        <w:t>wear condoms when having sex with a new partner.</w:t>
      </w:r>
    </w:p>
    <w:p w14:paraId="2A6DE524"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54FC5325"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Physiological changes associated with aging can increase older adult risk of contracting a sexually transmitted infection.</w:t>
      </w:r>
    </w:p>
    <w:p w14:paraId="6F0E8DB4"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1C5F1560"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Most patients who contract an STI are asymptomatic.</w:t>
      </w:r>
    </w:p>
    <w:p w14:paraId="06C3B568"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1D130CBB" w14:textId="4A9C329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 xml:space="preserve">Providers are often biased toward </w:t>
      </w:r>
      <w:r w:rsidR="005C2D12" w:rsidRPr="00074165">
        <w:rPr>
          <w:rFonts w:eastAsia="Times New Roman"/>
          <w:bCs/>
          <w:szCs w:val="24"/>
        </w:rPr>
        <w:t>the</w:t>
      </w:r>
      <w:r w:rsidRPr="00074165">
        <w:rPr>
          <w:rFonts w:eastAsia="Times New Roman"/>
          <w:bCs/>
          <w:szCs w:val="24"/>
        </w:rPr>
        <w:t xml:space="preserve"> topic of sexual health in older adults.</w:t>
      </w:r>
    </w:p>
    <w:p w14:paraId="7EDC3361"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60ABFB16"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Sexual health is often not viewed by older adults as being an important issue.</w:t>
      </w:r>
    </w:p>
    <w:p w14:paraId="40CC55BB"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7A01BF7F"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lastRenderedPageBreak/>
        <w:t>Providers should provide regular STI screening in older adults who are sexually active and non-monogamous.</w:t>
      </w:r>
    </w:p>
    <w:p w14:paraId="301C5FCD" w14:textId="77777777" w:rsidR="00024F72" w:rsidRPr="00074165" w:rsidRDefault="00024F72" w:rsidP="00024F72">
      <w:pPr>
        <w:spacing w:after="0" w:line="480" w:lineRule="auto"/>
        <w:ind w:left="720"/>
        <w:rPr>
          <w:rFonts w:eastAsia="Times New Roman"/>
          <w:bCs/>
          <w:szCs w:val="24"/>
        </w:rPr>
      </w:pPr>
      <w:r w:rsidRPr="00074165">
        <w:rPr>
          <w:rFonts w:eastAsia="Times New Roman"/>
          <w:bCs/>
          <w:szCs w:val="24"/>
        </w:rPr>
        <w:t>True*</w:t>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r>
      <w:r w:rsidRPr="00074165">
        <w:rPr>
          <w:rFonts w:eastAsia="Times New Roman"/>
          <w:bCs/>
          <w:szCs w:val="24"/>
        </w:rPr>
        <w:tab/>
        <w:t>False</w:t>
      </w:r>
    </w:p>
    <w:p w14:paraId="4B940E45" w14:textId="77777777" w:rsidR="00024F72" w:rsidRPr="00074165" w:rsidRDefault="00024F72" w:rsidP="00024F72">
      <w:pPr>
        <w:spacing w:after="0" w:line="480" w:lineRule="auto"/>
        <w:rPr>
          <w:rFonts w:eastAsia="Times New Roman"/>
          <w:b/>
          <w:szCs w:val="24"/>
        </w:rPr>
      </w:pPr>
      <w:r w:rsidRPr="00074165">
        <w:rPr>
          <w:rFonts w:eastAsia="Times New Roman"/>
          <w:b/>
          <w:szCs w:val="24"/>
        </w:rPr>
        <w:t>Multiple Choice</w:t>
      </w:r>
    </w:p>
    <w:p w14:paraId="09F43BE5" w14:textId="77777777" w:rsidR="00024F72" w:rsidRPr="00074165" w:rsidRDefault="00024F72" w:rsidP="00024F72">
      <w:pPr>
        <w:spacing w:after="0" w:line="480" w:lineRule="auto"/>
        <w:rPr>
          <w:rFonts w:eastAsia="Times New Roman"/>
          <w:bCs/>
          <w:szCs w:val="24"/>
        </w:rPr>
      </w:pPr>
      <w:r w:rsidRPr="00074165">
        <w:rPr>
          <w:rFonts w:eastAsia="Times New Roman"/>
          <w:b/>
          <w:szCs w:val="24"/>
        </w:rPr>
        <w:t xml:space="preserve">Instructions: </w:t>
      </w:r>
      <w:r w:rsidRPr="00074165">
        <w:rPr>
          <w:rFonts w:eastAsia="Times New Roman"/>
          <w:bCs/>
          <w:szCs w:val="24"/>
        </w:rPr>
        <w:t>Review each statement/question and circle the correct answer.</w:t>
      </w:r>
    </w:p>
    <w:p w14:paraId="79AA76F6"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Among older adults, ___ report remaining sexually active.</w:t>
      </w:r>
    </w:p>
    <w:p w14:paraId="1BA2B31B" w14:textId="77777777" w:rsidR="00024F72" w:rsidRPr="00074165" w:rsidRDefault="00024F72" w:rsidP="00024F72">
      <w:pPr>
        <w:numPr>
          <w:ilvl w:val="0"/>
          <w:numId w:val="11"/>
        </w:numPr>
        <w:spacing w:after="0" w:line="480" w:lineRule="auto"/>
        <w:rPr>
          <w:rFonts w:eastAsia="Times New Roman"/>
          <w:bCs/>
          <w:szCs w:val="24"/>
        </w:rPr>
      </w:pPr>
      <w:r w:rsidRPr="00074165">
        <w:rPr>
          <w:rFonts w:eastAsia="Times New Roman"/>
          <w:bCs/>
          <w:szCs w:val="24"/>
        </w:rPr>
        <w:t>26%</w:t>
      </w:r>
    </w:p>
    <w:p w14:paraId="4BBDD079" w14:textId="77777777" w:rsidR="00024F72" w:rsidRPr="00074165" w:rsidRDefault="00024F72" w:rsidP="00024F72">
      <w:pPr>
        <w:numPr>
          <w:ilvl w:val="0"/>
          <w:numId w:val="11"/>
        </w:numPr>
        <w:spacing w:after="0" w:line="480" w:lineRule="auto"/>
        <w:rPr>
          <w:rFonts w:eastAsia="Times New Roman"/>
          <w:bCs/>
          <w:szCs w:val="24"/>
        </w:rPr>
      </w:pPr>
      <w:r w:rsidRPr="00074165">
        <w:rPr>
          <w:rFonts w:eastAsia="Times New Roman"/>
          <w:bCs/>
          <w:szCs w:val="24"/>
        </w:rPr>
        <w:t>43%</w:t>
      </w:r>
    </w:p>
    <w:p w14:paraId="4BF39E9A" w14:textId="77777777" w:rsidR="00024F72" w:rsidRPr="00074165" w:rsidRDefault="00024F72" w:rsidP="00024F72">
      <w:pPr>
        <w:numPr>
          <w:ilvl w:val="0"/>
          <w:numId w:val="11"/>
        </w:numPr>
        <w:spacing w:after="0" w:line="480" w:lineRule="auto"/>
        <w:rPr>
          <w:rFonts w:eastAsia="Times New Roman"/>
          <w:bCs/>
          <w:szCs w:val="24"/>
        </w:rPr>
      </w:pPr>
      <w:r w:rsidRPr="00074165">
        <w:rPr>
          <w:rFonts w:eastAsia="Times New Roman"/>
          <w:bCs/>
          <w:szCs w:val="24"/>
        </w:rPr>
        <w:t>66%*</w:t>
      </w:r>
    </w:p>
    <w:p w14:paraId="5C186252" w14:textId="77777777" w:rsidR="00024F72" w:rsidRPr="00074165" w:rsidRDefault="00024F72" w:rsidP="00024F72">
      <w:pPr>
        <w:numPr>
          <w:ilvl w:val="0"/>
          <w:numId w:val="11"/>
        </w:numPr>
        <w:spacing w:after="0" w:line="480" w:lineRule="auto"/>
        <w:rPr>
          <w:rFonts w:eastAsia="Times New Roman"/>
          <w:bCs/>
          <w:szCs w:val="24"/>
        </w:rPr>
      </w:pPr>
      <w:r w:rsidRPr="00074165">
        <w:rPr>
          <w:rFonts w:eastAsia="Times New Roman"/>
          <w:bCs/>
          <w:szCs w:val="24"/>
        </w:rPr>
        <w:t>81%</w:t>
      </w:r>
    </w:p>
    <w:p w14:paraId="2E80BE9B"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Approximately what percentage of adults over the age of 80 report being sexually active?</w:t>
      </w:r>
    </w:p>
    <w:p w14:paraId="1C1CF97B" w14:textId="77777777" w:rsidR="00024F72" w:rsidRPr="00074165" w:rsidRDefault="00024F72" w:rsidP="00024F72">
      <w:pPr>
        <w:numPr>
          <w:ilvl w:val="0"/>
          <w:numId w:val="12"/>
        </w:numPr>
        <w:spacing w:after="0" w:line="480" w:lineRule="auto"/>
        <w:rPr>
          <w:rFonts w:eastAsia="Times New Roman"/>
          <w:bCs/>
          <w:szCs w:val="24"/>
        </w:rPr>
      </w:pPr>
      <w:r w:rsidRPr="00074165">
        <w:rPr>
          <w:rFonts w:eastAsia="Times New Roman"/>
          <w:bCs/>
          <w:szCs w:val="24"/>
        </w:rPr>
        <w:t>15%</w:t>
      </w:r>
    </w:p>
    <w:p w14:paraId="1E9BADDD" w14:textId="77777777" w:rsidR="00024F72" w:rsidRPr="00074165" w:rsidRDefault="00024F72" w:rsidP="00024F72">
      <w:pPr>
        <w:numPr>
          <w:ilvl w:val="0"/>
          <w:numId w:val="12"/>
        </w:numPr>
        <w:spacing w:after="0" w:line="480" w:lineRule="auto"/>
        <w:rPr>
          <w:rFonts w:eastAsia="Times New Roman"/>
          <w:bCs/>
          <w:szCs w:val="24"/>
        </w:rPr>
      </w:pPr>
      <w:r w:rsidRPr="00074165">
        <w:rPr>
          <w:rFonts w:eastAsia="Times New Roman"/>
          <w:bCs/>
          <w:szCs w:val="24"/>
        </w:rPr>
        <w:t>30%*</w:t>
      </w:r>
    </w:p>
    <w:p w14:paraId="5569CA61" w14:textId="77777777" w:rsidR="00024F72" w:rsidRPr="00074165" w:rsidRDefault="00024F72" w:rsidP="00024F72">
      <w:pPr>
        <w:numPr>
          <w:ilvl w:val="0"/>
          <w:numId w:val="12"/>
        </w:numPr>
        <w:spacing w:after="0" w:line="480" w:lineRule="auto"/>
        <w:rPr>
          <w:rFonts w:eastAsia="Times New Roman"/>
          <w:bCs/>
          <w:szCs w:val="24"/>
        </w:rPr>
      </w:pPr>
      <w:r w:rsidRPr="00074165">
        <w:rPr>
          <w:rFonts w:eastAsia="Times New Roman"/>
          <w:bCs/>
          <w:szCs w:val="24"/>
        </w:rPr>
        <w:t>45%</w:t>
      </w:r>
    </w:p>
    <w:p w14:paraId="5685D5EF" w14:textId="77777777" w:rsidR="00024F72" w:rsidRPr="00074165" w:rsidRDefault="00024F72" w:rsidP="00024F72">
      <w:pPr>
        <w:numPr>
          <w:ilvl w:val="0"/>
          <w:numId w:val="12"/>
        </w:numPr>
        <w:spacing w:after="0" w:line="480" w:lineRule="auto"/>
        <w:rPr>
          <w:rFonts w:eastAsia="Times New Roman"/>
          <w:bCs/>
          <w:szCs w:val="24"/>
        </w:rPr>
      </w:pPr>
      <w:r w:rsidRPr="00074165">
        <w:rPr>
          <w:rFonts w:eastAsia="Times New Roman"/>
          <w:bCs/>
          <w:szCs w:val="24"/>
        </w:rPr>
        <w:t>60%</w:t>
      </w:r>
    </w:p>
    <w:p w14:paraId="676D24D6"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In the U.S. today there are 1.25 million HIV positive individuals. Among these, what percentage are older adults?</w:t>
      </w:r>
    </w:p>
    <w:p w14:paraId="612B1EF9" w14:textId="77777777" w:rsidR="00024F72" w:rsidRPr="00074165" w:rsidRDefault="00024F72" w:rsidP="00024F72">
      <w:pPr>
        <w:numPr>
          <w:ilvl w:val="0"/>
          <w:numId w:val="13"/>
        </w:numPr>
        <w:spacing w:after="0" w:line="480" w:lineRule="auto"/>
        <w:rPr>
          <w:rFonts w:eastAsia="Times New Roman"/>
          <w:bCs/>
          <w:szCs w:val="24"/>
        </w:rPr>
      </w:pPr>
      <w:r w:rsidRPr="00074165">
        <w:rPr>
          <w:rFonts w:eastAsia="Times New Roman"/>
          <w:bCs/>
          <w:szCs w:val="24"/>
        </w:rPr>
        <w:t>10%</w:t>
      </w:r>
    </w:p>
    <w:p w14:paraId="4E50329D" w14:textId="77777777" w:rsidR="00024F72" w:rsidRPr="00074165" w:rsidRDefault="00024F72" w:rsidP="00024F72">
      <w:pPr>
        <w:numPr>
          <w:ilvl w:val="0"/>
          <w:numId w:val="13"/>
        </w:numPr>
        <w:spacing w:after="0" w:line="480" w:lineRule="auto"/>
        <w:rPr>
          <w:rFonts w:eastAsia="Times New Roman"/>
          <w:bCs/>
          <w:szCs w:val="24"/>
        </w:rPr>
      </w:pPr>
      <w:r w:rsidRPr="00074165">
        <w:rPr>
          <w:rFonts w:eastAsia="Times New Roman"/>
          <w:bCs/>
          <w:szCs w:val="24"/>
        </w:rPr>
        <w:t>30%</w:t>
      </w:r>
    </w:p>
    <w:p w14:paraId="75B28A0C" w14:textId="77777777" w:rsidR="00024F72" w:rsidRPr="00074165" w:rsidRDefault="00024F72" w:rsidP="00024F72">
      <w:pPr>
        <w:numPr>
          <w:ilvl w:val="0"/>
          <w:numId w:val="13"/>
        </w:numPr>
        <w:spacing w:after="0" w:line="480" w:lineRule="auto"/>
        <w:rPr>
          <w:rFonts w:eastAsia="Times New Roman"/>
          <w:bCs/>
          <w:szCs w:val="24"/>
        </w:rPr>
      </w:pPr>
      <w:r w:rsidRPr="00074165">
        <w:rPr>
          <w:rFonts w:eastAsia="Times New Roman"/>
          <w:bCs/>
          <w:szCs w:val="24"/>
        </w:rPr>
        <w:t>50%</w:t>
      </w:r>
    </w:p>
    <w:p w14:paraId="5D66E678" w14:textId="77777777" w:rsidR="00024F72" w:rsidRPr="00074165" w:rsidRDefault="00024F72" w:rsidP="00024F72">
      <w:pPr>
        <w:numPr>
          <w:ilvl w:val="0"/>
          <w:numId w:val="13"/>
        </w:numPr>
        <w:spacing w:after="0" w:line="480" w:lineRule="auto"/>
        <w:rPr>
          <w:rFonts w:eastAsia="Times New Roman"/>
          <w:bCs/>
          <w:szCs w:val="24"/>
        </w:rPr>
      </w:pPr>
      <w:r w:rsidRPr="00074165">
        <w:rPr>
          <w:rFonts w:eastAsia="Times New Roman"/>
          <w:bCs/>
          <w:szCs w:val="24"/>
        </w:rPr>
        <w:t>70%*</w:t>
      </w:r>
    </w:p>
    <w:p w14:paraId="4FA46A07"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Estimates indicate that as many as ___ of individuals with HIV are undiagnosed.</w:t>
      </w:r>
    </w:p>
    <w:p w14:paraId="71845F9D" w14:textId="77777777" w:rsidR="00024F72" w:rsidRPr="00074165" w:rsidRDefault="00024F72" w:rsidP="00024F72">
      <w:pPr>
        <w:numPr>
          <w:ilvl w:val="0"/>
          <w:numId w:val="14"/>
        </w:numPr>
        <w:spacing w:after="0" w:line="480" w:lineRule="auto"/>
        <w:rPr>
          <w:rFonts w:eastAsia="Times New Roman"/>
          <w:bCs/>
          <w:szCs w:val="24"/>
        </w:rPr>
      </w:pPr>
      <w:r w:rsidRPr="00074165">
        <w:rPr>
          <w:rFonts w:eastAsia="Times New Roman"/>
          <w:bCs/>
          <w:szCs w:val="24"/>
        </w:rPr>
        <w:t>6%*</w:t>
      </w:r>
    </w:p>
    <w:p w14:paraId="7E54F867" w14:textId="77777777" w:rsidR="00024F72" w:rsidRPr="00074165" w:rsidRDefault="00024F72" w:rsidP="00024F72">
      <w:pPr>
        <w:numPr>
          <w:ilvl w:val="0"/>
          <w:numId w:val="14"/>
        </w:numPr>
        <w:spacing w:after="0" w:line="480" w:lineRule="auto"/>
        <w:rPr>
          <w:rFonts w:eastAsia="Times New Roman"/>
          <w:bCs/>
          <w:szCs w:val="24"/>
        </w:rPr>
      </w:pPr>
      <w:r w:rsidRPr="00074165">
        <w:rPr>
          <w:rFonts w:eastAsia="Times New Roman"/>
          <w:bCs/>
          <w:szCs w:val="24"/>
        </w:rPr>
        <w:lastRenderedPageBreak/>
        <w:t>12%</w:t>
      </w:r>
    </w:p>
    <w:p w14:paraId="1CCA76B0" w14:textId="77777777" w:rsidR="00024F72" w:rsidRPr="00074165" w:rsidRDefault="00024F72" w:rsidP="00024F72">
      <w:pPr>
        <w:numPr>
          <w:ilvl w:val="0"/>
          <w:numId w:val="14"/>
        </w:numPr>
        <w:spacing w:after="0" w:line="480" w:lineRule="auto"/>
        <w:rPr>
          <w:rFonts w:eastAsia="Times New Roman"/>
          <w:bCs/>
          <w:szCs w:val="24"/>
        </w:rPr>
      </w:pPr>
      <w:r w:rsidRPr="00074165">
        <w:rPr>
          <w:rFonts w:eastAsia="Times New Roman"/>
          <w:bCs/>
          <w:szCs w:val="24"/>
        </w:rPr>
        <w:t>21%</w:t>
      </w:r>
    </w:p>
    <w:p w14:paraId="1E380DBD" w14:textId="77777777" w:rsidR="00024F72" w:rsidRPr="00074165" w:rsidRDefault="00024F72" w:rsidP="00024F72">
      <w:pPr>
        <w:numPr>
          <w:ilvl w:val="0"/>
          <w:numId w:val="14"/>
        </w:numPr>
        <w:spacing w:after="0" w:line="480" w:lineRule="auto"/>
        <w:rPr>
          <w:rFonts w:eastAsia="Times New Roman"/>
          <w:bCs/>
          <w:szCs w:val="24"/>
        </w:rPr>
      </w:pPr>
      <w:r w:rsidRPr="00074165">
        <w:rPr>
          <w:rFonts w:eastAsia="Times New Roman"/>
          <w:bCs/>
          <w:szCs w:val="24"/>
        </w:rPr>
        <w:t>32%</w:t>
      </w:r>
    </w:p>
    <w:p w14:paraId="6773D04B"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What actions should providers take to improve sexual health in older adults? (Circle all that apply).</w:t>
      </w:r>
    </w:p>
    <w:p w14:paraId="610AB5C5" w14:textId="023A5CB1" w:rsidR="00024F72" w:rsidRPr="00074165" w:rsidRDefault="00024F72" w:rsidP="00024F72">
      <w:pPr>
        <w:numPr>
          <w:ilvl w:val="0"/>
          <w:numId w:val="15"/>
        </w:numPr>
        <w:spacing w:after="0" w:line="480" w:lineRule="auto"/>
        <w:rPr>
          <w:rFonts w:eastAsia="Times New Roman"/>
          <w:bCs/>
          <w:szCs w:val="24"/>
        </w:rPr>
      </w:pPr>
      <w:r w:rsidRPr="00074165">
        <w:rPr>
          <w:rFonts w:eastAsia="Times New Roman"/>
          <w:bCs/>
          <w:szCs w:val="24"/>
        </w:rPr>
        <w:t xml:space="preserve">Educate themselves to reduce bias and </w:t>
      </w:r>
      <w:r w:rsidR="004C75DE" w:rsidRPr="00074165">
        <w:rPr>
          <w:rFonts w:eastAsia="Times New Roman"/>
          <w:bCs/>
          <w:szCs w:val="24"/>
        </w:rPr>
        <w:t>stereotypes. *</w:t>
      </w:r>
    </w:p>
    <w:p w14:paraId="72EC2F50" w14:textId="2627F816" w:rsidR="00024F72" w:rsidRPr="00074165" w:rsidRDefault="00024F72" w:rsidP="00024F72">
      <w:pPr>
        <w:numPr>
          <w:ilvl w:val="0"/>
          <w:numId w:val="15"/>
        </w:numPr>
        <w:spacing w:after="0" w:line="480" w:lineRule="auto"/>
        <w:rPr>
          <w:rFonts w:eastAsia="Times New Roman"/>
          <w:bCs/>
          <w:szCs w:val="24"/>
        </w:rPr>
      </w:pPr>
      <w:r w:rsidRPr="00074165">
        <w:rPr>
          <w:rFonts w:eastAsia="Times New Roman"/>
          <w:bCs/>
          <w:szCs w:val="24"/>
        </w:rPr>
        <w:t xml:space="preserve">Educate other providers about the </w:t>
      </w:r>
      <w:r w:rsidR="004C75DE" w:rsidRPr="00074165">
        <w:rPr>
          <w:rFonts w:eastAsia="Times New Roman"/>
          <w:bCs/>
          <w:szCs w:val="24"/>
        </w:rPr>
        <w:t>topic. *</w:t>
      </w:r>
    </w:p>
    <w:p w14:paraId="69E00DB7" w14:textId="77777777" w:rsidR="00024F72" w:rsidRPr="00074165" w:rsidRDefault="00024F72" w:rsidP="00024F72">
      <w:pPr>
        <w:numPr>
          <w:ilvl w:val="0"/>
          <w:numId w:val="15"/>
        </w:numPr>
        <w:spacing w:after="0" w:line="480" w:lineRule="auto"/>
        <w:rPr>
          <w:rFonts w:eastAsia="Times New Roman"/>
          <w:bCs/>
          <w:szCs w:val="24"/>
        </w:rPr>
      </w:pPr>
      <w:r w:rsidRPr="00074165">
        <w:rPr>
          <w:rFonts w:eastAsia="Times New Roman"/>
          <w:bCs/>
          <w:szCs w:val="24"/>
        </w:rPr>
        <w:t>Educate the community about the topic*</w:t>
      </w:r>
    </w:p>
    <w:p w14:paraId="537B16D9" w14:textId="77777777" w:rsidR="00024F72" w:rsidRPr="00074165" w:rsidRDefault="00024F72" w:rsidP="00024F72">
      <w:pPr>
        <w:numPr>
          <w:ilvl w:val="0"/>
          <w:numId w:val="15"/>
        </w:numPr>
        <w:spacing w:after="0" w:line="480" w:lineRule="auto"/>
        <w:rPr>
          <w:rFonts w:eastAsia="Times New Roman"/>
          <w:bCs/>
          <w:szCs w:val="24"/>
        </w:rPr>
      </w:pPr>
      <w:r w:rsidRPr="00074165">
        <w:rPr>
          <w:rFonts w:eastAsia="Times New Roman"/>
          <w:bCs/>
          <w:szCs w:val="24"/>
        </w:rPr>
        <w:t>Refer the patient to a sexual health specialist.</w:t>
      </w:r>
    </w:p>
    <w:p w14:paraId="342855DB"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Older adult women may be at higher risk for contracting an STI due to which of the following? (Circle all that apply).</w:t>
      </w:r>
    </w:p>
    <w:p w14:paraId="0A726FEE" w14:textId="77777777" w:rsidR="00024F72" w:rsidRPr="00074165" w:rsidRDefault="00024F72" w:rsidP="00024F72">
      <w:pPr>
        <w:numPr>
          <w:ilvl w:val="0"/>
          <w:numId w:val="16"/>
        </w:numPr>
        <w:spacing w:after="0" w:line="480" w:lineRule="auto"/>
        <w:rPr>
          <w:rFonts w:eastAsia="Times New Roman"/>
          <w:bCs/>
          <w:szCs w:val="24"/>
        </w:rPr>
      </w:pPr>
      <w:r w:rsidRPr="00074165">
        <w:rPr>
          <w:rFonts w:eastAsia="Times New Roman"/>
          <w:bCs/>
          <w:szCs w:val="24"/>
        </w:rPr>
        <w:t>Decreased sex drive.</w:t>
      </w:r>
    </w:p>
    <w:p w14:paraId="633CA7DE" w14:textId="283CE00D" w:rsidR="00024F72" w:rsidRPr="00074165" w:rsidRDefault="00024F72" w:rsidP="00024F72">
      <w:pPr>
        <w:numPr>
          <w:ilvl w:val="0"/>
          <w:numId w:val="16"/>
        </w:numPr>
        <w:spacing w:after="0" w:line="480" w:lineRule="auto"/>
        <w:rPr>
          <w:rFonts w:eastAsia="Times New Roman"/>
          <w:bCs/>
          <w:szCs w:val="24"/>
        </w:rPr>
      </w:pPr>
      <w:r w:rsidRPr="00074165">
        <w:rPr>
          <w:rFonts w:eastAsia="Times New Roman"/>
          <w:bCs/>
          <w:szCs w:val="24"/>
        </w:rPr>
        <w:t xml:space="preserve">Compromised immune system as a result of </w:t>
      </w:r>
      <w:r w:rsidR="004C75DE" w:rsidRPr="00074165">
        <w:rPr>
          <w:rFonts w:eastAsia="Times New Roman"/>
          <w:bCs/>
          <w:szCs w:val="24"/>
        </w:rPr>
        <w:t>aging. *</w:t>
      </w:r>
    </w:p>
    <w:p w14:paraId="2900E882" w14:textId="48867AA3" w:rsidR="00024F72" w:rsidRPr="00074165" w:rsidRDefault="00024F72" w:rsidP="00024F72">
      <w:pPr>
        <w:numPr>
          <w:ilvl w:val="0"/>
          <w:numId w:val="16"/>
        </w:numPr>
        <w:spacing w:after="0" w:line="480" w:lineRule="auto"/>
        <w:rPr>
          <w:rFonts w:eastAsia="Times New Roman"/>
          <w:bCs/>
          <w:szCs w:val="24"/>
        </w:rPr>
      </w:pPr>
      <w:r w:rsidRPr="00074165">
        <w:rPr>
          <w:rFonts w:eastAsia="Times New Roman"/>
          <w:bCs/>
          <w:szCs w:val="24"/>
        </w:rPr>
        <w:t xml:space="preserve">Vaginal changes due to </w:t>
      </w:r>
      <w:r w:rsidR="004C75DE" w:rsidRPr="00074165">
        <w:rPr>
          <w:rFonts w:eastAsia="Times New Roman"/>
          <w:bCs/>
          <w:szCs w:val="24"/>
        </w:rPr>
        <w:t>menopause. *</w:t>
      </w:r>
    </w:p>
    <w:p w14:paraId="22E49C8B" w14:textId="77777777" w:rsidR="00024F72" w:rsidRPr="00074165" w:rsidRDefault="00024F72" w:rsidP="00024F72">
      <w:pPr>
        <w:numPr>
          <w:ilvl w:val="0"/>
          <w:numId w:val="16"/>
        </w:numPr>
        <w:spacing w:after="0" w:line="480" w:lineRule="auto"/>
        <w:rPr>
          <w:rFonts w:eastAsia="Times New Roman"/>
          <w:bCs/>
          <w:szCs w:val="24"/>
        </w:rPr>
      </w:pPr>
      <w:r w:rsidRPr="00074165">
        <w:rPr>
          <w:rFonts w:eastAsia="Times New Roman"/>
          <w:bCs/>
          <w:szCs w:val="24"/>
        </w:rPr>
        <w:t>A decline in estrogen.</w:t>
      </w:r>
    </w:p>
    <w:p w14:paraId="375647C1" w14:textId="3FBD2068"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 xml:space="preserve">What common symptoms are likely to be present when a patient </w:t>
      </w:r>
      <w:r w:rsidR="004C75DE" w:rsidRPr="00074165">
        <w:rPr>
          <w:rFonts w:eastAsia="Times New Roman"/>
          <w:bCs/>
          <w:szCs w:val="24"/>
        </w:rPr>
        <w:t>contract</w:t>
      </w:r>
      <w:r w:rsidRPr="00074165">
        <w:rPr>
          <w:rFonts w:eastAsia="Times New Roman"/>
          <w:bCs/>
          <w:szCs w:val="24"/>
        </w:rPr>
        <w:t xml:space="preserve"> an STI? (Circle all that apply).</w:t>
      </w:r>
    </w:p>
    <w:p w14:paraId="040B86FE" w14:textId="330CB049" w:rsidR="00024F72" w:rsidRPr="00074165" w:rsidRDefault="00024F72" w:rsidP="00024F72">
      <w:pPr>
        <w:numPr>
          <w:ilvl w:val="0"/>
          <w:numId w:val="17"/>
        </w:numPr>
        <w:spacing w:after="0" w:line="480" w:lineRule="auto"/>
        <w:rPr>
          <w:rFonts w:eastAsia="Times New Roman"/>
          <w:bCs/>
          <w:szCs w:val="24"/>
        </w:rPr>
      </w:pPr>
      <w:r w:rsidRPr="00074165">
        <w:rPr>
          <w:rFonts w:eastAsia="Times New Roman"/>
          <w:bCs/>
          <w:szCs w:val="24"/>
        </w:rPr>
        <w:t xml:space="preserve">Urinary urgency and </w:t>
      </w:r>
      <w:r w:rsidR="004C75DE" w:rsidRPr="00074165">
        <w:rPr>
          <w:rFonts w:eastAsia="Times New Roman"/>
          <w:bCs/>
          <w:szCs w:val="24"/>
        </w:rPr>
        <w:t>pain. *</w:t>
      </w:r>
    </w:p>
    <w:p w14:paraId="49466383" w14:textId="77777777" w:rsidR="00024F72" w:rsidRPr="00074165" w:rsidRDefault="00024F72" w:rsidP="00024F72">
      <w:pPr>
        <w:numPr>
          <w:ilvl w:val="0"/>
          <w:numId w:val="17"/>
        </w:numPr>
        <w:spacing w:after="0" w:line="480" w:lineRule="auto"/>
        <w:rPr>
          <w:rFonts w:eastAsia="Times New Roman"/>
          <w:bCs/>
          <w:szCs w:val="24"/>
        </w:rPr>
      </w:pPr>
      <w:r w:rsidRPr="00074165">
        <w:rPr>
          <w:rFonts w:eastAsia="Times New Roman"/>
          <w:bCs/>
          <w:szCs w:val="24"/>
        </w:rPr>
        <w:t>Nausea and vomiting.</w:t>
      </w:r>
    </w:p>
    <w:p w14:paraId="2C647CFF" w14:textId="6020ACF0" w:rsidR="00024F72" w:rsidRPr="00074165" w:rsidRDefault="00024F72" w:rsidP="00024F72">
      <w:pPr>
        <w:numPr>
          <w:ilvl w:val="0"/>
          <w:numId w:val="17"/>
        </w:numPr>
        <w:spacing w:after="0" w:line="480" w:lineRule="auto"/>
        <w:rPr>
          <w:rFonts w:eastAsia="Times New Roman"/>
          <w:bCs/>
          <w:szCs w:val="24"/>
        </w:rPr>
      </w:pPr>
      <w:r w:rsidRPr="00074165">
        <w:rPr>
          <w:rFonts w:eastAsia="Times New Roman"/>
          <w:bCs/>
          <w:szCs w:val="24"/>
        </w:rPr>
        <w:t xml:space="preserve">Itching and/or </w:t>
      </w:r>
      <w:r w:rsidR="004C75DE" w:rsidRPr="00074165">
        <w:rPr>
          <w:rFonts w:eastAsia="Times New Roman"/>
          <w:bCs/>
          <w:szCs w:val="24"/>
        </w:rPr>
        <w:t>rash. *</w:t>
      </w:r>
    </w:p>
    <w:p w14:paraId="261C0566" w14:textId="328C9E8D" w:rsidR="00024F72" w:rsidRPr="00074165" w:rsidRDefault="00024F72" w:rsidP="00024F72">
      <w:pPr>
        <w:numPr>
          <w:ilvl w:val="0"/>
          <w:numId w:val="17"/>
        </w:numPr>
        <w:spacing w:after="0" w:line="480" w:lineRule="auto"/>
        <w:rPr>
          <w:rFonts w:eastAsia="Times New Roman"/>
          <w:bCs/>
          <w:szCs w:val="24"/>
        </w:rPr>
      </w:pPr>
      <w:r w:rsidRPr="00074165">
        <w:rPr>
          <w:rFonts w:eastAsia="Times New Roman"/>
          <w:bCs/>
          <w:szCs w:val="24"/>
        </w:rPr>
        <w:t xml:space="preserve">Fever and sore </w:t>
      </w:r>
      <w:r w:rsidR="004C75DE" w:rsidRPr="00074165">
        <w:rPr>
          <w:rFonts w:eastAsia="Times New Roman"/>
          <w:bCs/>
          <w:szCs w:val="24"/>
        </w:rPr>
        <w:t>throat. *</w:t>
      </w:r>
    </w:p>
    <w:p w14:paraId="1C07EDD4"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What percentage of new HIV infections occur in older adults each year?</w:t>
      </w:r>
    </w:p>
    <w:p w14:paraId="773B9456" w14:textId="77777777" w:rsidR="00024F72" w:rsidRPr="00074165" w:rsidRDefault="00024F72" w:rsidP="00024F72">
      <w:pPr>
        <w:numPr>
          <w:ilvl w:val="0"/>
          <w:numId w:val="18"/>
        </w:numPr>
        <w:spacing w:after="0" w:line="480" w:lineRule="auto"/>
        <w:rPr>
          <w:rFonts w:eastAsia="Times New Roman"/>
          <w:bCs/>
          <w:szCs w:val="24"/>
        </w:rPr>
      </w:pPr>
      <w:r w:rsidRPr="00074165">
        <w:rPr>
          <w:rFonts w:eastAsia="Times New Roman"/>
          <w:bCs/>
          <w:szCs w:val="24"/>
        </w:rPr>
        <w:t>8%</w:t>
      </w:r>
    </w:p>
    <w:p w14:paraId="43B69B88" w14:textId="77777777" w:rsidR="00024F72" w:rsidRPr="00074165" w:rsidRDefault="00024F72" w:rsidP="00024F72">
      <w:pPr>
        <w:numPr>
          <w:ilvl w:val="0"/>
          <w:numId w:val="18"/>
        </w:numPr>
        <w:spacing w:after="0" w:line="480" w:lineRule="auto"/>
        <w:rPr>
          <w:rFonts w:eastAsia="Times New Roman"/>
          <w:bCs/>
          <w:szCs w:val="24"/>
        </w:rPr>
      </w:pPr>
      <w:r w:rsidRPr="00074165">
        <w:rPr>
          <w:rFonts w:eastAsia="Times New Roman"/>
          <w:bCs/>
          <w:szCs w:val="24"/>
        </w:rPr>
        <w:lastRenderedPageBreak/>
        <w:t>17%*</w:t>
      </w:r>
    </w:p>
    <w:p w14:paraId="4F7986A6" w14:textId="77777777" w:rsidR="00024F72" w:rsidRPr="00074165" w:rsidRDefault="00024F72" w:rsidP="00024F72">
      <w:pPr>
        <w:numPr>
          <w:ilvl w:val="0"/>
          <w:numId w:val="18"/>
        </w:numPr>
        <w:spacing w:after="0" w:line="480" w:lineRule="auto"/>
        <w:rPr>
          <w:rFonts w:eastAsia="Times New Roman"/>
          <w:bCs/>
          <w:szCs w:val="24"/>
        </w:rPr>
      </w:pPr>
      <w:r w:rsidRPr="00074165">
        <w:rPr>
          <w:rFonts w:eastAsia="Times New Roman"/>
          <w:bCs/>
          <w:szCs w:val="24"/>
        </w:rPr>
        <w:t>23%</w:t>
      </w:r>
    </w:p>
    <w:p w14:paraId="042F6AC5" w14:textId="77777777" w:rsidR="00024F72" w:rsidRPr="00074165" w:rsidRDefault="00024F72" w:rsidP="00024F72">
      <w:pPr>
        <w:numPr>
          <w:ilvl w:val="0"/>
          <w:numId w:val="18"/>
        </w:numPr>
        <w:spacing w:after="0" w:line="480" w:lineRule="auto"/>
        <w:rPr>
          <w:rFonts w:eastAsia="Times New Roman"/>
          <w:bCs/>
          <w:szCs w:val="24"/>
        </w:rPr>
      </w:pPr>
      <w:r w:rsidRPr="00074165">
        <w:rPr>
          <w:rFonts w:eastAsia="Times New Roman"/>
          <w:bCs/>
          <w:szCs w:val="24"/>
        </w:rPr>
        <w:t>29%</w:t>
      </w:r>
    </w:p>
    <w:p w14:paraId="2A1FC097"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Older adults are the ______ largest group in the population to contract an STI.</w:t>
      </w:r>
    </w:p>
    <w:p w14:paraId="1F2C1D1A" w14:textId="77777777" w:rsidR="00024F72" w:rsidRPr="00074165" w:rsidRDefault="00024F72" w:rsidP="00024F72">
      <w:pPr>
        <w:numPr>
          <w:ilvl w:val="0"/>
          <w:numId w:val="19"/>
        </w:numPr>
        <w:spacing w:after="0" w:line="480" w:lineRule="auto"/>
        <w:rPr>
          <w:rFonts w:eastAsia="Times New Roman"/>
          <w:bCs/>
          <w:szCs w:val="24"/>
        </w:rPr>
      </w:pPr>
      <w:r w:rsidRPr="00074165">
        <w:rPr>
          <w:rFonts w:eastAsia="Times New Roman"/>
          <w:bCs/>
          <w:szCs w:val="24"/>
        </w:rPr>
        <w:t>First</w:t>
      </w:r>
    </w:p>
    <w:p w14:paraId="7A65236B" w14:textId="77777777" w:rsidR="00024F72" w:rsidRPr="00074165" w:rsidRDefault="00024F72" w:rsidP="00024F72">
      <w:pPr>
        <w:numPr>
          <w:ilvl w:val="0"/>
          <w:numId w:val="19"/>
        </w:numPr>
        <w:spacing w:after="0" w:line="480" w:lineRule="auto"/>
        <w:rPr>
          <w:rFonts w:eastAsia="Times New Roman"/>
          <w:bCs/>
          <w:szCs w:val="24"/>
        </w:rPr>
      </w:pPr>
      <w:r w:rsidRPr="00074165">
        <w:rPr>
          <w:rFonts w:eastAsia="Times New Roman"/>
          <w:bCs/>
          <w:szCs w:val="24"/>
        </w:rPr>
        <w:t>Second*</w:t>
      </w:r>
    </w:p>
    <w:p w14:paraId="150CA9D3" w14:textId="77777777" w:rsidR="00024F72" w:rsidRPr="00074165" w:rsidRDefault="00024F72" w:rsidP="00024F72">
      <w:pPr>
        <w:numPr>
          <w:ilvl w:val="0"/>
          <w:numId w:val="19"/>
        </w:numPr>
        <w:spacing w:after="0" w:line="480" w:lineRule="auto"/>
        <w:rPr>
          <w:rFonts w:eastAsia="Times New Roman"/>
          <w:bCs/>
          <w:szCs w:val="24"/>
        </w:rPr>
      </w:pPr>
      <w:r w:rsidRPr="00074165">
        <w:rPr>
          <w:rFonts w:eastAsia="Times New Roman"/>
          <w:bCs/>
          <w:szCs w:val="24"/>
        </w:rPr>
        <w:t>Third</w:t>
      </w:r>
    </w:p>
    <w:p w14:paraId="21DBB123" w14:textId="77777777" w:rsidR="00024F72" w:rsidRPr="00074165" w:rsidRDefault="00024F72" w:rsidP="00024F72">
      <w:pPr>
        <w:numPr>
          <w:ilvl w:val="0"/>
          <w:numId w:val="19"/>
        </w:numPr>
        <w:spacing w:after="0" w:line="480" w:lineRule="auto"/>
        <w:rPr>
          <w:rFonts w:eastAsia="Times New Roman"/>
          <w:bCs/>
          <w:szCs w:val="24"/>
        </w:rPr>
      </w:pPr>
      <w:r w:rsidRPr="00074165">
        <w:rPr>
          <w:rFonts w:eastAsia="Times New Roman"/>
          <w:bCs/>
          <w:szCs w:val="24"/>
        </w:rPr>
        <w:t>Fourth</w:t>
      </w:r>
    </w:p>
    <w:p w14:paraId="04274903" w14:textId="77777777" w:rsidR="00024F72" w:rsidRPr="00074165" w:rsidRDefault="00024F72" w:rsidP="00024F72">
      <w:pPr>
        <w:numPr>
          <w:ilvl w:val="0"/>
          <w:numId w:val="10"/>
        </w:numPr>
        <w:spacing w:after="0" w:line="480" w:lineRule="auto"/>
        <w:rPr>
          <w:rFonts w:eastAsia="Times New Roman"/>
          <w:bCs/>
          <w:szCs w:val="24"/>
        </w:rPr>
      </w:pPr>
      <w:r w:rsidRPr="00074165">
        <w:rPr>
          <w:rFonts w:eastAsia="Times New Roman"/>
          <w:bCs/>
          <w:szCs w:val="24"/>
        </w:rPr>
        <w:t>Between 2015 and 2016, STI infection rates increased by _____ for older adults.</w:t>
      </w:r>
    </w:p>
    <w:p w14:paraId="72289B87" w14:textId="77777777" w:rsidR="00024F72" w:rsidRPr="00074165" w:rsidRDefault="00024F72" w:rsidP="00024F72">
      <w:pPr>
        <w:numPr>
          <w:ilvl w:val="0"/>
          <w:numId w:val="20"/>
        </w:numPr>
        <w:spacing w:after="0" w:line="480" w:lineRule="auto"/>
        <w:rPr>
          <w:rFonts w:eastAsia="Times New Roman"/>
          <w:bCs/>
          <w:szCs w:val="24"/>
        </w:rPr>
      </w:pPr>
      <w:r w:rsidRPr="00074165">
        <w:rPr>
          <w:rFonts w:eastAsia="Times New Roman"/>
          <w:bCs/>
          <w:szCs w:val="24"/>
        </w:rPr>
        <w:t>10%</w:t>
      </w:r>
    </w:p>
    <w:p w14:paraId="1AE38707" w14:textId="77777777" w:rsidR="00024F72" w:rsidRPr="00074165" w:rsidRDefault="00024F72" w:rsidP="00024F72">
      <w:pPr>
        <w:numPr>
          <w:ilvl w:val="0"/>
          <w:numId w:val="20"/>
        </w:numPr>
        <w:spacing w:after="0" w:line="480" w:lineRule="auto"/>
        <w:rPr>
          <w:rFonts w:eastAsia="Times New Roman"/>
          <w:bCs/>
          <w:szCs w:val="24"/>
        </w:rPr>
      </w:pPr>
      <w:r w:rsidRPr="00074165">
        <w:rPr>
          <w:rFonts w:eastAsia="Times New Roman"/>
          <w:bCs/>
          <w:szCs w:val="24"/>
        </w:rPr>
        <w:t>15%</w:t>
      </w:r>
    </w:p>
    <w:p w14:paraId="25BFCA1F" w14:textId="77777777" w:rsidR="00024F72" w:rsidRPr="00074165" w:rsidRDefault="00024F72" w:rsidP="00024F72">
      <w:pPr>
        <w:numPr>
          <w:ilvl w:val="0"/>
          <w:numId w:val="20"/>
        </w:numPr>
        <w:spacing w:after="0" w:line="480" w:lineRule="auto"/>
        <w:rPr>
          <w:rFonts w:eastAsia="Times New Roman"/>
          <w:bCs/>
          <w:szCs w:val="24"/>
        </w:rPr>
      </w:pPr>
      <w:r w:rsidRPr="00074165">
        <w:rPr>
          <w:rFonts w:eastAsia="Times New Roman"/>
          <w:bCs/>
          <w:szCs w:val="24"/>
        </w:rPr>
        <w:t>20%*</w:t>
      </w:r>
    </w:p>
    <w:p w14:paraId="49B9D20A" w14:textId="77777777" w:rsidR="00024F72" w:rsidRPr="00074165" w:rsidRDefault="00024F72" w:rsidP="00024F72">
      <w:pPr>
        <w:numPr>
          <w:ilvl w:val="0"/>
          <w:numId w:val="20"/>
        </w:numPr>
        <w:spacing w:after="0" w:line="480" w:lineRule="auto"/>
        <w:rPr>
          <w:rFonts w:eastAsia="Times New Roman"/>
          <w:bCs/>
          <w:szCs w:val="24"/>
        </w:rPr>
      </w:pPr>
      <w:r w:rsidRPr="00074165">
        <w:rPr>
          <w:rFonts w:eastAsia="Times New Roman"/>
          <w:bCs/>
          <w:szCs w:val="24"/>
        </w:rPr>
        <w:t>25%</w:t>
      </w:r>
    </w:p>
    <w:sectPr w:rsidR="00024F72" w:rsidRPr="00074165" w:rsidSect="00C55BA8">
      <w:headerReference w:type="default" r:id="rId57"/>
      <w:head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B93B" w14:textId="77777777" w:rsidR="00590681" w:rsidRDefault="00590681" w:rsidP="00E330B4">
      <w:pPr>
        <w:spacing w:after="0" w:line="240" w:lineRule="auto"/>
      </w:pPr>
      <w:r>
        <w:separator/>
      </w:r>
    </w:p>
  </w:endnote>
  <w:endnote w:type="continuationSeparator" w:id="0">
    <w:p w14:paraId="6CA5A81C" w14:textId="77777777" w:rsidR="00590681" w:rsidRDefault="00590681"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5994" w14:textId="77777777" w:rsidR="00590681" w:rsidRDefault="00590681" w:rsidP="00E330B4">
      <w:pPr>
        <w:spacing w:after="0" w:line="240" w:lineRule="auto"/>
      </w:pPr>
      <w:r>
        <w:separator/>
      </w:r>
    </w:p>
  </w:footnote>
  <w:footnote w:type="continuationSeparator" w:id="0">
    <w:p w14:paraId="1979E6CD" w14:textId="77777777" w:rsidR="00590681" w:rsidRDefault="00590681" w:rsidP="00E3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C681" w14:textId="01971F56" w:rsidR="00E330B4" w:rsidRPr="00A13DDA" w:rsidRDefault="00532EC2" w:rsidP="00532EC2">
    <w:pPr>
      <w:pStyle w:val="Header"/>
      <w:rPr>
        <w:rFonts w:cs="Times New Roman"/>
        <w:szCs w:val="24"/>
      </w:rPr>
    </w:pPr>
    <w:r w:rsidRPr="00A13DDA">
      <w:rPr>
        <w:rFonts w:cs="Times New Roman"/>
      </w:rPr>
      <w:tab/>
    </w:r>
    <w:r w:rsidRPr="00A13DDA">
      <w:rPr>
        <w:rFonts w:cs="Times New Roman"/>
      </w:rPr>
      <w:tab/>
    </w:r>
    <w:r w:rsidR="002B3541" w:rsidRPr="00A13DDA">
      <w:rPr>
        <w:rFonts w:cs="Times New Roman"/>
        <w:szCs w:val="24"/>
      </w:rPr>
      <w:fldChar w:fldCharType="begin"/>
    </w:r>
    <w:r w:rsidR="00F6058E" w:rsidRPr="00A13DDA">
      <w:rPr>
        <w:rFonts w:cs="Times New Roman"/>
        <w:szCs w:val="24"/>
      </w:rPr>
      <w:instrText xml:space="preserve"> PAGE   \* MERGEFORMAT </w:instrText>
    </w:r>
    <w:r w:rsidR="002B3541" w:rsidRPr="00A13DDA">
      <w:rPr>
        <w:rFonts w:cs="Times New Roman"/>
        <w:szCs w:val="24"/>
      </w:rPr>
      <w:fldChar w:fldCharType="separate"/>
    </w:r>
    <w:r w:rsidR="00AF1FB7">
      <w:rPr>
        <w:rFonts w:cs="Times New Roman"/>
        <w:noProof/>
        <w:szCs w:val="24"/>
      </w:rPr>
      <w:t>4</w:t>
    </w:r>
    <w:r w:rsidR="002B3541" w:rsidRPr="00A13DDA">
      <w:rPr>
        <w:rFonts w:cs="Times New Roman"/>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9F6B" w14:textId="330B7077" w:rsidR="00175A16" w:rsidRPr="00560B5E" w:rsidRDefault="00175A16">
    <w:pPr>
      <w:pStyle w:val="Header"/>
      <w:rPr>
        <w:rFonts w:cs="Times New Roman"/>
        <w:szCs w:val="24"/>
      </w:rPr>
    </w:pPr>
    <w:r w:rsidRPr="0080038F">
      <w:rPr>
        <w:rFonts w:cs="Times New Roman"/>
      </w:rPr>
      <w:tab/>
    </w:r>
    <w:r w:rsidR="00766494">
      <w:rPr>
        <w:rFonts w:cs="Times New Roman"/>
      </w:rPr>
      <w:tab/>
    </w:r>
    <w:r w:rsidR="002B3541" w:rsidRPr="0080038F">
      <w:rPr>
        <w:rFonts w:cs="Times New Roman"/>
        <w:szCs w:val="24"/>
      </w:rPr>
      <w:fldChar w:fldCharType="begin"/>
    </w:r>
    <w:r w:rsidRPr="0080038F">
      <w:rPr>
        <w:rFonts w:cs="Times New Roman"/>
        <w:szCs w:val="24"/>
      </w:rPr>
      <w:instrText xml:space="preserve"> PAGE   \* MERGEFORMAT </w:instrText>
    </w:r>
    <w:r w:rsidR="002B3541" w:rsidRPr="0080038F">
      <w:rPr>
        <w:rFonts w:cs="Times New Roman"/>
        <w:szCs w:val="24"/>
      </w:rPr>
      <w:fldChar w:fldCharType="separate"/>
    </w:r>
    <w:r w:rsidR="00306845">
      <w:rPr>
        <w:rFonts w:cs="Times New Roman"/>
        <w:noProof/>
        <w:szCs w:val="24"/>
      </w:rPr>
      <w:t>1</w:t>
    </w:r>
    <w:r w:rsidR="002B3541" w:rsidRPr="0080038F">
      <w:rPr>
        <w:rFonts w:cs="Times New Roman"/>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173F" w14:textId="59F6C5E7" w:rsidR="004D1487" w:rsidRPr="00EC151E" w:rsidRDefault="0003352A" w:rsidP="00EC151E">
    <w:pPr>
      <w:pStyle w:val="Header"/>
      <w:rPr>
        <w:rFonts w:cs="Times New Roman"/>
        <w:szCs w:val="24"/>
      </w:rPr>
    </w:pPr>
    <w:r>
      <w:rPr>
        <w:rFonts w:cs="Times New Roman"/>
      </w:rPr>
      <w:tab/>
    </w:r>
    <w:r w:rsidR="004D1487" w:rsidRPr="0080038F">
      <w:rPr>
        <w:rFonts w:cs="Times New Roman"/>
      </w:rPr>
      <w:tab/>
    </w:r>
    <w:r w:rsidR="004D1487" w:rsidRPr="0080038F">
      <w:rPr>
        <w:rFonts w:cs="Times New Roman"/>
        <w:szCs w:val="24"/>
      </w:rPr>
      <w:fldChar w:fldCharType="begin"/>
    </w:r>
    <w:r w:rsidR="004D1487" w:rsidRPr="0080038F">
      <w:rPr>
        <w:rFonts w:cs="Times New Roman"/>
        <w:szCs w:val="24"/>
      </w:rPr>
      <w:instrText xml:space="preserve"> PAGE   \* MERGEFORMAT </w:instrText>
    </w:r>
    <w:r w:rsidR="004D1487" w:rsidRPr="0080038F">
      <w:rPr>
        <w:rFonts w:cs="Times New Roman"/>
        <w:szCs w:val="24"/>
      </w:rPr>
      <w:fldChar w:fldCharType="separate"/>
    </w:r>
    <w:r w:rsidR="004D1487">
      <w:rPr>
        <w:rFonts w:cs="Times New Roman"/>
        <w:noProof/>
        <w:szCs w:val="24"/>
      </w:rPr>
      <w:t>2</w:t>
    </w:r>
    <w:r w:rsidR="004D1487" w:rsidRPr="0080038F">
      <w:rPr>
        <w:rFonts w:cs="Times New Roman"/>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73E1" w14:textId="77777777" w:rsidR="00AB1A80" w:rsidRPr="00A13DDA" w:rsidRDefault="001E184A" w:rsidP="00532EC2">
    <w:pPr>
      <w:pStyle w:val="Header"/>
      <w:rPr>
        <w:rFonts w:cs="Times New Roman"/>
        <w:szCs w:val="24"/>
      </w:rPr>
    </w:pPr>
    <w:r>
      <w:rPr>
        <w:rFonts w:cs="Times New Roman"/>
      </w:rPr>
      <w:tab/>
    </w:r>
    <w:r>
      <w:rPr>
        <w:rFonts w:cs="Times New Roman"/>
      </w:rPr>
      <w:tab/>
    </w:r>
    <w:r>
      <w:rPr>
        <w:rFonts w:cs="Times New Roman"/>
      </w:rPr>
      <w:tab/>
    </w:r>
    <w:r>
      <w:rPr>
        <w:rFonts w:cs="Times New Roman"/>
      </w:rPr>
      <w:tab/>
    </w:r>
    <w:r w:rsidRPr="00A13DDA">
      <w:rPr>
        <w:rFonts w:cs="Times New Roman"/>
      </w:rPr>
      <w:tab/>
    </w:r>
    <w:r w:rsidRPr="00A13DDA">
      <w:rPr>
        <w:rFonts w:cs="Times New Roman"/>
      </w:rPr>
      <w:tab/>
    </w:r>
    <w:r w:rsidRPr="00A13DDA">
      <w:rPr>
        <w:rFonts w:cs="Times New Roman"/>
        <w:szCs w:val="24"/>
      </w:rPr>
      <w:fldChar w:fldCharType="begin"/>
    </w:r>
    <w:r w:rsidRPr="00A13DDA">
      <w:rPr>
        <w:rFonts w:cs="Times New Roman"/>
        <w:szCs w:val="24"/>
      </w:rPr>
      <w:instrText xml:space="preserve"> PAGE   \* MERGEFORMAT </w:instrText>
    </w:r>
    <w:r w:rsidRPr="00A13DDA">
      <w:rPr>
        <w:rFonts w:cs="Times New Roman"/>
        <w:szCs w:val="24"/>
      </w:rPr>
      <w:fldChar w:fldCharType="separate"/>
    </w:r>
    <w:r>
      <w:rPr>
        <w:rFonts w:cs="Times New Roman"/>
        <w:noProof/>
        <w:szCs w:val="24"/>
      </w:rPr>
      <w:t>4</w:t>
    </w:r>
    <w:r w:rsidRPr="00A13DDA">
      <w:rPr>
        <w:rFonts w:cs="Times New Roman"/>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DA5B" w14:textId="77777777" w:rsidR="00644F7F" w:rsidRPr="00EC151E" w:rsidRDefault="001E184A" w:rsidP="00EC151E">
    <w:pPr>
      <w:pStyle w:val="Header"/>
      <w:rPr>
        <w:rFonts w:cs="Times New Roman"/>
        <w:szCs w:val="24"/>
      </w:rPr>
    </w:pPr>
    <w:r>
      <w:rPr>
        <w:rFonts w:cs="Times New Roman"/>
      </w:rPr>
      <w:tab/>
    </w:r>
    <w:r>
      <w:rPr>
        <w:rFonts w:cs="Times New Roman"/>
      </w:rPr>
      <w:tab/>
    </w:r>
    <w:r>
      <w:rPr>
        <w:rFonts w:cs="Times New Roman"/>
      </w:rPr>
      <w:tab/>
    </w:r>
    <w:r>
      <w:rPr>
        <w:rFonts w:cs="Times New Roman"/>
      </w:rPr>
      <w:tab/>
    </w:r>
    <w:r w:rsidRPr="0080038F">
      <w:rPr>
        <w:rFonts w:cs="Times New Roman"/>
      </w:rPr>
      <w:tab/>
    </w:r>
    <w:r w:rsidRPr="0080038F">
      <w:rPr>
        <w:rFonts w:cs="Times New Roman"/>
      </w:rPr>
      <w:tab/>
    </w:r>
    <w:r w:rsidRPr="0080038F">
      <w:rPr>
        <w:rFonts w:cs="Times New Roman"/>
        <w:szCs w:val="24"/>
      </w:rPr>
      <w:fldChar w:fldCharType="begin"/>
    </w:r>
    <w:r w:rsidRPr="0080038F">
      <w:rPr>
        <w:rFonts w:cs="Times New Roman"/>
        <w:szCs w:val="24"/>
      </w:rPr>
      <w:instrText xml:space="preserve"> PAGE   \* MERGEFORMAT </w:instrText>
    </w:r>
    <w:r w:rsidRPr="0080038F">
      <w:rPr>
        <w:rFonts w:cs="Times New Roman"/>
        <w:szCs w:val="24"/>
      </w:rPr>
      <w:fldChar w:fldCharType="separate"/>
    </w:r>
    <w:r>
      <w:rPr>
        <w:rFonts w:cs="Times New Roman"/>
        <w:noProof/>
        <w:szCs w:val="24"/>
      </w:rPr>
      <w:t>2</w:t>
    </w:r>
    <w:r w:rsidRPr="0080038F">
      <w:rPr>
        <w:rFonts w:cs="Times New Roman"/>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1941" w14:textId="64EC01E3" w:rsidR="002E4A7E" w:rsidRPr="00A13DDA" w:rsidRDefault="002E4A7E" w:rsidP="00532EC2">
    <w:pPr>
      <w:pStyle w:val="Header"/>
      <w:rPr>
        <w:rFonts w:cs="Times New Roman"/>
        <w:szCs w:val="24"/>
      </w:rPr>
    </w:pPr>
    <w:r>
      <w:rPr>
        <w:rFonts w:cs="Times New Roman"/>
      </w:rPr>
      <w:tab/>
    </w:r>
    <w:r w:rsidRPr="00A13DDA">
      <w:rPr>
        <w:rFonts w:cs="Times New Roman"/>
      </w:rPr>
      <w:tab/>
    </w:r>
    <w:r w:rsidRPr="00A13DDA">
      <w:rPr>
        <w:rFonts w:cs="Times New Roman"/>
        <w:szCs w:val="24"/>
      </w:rPr>
      <w:fldChar w:fldCharType="begin"/>
    </w:r>
    <w:r w:rsidRPr="00A13DDA">
      <w:rPr>
        <w:rFonts w:cs="Times New Roman"/>
        <w:szCs w:val="24"/>
      </w:rPr>
      <w:instrText xml:space="preserve"> PAGE   \* MERGEFORMAT </w:instrText>
    </w:r>
    <w:r w:rsidRPr="00A13DDA">
      <w:rPr>
        <w:rFonts w:cs="Times New Roman"/>
        <w:szCs w:val="24"/>
      </w:rPr>
      <w:fldChar w:fldCharType="separate"/>
    </w:r>
    <w:r>
      <w:rPr>
        <w:rFonts w:cs="Times New Roman"/>
        <w:noProof/>
        <w:szCs w:val="24"/>
      </w:rPr>
      <w:t>4</w:t>
    </w:r>
    <w:r w:rsidRPr="00A13DDA">
      <w:rPr>
        <w:rFonts w:cs="Times New Roman"/>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5CFA" w14:textId="504D2865" w:rsidR="00C55BA8" w:rsidRPr="00EC151E" w:rsidRDefault="00C55BA8" w:rsidP="00EC151E">
    <w:pPr>
      <w:pStyle w:val="Header"/>
      <w:rPr>
        <w:rFonts w:cs="Times New Roman"/>
        <w:szCs w:val="24"/>
      </w:rPr>
    </w:pPr>
    <w:r>
      <w:rPr>
        <w:rFonts w:cs="Times New Roman"/>
      </w:rPr>
      <w:tab/>
    </w:r>
    <w:r w:rsidRPr="0080038F">
      <w:rPr>
        <w:rFonts w:cs="Times New Roman"/>
      </w:rPr>
      <w:tab/>
    </w:r>
    <w:r w:rsidRPr="0080038F">
      <w:rPr>
        <w:rFonts w:cs="Times New Roman"/>
        <w:szCs w:val="24"/>
      </w:rPr>
      <w:fldChar w:fldCharType="begin"/>
    </w:r>
    <w:r w:rsidRPr="0080038F">
      <w:rPr>
        <w:rFonts w:cs="Times New Roman"/>
        <w:szCs w:val="24"/>
      </w:rPr>
      <w:instrText xml:space="preserve"> PAGE   \* MERGEFORMAT </w:instrText>
    </w:r>
    <w:r w:rsidRPr="0080038F">
      <w:rPr>
        <w:rFonts w:cs="Times New Roman"/>
        <w:szCs w:val="24"/>
      </w:rPr>
      <w:fldChar w:fldCharType="separate"/>
    </w:r>
    <w:r>
      <w:rPr>
        <w:rFonts w:cs="Times New Roman"/>
        <w:noProof/>
        <w:szCs w:val="24"/>
      </w:rPr>
      <w:t>2</w:t>
    </w:r>
    <w:r w:rsidRPr="0080038F">
      <w:rPr>
        <w:rFonts w:cs="Times New Roman"/>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3D"/>
    <w:multiLevelType w:val="hybridMultilevel"/>
    <w:tmpl w:val="EFD2134E"/>
    <w:lvl w:ilvl="0" w:tplc="9962C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87C06"/>
    <w:multiLevelType w:val="hybridMultilevel"/>
    <w:tmpl w:val="73F0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1CB"/>
    <w:multiLevelType w:val="hybridMultilevel"/>
    <w:tmpl w:val="A67C8BE0"/>
    <w:lvl w:ilvl="0" w:tplc="261EC2D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D04C6"/>
    <w:multiLevelType w:val="hybridMultilevel"/>
    <w:tmpl w:val="461865F2"/>
    <w:lvl w:ilvl="0" w:tplc="BFC8D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0D0A10"/>
    <w:multiLevelType w:val="hybridMultilevel"/>
    <w:tmpl w:val="878C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77E3"/>
    <w:multiLevelType w:val="hybridMultilevel"/>
    <w:tmpl w:val="E6EA5694"/>
    <w:lvl w:ilvl="0" w:tplc="C66E242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D66DB0"/>
    <w:multiLevelType w:val="hybridMultilevel"/>
    <w:tmpl w:val="C72800AE"/>
    <w:lvl w:ilvl="0" w:tplc="C8ACEB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4E22DF"/>
    <w:multiLevelType w:val="hybridMultilevel"/>
    <w:tmpl w:val="284EC036"/>
    <w:lvl w:ilvl="0" w:tplc="F7562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936C9"/>
    <w:multiLevelType w:val="hybridMultilevel"/>
    <w:tmpl w:val="34D2CF96"/>
    <w:lvl w:ilvl="0" w:tplc="3FAC21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F049A1"/>
    <w:multiLevelType w:val="hybridMultilevel"/>
    <w:tmpl w:val="E35E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532F3"/>
    <w:multiLevelType w:val="hybridMultilevel"/>
    <w:tmpl w:val="2B269FD6"/>
    <w:lvl w:ilvl="0" w:tplc="D75EB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93430"/>
    <w:multiLevelType w:val="hybridMultilevel"/>
    <w:tmpl w:val="C2F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2172E"/>
    <w:multiLevelType w:val="hybridMultilevel"/>
    <w:tmpl w:val="DB4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0028C"/>
    <w:multiLevelType w:val="hybridMultilevel"/>
    <w:tmpl w:val="B0AAED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E96E62"/>
    <w:multiLevelType w:val="hybridMultilevel"/>
    <w:tmpl w:val="060437CA"/>
    <w:lvl w:ilvl="0" w:tplc="68949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361B1D"/>
    <w:multiLevelType w:val="hybridMultilevel"/>
    <w:tmpl w:val="5C72F522"/>
    <w:lvl w:ilvl="0" w:tplc="873225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87E72"/>
    <w:multiLevelType w:val="hybridMultilevel"/>
    <w:tmpl w:val="AEC43B8A"/>
    <w:lvl w:ilvl="0" w:tplc="AB9068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F6310"/>
    <w:multiLevelType w:val="hybridMultilevel"/>
    <w:tmpl w:val="54B2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0467B"/>
    <w:multiLevelType w:val="hybridMultilevel"/>
    <w:tmpl w:val="1EBC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076E"/>
    <w:multiLevelType w:val="hybridMultilevel"/>
    <w:tmpl w:val="4DBC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C7CC3"/>
    <w:multiLevelType w:val="hybridMultilevel"/>
    <w:tmpl w:val="6AA6D97C"/>
    <w:lvl w:ilvl="0" w:tplc="529472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D5035A"/>
    <w:multiLevelType w:val="hybridMultilevel"/>
    <w:tmpl w:val="4D88E0A0"/>
    <w:lvl w:ilvl="0" w:tplc="D40ED1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6C7ABD"/>
    <w:multiLevelType w:val="hybridMultilevel"/>
    <w:tmpl w:val="433E09A0"/>
    <w:lvl w:ilvl="0" w:tplc="871CD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596432">
    <w:abstractNumId w:val="1"/>
  </w:num>
  <w:num w:numId="2" w16cid:durableId="1059478050">
    <w:abstractNumId w:val="19"/>
  </w:num>
  <w:num w:numId="3" w16cid:durableId="444689626">
    <w:abstractNumId w:val="9"/>
  </w:num>
  <w:num w:numId="4" w16cid:durableId="473718477">
    <w:abstractNumId w:val="4"/>
  </w:num>
  <w:num w:numId="5" w16cid:durableId="1582056699">
    <w:abstractNumId w:val="17"/>
  </w:num>
  <w:num w:numId="6" w16cid:durableId="932713226">
    <w:abstractNumId w:val="16"/>
  </w:num>
  <w:num w:numId="7" w16cid:durableId="1714377799">
    <w:abstractNumId w:val="5"/>
  </w:num>
  <w:num w:numId="8" w16cid:durableId="1994019697">
    <w:abstractNumId w:val="13"/>
  </w:num>
  <w:num w:numId="9" w16cid:durableId="1684701115">
    <w:abstractNumId w:val="12"/>
  </w:num>
  <w:num w:numId="10" w16cid:durableId="894972913">
    <w:abstractNumId w:val="10"/>
  </w:num>
  <w:num w:numId="11" w16cid:durableId="1444760470">
    <w:abstractNumId w:val="21"/>
  </w:num>
  <w:num w:numId="12" w16cid:durableId="2002077099">
    <w:abstractNumId w:val="14"/>
  </w:num>
  <w:num w:numId="13" w16cid:durableId="1754625476">
    <w:abstractNumId w:val="15"/>
  </w:num>
  <w:num w:numId="14" w16cid:durableId="810440292">
    <w:abstractNumId w:val="22"/>
  </w:num>
  <w:num w:numId="15" w16cid:durableId="28728662">
    <w:abstractNumId w:val="20"/>
  </w:num>
  <w:num w:numId="16" w16cid:durableId="23403514">
    <w:abstractNumId w:val="3"/>
  </w:num>
  <w:num w:numId="17" w16cid:durableId="1990593764">
    <w:abstractNumId w:val="6"/>
  </w:num>
  <w:num w:numId="18" w16cid:durableId="674765056">
    <w:abstractNumId w:val="8"/>
  </w:num>
  <w:num w:numId="19" w16cid:durableId="1469200785">
    <w:abstractNumId w:val="0"/>
  </w:num>
  <w:num w:numId="20" w16cid:durableId="1091857744">
    <w:abstractNumId w:val="7"/>
  </w:num>
  <w:num w:numId="21" w16cid:durableId="760639627">
    <w:abstractNumId w:val="11"/>
  </w:num>
  <w:num w:numId="22" w16cid:durableId="1008488296">
    <w:abstractNumId w:val="2"/>
  </w:num>
  <w:num w:numId="23" w16cid:durableId="10626764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3EBBA48-015C-4227-8242-608F8660F4FD}"/>
    <w:docVar w:name="dgnword-eventsink" w:val="153051880"/>
  </w:docVars>
  <w:rsids>
    <w:rsidRoot w:val="00F4180B"/>
    <w:rsid w:val="00006F43"/>
    <w:rsid w:val="00007B9D"/>
    <w:rsid w:val="00016BDE"/>
    <w:rsid w:val="00020A0A"/>
    <w:rsid w:val="0002224E"/>
    <w:rsid w:val="0002363D"/>
    <w:rsid w:val="00024F72"/>
    <w:rsid w:val="000262F8"/>
    <w:rsid w:val="00027E86"/>
    <w:rsid w:val="00031196"/>
    <w:rsid w:val="000326C6"/>
    <w:rsid w:val="0003352A"/>
    <w:rsid w:val="00033F7A"/>
    <w:rsid w:val="000366F8"/>
    <w:rsid w:val="00044DC9"/>
    <w:rsid w:val="000523E2"/>
    <w:rsid w:val="000563E9"/>
    <w:rsid w:val="00064FCD"/>
    <w:rsid w:val="00074165"/>
    <w:rsid w:val="000758D0"/>
    <w:rsid w:val="000850C8"/>
    <w:rsid w:val="00096C54"/>
    <w:rsid w:val="000A653C"/>
    <w:rsid w:val="000C1E16"/>
    <w:rsid w:val="000C21FA"/>
    <w:rsid w:val="000D2A51"/>
    <w:rsid w:val="000D48E7"/>
    <w:rsid w:val="000D67C3"/>
    <w:rsid w:val="000E1F3D"/>
    <w:rsid w:val="000F5684"/>
    <w:rsid w:val="00106C95"/>
    <w:rsid w:val="00120A32"/>
    <w:rsid w:val="00130898"/>
    <w:rsid w:val="00137232"/>
    <w:rsid w:val="001411CA"/>
    <w:rsid w:val="00144AFA"/>
    <w:rsid w:val="00145010"/>
    <w:rsid w:val="001511DC"/>
    <w:rsid w:val="001554FA"/>
    <w:rsid w:val="00155763"/>
    <w:rsid w:val="00157396"/>
    <w:rsid w:val="001619AB"/>
    <w:rsid w:val="0016556D"/>
    <w:rsid w:val="0017135F"/>
    <w:rsid w:val="00172FD2"/>
    <w:rsid w:val="00173148"/>
    <w:rsid w:val="00175A16"/>
    <w:rsid w:val="00176842"/>
    <w:rsid w:val="00181293"/>
    <w:rsid w:val="00193E40"/>
    <w:rsid w:val="00195039"/>
    <w:rsid w:val="001963DA"/>
    <w:rsid w:val="001A2AD5"/>
    <w:rsid w:val="001A34D2"/>
    <w:rsid w:val="001B306F"/>
    <w:rsid w:val="001B40C5"/>
    <w:rsid w:val="001B4170"/>
    <w:rsid w:val="001D3F60"/>
    <w:rsid w:val="001D7F9F"/>
    <w:rsid w:val="001E184A"/>
    <w:rsid w:val="001E33A5"/>
    <w:rsid w:val="001E3423"/>
    <w:rsid w:val="001F1549"/>
    <w:rsid w:val="001F4ECF"/>
    <w:rsid w:val="001F79FD"/>
    <w:rsid w:val="0020202D"/>
    <w:rsid w:val="00203F42"/>
    <w:rsid w:val="0021139F"/>
    <w:rsid w:val="00212B52"/>
    <w:rsid w:val="00212FD7"/>
    <w:rsid w:val="00217866"/>
    <w:rsid w:val="002206E5"/>
    <w:rsid w:val="00220A26"/>
    <w:rsid w:val="002313EF"/>
    <w:rsid w:val="00232B29"/>
    <w:rsid w:val="002405B3"/>
    <w:rsid w:val="00242FA1"/>
    <w:rsid w:val="00251055"/>
    <w:rsid w:val="00252016"/>
    <w:rsid w:val="002763E9"/>
    <w:rsid w:val="00276B80"/>
    <w:rsid w:val="002802D3"/>
    <w:rsid w:val="002855E6"/>
    <w:rsid w:val="00292071"/>
    <w:rsid w:val="002A1410"/>
    <w:rsid w:val="002A4C60"/>
    <w:rsid w:val="002B3541"/>
    <w:rsid w:val="002B7C41"/>
    <w:rsid w:val="002C6071"/>
    <w:rsid w:val="002C60DA"/>
    <w:rsid w:val="002C6EC4"/>
    <w:rsid w:val="002D03E0"/>
    <w:rsid w:val="002D36B6"/>
    <w:rsid w:val="002D75D8"/>
    <w:rsid w:val="002E1244"/>
    <w:rsid w:val="002E4A7E"/>
    <w:rsid w:val="002F2410"/>
    <w:rsid w:val="002F50D7"/>
    <w:rsid w:val="003056BA"/>
    <w:rsid w:val="00306845"/>
    <w:rsid w:val="00310DC0"/>
    <w:rsid w:val="003112D2"/>
    <w:rsid w:val="00311A56"/>
    <w:rsid w:val="00315E7C"/>
    <w:rsid w:val="003212E4"/>
    <w:rsid w:val="00333C44"/>
    <w:rsid w:val="003344E5"/>
    <w:rsid w:val="00334963"/>
    <w:rsid w:val="00344857"/>
    <w:rsid w:val="0034651D"/>
    <w:rsid w:val="0036374D"/>
    <w:rsid w:val="00365E78"/>
    <w:rsid w:val="0036678B"/>
    <w:rsid w:val="0039076E"/>
    <w:rsid w:val="003929F6"/>
    <w:rsid w:val="00396D14"/>
    <w:rsid w:val="003A4D71"/>
    <w:rsid w:val="003A58E0"/>
    <w:rsid w:val="003B2C6E"/>
    <w:rsid w:val="003C19DA"/>
    <w:rsid w:val="003C399B"/>
    <w:rsid w:val="003C5218"/>
    <w:rsid w:val="003E7D73"/>
    <w:rsid w:val="003F109B"/>
    <w:rsid w:val="003F67E6"/>
    <w:rsid w:val="0041101F"/>
    <w:rsid w:val="00411BE6"/>
    <w:rsid w:val="00411E3F"/>
    <w:rsid w:val="004129A6"/>
    <w:rsid w:val="004211A7"/>
    <w:rsid w:val="0042188C"/>
    <w:rsid w:val="004332A2"/>
    <w:rsid w:val="00434B53"/>
    <w:rsid w:val="00440BC5"/>
    <w:rsid w:val="00442E7D"/>
    <w:rsid w:val="00462D28"/>
    <w:rsid w:val="00464079"/>
    <w:rsid w:val="00464E1C"/>
    <w:rsid w:val="00466C76"/>
    <w:rsid w:val="00472BF1"/>
    <w:rsid w:val="00474D59"/>
    <w:rsid w:val="00476245"/>
    <w:rsid w:val="00482C8E"/>
    <w:rsid w:val="00486405"/>
    <w:rsid w:val="0049296C"/>
    <w:rsid w:val="00494946"/>
    <w:rsid w:val="004A367B"/>
    <w:rsid w:val="004A7965"/>
    <w:rsid w:val="004B09B8"/>
    <w:rsid w:val="004B1711"/>
    <w:rsid w:val="004C0C64"/>
    <w:rsid w:val="004C75DE"/>
    <w:rsid w:val="004D1487"/>
    <w:rsid w:val="004D1FC6"/>
    <w:rsid w:val="004D2512"/>
    <w:rsid w:val="004E142C"/>
    <w:rsid w:val="004E7684"/>
    <w:rsid w:val="005043B5"/>
    <w:rsid w:val="005105F6"/>
    <w:rsid w:val="00522D8A"/>
    <w:rsid w:val="00522F85"/>
    <w:rsid w:val="00532EC2"/>
    <w:rsid w:val="00542E59"/>
    <w:rsid w:val="00543925"/>
    <w:rsid w:val="00543F65"/>
    <w:rsid w:val="00550066"/>
    <w:rsid w:val="00554360"/>
    <w:rsid w:val="005547EE"/>
    <w:rsid w:val="005565D2"/>
    <w:rsid w:val="005607D9"/>
    <w:rsid w:val="00560B5E"/>
    <w:rsid w:val="005677B0"/>
    <w:rsid w:val="00590681"/>
    <w:rsid w:val="0059186F"/>
    <w:rsid w:val="00593AE6"/>
    <w:rsid w:val="00593D62"/>
    <w:rsid w:val="005943FF"/>
    <w:rsid w:val="005A4F32"/>
    <w:rsid w:val="005A5091"/>
    <w:rsid w:val="005B4AF6"/>
    <w:rsid w:val="005B7E88"/>
    <w:rsid w:val="005C2D12"/>
    <w:rsid w:val="005C392D"/>
    <w:rsid w:val="005C5B2F"/>
    <w:rsid w:val="005C6E60"/>
    <w:rsid w:val="005D0C68"/>
    <w:rsid w:val="005D1926"/>
    <w:rsid w:val="005D775A"/>
    <w:rsid w:val="005E0CA8"/>
    <w:rsid w:val="005E2103"/>
    <w:rsid w:val="005E56CE"/>
    <w:rsid w:val="005F1F51"/>
    <w:rsid w:val="005F2702"/>
    <w:rsid w:val="005F6D4E"/>
    <w:rsid w:val="0060738E"/>
    <w:rsid w:val="00610058"/>
    <w:rsid w:val="00610D4A"/>
    <w:rsid w:val="00614DB0"/>
    <w:rsid w:val="00615051"/>
    <w:rsid w:val="00620D6A"/>
    <w:rsid w:val="006226B2"/>
    <w:rsid w:val="006263BB"/>
    <w:rsid w:val="0062738F"/>
    <w:rsid w:val="0063645F"/>
    <w:rsid w:val="00637C01"/>
    <w:rsid w:val="006434DB"/>
    <w:rsid w:val="00660B59"/>
    <w:rsid w:val="00663034"/>
    <w:rsid w:val="00663895"/>
    <w:rsid w:val="00667B79"/>
    <w:rsid w:val="00672209"/>
    <w:rsid w:val="006725F4"/>
    <w:rsid w:val="00673A76"/>
    <w:rsid w:val="00687023"/>
    <w:rsid w:val="006A3BF4"/>
    <w:rsid w:val="006D4653"/>
    <w:rsid w:val="006D4826"/>
    <w:rsid w:val="006E562B"/>
    <w:rsid w:val="006F3034"/>
    <w:rsid w:val="006F4614"/>
    <w:rsid w:val="006F6D8E"/>
    <w:rsid w:val="007046B8"/>
    <w:rsid w:val="0071288C"/>
    <w:rsid w:val="0071316C"/>
    <w:rsid w:val="00721FCC"/>
    <w:rsid w:val="007222C0"/>
    <w:rsid w:val="00723A3D"/>
    <w:rsid w:val="0072482B"/>
    <w:rsid w:val="00741D82"/>
    <w:rsid w:val="007456B7"/>
    <w:rsid w:val="00747165"/>
    <w:rsid w:val="00757576"/>
    <w:rsid w:val="00766494"/>
    <w:rsid w:val="00771234"/>
    <w:rsid w:val="00772B85"/>
    <w:rsid w:val="00776135"/>
    <w:rsid w:val="007870BB"/>
    <w:rsid w:val="007A2048"/>
    <w:rsid w:val="007A2A7C"/>
    <w:rsid w:val="007A5E6D"/>
    <w:rsid w:val="007B1CDC"/>
    <w:rsid w:val="007B4BAC"/>
    <w:rsid w:val="007C4CB7"/>
    <w:rsid w:val="007D0055"/>
    <w:rsid w:val="007D06E4"/>
    <w:rsid w:val="007D46E4"/>
    <w:rsid w:val="007D63E0"/>
    <w:rsid w:val="007D72F2"/>
    <w:rsid w:val="007D7F21"/>
    <w:rsid w:val="007E1CF5"/>
    <w:rsid w:val="007E7858"/>
    <w:rsid w:val="007F054F"/>
    <w:rsid w:val="007F355B"/>
    <w:rsid w:val="0080038F"/>
    <w:rsid w:val="008015A8"/>
    <w:rsid w:val="008031C0"/>
    <w:rsid w:val="00821D15"/>
    <w:rsid w:val="00827319"/>
    <w:rsid w:val="00835067"/>
    <w:rsid w:val="008421B8"/>
    <w:rsid w:val="0085218C"/>
    <w:rsid w:val="00853C54"/>
    <w:rsid w:val="0085771C"/>
    <w:rsid w:val="00865A49"/>
    <w:rsid w:val="00873776"/>
    <w:rsid w:val="00881C35"/>
    <w:rsid w:val="00886206"/>
    <w:rsid w:val="0089444C"/>
    <w:rsid w:val="00894F81"/>
    <w:rsid w:val="008A0173"/>
    <w:rsid w:val="008A2A16"/>
    <w:rsid w:val="008B0283"/>
    <w:rsid w:val="008C4778"/>
    <w:rsid w:val="008E3093"/>
    <w:rsid w:val="008E7B1E"/>
    <w:rsid w:val="008F508C"/>
    <w:rsid w:val="008F712C"/>
    <w:rsid w:val="00907447"/>
    <w:rsid w:val="009139CC"/>
    <w:rsid w:val="009214CB"/>
    <w:rsid w:val="009216DA"/>
    <w:rsid w:val="00921FB6"/>
    <w:rsid w:val="00927C81"/>
    <w:rsid w:val="0093135D"/>
    <w:rsid w:val="00940E30"/>
    <w:rsid w:val="00957C08"/>
    <w:rsid w:val="00971C77"/>
    <w:rsid w:val="00980029"/>
    <w:rsid w:val="00991935"/>
    <w:rsid w:val="0099382E"/>
    <w:rsid w:val="00994F8D"/>
    <w:rsid w:val="009A15D0"/>
    <w:rsid w:val="009B364A"/>
    <w:rsid w:val="009B567A"/>
    <w:rsid w:val="009D2CBC"/>
    <w:rsid w:val="009D4CE8"/>
    <w:rsid w:val="009E209D"/>
    <w:rsid w:val="009E372C"/>
    <w:rsid w:val="009F02C5"/>
    <w:rsid w:val="009F26B2"/>
    <w:rsid w:val="009F3F75"/>
    <w:rsid w:val="00A00977"/>
    <w:rsid w:val="00A00EA4"/>
    <w:rsid w:val="00A07F44"/>
    <w:rsid w:val="00A13DDA"/>
    <w:rsid w:val="00A14C32"/>
    <w:rsid w:val="00A14EB0"/>
    <w:rsid w:val="00A217C7"/>
    <w:rsid w:val="00A25AF9"/>
    <w:rsid w:val="00A34C7D"/>
    <w:rsid w:val="00A5359E"/>
    <w:rsid w:val="00A54A80"/>
    <w:rsid w:val="00A54E8D"/>
    <w:rsid w:val="00A6145F"/>
    <w:rsid w:val="00A66F58"/>
    <w:rsid w:val="00A678B1"/>
    <w:rsid w:val="00A70B82"/>
    <w:rsid w:val="00A72ACE"/>
    <w:rsid w:val="00A759B4"/>
    <w:rsid w:val="00A81BC6"/>
    <w:rsid w:val="00A90F46"/>
    <w:rsid w:val="00A91DC6"/>
    <w:rsid w:val="00A95939"/>
    <w:rsid w:val="00AA064B"/>
    <w:rsid w:val="00AB3E93"/>
    <w:rsid w:val="00AB5430"/>
    <w:rsid w:val="00AC1A51"/>
    <w:rsid w:val="00AC4979"/>
    <w:rsid w:val="00AD1ACE"/>
    <w:rsid w:val="00AD2EC3"/>
    <w:rsid w:val="00AD4906"/>
    <w:rsid w:val="00AE6CA2"/>
    <w:rsid w:val="00AF1FB7"/>
    <w:rsid w:val="00AF2353"/>
    <w:rsid w:val="00AF4285"/>
    <w:rsid w:val="00B0146D"/>
    <w:rsid w:val="00B04BD8"/>
    <w:rsid w:val="00B06BEE"/>
    <w:rsid w:val="00B10000"/>
    <w:rsid w:val="00B15E7D"/>
    <w:rsid w:val="00B20889"/>
    <w:rsid w:val="00B324C1"/>
    <w:rsid w:val="00B337D0"/>
    <w:rsid w:val="00B36FE4"/>
    <w:rsid w:val="00B6025A"/>
    <w:rsid w:val="00B6172E"/>
    <w:rsid w:val="00B7029C"/>
    <w:rsid w:val="00B8026C"/>
    <w:rsid w:val="00B80C19"/>
    <w:rsid w:val="00B828BB"/>
    <w:rsid w:val="00B90BA4"/>
    <w:rsid w:val="00B91265"/>
    <w:rsid w:val="00B93A9B"/>
    <w:rsid w:val="00BA03CA"/>
    <w:rsid w:val="00BB2575"/>
    <w:rsid w:val="00BB642C"/>
    <w:rsid w:val="00BC591A"/>
    <w:rsid w:val="00BC5C69"/>
    <w:rsid w:val="00BD0F0D"/>
    <w:rsid w:val="00BD267E"/>
    <w:rsid w:val="00BD28BF"/>
    <w:rsid w:val="00BF3DAD"/>
    <w:rsid w:val="00C00AD9"/>
    <w:rsid w:val="00C05727"/>
    <w:rsid w:val="00C057B8"/>
    <w:rsid w:val="00C06296"/>
    <w:rsid w:val="00C06A10"/>
    <w:rsid w:val="00C10C16"/>
    <w:rsid w:val="00C146D1"/>
    <w:rsid w:val="00C152B1"/>
    <w:rsid w:val="00C169B0"/>
    <w:rsid w:val="00C20B76"/>
    <w:rsid w:val="00C2777F"/>
    <w:rsid w:val="00C30D50"/>
    <w:rsid w:val="00C314FD"/>
    <w:rsid w:val="00C317CD"/>
    <w:rsid w:val="00C31EE2"/>
    <w:rsid w:val="00C36D86"/>
    <w:rsid w:val="00C44E59"/>
    <w:rsid w:val="00C47B07"/>
    <w:rsid w:val="00C51C30"/>
    <w:rsid w:val="00C55BA8"/>
    <w:rsid w:val="00C64B76"/>
    <w:rsid w:val="00C6731D"/>
    <w:rsid w:val="00C7319D"/>
    <w:rsid w:val="00C86646"/>
    <w:rsid w:val="00C91910"/>
    <w:rsid w:val="00C92ABD"/>
    <w:rsid w:val="00CA0970"/>
    <w:rsid w:val="00CA1CB3"/>
    <w:rsid w:val="00CA4C1A"/>
    <w:rsid w:val="00CB18F6"/>
    <w:rsid w:val="00CB5517"/>
    <w:rsid w:val="00CB5DF4"/>
    <w:rsid w:val="00CC1839"/>
    <w:rsid w:val="00CD3269"/>
    <w:rsid w:val="00CD45B8"/>
    <w:rsid w:val="00CD7C3F"/>
    <w:rsid w:val="00CF5081"/>
    <w:rsid w:val="00CF6EBF"/>
    <w:rsid w:val="00D16559"/>
    <w:rsid w:val="00D172FA"/>
    <w:rsid w:val="00D40F63"/>
    <w:rsid w:val="00D44C79"/>
    <w:rsid w:val="00D47479"/>
    <w:rsid w:val="00D618F0"/>
    <w:rsid w:val="00D70F04"/>
    <w:rsid w:val="00D77763"/>
    <w:rsid w:val="00D841F9"/>
    <w:rsid w:val="00D93A28"/>
    <w:rsid w:val="00D96531"/>
    <w:rsid w:val="00DA2E7D"/>
    <w:rsid w:val="00DB46B3"/>
    <w:rsid w:val="00DB7D40"/>
    <w:rsid w:val="00DC1FBF"/>
    <w:rsid w:val="00DC4236"/>
    <w:rsid w:val="00DD62C3"/>
    <w:rsid w:val="00DE216D"/>
    <w:rsid w:val="00DE4360"/>
    <w:rsid w:val="00DF1AEA"/>
    <w:rsid w:val="00DF2517"/>
    <w:rsid w:val="00DF3B91"/>
    <w:rsid w:val="00DF41FB"/>
    <w:rsid w:val="00DF7ACF"/>
    <w:rsid w:val="00E0376A"/>
    <w:rsid w:val="00E045E1"/>
    <w:rsid w:val="00E20C98"/>
    <w:rsid w:val="00E330B4"/>
    <w:rsid w:val="00E337BF"/>
    <w:rsid w:val="00E40A55"/>
    <w:rsid w:val="00E42E8E"/>
    <w:rsid w:val="00E54C47"/>
    <w:rsid w:val="00E5661B"/>
    <w:rsid w:val="00E56B04"/>
    <w:rsid w:val="00E63886"/>
    <w:rsid w:val="00E659CA"/>
    <w:rsid w:val="00E66C87"/>
    <w:rsid w:val="00E7088A"/>
    <w:rsid w:val="00E82441"/>
    <w:rsid w:val="00E869CB"/>
    <w:rsid w:val="00E936D9"/>
    <w:rsid w:val="00EA08AD"/>
    <w:rsid w:val="00EA1A0C"/>
    <w:rsid w:val="00EA2721"/>
    <w:rsid w:val="00EB411A"/>
    <w:rsid w:val="00EC151E"/>
    <w:rsid w:val="00EC3165"/>
    <w:rsid w:val="00ED348B"/>
    <w:rsid w:val="00ED6FE1"/>
    <w:rsid w:val="00EE7EF1"/>
    <w:rsid w:val="00EF18CC"/>
    <w:rsid w:val="00F065BF"/>
    <w:rsid w:val="00F10998"/>
    <w:rsid w:val="00F21906"/>
    <w:rsid w:val="00F35FB7"/>
    <w:rsid w:val="00F4180B"/>
    <w:rsid w:val="00F4535F"/>
    <w:rsid w:val="00F566A8"/>
    <w:rsid w:val="00F6058E"/>
    <w:rsid w:val="00F63E0E"/>
    <w:rsid w:val="00F66673"/>
    <w:rsid w:val="00F705BB"/>
    <w:rsid w:val="00F8346B"/>
    <w:rsid w:val="00F8691E"/>
    <w:rsid w:val="00F87F89"/>
    <w:rsid w:val="00F917BF"/>
    <w:rsid w:val="00FB1452"/>
    <w:rsid w:val="00FC66C5"/>
    <w:rsid w:val="00FC717E"/>
    <w:rsid w:val="00FC7D4A"/>
    <w:rsid w:val="00FE070A"/>
    <w:rsid w:val="00FE1EE1"/>
    <w:rsid w:val="00FE5720"/>
    <w:rsid w:val="00FE5A9F"/>
    <w:rsid w:val="00FE767F"/>
    <w:rsid w:val="00FF07E3"/>
    <w:rsid w:val="00FF4B6A"/>
    <w:rsid w:val="00FF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43DB"/>
  <w15:docId w15:val="{658AB6FF-22E1-4CC4-8758-2DB6EF3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B07"/>
    <w:rPr>
      <w:rFonts w:ascii="Times New Roman" w:hAnsi="Times New Roman"/>
      <w:sz w:val="24"/>
    </w:rPr>
  </w:style>
  <w:style w:type="paragraph" w:styleId="Heading2">
    <w:name w:val="heading 2"/>
    <w:basedOn w:val="Normal"/>
    <w:next w:val="Normal"/>
    <w:link w:val="Heading2Char"/>
    <w:uiPriority w:val="9"/>
    <w:unhideWhenUsed/>
    <w:qFormat/>
    <w:rsid w:val="00542E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216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character" w:customStyle="1" w:styleId="Heading2Char">
    <w:name w:val="Heading 2 Char"/>
    <w:basedOn w:val="DefaultParagraphFont"/>
    <w:link w:val="Heading2"/>
    <w:uiPriority w:val="9"/>
    <w:rsid w:val="00542E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E216D"/>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D14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59CA"/>
    <w:rPr>
      <w:color w:val="605E5C"/>
      <w:shd w:val="clear" w:color="auto" w:fill="E1DFDD"/>
    </w:rPr>
  </w:style>
  <w:style w:type="paragraph" w:styleId="ListParagraph">
    <w:name w:val="List Paragraph"/>
    <w:basedOn w:val="Normal"/>
    <w:uiPriority w:val="34"/>
    <w:qFormat/>
    <w:rsid w:val="0020202D"/>
    <w:pPr>
      <w:ind w:left="720"/>
      <w:contextualSpacing/>
    </w:pPr>
  </w:style>
  <w:style w:type="paragraph" w:customStyle="1" w:styleId="TableParagraph">
    <w:name w:val="Table Paragraph"/>
    <w:basedOn w:val="Normal"/>
    <w:uiPriority w:val="1"/>
    <w:qFormat/>
    <w:rsid w:val="0003352A"/>
    <w:pPr>
      <w:widowControl w:val="0"/>
      <w:autoSpaceDE w:val="0"/>
      <w:autoSpaceDN w:val="0"/>
      <w:spacing w:after="0" w:line="240" w:lineRule="auto"/>
    </w:pPr>
    <w:rPr>
      <w:rFonts w:ascii="Arial Narrow" w:eastAsia="Arial Narrow" w:hAnsi="Arial Narrow" w:cs="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 w:id="787166893">
      <w:bodyDiv w:val="1"/>
      <w:marLeft w:val="0"/>
      <w:marRight w:val="0"/>
      <w:marTop w:val="0"/>
      <w:marBottom w:val="0"/>
      <w:divBdr>
        <w:top w:val="none" w:sz="0" w:space="0" w:color="auto"/>
        <w:left w:val="none" w:sz="0" w:space="0" w:color="auto"/>
        <w:bottom w:val="none" w:sz="0" w:space="0" w:color="auto"/>
        <w:right w:val="none" w:sz="0" w:space="0" w:color="auto"/>
      </w:divBdr>
    </w:div>
    <w:div w:id="19540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601277.2012.682953" TargetMode="External"/><Relationship Id="rId18" Type="http://schemas.openxmlformats.org/officeDocument/2006/relationships/hyperlink" Target="https://doi.org/10.1177/0733464815574093" TargetMode="External"/><Relationship Id="rId26" Type="http://schemas.openxmlformats.org/officeDocument/2006/relationships/hyperlink" Target="https://doi.org/10.1093/ageing/afab022" TargetMode="External"/><Relationship Id="rId39" Type="http://schemas.openxmlformats.org/officeDocument/2006/relationships/hyperlink" Target="https://www.census.gov/content/dam/Census/library/publications/2018/acs/ACS-38.pdf" TargetMode="External"/><Relationship Id="rId21" Type="http://schemas.openxmlformats.org/officeDocument/2006/relationships/hyperlink" Target="https://doi.org/10.1016/j.jsxm.2016.08.011" TargetMode="External"/><Relationship Id="rId34" Type="http://schemas.openxmlformats.org/officeDocument/2006/relationships/hyperlink" Target="https://doi.org/10.1016/j.emc.2019.07.009" TargetMode="External"/><Relationship Id="rId42" Type="http://schemas.openxmlformats.org/officeDocument/2006/relationships/hyperlink" Target="https://doi.org/10.3390/ijerph17072462" TargetMode="External"/><Relationship Id="rId47" Type="http://schemas.openxmlformats.org/officeDocument/2006/relationships/hyperlink" Target="https://doi.org/10.1038/nrurol.2016.268" TargetMode="External"/><Relationship Id="rId50" Type="http://schemas.openxmlformats.org/officeDocument/2006/relationships/hyperlink" Target="https://doi.org/10.1093/her/cyy007" TargetMode="External"/><Relationship Id="rId55"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nchhstp/newsroom/2017/std-surveillance-report-2016-press-release.html" TargetMode="External"/><Relationship Id="rId29" Type="http://schemas.openxmlformats.org/officeDocument/2006/relationships/hyperlink" Target="https://doi.org/10.18848/2160-1909/CGP/v06i02/17-27" TargetMode="External"/><Relationship Id="rId11" Type="http://schemas.openxmlformats.org/officeDocument/2006/relationships/hyperlink" Target="https://doi.org/10.1016/j.jogn.2019.04.015" TargetMode="External"/><Relationship Id="rId24" Type="http://schemas.openxmlformats.org/officeDocument/2006/relationships/hyperlink" Target="https://doi.org/10.1080/03601277.2017.1326226" TargetMode="External"/><Relationship Id="rId32" Type="http://schemas.openxmlformats.org/officeDocument/2006/relationships/hyperlink" Target="https://doi.org/10.1093/geront/gny029" TargetMode="External"/><Relationship Id="rId37" Type="http://schemas.openxmlformats.org/officeDocument/2006/relationships/hyperlink" Target="https://doi.org/10.1037/a0040221" TargetMode="External"/><Relationship Id="rId40" Type="http://schemas.openxmlformats.org/officeDocument/2006/relationships/hyperlink" Target="https://www.aafp.org/dam/AAFP/documents/journals/afp/Savoy.pdf" TargetMode="External"/><Relationship Id="rId45" Type="http://schemas.openxmlformats.org/officeDocument/2006/relationships/hyperlink" Target="https://doi.org/10.1111/jocn.13441" TargetMode="External"/><Relationship Id="rId53" Type="http://schemas.openxmlformats.org/officeDocument/2006/relationships/header" Target="header5.xml"/><Relationship Id="rId58" Type="http://schemas.openxmlformats.org/officeDocument/2006/relationships/header" Target="header7.xml"/><Relationship Id="rId5" Type="http://schemas.openxmlformats.org/officeDocument/2006/relationships/webSettings" Target="webSettings.xml"/><Relationship Id="rId19" Type="http://schemas.openxmlformats.org/officeDocument/2006/relationships/hyperlink" Target="https://doi.org/10.4103/2348-9995.19562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0021886319892685" TargetMode="External"/><Relationship Id="rId22" Type="http://schemas.openxmlformats.org/officeDocument/2006/relationships/hyperlink" Target="https://doi.org/10.1002/gps.4638" TargetMode="External"/><Relationship Id="rId27" Type="http://schemas.openxmlformats.org/officeDocument/2006/relationships/hyperlink" Target="https://doi.org/10.1016/j.ejon.2015.12.004" TargetMode="External"/><Relationship Id="rId30" Type="http://schemas.openxmlformats.org/officeDocument/2006/relationships/hyperlink" Target="https://doi.org/10.1371/journal.pmed.1002481" TargetMode="External"/><Relationship Id="rId35" Type="http://schemas.openxmlformats.org/officeDocument/2006/relationships/hyperlink" Target="https://doi.org/10.1111/wvn.12269" TargetMode="External"/><Relationship Id="rId43" Type="http://schemas.openxmlformats.org/officeDocument/2006/relationships/hyperlink" Target="https://doi.org/10.1007/s11920-019-1090-4" TargetMode="External"/><Relationship Id="rId48" Type="http://schemas.openxmlformats.org/officeDocument/2006/relationships/hyperlink" Target="https://doi.org/10.3390/ijerph17072186" TargetMode="External"/><Relationship Id="rId56" Type="http://schemas.openxmlformats.org/officeDocument/2006/relationships/image" Target="media/image3.jpeg"/><Relationship Id="rId8" Type="http://schemas.openxmlformats.org/officeDocument/2006/relationships/header" Target="header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93/heapro/dau098" TargetMode="External"/><Relationship Id="rId17" Type="http://schemas.openxmlformats.org/officeDocument/2006/relationships/hyperlink" Target="https://doi.org/10.1016/j.profnurs.2019.07.004" TargetMode="External"/><Relationship Id="rId25" Type="http://schemas.openxmlformats.org/officeDocument/2006/relationships/hyperlink" Target="https://doi.org/10.1016/j.rhm.2016.11.011" TargetMode="External"/><Relationship Id="rId33" Type="http://schemas.openxmlformats.org/officeDocument/2006/relationships/hyperlink" Target="https://doi.org/10.1111/ajag.12762" TargetMode="External"/><Relationship Id="rId38" Type="http://schemas.openxmlformats.org/officeDocument/2006/relationships/hyperlink" Target="https://doi.org/10.3201/eid2302.161707" TargetMode="External"/><Relationship Id="rId46" Type="http://schemas.openxmlformats.org/officeDocument/2006/relationships/hyperlink" Target="https://doi.org/10.1080/00224499.2015.1124379" TargetMode="External"/><Relationship Id="rId59" Type="http://schemas.openxmlformats.org/officeDocument/2006/relationships/fontTable" Target="fontTable.xml"/><Relationship Id="rId20" Type="http://schemas.openxmlformats.org/officeDocument/2006/relationships/hyperlink" Target="https://doi.org/10.1080/00224499.2017.1293603" TargetMode="External"/><Relationship Id="rId41" Type="http://schemas.openxmlformats.org/officeDocument/2006/relationships/hyperlink" Target="https://doi.org/10.1002/jia2.25188"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nop2.1122" TargetMode="External"/><Relationship Id="rId23" Type="http://schemas.openxmlformats.org/officeDocument/2006/relationships/hyperlink" Target="https://doi.org/10.1016/j.nedt.2016.02.012" TargetMode="External"/><Relationship Id="rId28" Type="http://schemas.openxmlformats.org/officeDocument/2006/relationships/hyperlink" Target="https://doi.org/10.1007/s11930-017-0119-0" TargetMode="External"/><Relationship Id="rId36" Type="http://schemas.openxmlformats.org/officeDocument/2006/relationships/hyperlink" Target="https://doi.org/10.1016/j.jamda.2017.03.008" TargetMode="External"/><Relationship Id="rId49" Type="http://schemas.openxmlformats.org/officeDocument/2006/relationships/hyperlink" Target="https://doi.org/10.1016/j.nedt.2020.104506" TargetMode="External"/><Relationship Id="rId57" Type="http://schemas.openxmlformats.org/officeDocument/2006/relationships/header" Target="header6.xml"/><Relationship Id="rId10" Type="http://schemas.openxmlformats.org/officeDocument/2006/relationships/chart" Target="charts/chart1.xml"/><Relationship Id="rId31" Type="http://schemas.openxmlformats.org/officeDocument/2006/relationships/hyperlink" Target="https://doi.org/10.1177/10783903211045733" TargetMode="External"/><Relationship Id="rId44" Type="http://schemas.openxmlformats.org/officeDocument/2006/relationships/hyperlink" Target="https://doi.org/10.1016/j.nedt.2012.06.019" TargetMode="External"/><Relationship Id="rId52" Type="http://schemas.openxmlformats.org/officeDocument/2006/relationships/header" Target="header4.xm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53D2-46C3-997E-4C690A263031}"/>
              </c:ext>
            </c:extLst>
          </c:dPt>
          <c:dPt>
            <c:idx val="1"/>
            <c:invertIfNegative val="0"/>
            <c:bubble3D val="0"/>
            <c:spPr>
              <a:solidFill>
                <a:srgbClr val="00B050"/>
              </a:solidFill>
              <a:ln>
                <a:noFill/>
              </a:ln>
              <a:effectLst/>
            </c:spPr>
            <c:extLst>
              <c:ext xmlns:c16="http://schemas.microsoft.com/office/drawing/2014/chart" uri="{C3380CC4-5D6E-409C-BE32-E72D297353CC}">
                <c16:uniqueId val="{00000003-53D2-46C3-997E-4C690A263031}"/>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D2-46C3-997E-4C690A263031}"/>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D2-46C3-997E-4C690A2630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Sheet1!$A$1:$B$1</c:f>
              <c:strCache>
                <c:ptCount val="2"/>
                <c:pt idx="0">
                  <c:v>Pre-Test</c:v>
                </c:pt>
                <c:pt idx="1">
                  <c:v>Post-Test</c:v>
                </c:pt>
              </c:strCache>
            </c:strRef>
          </c:cat>
          <c:val>
            <c:numRef>
              <c:f>Sheet1!$A$2:$B$2</c:f>
              <c:numCache>
                <c:formatCode>General</c:formatCode>
                <c:ptCount val="2"/>
                <c:pt idx="0">
                  <c:v>9.85</c:v>
                </c:pt>
                <c:pt idx="1">
                  <c:v>19.62</c:v>
                </c:pt>
              </c:numCache>
            </c:numRef>
          </c:val>
          <c:extLst>
            <c:ext xmlns:c16="http://schemas.microsoft.com/office/drawing/2014/chart" uri="{C3380CC4-5D6E-409C-BE32-E72D297353CC}">
              <c16:uniqueId val="{00000004-53D2-46C3-997E-4C690A263031}"/>
            </c:ext>
          </c:extLst>
        </c:ser>
        <c:dLbls>
          <c:showLegendKey val="0"/>
          <c:showVal val="0"/>
          <c:showCatName val="0"/>
          <c:showSerName val="0"/>
          <c:showPercent val="0"/>
          <c:showBubbleSize val="0"/>
        </c:dLbls>
        <c:gapWidth val="219"/>
        <c:overlap val="-27"/>
        <c:axId val="1765054063"/>
        <c:axId val="1742027807"/>
      </c:barChart>
      <c:catAx>
        <c:axId val="1765054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027807"/>
        <c:crosses val="autoZero"/>
        <c:auto val="1"/>
        <c:lblAlgn val="ctr"/>
        <c:lblOffset val="100"/>
        <c:noMultiLvlLbl val="0"/>
      </c:catAx>
      <c:valAx>
        <c:axId val="1742027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50540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886A-DF6B-B04B-9BE4-91A8661C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32</TotalTime>
  <Pages>65</Pages>
  <Words>15941</Words>
  <Characters>90867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L Hutchinson</dc:creator>
  <cp:lastModifiedBy>Sergio Amador Perez</cp:lastModifiedBy>
  <cp:revision>5</cp:revision>
  <cp:lastPrinted>2010-02-04T19:25:00Z</cp:lastPrinted>
  <dcterms:created xsi:type="dcterms:W3CDTF">2022-11-28T03:45:00Z</dcterms:created>
  <dcterms:modified xsi:type="dcterms:W3CDTF">2022-11-29T22:00:00Z</dcterms:modified>
</cp:coreProperties>
</file>