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000000" w:space="0" w:sz="4" w:val="single"/>
          <w:left w:color="000000" w:space="0" w:sz="4" w:val="single"/>
          <w:bottom w:color="000000" w:space="0" w:sz="4" w:val="single"/>
          <w:right w:color="000000" w:space="0" w:sz="4" w:val="single"/>
          <w:between w:color="000000" w:space="0" w:sz="4" w:val="single"/>
        </w:pBdr>
        <w:spacing w:after="220" w:before="220" w:lineRule="auto"/>
        <w:ind w:right="220"/>
        <w:contextualSpacing w:val="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ICOT 2018 </w:t>
      </w:r>
      <w:r w:rsidDel="00000000" w:rsidR="00000000" w:rsidRPr="00000000">
        <w:rPr>
          <w:rFonts w:ascii="Times New Roman" w:cs="Times New Roman" w:eastAsia="Times New Roman" w:hAnsi="Times New Roman"/>
          <w:b w:val="1"/>
          <w:sz w:val="24"/>
          <w:szCs w:val="24"/>
          <w:highlight w:val="white"/>
          <w:rtl w:val="0"/>
        </w:rPr>
        <w:t xml:space="preserve">Poster Session </w:t>
      </w:r>
      <w:r w:rsidDel="00000000" w:rsidR="00000000" w:rsidRPr="00000000">
        <w:rPr>
          <w:rFonts w:ascii="Times New Roman" w:cs="Times New Roman" w:eastAsia="Times New Roman" w:hAnsi="Times New Roman"/>
          <w:b w:val="1"/>
          <w:color w:val="000000"/>
          <w:sz w:val="24"/>
          <w:szCs w:val="24"/>
          <w:highlight w:val="white"/>
          <w:rtl w:val="0"/>
        </w:rPr>
        <w:t xml:space="preserve">Proposal</w:t>
      </w:r>
    </w:p>
    <w:p w:rsidR="00000000" w:rsidDel="00000000" w:rsidP="00000000" w:rsidRDefault="00000000" w:rsidRPr="00000000">
      <w:pPr>
        <w:pBdr>
          <w:top w:color="000000" w:space="0" w:sz="4" w:val="single"/>
          <w:left w:color="000000" w:space="0" w:sz="4" w:val="single"/>
          <w:bottom w:color="000000" w:space="0" w:sz="4" w:val="single"/>
          <w:right w:color="000000" w:space="0" w:sz="4" w:val="single"/>
          <w:between w:color="000000" w:space="0" w:sz="4" w:val="single"/>
        </w:pBdr>
        <w:spacing w:after="220" w:before="220" w:lineRule="auto"/>
        <w:ind w:right="220"/>
        <w:contextualSpacing w:val="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Presenter 1: </w:t>
      </w:r>
      <w:r w:rsidDel="00000000" w:rsidR="00000000" w:rsidRPr="00000000">
        <w:rPr>
          <w:rFonts w:ascii="Times New Roman" w:cs="Times New Roman" w:eastAsia="Times New Roman" w:hAnsi="Times New Roman"/>
          <w:b w:val="1"/>
          <w:color w:val="000000"/>
          <w:sz w:val="24"/>
          <w:szCs w:val="24"/>
          <w:highlight w:val="white"/>
          <w:rtl w:val="0"/>
        </w:rPr>
        <w:t xml:space="preserve">Alex Box, New Pedagogies for Deep Learning Peer Coach </w:t>
      </w:r>
      <w:hyperlink r:id="rId5">
        <w:r w:rsidDel="00000000" w:rsidR="00000000" w:rsidRPr="00000000">
          <w:rPr>
            <w:rFonts w:ascii="Times New Roman" w:cs="Times New Roman" w:eastAsia="Times New Roman" w:hAnsi="Times New Roman"/>
            <w:b w:val="1"/>
            <w:color w:val="1155cc"/>
            <w:sz w:val="24"/>
            <w:szCs w:val="24"/>
            <w:highlight w:val="white"/>
            <w:u w:val="single"/>
            <w:rtl w:val="0"/>
          </w:rPr>
          <w:t xml:space="preserve">box.alexandra.j@edumail.vic.gov.au</w:t>
        </w:r>
      </w:hyperlink>
      <w:r w:rsidDel="00000000" w:rsidR="00000000" w:rsidRPr="00000000">
        <w:rPr>
          <w:rFonts w:ascii="Times New Roman" w:cs="Times New Roman" w:eastAsia="Times New Roman" w:hAnsi="Times New Roman"/>
          <w:b w:val="1"/>
          <w:sz w:val="24"/>
          <w:szCs w:val="24"/>
          <w:highlight w:val="white"/>
          <w:rtl w:val="0"/>
        </w:rPr>
        <w:t xml:space="preserve">                                                                              Presenter 2: Nicole Barnes, New Pedagogies for Deep Learning Lead </w:t>
      </w:r>
      <w:hyperlink r:id="rId6">
        <w:r w:rsidDel="00000000" w:rsidR="00000000" w:rsidRPr="00000000">
          <w:rPr>
            <w:rFonts w:ascii="Times New Roman" w:cs="Times New Roman" w:eastAsia="Times New Roman" w:hAnsi="Times New Roman"/>
            <w:b w:val="1"/>
            <w:color w:val="1155cc"/>
            <w:sz w:val="24"/>
            <w:szCs w:val="24"/>
            <w:highlight w:val="white"/>
            <w:u w:val="single"/>
            <w:rtl w:val="0"/>
          </w:rPr>
          <w:t xml:space="preserve">barnesfive@me.com</w:t>
        </w:r>
      </w:hyperlink>
      <w:r w:rsidDel="00000000" w:rsidR="00000000" w:rsidRPr="00000000">
        <w:rPr>
          <w:rtl w:val="0"/>
        </w:rPr>
      </w:r>
    </w:p>
    <w:p w:rsidR="00000000" w:rsidDel="00000000" w:rsidP="00000000" w:rsidRDefault="00000000" w:rsidRPr="00000000">
      <w:pPr>
        <w:pBdr>
          <w:top w:color="000000" w:space="0" w:sz="4" w:val="single"/>
          <w:left w:color="000000" w:space="0" w:sz="4" w:val="single"/>
          <w:bottom w:color="000000" w:space="0" w:sz="4" w:val="single"/>
          <w:right w:color="000000" w:space="0" w:sz="4" w:val="single"/>
          <w:between w:color="000000" w:space="0" w:sz="4" w:val="single"/>
        </w:pBdr>
        <w:spacing w:after="220" w:before="220" w:lineRule="auto"/>
        <w:ind w:right="220"/>
        <w:contextualSpacing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How do curriculum and pedagogy impact learner wellbeing?</w:t>
      </w: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Preparing our students to become future problem-solvers and changemakers is one of the big aims of modern learning. So too is learner wellbeing which is often addressed through stand alone programs such as those delivering a focus on school values, anti-bullying and cyber-awareness. There is much work being done in education to consider how better to prepare students for both their personal and professional lives. One of our concerns, is the need to better recognise and explicitly strengthen the link between general curriculum and pedagogy, with deeply embedded global citizneship opportunities, and student wellbeing.</w:t>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the New Pedagogies for Deep Learning, led by Michael Fullan, addresses this issue (Fullan &amp; Langworthy, 2014). The framework which embeds local and global awareness, provides opportunities to take action and develop the 6 deep learning competencies of Character, (Global) Citizenship, Creativity, Critical Thinking, Communication and Collaboration. We have adopted and reflected on the practicalities of the new pedagogies at a primary school level, and continue to do so. We have found that these learning pedagogies empower students, and becomes an explicit approach to student wellbeing. The wholistic nature of learning according to this learning framework, moves away from a focus on traditional ideas of what successful learning looks like and creates opportunities for all students to learn, to shine and to be valued. Adopting relationship-based pedagogies which emphasise a mutual trust between educators and students is paramount. Coupled with this, we draw on Lane Clark’s (2015) ideas around relevance, with students considering explicitly how they are making a difference in their own lives, and in the lives of others. Drawing on her strategies and our reflections, we have developed classroom practices through which students develop empathy and compassion as well as thinking skills required for authentic learning projects which involve tackling real-world issues.  </w:t>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discovered that embedding community and/or global issues at the core of a big learning inquiry provides our students with authentic opportunities to become informed and empowered to take various forms of action including further learning, awareness projects and fundraising; all involving student agency. We will share how students become more engaged in their learning and propose that adopting the New Pedagogies for Deep Learning framework will have a positive influence on student wellbeing through the empowerment and human purpose associated by these learning opportunities.  This adds an essential layer to approaching student wellbeing through education. We also utilise expansive framing of focussed wellbeing programs, such as whole school approaches to kindness, self-esteem and cyber-awareness, in order to explicitly  connect these with curriculum and new pedagogies. </w:t>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supplement the presentation with a handout of the project summary, resources we have found helpful and a link to blog articles through which we document and reflect on the impact of the new pedagogies on learner wellbeing. We will also create opportunities for optional audience contributions via some of the interactive tools we use to activate student voice in teaching practice. </w:t>
      </w:r>
    </w:p>
    <w:p w:rsidR="00000000" w:rsidDel="00000000" w:rsidP="00000000" w:rsidRDefault="00000000" w:rsidRPr="00000000">
      <w:pPr>
        <w:spacing w:line="36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Clark, L. (2015, March). </w:t>
      </w:r>
      <w:r w:rsidDel="00000000" w:rsidR="00000000" w:rsidRPr="00000000">
        <w:rPr>
          <w:rFonts w:ascii="Times New Roman" w:cs="Times New Roman" w:eastAsia="Times New Roman" w:hAnsi="Times New Roman"/>
          <w:i w:val="1"/>
          <w:rtl w:val="0"/>
        </w:rPr>
        <w:t xml:space="preserve">Where thinking and learning meet. </w:t>
      </w:r>
      <w:r w:rsidDel="00000000" w:rsidR="00000000" w:rsidRPr="00000000">
        <w:rPr>
          <w:rFonts w:ascii="Times New Roman" w:cs="Times New Roman" w:eastAsia="Times New Roman" w:hAnsi="Times New Roman"/>
          <w:rtl w:val="0"/>
        </w:rPr>
        <w:t xml:space="preserve">Provided by the Victorian Department of Education and Training for participants of the New Pedagogies for Deep Learning, Melbourne, Australia.</w:t>
      </w:r>
    </w:p>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Fullan, M. , &amp; Langworthy, M. (2014). </w:t>
      </w:r>
      <w:r w:rsidDel="00000000" w:rsidR="00000000" w:rsidRPr="00000000">
        <w:rPr>
          <w:rFonts w:ascii="Times New Roman" w:cs="Times New Roman" w:eastAsia="Times New Roman" w:hAnsi="Times New Roman"/>
          <w:i w:val="1"/>
          <w:rtl w:val="0"/>
        </w:rPr>
        <w:t xml:space="preserve">A rich seam: how new pedagogies find deep learning.</w:t>
      </w:r>
      <w:r w:rsidDel="00000000" w:rsidR="00000000" w:rsidRPr="00000000">
        <w:rPr>
          <w:rFonts w:ascii="Times New Roman" w:cs="Times New Roman" w:eastAsia="Times New Roman" w:hAnsi="Times New Roman"/>
          <w:rtl w:val="0"/>
        </w:rPr>
        <w:t xml:space="preserve"> Retrieved from </w:t>
      </w:r>
      <w:hyperlink r:id="rId7">
        <w:r w:rsidDel="00000000" w:rsidR="00000000" w:rsidRPr="00000000">
          <w:rPr>
            <w:rFonts w:ascii="Times New Roman" w:cs="Times New Roman" w:eastAsia="Times New Roman" w:hAnsi="Times New Roman"/>
            <w:color w:val="1155cc"/>
            <w:u w:val="single"/>
            <w:rtl w:val="0"/>
          </w:rPr>
          <w:t xml:space="preserve">http://www.michaelfullan.ca/wp-content/uploads/2014/01/3897.Rich_Seam_web.pdf</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box.alexandra.j@edumail.vic.gov.au" TargetMode="External"/><Relationship Id="rId6" Type="http://schemas.openxmlformats.org/officeDocument/2006/relationships/hyperlink" Target="mailto:barnes.nicole.m1@edumail.vic.gov.au" TargetMode="External"/><Relationship Id="rId7" Type="http://schemas.openxmlformats.org/officeDocument/2006/relationships/hyperlink" Target="http://www.michaelfullan.ca/wp-content/uploads/2014/01/3897.Rich_Seam_web.pdf" TargetMode="External"/></Relationships>
</file>