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E290F" w14:textId="77777777" w:rsidR="003B14CC" w:rsidRDefault="003B14CC" w:rsidP="001D22D0">
      <w:pPr>
        <w:jc w:val="both"/>
        <w:rPr>
          <w:b/>
        </w:rPr>
      </w:pPr>
      <w:r w:rsidRPr="00146ED8">
        <w:rPr>
          <w:b/>
        </w:rPr>
        <w:t>Introduction</w:t>
      </w:r>
    </w:p>
    <w:p w14:paraId="657A0A93" w14:textId="77777777" w:rsidR="00146ED8" w:rsidRPr="00146ED8" w:rsidRDefault="00146ED8" w:rsidP="001D22D0">
      <w:pPr>
        <w:jc w:val="both"/>
        <w:rPr>
          <w:b/>
        </w:rPr>
      </w:pPr>
    </w:p>
    <w:p w14:paraId="15F49959" w14:textId="77777777" w:rsidR="00146ED8" w:rsidRDefault="000F45FD" w:rsidP="004A53F0">
      <w:pPr>
        <w:ind w:firstLine="720"/>
        <w:jc w:val="both"/>
      </w:pPr>
      <w:r w:rsidRPr="00001100">
        <w:t xml:space="preserve">The year 2011 marked the beginning of a new decade with hopes of a sharp upward turn of the economy, better economic indicators, and lower unemployment rates.  Although unemployment rates did drop from the highest of 10% in October 2009, the </w:t>
      </w:r>
      <w:r w:rsidR="004445AB" w:rsidRPr="00001100">
        <w:t>monthly reported rates in</w:t>
      </w:r>
      <w:r w:rsidRPr="00001100">
        <w:t xml:space="preserve"> 2011 </w:t>
      </w:r>
      <w:r w:rsidR="004445AB" w:rsidRPr="00001100">
        <w:t>were mostly at the 9.0 and 9.1 levels with the last quarter finally br</w:t>
      </w:r>
      <w:r w:rsidR="00F249B1" w:rsidRPr="00001100">
        <w:t xml:space="preserve">eaking </w:t>
      </w:r>
      <w:r w:rsidR="004445AB" w:rsidRPr="00001100">
        <w:t>the 9.0 mark and reported at 8.9, 8.7 and ended in December at 8.5%</w:t>
      </w:r>
      <w:r w:rsidR="001D2CA7" w:rsidRPr="00001100">
        <w:t xml:space="preserve"> (Labor force statistics, Bureau of Labor Statistics, 2012).  </w:t>
      </w:r>
      <w:r w:rsidR="004445AB" w:rsidRPr="00001100">
        <w:t xml:space="preserve">The average annual consumer price index </w:t>
      </w:r>
      <w:r w:rsidR="001D2CA7" w:rsidRPr="00001100">
        <w:t xml:space="preserve">for the year is 224.939, with no signs of slowing down (Consumer price index, Bureau of Labor Statistics, 2012).  </w:t>
      </w:r>
    </w:p>
    <w:p w14:paraId="63ABAD0B" w14:textId="77777777" w:rsidR="003B14CC" w:rsidRDefault="00B22D95" w:rsidP="001D22D0">
      <w:pPr>
        <w:ind w:firstLine="720"/>
        <w:jc w:val="both"/>
      </w:pPr>
      <w:r w:rsidRPr="00001100">
        <w:t xml:space="preserve">Many club executives have been waiting patiently for the industry to rebound since its banner year in 2004.  For the past seven years, the industry has been very disciplined, watching all aspects of the business, trying to </w:t>
      </w:r>
      <w:r w:rsidR="00340F22" w:rsidRPr="00001100">
        <w:t xml:space="preserve">satisfy </w:t>
      </w:r>
      <w:r w:rsidRPr="00001100">
        <w:t>the membership</w:t>
      </w:r>
      <w:r w:rsidR="00340F22" w:rsidRPr="00001100">
        <w:t xml:space="preserve">, </w:t>
      </w:r>
      <w:r w:rsidRPr="00001100">
        <w:t>marketing new services, upgrading the clubhouse</w:t>
      </w:r>
      <w:r w:rsidR="00340F22" w:rsidRPr="00001100">
        <w:t xml:space="preserve">, </w:t>
      </w:r>
      <w:r w:rsidRPr="00001100">
        <w:t>golf courses</w:t>
      </w:r>
      <w:r w:rsidR="00340F22" w:rsidRPr="00001100">
        <w:t xml:space="preserve">, </w:t>
      </w:r>
      <w:r w:rsidRPr="00001100">
        <w:t>and other athletic facilities, accounting for every cost and revenue source</w:t>
      </w:r>
      <w:r w:rsidR="00527FC1" w:rsidRPr="00001100">
        <w:t>.  While this article reports the state of the industry for 2011</w:t>
      </w:r>
      <w:r w:rsidR="00DF62F4" w:rsidRPr="00001100">
        <w:t xml:space="preserve"> with the</w:t>
      </w:r>
      <w:r w:rsidR="00527FC1" w:rsidRPr="00001100">
        <w:t xml:space="preserve"> median </w:t>
      </w:r>
      <w:r w:rsidR="00DF62F4" w:rsidRPr="00001100">
        <w:t xml:space="preserve">financial </w:t>
      </w:r>
      <w:r w:rsidR="00527FC1" w:rsidRPr="00001100">
        <w:t>performance</w:t>
      </w:r>
      <w:r w:rsidR="00DF62F4" w:rsidRPr="00001100">
        <w:t xml:space="preserve"> indicators </w:t>
      </w:r>
      <w:r w:rsidR="00527FC1" w:rsidRPr="00001100">
        <w:t>as benchmark</w:t>
      </w:r>
      <w:r w:rsidR="00DF62F4" w:rsidRPr="00001100">
        <w:t>s</w:t>
      </w:r>
      <w:r w:rsidR="00527FC1" w:rsidRPr="00001100">
        <w:t>, the success of some clubs being the top performers and the struggles of others being the low performers will also be highlighted in two subgroups.  Their financial performance in terms of their financial ratios will be compared so as to identif</w:t>
      </w:r>
      <w:r w:rsidR="00DF62F4" w:rsidRPr="00001100">
        <w:t>y</w:t>
      </w:r>
      <w:r w:rsidR="00527FC1" w:rsidRPr="00001100">
        <w:t xml:space="preserve"> why certain clubs are able to perform more successfully.  </w:t>
      </w:r>
      <w:r w:rsidR="003B14CC" w:rsidRPr="00001100">
        <w:t xml:space="preserve">In </w:t>
      </w:r>
      <w:r w:rsidR="00DF62F4" w:rsidRPr="00001100">
        <w:t xml:space="preserve">the current economy when every single dollar counts, </w:t>
      </w:r>
      <w:r w:rsidR="003B14CC" w:rsidRPr="00001100">
        <w:t xml:space="preserve">quick dashboard benchmarks </w:t>
      </w:r>
      <w:r w:rsidR="00DF62F4" w:rsidRPr="00001100">
        <w:t xml:space="preserve">that can provide </w:t>
      </w:r>
      <w:r w:rsidR="003B14CC" w:rsidRPr="00001100">
        <w:t>club</w:t>
      </w:r>
      <w:r w:rsidR="00DF62F4" w:rsidRPr="00001100">
        <w:t xml:space="preserve"> management and executive</w:t>
      </w:r>
      <w:r w:rsidR="003B14CC" w:rsidRPr="00001100">
        <w:t xml:space="preserve">s </w:t>
      </w:r>
      <w:r w:rsidR="00DF62F4" w:rsidRPr="00001100">
        <w:t xml:space="preserve">just-in-time information to make decisions will help </w:t>
      </w:r>
      <w:r w:rsidR="00340F22" w:rsidRPr="00001100">
        <w:t>provide</w:t>
      </w:r>
      <w:r w:rsidR="00DF62F4" w:rsidRPr="00001100">
        <w:t xml:space="preserve"> a more stable financial picture for the operation, thereby providing </w:t>
      </w:r>
      <w:proofErr w:type="gramStart"/>
      <w:r w:rsidR="00DF62F4" w:rsidRPr="00001100">
        <w:t>longer term</w:t>
      </w:r>
      <w:proofErr w:type="gramEnd"/>
      <w:r w:rsidR="00DF62F4" w:rsidRPr="00001100">
        <w:t xml:space="preserve"> benefits to the members.</w:t>
      </w:r>
    </w:p>
    <w:p w14:paraId="4C1A644C" w14:textId="77777777" w:rsidR="00146ED8" w:rsidRPr="00001100" w:rsidRDefault="00146ED8" w:rsidP="00EE137F">
      <w:pPr>
        <w:jc w:val="both"/>
      </w:pPr>
    </w:p>
    <w:p w14:paraId="2B86A7A1" w14:textId="77777777" w:rsidR="003B14CC" w:rsidRDefault="003B14CC" w:rsidP="001D22D0">
      <w:pPr>
        <w:jc w:val="both"/>
        <w:outlineLvl w:val="0"/>
        <w:rPr>
          <w:b/>
        </w:rPr>
      </w:pPr>
      <w:r w:rsidRPr="00001100">
        <w:rPr>
          <w:b/>
        </w:rPr>
        <w:t>Need and Purpose of the Study</w:t>
      </w:r>
    </w:p>
    <w:p w14:paraId="67D9942B" w14:textId="77777777" w:rsidR="00146ED8" w:rsidRPr="00001100" w:rsidRDefault="00146ED8" w:rsidP="001D22D0">
      <w:pPr>
        <w:jc w:val="both"/>
        <w:outlineLvl w:val="0"/>
        <w:rPr>
          <w:b/>
        </w:rPr>
      </w:pPr>
    </w:p>
    <w:p w14:paraId="211616CE" w14:textId="77777777" w:rsidR="00146ED8" w:rsidRDefault="00D22D13" w:rsidP="004A53F0">
      <w:pPr>
        <w:jc w:val="both"/>
      </w:pPr>
      <w:r w:rsidRPr="00001100">
        <w:tab/>
        <w:t xml:space="preserve">The need to manage a business </w:t>
      </w:r>
      <w:r w:rsidR="00090FA5" w:rsidRPr="00001100">
        <w:t xml:space="preserve">successfully </w:t>
      </w:r>
      <w:r w:rsidRPr="00001100">
        <w:t xml:space="preserve">has never been more important.  Even in the </w:t>
      </w:r>
      <w:r w:rsidR="003B14CC" w:rsidRPr="00001100">
        <w:t xml:space="preserve">club industry </w:t>
      </w:r>
      <w:r w:rsidRPr="00001100">
        <w:t>where most club</w:t>
      </w:r>
      <w:r w:rsidR="00E74FA8" w:rsidRPr="00001100">
        <w:t>s</w:t>
      </w:r>
      <w:r w:rsidRPr="00001100">
        <w:t xml:space="preserve"> are still non-profit in orientation, making a profit can easily translate into reinvesting in the club for enhanced services so that members can be served better.   Having an adequate reserve also means less or no assessment </w:t>
      </w:r>
      <w:r w:rsidR="00090FA5" w:rsidRPr="00001100">
        <w:t xml:space="preserve">to </w:t>
      </w:r>
      <w:proofErr w:type="gramStart"/>
      <w:r w:rsidR="00090FA5" w:rsidRPr="00001100">
        <w:t xml:space="preserve">members </w:t>
      </w:r>
      <w:r w:rsidRPr="00001100">
        <w:t>which</w:t>
      </w:r>
      <w:proofErr w:type="gramEnd"/>
      <w:r w:rsidRPr="00001100">
        <w:t xml:space="preserve"> again translate</w:t>
      </w:r>
      <w:r w:rsidR="009710A2" w:rsidRPr="00001100">
        <w:t>s</w:t>
      </w:r>
      <w:r w:rsidRPr="00001100">
        <w:t xml:space="preserve"> into better benefits to the membership.  </w:t>
      </w:r>
      <w:r w:rsidR="003B14CC" w:rsidRPr="00001100">
        <w:t>T</w:t>
      </w:r>
      <w:r w:rsidR="009710A2" w:rsidRPr="00001100">
        <w:t xml:space="preserve">o ensure a business is financially healthy, </w:t>
      </w:r>
      <w:r w:rsidR="003B14CC" w:rsidRPr="00001100">
        <w:t xml:space="preserve">club managers </w:t>
      </w:r>
      <w:r w:rsidR="009710A2" w:rsidRPr="00001100">
        <w:t xml:space="preserve">must set proper financial goals with their boards, then set intermediate goals with their staff, </w:t>
      </w:r>
      <w:r w:rsidR="00531539" w:rsidRPr="00001100">
        <w:t xml:space="preserve">and </w:t>
      </w:r>
      <w:r w:rsidR="003B14CC" w:rsidRPr="00001100">
        <w:t xml:space="preserve">examine their financial </w:t>
      </w:r>
      <w:r w:rsidR="009710A2" w:rsidRPr="00001100">
        <w:t>results</w:t>
      </w:r>
      <w:r w:rsidR="00531539" w:rsidRPr="00001100">
        <w:t xml:space="preserve"> </w:t>
      </w:r>
      <w:r w:rsidR="009710A2" w:rsidRPr="00001100">
        <w:t xml:space="preserve">in order to </w:t>
      </w:r>
      <w:r w:rsidR="003B14CC" w:rsidRPr="00001100">
        <w:t xml:space="preserve">make proper operating decisions.  </w:t>
      </w:r>
    </w:p>
    <w:p w14:paraId="6775A6DD" w14:textId="77777777" w:rsidR="00146ED8" w:rsidRDefault="009710A2" w:rsidP="004A53F0">
      <w:pPr>
        <w:ind w:firstLine="720"/>
        <w:jc w:val="both"/>
      </w:pPr>
      <w:r w:rsidRPr="00001100">
        <w:t xml:space="preserve">There are a number of good publications for the club business, including those of </w:t>
      </w:r>
      <w:r w:rsidR="003B14CC" w:rsidRPr="00001100">
        <w:t xml:space="preserve">Pannell Kerr Foster (PKF) and </w:t>
      </w:r>
      <w:proofErr w:type="spellStart"/>
      <w:r w:rsidR="003B14CC" w:rsidRPr="00001100">
        <w:t>McGladrey</w:t>
      </w:r>
      <w:proofErr w:type="spellEnd"/>
      <w:r w:rsidR="003B14CC" w:rsidRPr="00001100">
        <w:t xml:space="preserve"> and Pullen LLP</w:t>
      </w:r>
      <w:r w:rsidRPr="00001100">
        <w:t xml:space="preserve">.  They supply great operating statistics, focusing on the </w:t>
      </w:r>
      <w:r w:rsidR="003B14CC" w:rsidRPr="00001100">
        <w:t xml:space="preserve">statement of activities (or income </w:t>
      </w:r>
      <w:r w:rsidR="003B14CC" w:rsidRPr="00001100">
        <w:lastRenderedPageBreak/>
        <w:t xml:space="preserve">statement) instead of the balance sheet (Schmidgall &amp; DeFranco, 2004).  </w:t>
      </w:r>
      <w:r w:rsidRPr="00001100">
        <w:t>I</w:t>
      </w:r>
      <w:r w:rsidR="003B14CC" w:rsidRPr="00001100">
        <w:t>n addition, general financial ratios publications such as the Business Almanac, R</w:t>
      </w:r>
      <w:r w:rsidRPr="00001100">
        <w:t>isk Management Association’s Annual Statement Studies (formerly R</w:t>
      </w:r>
      <w:r w:rsidR="003B14CC" w:rsidRPr="00001100">
        <w:t>obert and Morris Associates</w:t>
      </w:r>
      <w:r w:rsidRPr="00001100">
        <w:t>)</w:t>
      </w:r>
      <w:r w:rsidR="003B14CC" w:rsidRPr="00001100">
        <w:t>, and Dun and Bradstreet</w:t>
      </w:r>
      <w:r w:rsidR="00E74FA8" w:rsidRPr="00001100">
        <w:t xml:space="preserve"> (D&amp;B)</w:t>
      </w:r>
      <w:r w:rsidR="003B14CC" w:rsidRPr="00001100">
        <w:t xml:space="preserve">, </w:t>
      </w:r>
      <w:r w:rsidR="00E74FA8" w:rsidRPr="00001100">
        <w:t xml:space="preserve">all </w:t>
      </w:r>
      <w:r w:rsidR="003B14CC" w:rsidRPr="00001100">
        <w:t xml:space="preserve">code the club industry under </w:t>
      </w:r>
      <w:r w:rsidR="00E74FA8" w:rsidRPr="00001100">
        <w:t xml:space="preserve">OSHA’s </w:t>
      </w:r>
      <w:r w:rsidR="003B14CC" w:rsidRPr="00001100">
        <w:t xml:space="preserve">standard industry classification code of 7997.  This code is determined by the government and covers all sorts of clubs including aviation, bridge, baseball, beach, bowling leagues, and even handball clubs as wells as country, golf, yacht, and city clubs (DeFranco and Schmidgall, 2008).  Thus, a </w:t>
      </w:r>
      <w:r w:rsidR="00652EEE" w:rsidRPr="00001100">
        <w:t xml:space="preserve">unique </w:t>
      </w:r>
      <w:r w:rsidR="003B14CC" w:rsidRPr="00001100">
        <w:t xml:space="preserve">study </w:t>
      </w:r>
      <w:r w:rsidR="00E74FA8" w:rsidRPr="00001100">
        <w:t xml:space="preserve">for </w:t>
      </w:r>
      <w:r w:rsidR="003B14CC" w:rsidRPr="00001100">
        <w:t xml:space="preserve">clubs most represented by the Club Managers Association of America, where </w:t>
      </w:r>
      <w:r w:rsidR="00E74FA8" w:rsidRPr="00001100">
        <w:t xml:space="preserve">our </w:t>
      </w:r>
      <w:r w:rsidR="003B14CC" w:rsidRPr="00001100">
        <w:t xml:space="preserve">hospitality students will most likely be employed, </w:t>
      </w:r>
      <w:r w:rsidR="00E74FA8" w:rsidRPr="00001100">
        <w:t>is of value.</w:t>
      </w:r>
    </w:p>
    <w:p w14:paraId="278F57CF" w14:textId="77777777" w:rsidR="003B14CC" w:rsidRDefault="003B14CC" w:rsidP="001D22D0">
      <w:pPr>
        <w:ind w:firstLine="720"/>
        <w:jc w:val="both"/>
      </w:pPr>
      <w:r w:rsidRPr="00001100">
        <w:t xml:space="preserve">This study </w:t>
      </w:r>
      <w:r w:rsidR="00E74FA8" w:rsidRPr="00001100">
        <w:t>therefore reports 24</w:t>
      </w:r>
      <w:r w:rsidRPr="00001100">
        <w:t xml:space="preserve"> selected financial ratios </w:t>
      </w:r>
      <w:r w:rsidR="00E74FA8" w:rsidRPr="00001100">
        <w:t>for</w:t>
      </w:r>
      <w:r w:rsidRPr="00001100">
        <w:t xml:space="preserve"> the club industry in 20</w:t>
      </w:r>
      <w:r w:rsidR="00E74FA8" w:rsidRPr="00001100">
        <w:t>11</w:t>
      </w:r>
      <w:r w:rsidRPr="00001100">
        <w:t xml:space="preserve">. </w:t>
      </w:r>
      <w:r w:rsidR="00E74FA8" w:rsidRPr="00001100">
        <w:t xml:space="preserve"> An analysis of the financial results, in terms of similarities and differences of the top and low performers as determined by the return on assets (ROA) is also included.</w:t>
      </w:r>
      <w:r w:rsidRPr="00001100">
        <w:t xml:space="preserve">  For this study, the top performers are </w:t>
      </w:r>
      <w:r w:rsidR="00E74FA8" w:rsidRPr="00001100">
        <w:t>those that reported in the top</w:t>
      </w:r>
      <w:r w:rsidRPr="00001100">
        <w:t xml:space="preserve"> 20% </w:t>
      </w:r>
      <w:r w:rsidR="00E74FA8" w:rsidRPr="00001100">
        <w:t xml:space="preserve">ROA </w:t>
      </w:r>
      <w:r w:rsidRPr="00001100">
        <w:t xml:space="preserve">of the group while the </w:t>
      </w:r>
      <w:r w:rsidR="00E74FA8" w:rsidRPr="00001100">
        <w:t>low</w:t>
      </w:r>
      <w:r w:rsidRPr="00001100">
        <w:t xml:space="preserve"> performers are clubs whose </w:t>
      </w:r>
      <w:r w:rsidR="00E74FA8" w:rsidRPr="00001100">
        <w:t xml:space="preserve">ROAs </w:t>
      </w:r>
      <w:r w:rsidRPr="00001100">
        <w:t>are in the</w:t>
      </w:r>
      <w:r w:rsidR="00E74FA8" w:rsidRPr="00001100">
        <w:t xml:space="preserve"> bottom 20%.   M</w:t>
      </w:r>
      <w:r w:rsidRPr="00001100">
        <w:t>edian ratios</w:t>
      </w:r>
      <w:r w:rsidR="00E74FA8" w:rsidRPr="00001100">
        <w:t>,</w:t>
      </w:r>
      <w:r w:rsidRPr="00001100">
        <w:t xml:space="preserve"> key balance sheet and statement of activities financial data</w:t>
      </w:r>
      <w:r w:rsidR="00E74FA8" w:rsidRPr="00001100">
        <w:t xml:space="preserve"> are presented</w:t>
      </w:r>
      <w:r w:rsidRPr="00001100">
        <w:t xml:space="preserve">.  </w:t>
      </w:r>
    </w:p>
    <w:p w14:paraId="41286CC7" w14:textId="77777777" w:rsidR="00146ED8" w:rsidRPr="00001100" w:rsidRDefault="00146ED8" w:rsidP="00EE137F">
      <w:pPr>
        <w:jc w:val="both"/>
      </w:pPr>
    </w:p>
    <w:p w14:paraId="46E1DA32" w14:textId="77777777" w:rsidR="003B14CC" w:rsidRDefault="003B14CC" w:rsidP="001D22D0">
      <w:pPr>
        <w:jc w:val="both"/>
        <w:outlineLvl w:val="0"/>
        <w:rPr>
          <w:b/>
        </w:rPr>
      </w:pPr>
      <w:r w:rsidRPr="00001100">
        <w:rPr>
          <w:b/>
        </w:rPr>
        <w:t>Literature Review</w:t>
      </w:r>
    </w:p>
    <w:p w14:paraId="617C8A14" w14:textId="77777777" w:rsidR="00146ED8" w:rsidRPr="00001100" w:rsidRDefault="00146ED8" w:rsidP="001D22D0">
      <w:pPr>
        <w:jc w:val="both"/>
        <w:outlineLvl w:val="0"/>
        <w:rPr>
          <w:b/>
        </w:rPr>
      </w:pPr>
    </w:p>
    <w:p w14:paraId="01C9F9E9" w14:textId="77777777" w:rsidR="00146ED8" w:rsidRDefault="00652EEE" w:rsidP="004A53F0">
      <w:pPr>
        <w:ind w:firstLine="720"/>
        <w:jc w:val="both"/>
        <w:rPr>
          <w:noProof/>
        </w:rPr>
      </w:pPr>
      <w:r w:rsidRPr="00001100">
        <w:t xml:space="preserve">Just as </w:t>
      </w:r>
      <w:r w:rsidR="00224A3F" w:rsidRPr="00001100">
        <w:t xml:space="preserve">in </w:t>
      </w:r>
      <w:r w:rsidRPr="00001100">
        <w:t xml:space="preserve">any business, the club industry needs standards and benchmarks.  Benchmarks are needed </w:t>
      </w:r>
      <w:r w:rsidR="005E2CE6" w:rsidRPr="00001100">
        <w:t>for comparison so a business within an industry can compare itself to its competitors.  Similarly, benchmarks can also be set internally in terms of budgets and goals for a company to gauge its performance when compared to its budgeted amounts or set goals.  B</w:t>
      </w:r>
      <w:r w:rsidR="003B14CC" w:rsidRPr="00001100">
        <w:t xml:space="preserve">enchmarking is </w:t>
      </w:r>
      <w:r w:rsidR="005E2CE6" w:rsidRPr="00001100">
        <w:t xml:space="preserve">a </w:t>
      </w:r>
      <w:r w:rsidR="003B14CC" w:rsidRPr="00001100">
        <w:t>process started in the manufacturing industry</w:t>
      </w:r>
      <w:r w:rsidR="005E2CE6" w:rsidRPr="00001100">
        <w:t xml:space="preserve"> and documented by Camp (1989</w:t>
      </w:r>
      <w:proofErr w:type="gramStart"/>
      <w:r w:rsidR="005E2CE6" w:rsidRPr="00001100">
        <w:t>)  where</w:t>
      </w:r>
      <w:proofErr w:type="gramEnd"/>
      <w:r w:rsidR="005E2CE6" w:rsidRPr="00001100">
        <w:t xml:space="preserve"> he </w:t>
      </w:r>
      <w:r w:rsidR="003B14CC" w:rsidRPr="00001100">
        <w:t>reported that Xerox classified benchmarking as planning, analysis, integration, actio</w:t>
      </w:r>
      <w:r w:rsidR="009A6E83" w:rsidRPr="00001100">
        <w:t xml:space="preserve">n, and finally maturity.  Camp also </w:t>
      </w:r>
      <w:r w:rsidR="003B14CC" w:rsidRPr="00001100">
        <w:t xml:space="preserve">stressed that a system </w:t>
      </w:r>
      <w:r w:rsidR="009A6E83" w:rsidRPr="00001100">
        <w:t>of</w:t>
      </w:r>
      <w:r w:rsidR="003B14CC" w:rsidRPr="00001100">
        <w:t xml:space="preserve"> continuous improvement </w:t>
      </w:r>
      <w:r w:rsidR="009A6E83" w:rsidRPr="00001100">
        <w:t xml:space="preserve">is crucial </w:t>
      </w:r>
      <w:r w:rsidR="003B14CC" w:rsidRPr="00001100">
        <w:t xml:space="preserve">to ensure </w:t>
      </w:r>
      <w:r w:rsidR="009A6E83" w:rsidRPr="00001100">
        <w:t xml:space="preserve">continued </w:t>
      </w:r>
      <w:r w:rsidR="003B14CC" w:rsidRPr="00001100">
        <w:t xml:space="preserve">success.  </w:t>
      </w:r>
    </w:p>
    <w:p w14:paraId="3C850E8D" w14:textId="77777777" w:rsidR="00F11AF2" w:rsidRDefault="009A6E83" w:rsidP="001D22D0">
      <w:pPr>
        <w:ind w:firstLine="720"/>
        <w:jc w:val="both"/>
      </w:pPr>
      <w:r w:rsidRPr="00001100">
        <w:t>In the club business, t</w:t>
      </w:r>
      <w:r w:rsidR="003B14CC" w:rsidRPr="00001100">
        <w:t xml:space="preserve">he financial standards </w:t>
      </w:r>
      <w:r w:rsidRPr="00001100">
        <w:t xml:space="preserve">were first set </w:t>
      </w:r>
      <w:r w:rsidR="003B14CC" w:rsidRPr="00001100">
        <w:t xml:space="preserve">over 65 years ago </w:t>
      </w:r>
      <w:r w:rsidRPr="00001100">
        <w:t xml:space="preserve">with the publication of the </w:t>
      </w:r>
      <w:r w:rsidR="003B14CC" w:rsidRPr="00001100">
        <w:t xml:space="preserve">uniform system of accounts </w:t>
      </w:r>
      <w:r w:rsidRPr="00001100">
        <w:t>for clubs.  The current s</w:t>
      </w:r>
      <w:r w:rsidR="00224A3F" w:rsidRPr="00001100">
        <w:t xml:space="preserve">eventh </w:t>
      </w:r>
      <w:r w:rsidRPr="00001100">
        <w:t>edition (Club Managers Association of America, 20</w:t>
      </w:r>
      <w:r w:rsidR="00224A3F" w:rsidRPr="00001100">
        <w:t>12</w:t>
      </w:r>
      <w:r w:rsidRPr="00001100">
        <w:t xml:space="preserve">) was published in </w:t>
      </w:r>
      <w:r w:rsidR="00224A3F" w:rsidRPr="00001100">
        <w:t xml:space="preserve">November 2012.  </w:t>
      </w:r>
      <w:r w:rsidR="002958A9" w:rsidRPr="00001100">
        <w:t xml:space="preserve">Between each edition, practitioners and educators came together to provide input as to what needs to be updated so the Uniform System is a useful tool for the industry (DeFranco &amp; Schmidgall, 2010).  </w:t>
      </w:r>
      <w:r w:rsidRPr="00001100">
        <w:t xml:space="preserve">The Uniform System has examples of statements and a very detailed section </w:t>
      </w:r>
      <w:r w:rsidR="003F4C0F" w:rsidRPr="00001100">
        <w:t xml:space="preserve">covering </w:t>
      </w:r>
      <w:r w:rsidRPr="00001100">
        <w:t>ratio</w:t>
      </w:r>
      <w:r w:rsidR="003F4C0F" w:rsidRPr="00001100">
        <w:t xml:space="preserve"> </w:t>
      </w:r>
      <w:r w:rsidRPr="00001100">
        <w:t xml:space="preserve">analysis.  </w:t>
      </w:r>
      <w:r w:rsidR="003B14CC" w:rsidRPr="00001100">
        <w:t>The ratios that are found in most financial publication</w:t>
      </w:r>
      <w:r w:rsidR="003F4C0F" w:rsidRPr="00001100">
        <w:t>s</w:t>
      </w:r>
      <w:r w:rsidR="003B14CC" w:rsidRPr="00001100">
        <w:t xml:space="preserve"> can be classified into five major categories:  liquidity, solvency, activity, profitability and operating</w:t>
      </w:r>
      <w:r w:rsidR="003F4C0F" w:rsidRPr="00001100">
        <w:t xml:space="preserve">, </w:t>
      </w:r>
      <w:r w:rsidR="003B14CC" w:rsidRPr="00001100">
        <w:t xml:space="preserve">with their uses and corresponding ratios indicated below (DeFranco and </w:t>
      </w:r>
      <w:proofErr w:type="spellStart"/>
      <w:r w:rsidR="003B14CC" w:rsidRPr="00001100">
        <w:t>Lattin</w:t>
      </w:r>
      <w:proofErr w:type="spellEnd"/>
      <w:r w:rsidR="003B14CC" w:rsidRPr="00001100">
        <w:t xml:space="preserve">, 2007). </w:t>
      </w:r>
    </w:p>
    <w:p w14:paraId="578C05D3" w14:textId="77777777" w:rsidR="00001100" w:rsidRDefault="00001100" w:rsidP="001D22D0">
      <w:pPr>
        <w:ind w:firstLine="720"/>
        <w:jc w:val="both"/>
      </w:pPr>
    </w:p>
    <w:p w14:paraId="190B35CF" w14:textId="77777777" w:rsidR="00EE137F" w:rsidRPr="00001100" w:rsidRDefault="00EE137F" w:rsidP="001D22D0">
      <w:pPr>
        <w:ind w:firstLine="720"/>
        <w:jc w:val="both"/>
      </w:pPr>
    </w:p>
    <w:tbl>
      <w:tblPr>
        <w:tblStyle w:val="TableGrid"/>
        <w:tblW w:w="8028" w:type="dxa"/>
        <w:tblLayout w:type="fixed"/>
        <w:tblLook w:val="04A0" w:firstRow="1" w:lastRow="0" w:firstColumn="1" w:lastColumn="0" w:noHBand="0" w:noVBand="1"/>
      </w:tblPr>
      <w:tblGrid>
        <w:gridCol w:w="1548"/>
        <w:gridCol w:w="1890"/>
        <w:gridCol w:w="4590"/>
      </w:tblGrid>
      <w:tr w:rsidR="001D22D0" w:rsidRPr="00001100" w14:paraId="30D1A9BD" w14:textId="77777777" w:rsidTr="00001100">
        <w:tc>
          <w:tcPr>
            <w:tcW w:w="1548" w:type="dxa"/>
          </w:tcPr>
          <w:p w14:paraId="31C84EE3" w14:textId="77777777" w:rsidR="00F11AF2" w:rsidRPr="00001100" w:rsidRDefault="00F11AF2" w:rsidP="001D22D0">
            <w:pPr>
              <w:jc w:val="both"/>
              <w:rPr>
                <w:b/>
              </w:rPr>
            </w:pPr>
            <w:r w:rsidRPr="00001100">
              <w:rPr>
                <w:b/>
              </w:rPr>
              <w:lastRenderedPageBreak/>
              <w:t>Category</w:t>
            </w:r>
          </w:p>
        </w:tc>
        <w:tc>
          <w:tcPr>
            <w:tcW w:w="1890" w:type="dxa"/>
          </w:tcPr>
          <w:p w14:paraId="6C872F22" w14:textId="77777777" w:rsidR="00F11AF2" w:rsidRPr="00001100" w:rsidRDefault="00F11AF2" w:rsidP="001D22D0">
            <w:pPr>
              <w:jc w:val="both"/>
              <w:rPr>
                <w:b/>
              </w:rPr>
            </w:pPr>
            <w:r w:rsidRPr="00001100">
              <w:rPr>
                <w:b/>
              </w:rPr>
              <w:t>Use</w:t>
            </w:r>
          </w:p>
        </w:tc>
        <w:tc>
          <w:tcPr>
            <w:tcW w:w="4590" w:type="dxa"/>
          </w:tcPr>
          <w:p w14:paraId="19280EEF" w14:textId="77777777" w:rsidR="00F11AF2" w:rsidRPr="00001100" w:rsidRDefault="00F11AF2" w:rsidP="001D22D0">
            <w:pPr>
              <w:jc w:val="both"/>
              <w:rPr>
                <w:b/>
              </w:rPr>
            </w:pPr>
            <w:r w:rsidRPr="00001100">
              <w:rPr>
                <w:b/>
              </w:rPr>
              <w:t>Ratios</w:t>
            </w:r>
          </w:p>
        </w:tc>
      </w:tr>
      <w:tr w:rsidR="001D22D0" w:rsidRPr="00001100" w14:paraId="4F0A6A08" w14:textId="77777777" w:rsidTr="00001100">
        <w:tc>
          <w:tcPr>
            <w:tcW w:w="1548" w:type="dxa"/>
          </w:tcPr>
          <w:p w14:paraId="76697300" w14:textId="77777777" w:rsidR="00F11AF2" w:rsidRPr="00001100" w:rsidRDefault="00F11AF2" w:rsidP="001D22D0">
            <w:pPr>
              <w:jc w:val="both"/>
            </w:pPr>
            <w:r w:rsidRPr="00001100">
              <w:rPr>
                <w:b/>
              </w:rPr>
              <w:t>Liquidity</w:t>
            </w:r>
          </w:p>
        </w:tc>
        <w:tc>
          <w:tcPr>
            <w:tcW w:w="1890" w:type="dxa"/>
          </w:tcPr>
          <w:p w14:paraId="466DC1CF" w14:textId="77777777" w:rsidR="00F11AF2" w:rsidRPr="00001100" w:rsidRDefault="00F11AF2" w:rsidP="001D22D0">
            <w:proofErr w:type="gramStart"/>
            <w:r w:rsidRPr="00001100">
              <w:t>ability</w:t>
            </w:r>
            <w:proofErr w:type="gramEnd"/>
            <w:r w:rsidRPr="00001100">
              <w:t xml:space="preserve"> of clubs to meet  short-term obligations</w:t>
            </w:r>
          </w:p>
        </w:tc>
        <w:tc>
          <w:tcPr>
            <w:tcW w:w="4590" w:type="dxa"/>
          </w:tcPr>
          <w:p w14:paraId="7BB0F0F2"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Current ratio</w:t>
            </w:r>
          </w:p>
          <w:p w14:paraId="4E187072"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Accounts receivable turnover (times and days)</w:t>
            </w:r>
          </w:p>
          <w:p w14:paraId="1A9E9B0F"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Operating cash flow to current liabilities</w:t>
            </w:r>
          </w:p>
          <w:p w14:paraId="51AF5987"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Operating cash flow to long-term debt</w:t>
            </w:r>
          </w:p>
        </w:tc>
      </w:tr>
      <w:tr w:rsidR="001D22D0" w:rsidRPr="00001100" w14:paraId="4596F4CB" w14:textId="77777777" w:rsidTr="00001100">
        <w:tc>
          <w:tcPr>
            <w:tcW w:w="1548" w:type="dxa"/>
          </w:tcPr>
          <w:p w14:paraId="5D929483" w14:textId="77777777" w:rsidR="00F11AF2" w:rsidRPr="00001100" w:rsidRDefault="00F11AF2" w:rsidP="001D22D0">
            <w:pPr>
              <w:jc w:val="both"/>
            </w:pPr>
            <w:r w:rsidRPr="00001100">
              <w:rPr>
                <w:b/>
              </w:rPr>
              <w:t>Solvency</w:t>
            </w:r>
          </w:p>
        </w:tc>
        <w:tc>
          <w:tcPr>
            <w:tcW w:w="1890" w:type="dxa"/>
          </w:tcPr>
          <w:p w14:paraId="5B585D19" w14:textId="77777777" w:rsidR="00F11AF2" w:rsidRPr="00001100" w:rsidRDefault="00F11AF2" w:rsidP="001D22D0">
            <w:proofErr w:type="gramStart"/>
            <w:r w:rsidRPr="00001100">
              <w:t>potential</w:t>
            </w:r>
            <w:proofErr w:type="gramEnd"/>
            <w:r w:rsidRPr="00001100">
              <w:t xml:space="preserve"> of clubs in meeting their long-term obligations</w:t>
            </w:r>
          </w:p>
        </w:tc>
        <w:tc>
          <w:tcPr>
            <w:tcW w:w="4590" w:type="dxa"/>
          </w:tcPr>
          <w:p w14:paraId="67F87D6B"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Long-term debt to total capitalization</w:t>
            </w:r>
          </w:p>
          <w:p w14:paraId="42F05CF2"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Debt to equity</w:t>
            </w:r>
          </w:p>
          <w:p w14:paraId="1A2A790C"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Times interest earned</w:t>
            </w:r>
          </w:p>
          <w:p w14:paraId="6A727F9F"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Fixed charge coverage</w:t>
            </w:r>
          </w:p>
        </w:tc>
      </w:tr>
      <w:tr w:rsidR="001D22D0" w:rsidRPr="00001100" w14:paraId="7D72CD56" w14:textId="77777777" w:rsidTr="00001100">
        <w:tc>
          <w:tcPr>
            <w:tcW w:w="1548" w:type="dxa"/>
          </w:tcPr>
          <w:p w14:paraId="4B39D727" w14:textId="77777777" w:rsidR="00F11AF2" w:rsidRPr="00001100" w:rsidRDefault="00F11AF2" w:rsidP="001D22D0">
            <w:pPr>
              <w:jc w:val="both"/>
            </w:pPr>
            <w:r w:rsidRPr="00001100">
              <w:rPr>
                <w:b/>
              </w:rPr>
              <w:t>Activity</w:t>
            </w:r>
          </w:p>
        </w:tc>
        <w:tc>
          <w:tcPr>
            <w:tcW w:w="1890" w:type="dxa"/>
          </w:tcPr>
          <w:p w14:paraId="04FFD0FB" w14:textId="77777777" w:rsidR="00F11AF2" w:rsidRPr="00001100" w:rsidRDefault="00F11AF2" w:rsidP="001D22D0">
            <w:proofErr w:type="gramStart"/>
            <w:r w:rsidRPr="00001100">
              <w:t>indicate</w:t>
            </w:r>
            <w:proofErr w:type="gramEnd"/>
            <w:r w:rsidRPr="00001100">
              <w:t xml:space="preserve"> management’s ef</w:t>
            </w:r>
            <w:r w:rsidR="001D22D0" w:rsidRPr="00001100">
              <w:t xml:space="preserve">fectiveness </w:t>
            </w:r>
            <w:r w:rsidRPr="00001100">
              <w:t>in using the assets of the club</w:t>
            </w:r>
          </w:p>
        </w:tc>
        <w:tc>
          <w:tcPr>
            <w:tcW w:w="4590" w:type="dxa"/>
          </w:tcPr>
          <w:p w14:paraId="6500F08B"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Food inventory turnover (times and days)</w:t>
            </w:r>
          </w:p>
          <w:p w14:paraId="7018E9A6" w14:textId="77777777" w:rsid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 xml:space="preserve">Beverage inventory turnover </w:t>
            </w:r>
          </w:p>
          <w:p w14:paraId="06C86764" w14:textId="77777777" w:rsidR="00F11AF2" w:rsidRPr="00001100" w:rsidRDefault="00F11AF2" w:rsidP="00001100">
            <w:pPr>
              <w:pStyle w:val="ListParagraph"/>
              <w:ind w:left="252"/>
              <w:jc w:val="both"/>
              <w:rPr>
                <w:noProof w:val="0"/>
                <w:sz w:val="24"/>
                <w:szCs w:val="24"/>
              </w:rPr>
            </w:pPr>
            <w:r w:rsidRPr="00001100">
              <w:rPr>
                <w:noProof w:val="0"/>
                <w:sz w:val="24"/>
                <w:szCs w:val="24"/>
              </w:rPr>
              <w:t>(</w:t>
            </w:r>
            <w:proofErr w:type="gramStart"/>
            <w:r w:rsidRPr="00001100">
              <w:rPr>
                <w:noProof w:val="0"/>
                <w:sz w:val="24"/>
                <w:szCs w:val="24"/>
              </w:rPr>
              <w:t>times</w:t>
            </w:r>
            <w:proofErr w:type="gramEnd"/>
            <w:r w:rsidRPr="00001100">
              <w:rPr>
                <w:noProof w:val="0"/>
                <w:sz w:val="24"/>
                <w:szCs w:val="24"/>
              </w:rPr>
              <w:t xml:space="preserve"> and days)</w:t>
            </w:r>
          </w:p>
          <w:p w14:paraId="513311F6" w14:textId="77777777" w:rsidR="001D22D0"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 xml:space="preserve">Golf merchandise inventory turnover </w:t>
            </w:r>
          </w:p>
          <w:p w14:paraId="2F44F1C5" w14:textId="77777777" w:rsidR="00F11AF2" w:rsidRPr="00001100" w:rsidRDefault="00F11AF2" w:rsidP="001D22D0">
            <w:pPr>
              <w:pStyle w:val="ListParagraph"/>
              <w:ind w:left="252"/>
              <w:jc w:val="both"/>
              <w:rPr>
                <w:noProof w:val="0"/>
                <w:sz w:val="24"/>
                <w:szCs w:val="24"/>
              </w:rPr>
            </w:pPr>
            <w:r w:rsidRPr="00001100">
              <w:rPr>
                <w:noProof w:val="0"/>
                <w:sz w:val="24"/>
                <w:szCs w:val="24"/>
              </w:rPr>
              <w:t>(</w:t>
            </w:r>
            <w:proofErr w:type="gramStart"/>
            <w:r w:rsidRPr="00001100">
              <w:rPr>
                <w:noProof w:val="0"/>
                <w:sz w:val="24"/>
                <w:szCs w:val="24"/>
              </w:rPr>
              <w:t>times</w:t>
            </w:r>
            <w:proofErr w:type="gramEnd"/>
            <w:r w:rsidRPr="00001100">
              <w:rPr>
                <w:noProof w:val="0"/>
                <w:sz w:val="24"/>
                <w:szCs w:val="24"/>
              </w:rPr>
              <w:t xml:space="preserve"> and days)</w:t>
            </w:r>
          </w:p>
          <w:p w14:paraId="02FBDF86" w14:textId="77777777" w:rsidR="00F11AF2" w:rsidRPr="00001100" w:rsidRDefault="00001100" w:rsidP="001D22D0">
            <w:pPr>
              <w:pStyle w:val="ListParagraph"/>
              <w:numPr>
                <w:ilvl w:val="0"/>
                <w:numId w:val="7"/>
              </w:numPr>
              <w:ind w:left="252" w:hanging="180"/>
              <w:jc w:val="both"/>
              <w:rPr>
                <w:noProof w:val="0"/>
                <w:sz w:val="24"/>
                <w:szCs w:val="24"/>
              </w:rPr>
            </w:pPr>
            <w:r>
              <w:rPr>
                <w:noProof w:val="0"/>
                <w:sz w:val="24"/>
                <w:szCs w:val="24"/>
              </w:rPr>
              <w:t xml:space="preserve">Property and equipment </w:t>
            </w:r>
            <w:r w:rsidR="00F11AF2" w:rsidRPr="00001100">
              <w:rPr>
                <w:noProof w:val="0"/>
                <w:sz w:val="24"/>
                <w:szCs w:val="24"/>
              </w:rPr>
              <w:t>turnover</w:t>
            </w:r>
          </w:p>
          <w:p w14:paraId="13BAB9B3"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 xml:space="preserve">Total asset turnover </w:t>
            </w:r>
          </w:p>
        </w:tc>
      </w:tr>
      <w:tr w:rsidR="001D22D0" w:rsidRPr="00001100" w14:paraId="7D7FB407" w14:textId="77777777" w:rsidTr="00001100">
        <w:tc>
          <w:tcPr>
            <w:tcW w:w="1548" w:type="dxa"/>
          </w:tcPr>
          <w:p w14:paraId="383C4DC2" w14:textId="77777777" w:rsidR="00F11AF2" w:rsidRPr="00001100" w:rsidRDefault="00F11AF2" w:rsidP="001D22D0">
            <w:pPr>
              <w:jc w:val="both"/>
            </w:pPr>
            <w:r w:rsidRPr="00001100">
              <w:rPr>
                <w:b/>
              </w:rPr>
              <w:t>Profitability</w:t>
            </w:r>
          </w:p>
        </w:tc>
        <w:tc>
          <w:tcPr>
            <w:tcW w:w="1890" w:type="dxa"/>
          </w:tcPr>
          <w:p w14:paraId="7C7FEC81" w14:textId="77777777" w:rsidR="00F11AF2" w:rsidRPr="00001100" w:rsidRDefault="00F11AF2" w:rsidP="001D22D0">
            <w:proofErr w:type="gramStart"/>
            <w:r w:rsidRPr="00001100">
              <w:t>assist</w:t>
            </w:r>
            <w:proofErr w:type="gramEnd"/>
            <w:r w:rsidRPr="00001100">
              <w:t xml:space="preserve"> management in determining </w:t>
            </w:r>
            <w:r w:rsidR="003F4C0F" w:rsidRPr="00001100">
              <w:t xml:space="preserve">profit </w:t>
            </w:r>
            <w:r w:rsidRPr="00001100">
              <w:t>level</w:t>
            </w:r>
          </w:p>
        </w:tc>
        <w:tc>
          <w:tcPr>
            <w:tcW w:w="4590" w:type="dxa"/>
          </w:tcPr>
          <w:p w14:paraId="52A119AE"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Profit margin</w:t>
            </w:r>
          </w:p>
          <w:p w14:paraId="09631C21"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Return on assets</w:t>
            </w:r>
          </w:p>
          <w:p w14:paraId="3A3AD164" w14:textId="77777777" w:rsidR="00F11AF2" w:rsidRPr="00001100" w:rsidRDefault="00001100" w:rsidP="001D22D0">
            <w:pPr>
              <w:pStyle w:val="ListParagraph"/>
              <w:numPr>
                <w:ilvl w:val="0"/>
                <w:numId w:val="7"/>
              </w:numPr>
              <w:ind w:left="252" w:hanging="180"/>
              <w:jc w:val="both"/>
              <w:rPr>
                <w:noProof w:val="0"/>
                <w:sz w:val="24"/>
                <w:szCs w:val="24"/>
              </w:rPr>
            </w:pPr>
            <w:r>
              <w:rPr>
                <w:noProof w:val="0"/>
                <w:sz w:val="24"/>
                <w:szCs w:val="24"/>
              </w:rPr>
              <w:t xml:space="preserve">Operating </w:t>
            </w:r>
            <w:r w:rsidR="00F11AF2" w:rsidRPr="00001100">
              <w:rPr>
                <w:noProof w:val="0"/>
                <w:sz w:val="24"/>
                <w:szCs w:val="24"/>
              </w:rPr>
              <w:t xml:space="preserve">efficiency </w:t>
            </w:r>
          </w:p>
        </w:tc>
      </w:tr>
      <w:tr w:rsidR="001D22D0" w:rsidRPr="00001100" w14:paraId="50C70277" w14:textId="77777777" w:rsidTr="00001100">
        <w:tc>
          <w:tcPr>
            <w:tcW w:w="1548" w:type="dxa"/>
          </w:tcPr>
          <w:p w14:paraId="272A746B" w14:textId="77777777" w:rsidR="00F11AF2" w:rsidRPr="00001100" w:rsidRDefault="00F11AF2" w:rsidP="001D22D0">
            <w:pPr>
              <w:jc w:val="both"/>
            </w:pPr>
            <w:r w:rsidRPr="00001100">
              <w:rPr>
                <w:b/>
              </w:rPr>
              <w:t>Operating</w:t>
            </w:r>
          </w:p>
        </w:tc>
        <w:tc>
          <w:tcPr>
            <w:tcW w:w="1890" w:type="dxa"/>
          </w:tcPr>
          <w:p w14:paraId="22C0FAB9" w14:textId="77777777" w:rsidR="00F11AF2" w:rsidRPr="00001100" w:rsidRDefault="00F11AF2" w:rsidP="001D22D0">
            <w:proofErr w:type="gramStart"/>
            <w:r w:rsidRPr="00001100">
              <w:t>assist</w:t>
            </w:r>
            <w:proofErr w:type="gramEnd"/>
            <w:r w:rsidRPr="00001100">
              <w:t xml:space="preserve"> management in determining efficiency</w:t>
            </w:r>
          </w:p>
        </w:tc>
        <w:tc>
          <w:tcPr>
            <w:tcW w:w="4590" w:type="dxa"/>
          </w:tcPr>
          <w:p w14:paraId="605F5A7B"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Food cost</w:t>
            </w:r>
          </w:p>
          <w:p w14:paraId="451F0144"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Beverage cost</w:t>
            </w:r>
          </w:p>
          <w:p w14:paraId="51806CB6"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Golf merchandise cost</w:t>
            </w:r>
          </w:p>
          <w:p w14:paraId="46D7683F" w14:textId="77777777" w:rsidR="00F11AF2" w:rsidRPr="00001100" w:rsidRDefault="00F11AF2" w:rsidP="001D22D0">
            <w:pPr>
              <w:pStyle w:val="ListParagraph"/>
              <w:numPr>
                <w:ilvl w:val="0"/>
                <w:numId w:val="7"/>
              </w:numPr>
              <w:ind w:left="252" w:hanging="180"/>
              <w:jc w:val="both"/>
              <w:rPr>
                <w:noProof w:val="0"/>
                <w:sz w:val="24"/>
                <w:szCs w:val="24"/>
              </w:rPr>
            </w:pPr>
            <w:r w:rsidRPr="00001100">
              <w:rPr>
                <w:noProof w:val="0"/>
                <w:sz w:val="24"/>
                <w:szCs w:val="24"/>
              </w:rPr>
              <w:t>Labor cost</w:t>
            </w:r>
          </w:p>
        </w:tc>
      </w:tr>
    </w:tbl>
    <w:p w14:paraId="7DB6774D" w14:textId="77777777" w:rsidR="003B14CC" w:rsidRPr="00001100" w:rsidRDefault="003B14CC" w:rsidP="001D22D0">
      <w:pPr>
        <w:ind w:firstLine="720"/>
        <w:jc w:val="both"/>
        <w:outlineLvl w:val="0"/>
        <w:rPr>
          <w:noProof/>
          <w:color w:val="000000"/>
        </w:rPr>
      </w:pPr>
    </w:p>
    <w:p w14:paraId="5C0BD0A3" w14:textId="77777777" w:rsidR="003B14CC" w:rsidRPr="00001100" w:rsidRDefault="003B14CC" w:rsidP="001D22D0">
      <w:pPr>
        <w:ind w:firstLine="720"/>
        <w:jc w:val="both"/>
      </w:pPr>
      <w:r w:rsidRPr="00001100">
        <w:t xml:space="preserve">Ratios and financial performance </w:t>
      </w:r>
      <w:r w:rsidR="002958A9" w:rsidRPr="00001100">
        <w:t xml:space="preserve">are important topics and </w:t>
      </w:r>
      <w:r w:rsidRPr="00001100">
        <w:t xml:space="preserve">have been </w:t>
      </w:r>
      <w:r w:rsidR="002958A9" w:rsidRPr="00001100">
        <w:t xml:space="preserve">researched and results shared.  However, it was really not </w:t>
      </w:r>
      <w:r w:rsidR="003F4C0F" w:rsidRPr="00001100">
        <w:t>until</w:t>
      </w:r>
      <w:r w:rsidR="002958A9" w:rsidRPr="00001100">
        <w:t xml:space="preserve"> the 1980s that the industry began </w:t>
      </w:r>
      <w:r w:rsidR="00DC2649" w:rsidRPr="00001100">
        <w:t xml:space="preserve">looking at financial and ratio analyses more closely.  The body of research that started over thirty plus years ago started in the lodging business with </w:t>
      </w:r>
      <w:r w:rsidRPr="00001100">
        <w:t xml:space="preserve">Geller and Schmidgall (1984), </w:t>
      </w:r>
      <w:proofErr w:type="spellStart"/>
      <w:r w:rsidRPr="00001100">
        <w:t>Temling</w:t>
      </w:r>
      <w:proofErr w:type="spellEnd"/>
      <w:r w:rsidRPr="00001100">
        <w:t xml:space="preserve"> (1985), and Schmidgall (1988) all publish</w:t>
      </w:r>
      <w:r w:rsidR="003F4C0F" w:rsidRPr="00001100">
        <w:t xml:space="preserve">ing </w:t>
      </w:r>
      <w:r w:rsidRPr="00001100">
        <w:t>on ratios</w:t>
      </w:r>
      <w:r w:rsidR="00DC2649" w:rsidRPr="00001100">
        <w:t xml:space="preserve"> for the lodgi</w:t>
      </w:r>
      <w:r w:rsidRPr="00001100">
        <w:t xml:space="preserve">ng industry.  In </w:t>
      </w:r>
      <w:r w:rsidR="00DC2649" w:rsidRPr="00001100">
        <w:t xml:space="preserve">the early 1990s, </w:t>
      </w:r>
      <w:r w:rsidRPr="00001100">
        <w:t>Swanson (1991) publis</w:t>
      </w:r>
      <w:r w:rsidR="00DC2649" w:rsidRPr="00001100">
        <w:t xml:space="preserve">hed the first detailed research on just the </w:t>
      </w:r>
      <w:r w:rsidRPr="00001100">
        <w:t xml:space="preserve">liquidity of lodging firms. </w:t>
      </w:r>
      <w:r w:rsidR="00DC2649" w:rsidRPr="00001100">
        <w:t xml:space="preserve">In </w:t>
      </w:r>
      <w:r w:rsidRPr="00001100">
        <w:t xml:space="preserve">2002, Singh and Schmidgall (2002) also started their research on financial ratios in the lodging industry.  </w:t>
      </w:r>
    </w:p>
    <w:p w14:paraId="4C4FED3B" w14:textId="77777777" w:rsidR="00146ED8" w:rsidRDefault="003B14CC" w:rsidP="004A53F0">
      <w:pPr>
        <w:ind w:firstLine="720"/>
        <w:jc w:val="both"/>
        <w:outlineLvl w:val="0"/>
      </w:pPr>
      <w:r w:rsidRPr="00001100">
        <w:t xml:space="preserve">In the club area, </w:t>
      </w:r>
      <w:r w:rsidR="00DC2649" w:rsidRPr="00001100">
        <w:t>S</w:t>
      </w:r>
      <w:r w:rsidRPr="00001100">
        <w:t xml:space="preserve">chmidgall </w:t>
      </w:r>
      <w:r w:rsidR="00DC2649" w:rsidRPr="00001100">
        <w:t xml:space="preserve">first teamed up with </w:t>
      </w:r>
      <w:r w:rsidRPr="00001100">
        <w:t xml:space="preserve">Damitio </w:t>
      </w:r>
      <w:r w:rsidR="00DC2649" w:rsidRPr="00001100">
        <w:t xml:space="preserve">and </w:t>
      </w:r>
      <w:r w:rsidRPr="00001100">
        <w:t>wrote the text</w:t>
      </w:r>
      <w:r w:rsidR="00DC2649" w:rsidRPr="00001100">
        <w:t xml:space="preserve"> </w:t>
      </w:r>
      <w:r w:rsidRPr="00001100">
        <w:t xml:space="preserve">Accounting for Club Operations (2001) </w:t>
      </w:r>
      <w:r w:rsidR="00DC2649" w:rsidRPr="00001100">
        <w:t>which i</w:t>
      </w:r>
      <w:r w:rsidRPr="00001100">
        <w:t>s a standard for the club industry, e</w:t>
      </w:r>
      <w:r w:rsidR="00DC2649" w:rsidRPr="00001100">
        <w:t xml:space="preserve">ndorsed </w:t>
      </w:r>
      <w:r w:rsidRPr="00001100">
        <w:t>by the Club Managers Association of America</w:t>
      </w:r>
      <w:r w:rsidR="00DC2649" w:rsidRPr="00001100">
        <w:t xml:space="preserve">.  For the past nine years, </w:t>
      </w:r>
      <w:r w:rsidRPr="00001100">
        <w:t xml:space="preserve">Schmidgall teamed up with DeFranco and published a series of articles on club ratios, setting the first set of benchmarks in 2004 (Schmidgall &amp; </w:t>
      </w:r>
      <w:r w:rsidRPr="00001100">
        <w:lastRenderedPageBreak/>
        <w:t xml:space="preserve">DeFranco, 2004), analyzing trends since 2007 (DeFranco &amp; Schmidgall, 2007; DeFranco &amp; Schmidgall, 2008, DeFranco &amp; Schmidgall, 2009), </w:t>
      </w:r>
      <w:r w:rsidR="00DC2649" w:rsidRPr="00001100">
        <w:t xml:space="preserve">investigating </w:t>
      </w:r>
      <w:r w:rsidRPr="00001100">
        <w:t xml:space="preserve">inventory practices (DeFranco &amp; Schmidgall, 2009), and </w:t>
      </w:r>
      <w:r w:rsidR="00DC2649" w:rsidRPr="00001100">
        <w:t xml:space="preserve">began looking at the revision of the </w:t>
      </w:r>
      <w:r w:rsidRPr="00001100">
        <w:t>2003 edition of the Uniform System (DeFranco &amp; Schmidgall, 2010).  In th</w:t>
      </w:r>
      <w:r w:rsidR="00DC2649" w:rsidRPr="00001100">
        <w:t xml:space="preserve">is body of </w:t>
      </w:r>
      <w:r w:rsidRPr="00001100">
        <w:t>research</w:t>
      </w:r>
      <w:r w:rsidR="00DC2649" w:rsidRPr="00001100">
        <w:t>, one concern that has surfaced was the amount of debt that is increasing over the years (D</w:t>
      </w:r>
      <w:r w:rsidRPr="00001100">
        <w:t xml:space="preserve">eFranco &amp; Schmidgall, 2009).    </w:t>
      </w:r>
    </w:p>
    <w:p w14:paraId="314CDF7B" w14:textId="77777777" w:rsidR="003B14CC" w:rsidRDefault="003B14CC" w:rsidP="001D22D0">
      <w:pPr>
        <w:ind w:firstLine="720"/>
        <w:jc w:val="both"/>
      </w:pPr>
      <w:r w:rsidRPr="00001100">
        <w:t>In addit</w:t>
      </w:r>
      <w:r w:rsidR="005E47BF" w:rsidRPr="00001100">
        <w:t>i</w:t>
      </w:r>
      <w:r w:rsidRPr="00001100">
        <w:t>on to ratios, Schmidgall</w:t>
      </w:r>
      <w:r w:rsidR="00DC2649" w:rsidRPr="00001100">
        <w:t xml:space="preserve"> and Singh (2007) </w:t>
      </w:r>
      <w:r w:rsidRPr="00001100">
        <w:t xml:space="preserve">also </w:t>
      </w:r>
      <w:r w:rsidR="00DC2649" w:rsidRPr="00001100">
        <w:t>studied o</w:t>
      </w:r>
      <w:r w:rsidRPr="00001100">
        <w:t>perating budgets</w:t>
      </w:r>
      <w:r w:rsidR="00DC2649" w:rsidRPr="00001100">
        <w:t xml:space="preserve"> of clubs and did a longitudinal analysis f</w:t>
      </w:r>
      <w:r w:rsidR="00567B86" w:rsidRPr="00001100">
        <w:t xml:space="preserve">rom 1986 to 2006 and found that </w:t>
      </w:r>
      <w:r w:rsidR="00DC2649" w:rsidRPr="00001100">
        <w:t xml:space="preserve">while 48 percent of clubs prepared operating budgets and had a tentative financial goal prior to starting the budgeting process, </w:t>
      </w:r>
      <w:r w:rsidRPr="00001100">
        <w:t xml:space="preserve">75% of clubs focused on the bottom-line as a tentative financial goal.  </w:t>
      </w:r>
    </w:p>
    <w:p w14:paraId="6D262C80" w14:textId="77777777" w:rsidR="00146ED8" w:rsidRPr="00001100" w:rsidRDefault="00146ED8" w:rsidP="001D22D0">
      <w:pPr>
        <w:ind w:firstLine="720"/>
        <w:jc w:val="both"/>
      </w:pPr>
    </w:p>
    <w:p w14:paraId="6C861AE4" w14:textId="77777777" w:rsidR="003B14CC" w:rsidRPr="00001100" w:rsidRDefault="003B14CC" w:rsidP="001D22D0">
      <w:pPr>
        <w:jc w:val="both"/>
        <w:outlineLvl w:val="0"/>
        <w:rPr>
          <w:b/>
        </w:rPr>
      </w:pPr>
      <w:r w:rsidRPr="00001100">
        <w:rPr>
          <w:b/>
        </w:rPr>
        <w:t>The Collection and Analysis of Data</w:t>
      </w:r>
    </w:p>
    <w:p w14:paraId="6FC28859" w14:textId="77777777" w:rsidR="00146ED8" w:rsidRDefault="00146ED8" w:rsidP="001D22D0">
      <w:pPr>
        <w:ind w:firstLine="720"/>
        <w:jc w:val="both"/>
      </w:pPr>
    </w:p>
    <w:p w14:paraId="14F5B15A" w14:textId="77777777" w:rsidR="00146ED8" w:rsidRDefault="002A0457" w:rsidP="004A53F0">
      <w:pPr>
        <w:ind w:firstLine="720"/>
        <w:jc w:val="both"/>
        <w:rPr>
          <w:noProof/>
        </w:rPr>
      </w:pPr>
      <w:r w:rsidRPr="00001100">
        <w:t>The</w:t>
      </w:r>
      <w:r w:rsidR="003B14CC" w:rsidRPr="00001100">
        <w:t xml:space="preserve"> Hospitality Financi</w:t>
      </w:r>
      <w:r w:rsidRPr="00001100">
        <w:t xml:space="preserve">al and Technology Professionals </w:t>
      </w:r>
      <w:r w:rsidR="00057921" w:rsidRPr="00001100">
        <w:t xml:space="preserve">(HFTP) </w:t>
      </w:r>
      <w:proofErr w:type="gramStart"/>
      <w:r w:rsidRPr="00001100">
        <w:t>is</w:t>
      </w:r>
      <w:proofErr w:type="gramEnd"/>
      <w:r w:rsidRPr="00001100">
        <w:t xml:space="preserve"> most gracious with sharing its club financial membership with the researchers for the distribution of the survey.  </w:t>
      </w:r>
      <w:r w:rsidR="00057921" w:rsidRPr="00001100">
        <w:t>Previous research of this type has included members from both HFTP and the Club Managers Association of American (CMAA).  However, at the end, c</w:t>
      </w:r>
      <w:r w:rsidR="003B14CC" w:rsidRPr="00001100">
        <w:t xml:space="preserve">lub </w:t>
      </w:r>
      <w:r w:rsidR="00057921" w:rsidRPr="00001100">
        <w:t xml:space="preserve">financial professionals </w:t>
      </w:r>
      <w:r w:rsidR="003B14CC" w:rsidRPr="00001100">
        <w:t>have ready access to the financial information</w:t>
      </w:r>
      <w:r w:rsidR="00057921" w:rsidRPr="00001100">
        <w:t xml:space="preserve">, so only the membership of HFTP was sampled.  </w:t>
      </w:r>
      <w:r w:rsidR="005E47BF" w:rsidRPr="00001100">
        <w:t xml:space="preserve">The questionnaire was divided into four areas: Part I consisted </w:t>
      </w:r>
      <w:r w:rsidR="00567B86" w:rsidRPr="00001100">
        <w:t xml:space="preserve">of </w:t>
      </w:r>
      <w:r w:rsidR="005E47BF" w:rsidRPr="00001100">
        <w:t>demographic questions about the club such as type, number of m</w:t>
      </w:r>
      <w:r w:rsidR="00567B86" w:rsidRPr="00001100">
        <w:t xml:space="preserve">embers and geographic location; </w:t>
      </w:r>
      <w:r w:rsidR="005E47BF" w:rsidRPr="00001100">
        <w:t xml:space="preserve">Parts II through IV asked for the balance sheet information at the beginning and end of 2011, statement of activities figures, and statement of cash flows amounts.  </w:t>
      </w:r>
      <w:r w:rsidR="00341AC6" w:rsidRPr="00001100">
        <w:t>Ratios are then calculated</w:t>
      </w:r>
      <w:r w:rsidR="00E51129" w:rsidRPr="00001100">
        <w:t xml:space="preserve"> for analysis.  </w:t>
      </w:r>
      <w:r w:rsidR="00341AC6" w:rsidRPr="00001100">
        <w:t xml:space="preserve"> </w:t>
      </w:r>
    </w:p>
    <w:p w14:paraId="30A17647" w14:textId="77777777" w:rsidR="00146ED8" w:rsidRPr="004A53F0" w:rsidRDefault="002A0457" w:rsidP="004A53F0">
      <w:pPr>
        <w:ind w:firstLine="720"/>
        <w:jc w:val="both"/>
        <w:rPr>
          <w:highlight w:val="yellow"/>
        </w:rPr>
      </w:pPr>
      <w:r w:rsidRPr="00001100">
        <w:t xml:space="preserve">A total of 1000 surveys were sent, with </w:t>
      </w:r>
      <w:r w:rsidR="002D4B69" w:rsidRPr="00001100">
        <w:t xml:space="preserve">40 </w:t>
      </w:r>
      <w:r w:rsidR="003B14CC" w:rsidRPr="00001100">
        <w:t>returned as “undeliverable”</w:t>
      </w:r>
      <w:r w:rsidRPr="00001100">
        <w:t xml:space="preserve">, netting a sample size of </w:t>
      </w:r>
      <w:r w:rsidR="002D4B69" w:rsidRPr="00001100">
        <w:t xml:space="preserve">960.  A final count of 80 </w:t>
      </w:r>
      <w:r w:rsidRPr="00001100">
        <w:t>su</w:t>
      </w:r>
      <w:r w:rsidR="003B14CC" w:rsidRPr="00001100">
        <w:t>rveys w</w:t>
      </w:r>
      <w:r w:rsidR="002D4B69" w:rsidRPr="00001100">
        <w:t>as</w:t>
      </w:r>
      <w:r w:rsidR="003B14CC" w:rsidRPr="00001100">
        <w:t xml:space="preserve"> </w:t>
      </w:r>
      <w:r w:rsidRPr="00001100">
        <w:t xml:space="preserve">received, </w:t>
      </w:r>
      <w:r w:rsidR="003B14CC" w:rsidRPr="00001100">
        <w:t>yielding a response rate of nearly</w:t>
      </w:r>
      <w:r w:rsidRPr="00001100">
        <w:t xml:space="preserve"> </w:t>
      </w:r>
      <w:r w:rsidR="002D4B69" w:rsidRPr="00001100">
        <w:t>8.3</w:t>
      </w:r>
      <w:r w:rsidR="003B14CC" w:rsidRPr="00001100">
        <w:t xml:space="preserve"> percent</w:t>
      </w:r>
      <w:r w:rsidRPr="00001100">
        <w:t xml:space="preserve">.  The </w:t>
      </w:r>
      <w:r w:rsidR="002D4B69" w:rsidRPr="00001100">
        <w:t xml:space="preserve">most recent </w:t>
      </w:r>
      <w:r w:rsidRPr="00001100">
        <w:t xml:space="preserve">statistical software </w:t>
      </w:r>
      <w:r w:rsidR="003B14CC" w:rsidRPr="00001100">
        <w:t>SPSS</w:t>
      </w:r>
      <w:r w:rsidR="002D4B69" w:rsidRPr="00001100">
        <w:t xml:space="preserve"> version </w:t>
      </w:r>
      <w:r w:rsidR="003B14CC" w:rsidRPr="00001100">
        <w:t xml:space="preserve">was used </w:t>
      </w:r>
      <w:r w:rsidRPr="00001100">
        <w:t xml:space="preserve">for </w:t>
      </w:r>
      <w:r w:rsidR="002D4B69" w:rsidRPr="00001100">
        <w:t xml:space="preserve">data compilation and analysis.  </w:t>
      </w:r>
      <w:r w:rsidRPr="00001100">
        <w:t xml:space="preserve">This return rate is consistent with previous surveys done in club financial analysis (DeFranco &amp; Schmidgall, 2008, 2009a, 2009b).  </w:t>
      </w:r>
    </w:p>
    <w:p w14:paraId="3D435E8E" w14:textId="77777777" w:rsidR="00146ED8" w:rsidRDefault="00146ED8" w:rsidP="001D22D0">
      <w:pPr>
        <w:jc w:val="both"/>
        <w:rPr>
          <w:b/>
        </w:rPr>
      </w:pPr>
    </w:p>
    <w:p w14:paraId="5C8F427A" w14:textId="77777777" w:rsidR="003B14CC" w:rsidRPr="00001100" w:rsidRDefault="003B14CC" w:rsidP="001D22D0">
      <w:pPr>
        <w:jc w:val="both"/>
        <w:rPr>
          <w:b/>
        </w:rPr>
      </w:pPr>
      <w:r w:rsidRPr="00001100">
        <w:rPr>
          <w:b/>
        </w:rPr>
        <w:t>The Results</w:t>
      </w:r>
    </w:p>
    <w:p w14:paraId="7EF63ACD" w14:textId="77777777" w:rsidR="00146ED8" w:rsidRDefault="00710714" w:rsidP="001D22D0">
      <w:pPr>
        <w:jc w:val="both"/>
      </w:pPr>
      <w:r w:rsidRPr="00001100">
        <w:tab/>
      </w:r>
    </w:p>
    <w:p w14:paraId="473ACDAC" w14:textId="77777777" w:rsidR="00710714" w:rsidRDefault="00710714" w:rsidP="00146ED8">
      <w:pPr>
        <w:ind w:firstLine="720"/>
        <w:jc w:val="both"/>
      </w:pPr>
      <w:r w:rsidRPr="00001100">
        <w:t xml:space="preserve">As mentioned, three groups of statistics will be shared: the median, top performers and low performers.  After all data were collected, the Uniform System of Financial Reporting of Clubs was used as a standard, and 24 ratios were calculated and reported.  In this research, </w:t>
      </w:r>
      <w:r w:rsidR="00731C94" w:rsidRPr="00001100">
        <w:t xml:space="preserve">while average figures were used to describe the demographic characteristics of the clubs, </w:t>
      </w:r>
      <w:r w:rsidRPr="00001100">
        <w:t>median f</w:t>
      </w:r>
      <w:r w:rsidR="00AE7997" w:rsidRPr="00001100">
        <w:t xml:space="preserve">igures rather than mean </w:t>
      </w:r>
      <w:r w:rsidRPr="00001100">
        <w:t xml:space="preserve">averages were used </w:t>
      </w:r>
      <w:r w:rsidR="00731C94" w:rsidRPr="00001100">
        <w:t xml:space="preserve">for financial data calculation and analysis </w:t>
      </w:r>
      <w:r w:rsidRPr="00001100">
        <w:t xml:space="preserve">so that the data would not be skewed by financial figures of clubs that were at the extreme </w:t>
      </w:r>
      <w:r w:rsidRPr="00001100">
        <w:lastRenderedPageBreak/>
        <w:t xml:space="preserve">ends of the data continuum.  In determining the top and low performers, the ratio of return on assets is used as the delineating measurement with </w:t>
      </w:r>
      <w:r w:rsidR="00731C94" w:rsidRPr="00001100">
        <w:t xml:space="preserve">the clubs reporting a return on assets in the top 20% </w:t>
      </w:r>
      <w:r w:rsidRPr="00001100">
        <w:t xml:space="preserve">designated as the top performers </w:t>
      </w:r>
      <w:r w:rsidR="00731C94" w:rsidRPr="00001100">
        <w:t>and</w:t>
      </w:r>
      <w:r w:rsidRPr="00001100">
        <w:t xml:space="preserve"> the bottom 20% of clubs designated as the low performers.  </w:t>
      </w:r>
    </w:p>
    <w:p w14:paraId="35F11B6C" w14:textId="77777777" w:rsidR="00146ED8" w:rsidRPr="00001100" w:rsidRDefault="00146ED8" w:rsidP="00146ED8">
      <w:pPr>
        <w:ind w:firstLine="720"/>
        <w:jc w:val="both"/>
      </w:pPr>
    </w:p>
    <w:p w14:paraId="7DB5D333" w14:textId="77777777" w:rsidR="003B14CC" w:rsidRPr="00001100" w:rsidRDefault="002A0457" w:rsidP="001D22D0">
      <w:pPr>
        <w:jc w:val="both"/>
        <w:rPr>
          <w:b/>
          <w:i/>
        </w:rPr>
      </w:pPr>
      <w:r w:rsidRPr="00001100">
        <w:rPr>
          <w:b/>
          <w:i/>
        </w:rPr>
        <w:t>The Clubs-2011</w:t>
      </w:r>
    </w:p>
    <w:p w14:paraId="43744AFB" w14:textId="77777777" w:rsidR="00146ED8" w:rsidRDefault="00146ED8" w:rsidP="001D22D0">
      <w:pPr>
        <w:ind w:firstLine="720"/>
        <w:jc w:val="both"/>
      </w:pPr>
    </w:p>
    <w:p w14:paraId="5F6D57F9" w14:textId="77777777" w:rsidR="003B14CC" w:rsidRPr="00001100" w:rsidRDefault="00731C94" w:rsidP="001D22D0">
      <w:pPr>
        <w:ind w:firstLine="720"/>
        <w:jc w:val="both"/>
      </w:pPr>
      <w:r w:rsidRPr="00001100">
        <w:t xml:space="preserve">Controllers are the top contributor of information in this study, reporting in at 77%.  </w:t>
      </w:r>
      <w:r w:rsidR="003B14CC" w:rsidRPr="00001100">
        <w:t>Chief Financial Officer</w:t>
      </w:r>
      <w:r w:rsidRPr="00001100">
        <w:t xml:space="preserve"> came in second place at 13% followed by Director of Finance at 4%.  Assistant Controllers, General Managers, Others all were at 2%, totaling the 100% (See Table 1).  In the low performing clubs, all contributors are Controllers.  In the top performing clubs, 86% of the respondents are controllers, 7% are Chief Financial Officers and the other 7</w:t>
      </w:r>
      <w:r w:rsidR="00146ED8">
        <w:t>% are Assistant Controllers.</w:t>
      </w:r>
    </w:p>
    <w:p w14:paraId="00D4CEAB" w14:textId="77777777" w:rsidR="00146ED8" w:rsidRDefault="00024077" w:rsidP="004A53F0">
      <w:pPr>
        <w:ind w:firstLine="720"/>
        <w:jc w:val="both"/>
      </w:pPr>
      <w:r w:rsidRPr="00001100">
        <w:t xml:space="preserve">Regarding the types of clubs, </w:t>
      </w:r>
      <w:r w:rsidR="003B14CC" w:rsidRPr="00001100">
        <w:t xml:space="preserve">Table 1 shows that the majority of the respondents </w:t>
      </w:r>
      <w:r w:rsidRPr="00001100">
        <w:t xml:space="preserve">(63%) </w:t>
      </w:r>
      <w:r w:rsidR="00AE7997" w:rsidRPr="00001100">
        <w:t>were from country clubs</w:t>
      </w:r>
      <w:r w:rsidR="003B14CC" w:rsidRPr="00001100">
        <w:t xml:space="preserve">, followed </w:t>
      </w:r>
      <w:r w:rsidRPr="00001100">
        <w:t xml:space="preserve">fairly equally </w:t>
      </w:r>
      <w:r w:rsidR="003B14CC" w:rsidRPr="00001100">
        <w:t>by city clubs (1</w:t>
      </w:r>
      <w:r w:rsidRPr="00001100">
        <w:t>5</w:t>
      </w:r>
      <w:r w:rsidR="003B14CC" w:rsidRPr="00001100">
        <w:t>%), golf clubs (</w:t>
      </w:r>
      <w:r w:rsidRPr="00001100">
        <w:t>12%</w:t>
      </w:r>
      <w:r w:rsidR="003B14CC" w:rsidRPr="00001100">
        <w:t>)</w:t>
      </w:r>
      <w:r w:rsidRPr="00001100">
        <w:t>, and others (10%).  The distribution of the types of clubs among</w:t>
      </w:r>
      <w:r w:rsidR="00AE7997" w:rsidRPr="00001100">
        <w:t xml:space="preserve"> </w:t>
      </w:r>
      <w:r w:rsidRPr="00001100">
        <w:t xml:space="preserve">the low and top performers is quite similar to the average.  The low performers have 61% of the clubs as country clubs and the </w:t>
      </w:r>
      <w:r w:rsidR="003B14CC" w:rsidRPr="00001100">
        <w:t xml:space="preserve">remaining </w:t>
      </w:r>
      <w:r w:rsidRPr="00001100">
        <w:t>39</w:t>
      </w:r>
      <w:r w:rsidR="003B14CC" w:rsidRPr="00001100">
        <w:t xml:space="preserve">% </w:t>
      </w:r>
      <w:r w:rsidRPr="00001100">
        <w:t xml:space="preserve">were distributed evenly with 13% each in golf, city and others.  For the top performers, 62% were country clubs and the remaining </w:t>
      </w:r>
      <w:proofErr w:type="gramStart"/>
      <w:r w:rsidRPr="00001100">
        <w:t>were</w:t>
      </w:r>
      <w:proofErr w:type="gramEnd"/>
      <w:r w:rsidRPr="00001100">
        <w:t xml:space="preserve"> found first in city clubs (19%), golf clubs (13%) and others (6%).  Therefore, if there is any difference it will be that the top performers have the highest concentration of city clubs at 19%.  It can very well be that city clubs, without the management and maintenance of a golf course, may be more nimble i</w:t>
      </w:r>
      <w:r w:rsidR="004255AB" w:rsidRPr="00001100">
        <w:t>n</w:t>
      </w:r>
      <w:r w:rsidRPr="00001100">
        <w:t xml:space="preserve"> adjusting to the economy.  </w:t>
      </w:r>
    </w:p>
    <w:p w14:paraId="7F09161D" w14:textId="77777777" w:rsidR="00146ED8" w:rsidRDefault="00024077" w:rsidP="004A53F0">
      <w:pPr>
        <w:ind w:firstLine="720"/>
        <w:jc w:val="both"/>
      </w:pPr>
      <w:r w:rsidRPr="00001100">
        <w:t>T</w:t>
      </w:r>
      <w:r w:rsidR="003B14CC" w:rsidRPr="00001100">
        <w:t>he size of the clubs in t</w:t>
      </w:r>
      <w:r w:rsidRPr="00001100">
        <w:t xml:space="preserve">erms of membership seemed to tell a slightly different story.  The 501-750 member clubs made up 28% of this study, followed by the 1,001-1,500 group at 22%.  There was only 8% reported both for the very small clubs with less </w:t>
      </w:r>
      <w:r w:rsidR="005E47BF" w:rsidRPr="00001100">
        <w:t>than</w:t>
      </w:r>
      <w:r w:rsidRPr="00001100">
        <w:t xml:space="preserve"> 300 members and the very large clubs of over 1,500 members.  However, the l</w:t>
      </w:r>
      <w:r w:rsidR="00EC228B" w:rsidRPr="00001100">
        <w:t>ow performing group has 37% of their clubs with 300-500 members and another 19% each in the less than 300 category and the 501-700 category while the top performing group has a very evenly distributed pattern with 21% reported in each subgroup of 501-750, 751-1,000, and 1,001-1,500.  This group also has 15% over 1,500 members and also another 1</w:t>
      </w:r>
      <w:r w:rsidR="004255AB" w:rsidRPr="00001100">
        <w:t xml:space="preserve">5% with less than 300 members.  Thus, the top performing clubs tend to have more members than the lowest performing clubs.  </w:t>
      </w:r>
    </w:p>
    <w:p w14:paraId="172ECAF5" w14:textId="136785C8" w:rsidR="00146ED8" w:rsidRDefault="00EC228B" w:rsidP="00E325CD">
      <w:pPr>
        <w:ind w:firstLine="720"/>
        <w:jc w:val="both"/>
      </w:pPr>
      <w:r w:rsidRPr="00001100">
        <w:t>As for location, the top performers had 67% of their clubs in the East whereas the average was at 54% and the low performers at 5</w:t>
      </w:r>
      <w:r w:rsidR="00146ED8">
        <w:t>0%.  The top performers also have</w:t>
      </w:r>
      <w:r w:rsidRPr="00001100">
        <w:t xml:space="preserve"> the least concentration of clubs in central United States (13%) while the low performers has 31%.  All three groups have a similar </w:t>
      </w:r>
      <w:r w:rsidRPr="00001100">
        <w:lastRenderedPageBreak/>
        <w:t xml:space="preserve">percentage of clubs in western United States.  Thus, one may conclude that clubs in the eastern part of the states are more profitable.  </w:t>
      </w:r>
    </w:p>
    <w:p w14:paraId="5E1BFA3C" w14:textId="77777777" w:rsidR="00EE137F" w:rsidRDefault="00EE137F" w:rsidP="00E325CD">
      <w:pPr>
        <w:ind w:firstLine="720"/>
        <w:jc w:val="both"/>
      </w:pPr>
    </w:p>
    <w:p w14:paraId="792CCAD4" w14:textId="77777777" w:rsidR="00146ED8" w:rsidRDefault="00146ED8" w:rsidP="00146ED8">
      <w:pPr>
        <w:ind w:right="-720"/>
        <w:rPr>
          <w:u w:val="single"/>
        </w:rPr>
      </w:pPr>
      <w:r w:rsidRPr="00001100">
        <w:rPr>
          <w:u w:val="single"/>
        </w:rPr>
        <w:t>Table 1.  2011 Demographics of Respondents</w:t>
      </w:r>
    </w:p>
    <w:p w14:paraId="466E1F33" w14:textId="77777777" w:rsidR="00146ED8" w:rsidRPr="00DF0F9E" w:rsidRDefault="00146ED8" w:rsidP="00146ED8">
      <w:pPr>
        <w:ind w:right="-720"/>
        <w:rPr>
          <w:u w:val="single"/>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70"/>
        <w:gridCol w:w="1620"/>
        <w:gridCol w:w="1350"/>
        <w:gridCol w:w="1620"/>
      </w:tblGrid>
      <w:tr w:rsidR="00146ED8" w:rsidRPr="00001100" w14:paraId="54530C2A" w14:textId="77777777" w:rsidTr="00146ED8">
        <w:trPr>
          <w:trHeight w:val="144"/>
        </w:trPr>
        <w:tc>
          <w:tcPr>
            <w:tcW w:w="3168" w:type="dxa"/>
          </w:tcPr>
          <w:p w14:paraId="09AFCEDB" w14:textId="77777777" w:rsidR="00146ED8" w:rsidRPr="00001100" w:rsidRDefault="00146ED8" w:rsidP="00146ED8"/>
        </w:tc>
        <w:tc>
          <w:tcPr>
            <w:tcW w:w="270" w:type="dxa"/>
            <w:vMerge w:val="restart"/>
          </w:tcPr>
          <w:p w14:paraId="389F6D8B" w14:textId="77777777" w:rsidR="00146ED8" w:rsidRPr="00001100" w:rsidRDefault="00146ED8" w:rsidP="00146ED8">
            <w:pPr>
              <w:jc w:val="center"/>
            </w:pPr>
          </w:p>
        </w:tc>
        <w:tc>
          <w:tcPr>
            <w:tcW w:w="1620" w:type="dxa"/>
            <w:shd w:val="clear" w:color="auto" w:fill="auto"/>
          </w:tcPr>
          <w:p w14:paraId="573A39FF" w14:textId="77777777" w:rsidR="00146ED8" w:rsidRPr="00001100" w:rsidRDefault="00146ED8" w:rsidP="00146ED8">
            <w:pPr>
              <w:jc w:val="center"/>
            </w:pPr>
            <w:r w:rsidRPr="00001100">
              <w:t xml:space="preserve">Low </w:t>
            </w:r>
          </w:p>
          <w:p w14:paraId="6FCFD6EE" w14:textId="77777777" w:rsidR="00146ED8" w:rsidRPr="00001100" w:rsidRDefault="00146ED8" w:rsidP="00146ED8">
            <w:pPr>
              <w:jc w:val="center"/>
            </w:pPr>
            <w:r w:rsidRPr="00001100">
              <w:t>Performers</w:t>
            </w:r>
          </w:p>
        </w:tc>
        <w:tc>
          <w:tcPr>
            <w:tcW w:w="1350" w:type="dxa"/>
            <w:shd w:val="clear" w:color="auto" w:fill="auto"/>
          </w:tcPr>
          <w:p w14:paraId="13756CDD" w14:textId="77777777" w:rsidR="00146ED8" w:rsidRPr="00001100" w:rsidRDefault="00146ED8" w:rsidP="00146ED8">
            <w:pPr>
              <w:jc w:val="center"/>
            </w:pPr>
            <w:r w:rsidRPr="00001100">
              <w:t>Average</w:t>
            </w:r>
          </w:p>
        </w:tc>
        <w:tc>
          <w:tcPr>
            <w:tcW w:w="1620" w:type="dxa"/>
            <w:shd w:val="clear" w:color="auto" w:fill="auto"/>
          </w:tcPr>
          <w:p w14:paraId="1ADE0C44" w14:textId="77777777" w:rsidR="00146ED8" w:rsidRPr="00001100" w:rsidRDefault="00146ED8" w:rsidP="00146ED8">
            <w:pPr>
              <w:jc w:val="center"/>
            </w:pPr>
            <w:r w:rsidRPr="00001100">
              <w:t>Top</w:t>
            </w:r>
          </w:p>
          <w:p w14:paraId="53894619" w14:textId="77777777" w:rsidR="00146ED8" w:rsidRPr="00001100" w:rsidRDefault="00146ED8" w:rsidP="00146ED8">
            <w:pPr>
              <w:jc w:val="center"/>
            </w:pPr>
            <w:r w:rsidRPr="00001100">
              <w:t>Performers</w:t>
            </w:r>
          </w:p>
        </w:tc>
      </w:tr>
      <w:tr w:rsidR="00146ED8" w:rsidRPr="00001100" w14:paraId="2360CD34" w14:textId="77777777" w:rsidTr="00146ED8">
        <w:trPr>
          <w:trHeight w:val="314"/>
        </w:trPr>
        <w:tc>
          <w:tcPr>
            <w:tcW w:w="3168" w:type="dxa"/>
          </w:tcPr>
          <w:p w14:paraId="1106945B" w14:textId="77777777" w:rsidR="00146ED8" w:rsidRPr="00001100" w:rsidRDefault="00146ED8" w:rsidP="00146ED8">
            <w:r w:rsidRPr="00001100">
              <w:t>Title of respondents:</w:t>
            </w:r>
          </w:p>
        </w:tc>
        <w:tc>
          <w:tcPr>
            <w:tcW w:w="270" w:type="dxa"/>
            <w:vMerge/>
          </w:tcPr>
          <w:p w14:paraId="44762C84" w14:textId="77777777" w:rsidR="00146ED8" w:rsidRPr="00001100" w:rsidRDefault="00146ED8" w:rsidP="00146ED8">
            <w:pPr>
              <w:jc w:val="center"/>
            </w:pPr>
          </w:p>
        </w:tc>
        <w:tc>
          <w:tcPr>
            <w:tcW w:w="4590" w:type="dxa"/>
            <w:gridSpan w:val="3"/>
            <w:shd w:val="clear" w:color="auto" w:fill="auto"/>
          </w:tcPr>
          <w:p w14:paraId="0496AC68" w14:textId="77777777" w:rsidR="00146ED8" w:rsidRPr="00001100" w:rsidRDefault="00146ED8" w:rsidP="00146ED8">
            <w:pPr>
              <w:jc w:val="center"/>
            </w:pPr>
          </w:p>
        </w:tc>
      </w:tr>
      <w:tr w:rsidR="00146ED8" w:rsidRPr="00001100" w14:paraId="4A6D7C10" w14:textId="77777777" w:rsidTr="00146ED8">
        <w:trPr>
          <w:trHeight w:val="144"/>
        </w:trPr>
        <w:tc>
          <w:tcPr>
            <w:tcW w:w="3168" w:type="dxa"/>
          </w:tcPr>
          <w:p w14:paraId="53ACF8F0" w14:textId="77777777" w:rsidR="00146ED8" w:rsidRPr="00001100" w:rsidRDefault="00146ED8" w:rsidP="00146ED8">
            <w:pPr>
              <w:tabs>
                <w:tab w:val="left" w:pos="306"/>
              </w:tabs>
            </w:pPr>
            <w:r w:rsidRPr="00001100">
              <w:tab/>
              <w:t>Controllers</w:t>
            </w:r>
          </w:p>
        </w:tc>
        <w:tc>
          <w:tcPr>
            <w:tcW w:w="270" w:type="dxa"/>
            <w:vMerge/>
          </w:tcPr>
          <w:p w14:paraId="2DD7001B" w14:textId="77777777" w:rsidR="00146ED8" w:rsidRPr="00001100" w:rsidRDefault="00146ED8" w:rsidP="00146ED8">
            <w:pPr>
              <w:jc w:val="center"/>
            </w:pPr>
          </w:p>
        </w:tc>
        <w:tc>
          <w:tcPr>
            <w:tcW w:w="1620" w:type="dxa"/>
            <w:shd w:val="clear" w:color="auto" w:fill="auto"/>
          </w:tcPr>
          <w:p w14:paraId="2C2BDB62" w14:textId="77777777" w:rsidR="00146ED8" w:rsidRPr="00001100" w:rsidRDefault="00146ED8" w:rsidP="00146ED8">
            <w:pPr>
              <w:jc w:val="center"/>
            </w:pPr>
            <w:r w:rsidRPr="00001100">
              <w:t>100%</w:t>
            </w:r>
          </w:p>
        </w:tc>
        <w:tc>
          <w:tcPr>
            <w:tcW w:w="1350" w:type="dxa"/>
            <w:shd w:val="clear" w:color="auto" w:fill="auto"/>
          </w:tcPr>
          <w:p w14:paraId="298C14B2" w14:textId="77777777" w:rsidR="00146ED8" w:rsidRPr="00001100" w:rsidRDefault="00146ED8" w:rsidP="00146ED8">
            <w:pPr>
              <w:jc w:val="center"/>
            </w:pPr>
            <w:r w:rsidRPr="00001100">
              <w:t>77%</w:t>
            </w:r>
          </w:p>
        </w:tc>
        <w:tc>
          <w:tcPr>
            <w:tcW w:w="1620" w:type="dxa"/>
            <w:shd w:val="clear" w:color="auto" w:fill="auto"/>
          </w:tcPr>
          <w:p w14:paraId="7E02BF2F" w14:textId="77777777" w:rsidR="00146ED8" w:rsidRPr="00001100" w:rsidRDefault="00146ED8" w:rsidP="00146ED8">
            <w:pPr>
              <w:jc w:val="center"/>
            </w:pPr>
            <w:r w:rsidRPr="00001100">
              <w:t>86%</w:t>
            </w:r>
          </w:p>
        </w:tc>
      </w:tr>
      <w:tr w:rsidR="00146ED8" w:rsidRPr="00001100" w14:paraId="66964665" w14:textId="77777777" w:rsidTr="00146ED8">
        <w:trPr>
          <w:trHeight w:val="144"/>
        </w:trPr>
        <w:tc>
          <w:tcPr>
            <w:tcW w:w="3168" w:type="dxa"/>
          </w:tcPr>
          <w:p w14:paraId="653D53BE" w14:textId="77777777" w:rsidR="00146ED8" w:rsidRPr="00001100" w:rsidRDefault="00146ED8" w:rsidP="00146ED8">
            <w:pPr>
              <w:tabs>
                <w:tab w:val="left" w:pos="306"/>
              </w:tabs>
            </w:pPr>
            <w:r w:rsidRPr="00001100">
              <w:tab/>
              <w:t>CFOs</w:t>
            </w:r>
          </w:p>
        </w:tc>
        <w:tc>
          <w:tcPr>
            <w:tcW w:w="270" w:type="dxa"/>
            <w:vMerge/>
          </w:tcPr>
          <w:p w14:paraId="7CC2895F" w14:textId="77777777" w:rsidR="00146ED8" w:rsidRPr="00001100" w:rsidRDefault="00146ED8" w:rsidP="00146ED8">
            <w:pPr>
              <w:jc w:val="center"/>
            </w:pPr>
          </w:p>
        </w:tc>
        <w:tc>
          <w:tcPr>
            <w:tcW w:w="1620" w:type="dxa"/>
            <w:shd w:val="clear" w:color="auto" w:fill="auto"/>
          </w:tcPr>
          <w:p w14:paraId="4E1CEA30" w14:textId="77777777" w:rsidR="00146ED8" w:rsidRPr="00001100" w:rsidRDefault="00146ED8" w:rsidP="00146ED8">
            <w:pPr>
              <w:jc w:val="center"/>
            </w:pPr>
            <w:r w:rsidRPr="00001100">
              <w:t>0</w:t>
            </w:r>
          </w:p>
        </w:tc>
        <w:tc>
          <w:tcPr>
            <w:tcW w:w="1350" w:type="dxa"/>
            <w:shd w:val="clear" w:color="auto" w:fill="auto"/>
          </w:tcPr>
          <w:p w14:paraId="465103D6" w14:textId="77777777" w:rsidR="00146ED8" w:rsidRPr="00001100" w:rsidRDefault="00146ED8" w:rsidP="00146ED8">
            <w:pPr>
              <w:jc w:val="center"/>
            </w:pPr>
            <w:r w:rsidRPr="00001100">
              <w:t>13</w:t>
            </w:r>
          </w:p>
        </w:tc>
        <w:tc>
          <w:tcPr>
            <w:tcW w:w="1620" w:type="dxa"/>
            <w:shd w:val="clear" w:color="auto" w:fill="auto"/>
          </w:tcPr>
          <w:p w14:paraId="2D0CFEC3" w14:textId="77777777" w:rsidR="00146ED8" w:rsidRPr="00001100" w:rsidRDefault="00146ED8" w:rsidP="00146ED8">
            <w:pPr>
              <w:jc w:val="center"/>
            </w:pPr>
            <w:r w:rsidRPr="00001100">
              <w:t>7</w:t>
            </w:r>
          </w:p>
        </w:tc>
      </w:tr>
      <w:tr w:rsidR="00146ED8" w:rsidRPr="00001100" w14:paraId="432DEB8D" w14:textId="77777777" w:rsidTr="00146ED8">
        <w:trPr>
          <w:trHeight w:val="144"/>
        </w:trPr>
        <w:tc>
          <w:tcPr>
            <w:tcW w:w="3168" w:type="dxa"/>
          </w:tcPr>
          <w:p w14:paraId="2E177C71" w14:textId="77777777" w:rsidR="00146ED8" w:rsidRPr="00001100" w:rsidRDefault="00146ED8" w:rsidP="00146ED8">
            <w:pPr>
              <w:tabs>
                <w:tab w:val="left" w:pos="306"/>
              </w:tabs>
            </w:pPr>
            <w:r w:rsidRPr="00001100">
              <w:t xml:space="preserve">     Director of Finance</w:t>
            </w:r>
          </w:p>
        </w:tc>
        <w:tc>
          <w:tcPr>
            <w:tcW w:w="270" w:type="dxa"/>
            <w:vMerge/>
          </w:tcPr>
          <w:p w14:paraId="560DB62B" w14:textId="77777777" w:rsidR="00146ED8" w:rsidRPr="00001100" w:rsidRDefault="00146ED8" w:rsidP="00146ED8">
            <w:pPr>
              <w:jc w:val="center"/>
            </w:pPr>
          </w:p>
        </w:tc>
        <w:tc>
          <w:tcPr>
            <w:tcW w:w="1620" w:type="dxa"/>
            <w:shd w:val="clear" w:color="auto" w:fill="auto"/>
          </w:tcPr>
          <w:p w14:paraId="67127586" w14:textId="77777777" w:rsidR="00146ED8" w:rsidRPr="00001100" w:rsidRDefault="00146ED8" w:rsidP="00146ED8">
            <w:pPr>
              <w:jc w:val="center"/>
            </w:pPr>
            <w:r w:rsidRPr="00001100">
              <w:t>0</w:t>
            </w:r>
          </w:p>
        </w:tc>
        <w:tc>
          <w:tcPr>
            <w:tcW w:w="1350" w:type="dxa"/>
            <w:shd w:val="clear" w:color="auto" w:fill="auto"/>
          </w:tcPr>
          <w:p w14:paraId="4A3370B8" w14:textId="77777777" w:rsidR="00146ED8" w:rsidRPr="00001100" w:rsidRDefault="00146ED8" w:rsidP="00146ED8">
            <w:pPr>
              <w:jc w:val="center"/>
            </w:pPr>
            <w:r w:rsidRPr="00001100">
              <w:t>4</w:t>
            </w:r>
          </w:p>
        </w:tc>
        <w:tc>
          <w:tcPr>
            <w:tcW w:w="1620" w:type="dxa"/>
            <w:shd w:val="clear" w:color="auto" w:fill="auto"/>
          </w:tcPr>
          <w:p w14:paraId="327810EC" w14:textId="77777777" w:rsidR="00146ED8" w:rsidRPr="00001100" w:rsidRDefault="00146ED8" w:rsidP="00146ED8">
            <w:pPr>
              <w:jc w:val="center"/>
            </w:pPr>
            <w:r w:rsidRPr="00001100">
              <w:t>0</w:t>
            </w:r>
          </w:p>
        </w:tc>
      </w:tr>
      <w:tr w:rsidR="00146ED8" w:rsidRPr="00001100" w14:paraId="41172F7D" w14:textId="77777777" w:rsidTr="00146ED8">
        <w:trPr>
          <w:trHeight w:val="144"/>
        </w:trPr>
        <w:tc>
          <w:tcPr>
            <w:tcW w:w="3168" w:type="dxa"/>
          </w:tcPr>
          <w:p w14:paraId="53B25471" w14:textId="77777777" w:rsidR="00146ED8" w:rsidRPr="00001100" w:rsidRDefault="00146ED8" w:rsidP="00146ED8">
            <w:pPr>
              <w:tabs>
                <w:tab w:val="left" w:pos="306"/>
              </w:tabs>
            </w:pPr>
            <w:r w:rsidRPr="00001100">
              <w:tab/>
              <w:t>Assistant Controllers</w:t>
            </w:r>
          </w:p>
        </w:tc>
        <w:tc>
          <w:tcPr>
            <w:tcW w:w="270" w:type="dxa"/>
            <w:vMerge/>
          </w:tcPr>
          <w:p w14:paraId="7B5E532E" w14:textId="77777777" w:rsidR="00146ED8" w:rsidRPr="00001100" w:rsidRDefault="00146ED8" w:rsidP="00146ED8">
            <w:pPr>
              <w:jc w:val="center"/>
            </w:pPr>
          </w:p>
        </w:tc>
        <w:tc>
          <w:tcPr>
            <w:tcW w:w="1620" w:type="dxa"/>
            <w:shd w:val="clear" w:color="auto" w:fill="auto"/>
          </w:tcPr>
          <w:p w14:paraId="6CAA0DA2" w14:textId="77777777" w:rsidR="00146ED8" w:rsidRPr="00001100" w:rsidRDefault="00146ED8" w:rsidP="00146ED8">
            <w:pPr>
              <w:jc w:val="center"/>
            </w:pPr>
            <w:r w:rsidRPr="00001100">
              <w:t>0</w:t>
            </w:r>
          </w:p>
        </w:tc>
        <w:tc>
          <w:tcPr>
            <w:tcW w:w="1350" w:type="dxa"/>
            <w:shd w:val="clear" w:color="auto" w:fill="auto"/>
          </w:tcPr>
          <w:p w14:paraId="52D9FEDB" w14:textId="77777777" w:rsidR="00146ED8" w:rsidRPr="00001100" w:rsidRDefault="00146ED8" w:rsidP="00146ED8">
            <w:pPr>
              <w:jc w:val="center"/>
            </w:pPr>
            <w:r w:rsidRPr="00001100">
              <w:t>2</w:t>
            </w:r>
          </w:p>
        </w:tc>
        <w:tc>
          <w:tcPr>
            <w:tcW w:w="1620" w:type="dxa"/>
            <w:shd w:val="clear" w:color="auto" w:fill="auto"/>
          </w:tcPr>
          <w:p w14:paraId="1012ECE8" w14:textId="77777777" w:rsidR="00146ED8" w:rsidRPr="00001100" w:rsidRDefault="00146ED8" w:rsidP="00146ED8">
            <w:pPr>
              <w:jc w:val="center"/>
            </w:pPr>
            <w:r w:rsidRPr="00001100">
              <w:t>7</w:t>
            </w:r>
          </w:p>
        </w:tc>
      </w:tr>
      <w:tr w:rsidR="00146ED8" w:rsidRPr="00001100" w14:paraId="63965747" w14:textId="77777777" w:rsidTr="00146ED8">
        <w:trPr>
          <w:trHeight w:val="144"/>
        </w:trPr>
        <w:tc>
          <w:tcPr>
            <w:tcW w:w="3168" w:type="dxa"/>
          </w:tcPr>
          <w:p w14:paraId="31859285" w14:textId="77777777" w:rsidR="00146ED8" w:rsidRPr="00001100" w:rsidRDefault="00146ED8" w:rsidP="00146ED8">
            <w:pPr>
              <w:tabs>
                <w:tab w:val="left" w:pos="306"/>
              </w:tabs>
            </w:pPr>
            <w:r w:rsidRPr="00001100">
              <w:tab/>
              <w:t>General Managers</w:t>
            </w:r>
          </w:p>
        </w:tc>
        <w:tc>
          <w:tcPr>
            <w:tcW w:w="270" w:type="dxa"/>
            <w:vMerge/>
          </w:tcPr>
          <w:p w14:paraId="6C52D66D" w14:textId="77777777" w:rsidR="00146ED8" w:rsidRPr="00001100" w:rsidRDefault="00146ED8" w:rsidP="00146ED8">
            <w:pPr>
              <w:jc w:val="center"/>
            </w:pPr>
          </w:p>
        </w:tc>
        <w:tc>
          <w:tcPr>
            <w:tcW w:w="1620" w:type="dxa"/>
            <w:shd w:val="clear" w:color="auto" w:fill="auto"/>
          </w:tcPr>
          <w:p w14:paraId="40F8F2D5" w14:textId="77777777" w:rsidR="00146ED8" w:rsidRPr="00001100" w:rsidRDefault="00146ED8" w:rsidP="00146ED8">
            <w:pPr>
              <w:jc w:val="center"/>
            </w:pPr>
            <w:r w:rsidRPr="00001100">
              <w:t>0</w:t>
            </w:r>
          </w:p>
        </w:tc>
        <w:tc>
          <w:tcPr>
            <w:tcW w:w="1350" w:type="dxa"/>
            <w:shd w:val="clear" w:color="auto" w:fill="auto"/>
          </w:tcPr>
          <w:p w14:paraId="2988AA20" w14:textId="77777777" w:rsidR="00146ED8" w:rsidRPr="00001100" w:rsidRDefault="00146ED8" w:rsidP="00146ED8">
            <w:pPr>
              <w:jc w:val="center"/>
            </w:pPr>
            <w:r w:rsidRPr="00001100">
              <w:t>2</w:t>
            </w:r>
          </w:p>
        </w:tc>
        <w:tc>
          <w:tcPr>
            <w:tcW w:w="1620" w:type="dxa"/>
            <w:shd w:val="clear" w:color="auto" w:fill="auto"/>
          </w:tcPr>
          <w:p w14:paraId="7AF351CE" w14:textId="77777777" w:rsidR="00146ED8" w:rsidRPr="00001100" w:rsidRDefault="00146ED8" w:rsidP="00146ED8">
            <w:pPr>
              <w:jc w:val="center"/>
            </w:pPr>
            <w:r w:rsidRPr="00001100">
              <w:t>0</w:t>
            </w:r>
          </w:p>
        </w:tc>
      </w:tr>
      <w:tr w:rsidR="00146ED8" w:rsidRPr="00001100" w14:paraId="63096F4C" w14:textId="77777777" w:rsidTr="00146ED8">
        <w:trPr>
          <w:trHeight w:val="144"/>
        </w:trPr>
        <w:tc>
          <w:tcPr>
            <w:tcW w:w="3168" w:type="dxa"/>
          </w:tcPr>
          <w:p w14:paraId="199F19FC" w14:textId="77777777" w:rsidR="00146ED8" w:rsidRPr="00001100" w:rsidRDefault="00146ED8" w:rsidP="00146ED8">
            <w:pPr>
              <w:tabs>
                <w:tab w:val="left" w:pos="306"/>
              </w:tabs>
            </w:pPr>
            <w:r w:rsidRPr="00001100">
              <w:tab/>
              <w:t>Other</w:t>
            </w:r>
          </w:p>
        </w:tc>
        <w:tc>
          <w:tcPr>
            <w:tcW w:w="270" w:type="dxa"/>
            <w:vMerge/>
          </w:tcPr>
          <w:p w14:paraId="07B48E33" w14:textId="77777777" w:rsidR="00146ED8" w:rsidRPr="00001100" w:rsidRDefault="00146ED8" w:rsidP="00146ED8">
            <w:pPr>
              <w:jc w:val="center"/>
              <w:rPr>
                <w:u w:val="single"/>
              </w:rPr>
            </w:pPr>
          </w:p>
        </w:tc>
        <w:tc>
          <w:tcPr>
            <w:tcW w:w="1620" w:type="dxa"/>
            <w:shd w:val="clear" w:color="auto" w:fill="auto"/>
          </w:tcPr>
          <w:p w14:paraId="34BFF01A" w14:textId="77777777" w:rsidR="00146ED8" w:rsidRPr="00001100" w:rsidRDefault="00146ED8" w:rsidP="00146ED8">
            <w:pPr>
              <w:jc w:val="center"/>
              <w:rPr>
                <w:u w:val="single"/>
              </w:rPr>
            </w:pPr>
            <w:r w:rsidRPr="00001100">
              <w:rPr>
                <w:u w:val="single"/>
              </w:rPr>
              <w:t>0</w:t>
            </w:r>
          </w:p>
        </w:tc>
        <w:tc>
          <w:tcPr>
            <w:tcW w:w="1350" w:type="dxa"/>
            <w:shd w:val="clear" w:color="auto" w:fill="auto"/>
          </w:tcPr>
          <w:p w14:paraId="426AEA6A" w14:textId="77777777" w:rsidR="00146ED8" w:rsidRPr="00001100" w:rsidRDefault="00146ED8" w:rsidP="00146ED8">
            <w:pPr>
              <w:jc w:val="center"/>
              <w:rPr>
                <w:u w:val="single"/>
              </w:rPr>
            </w:pPr>
            <w:r w:rsidRPr="00001100">
              <w:rPr>
                <w:u w:val="single"/>
              </w:rPr>
              <w:t>2</w:t>
            </w:r>
          </w:p>
        </w:tc>
        <w:tc>
          <w:tcPr>
            <w:tcW w:w="1620" w:type="dxa"/>
            <w:shd w:val="clear" w:color="auto" w:fill="auto"/>
          </w:tcPr>
          <w:p w14:paraId="1AAFBD9A" w14:textId="77777777" w:rsidR="00146ED8" w:rsidRPr="00001100" w:rsidRDefault="00146ED8" w:rsidP="00146ED8">
            <w:pPr>
              <w:jc w:val="center"/>
              <w:rPr>
                <w:u w:val="single"/>
              </w:rPr>
            </w:pPr>
            <w:r w:rsidRPr="00001100">
              <w:rPr>
                <w:u w:val="single"/>
              </w:rPr>
              <w:t>0</w:t>
            </w:r>
          </w:p>
        </w:tc>
      </w:tr>
      <w:tr w:rsidR="00146ED8" w:rsidRPr="00001100" w14:paraId="4B9420E1" w14:textId="77777777" w:rsidTr="00146ED8">
        <w:trPr>
          <w:trHeight w:val="144"/>
        </w:trPr>
        <w:tc>
          <w:tcPr>
            <w:tcW w:w="3168" w:type="dxa"/>
          </w:tcPr>
          <w:p w14:paraId="7BFF92D8" w14:textId="77777777" w:rsidR="00146ED8" w:rsidRPr="00001100" w:rsidRDefault="00146ED8" w:rsidP="00146ED8">
            <w:pPr>
              <w:tabs>
                <w:tab w:val="left" w:pos="306"/>
                <w:tab w:val="left" w:pos="666"/>
              </w:tabs>
            </w:pPr>
            <w:r w:rsidRPr="00001100">
              <w:tab/>
            </w:r>
            <w:r w:rsidRPr="00001100">
              <w:tab/>
              <w:t>Total</w:t>
            </w:r>
          </w:p>
        </w:tc>
        <w:tc>
          <w:tcPr>
            <w:tcW w:w="270" w:type="dxa"/>
            <w:vMerge/>
          </w:tcPr>
          <w:p w14:paraId="16B15950" w14:textId="77777777" w:rsidR="00146ED8" w:rsidRPr="00001100" w:rsidRDefault="00146ED8" w:rsidP="00146ED8">
            <w:pPr>
              <w:jc w:val="center"/>
              <w:rPr>
                <w:u w:val="double"/>
              </w:rPr>
            </w:pPr>
          </w:p>
        </w:tc>
        <w:tc>
          <w:tcPr>
            <w:tcW w:w="1620" w:type="dxa"/>
            <w:shd w:val="clear" w:color="auto" w:fill="auto"/>
          </w:tcPr>
          <w:p w14:paraId="2CBC1AD2" w14:textId="77777777" w:rsidR="00146ED8" w:rsidRPr="00001100" w:rsidRDefault="00146ED8" w:rsidP="00146ED8">
            <w:pPr>
              <w:jc w:val="center"/>
              <w:rPr>
                <w:u w:val="double"/>
              </w:rPr>
            </w:pPr>
            <w:r w:rsidRPr="00001100">
              <w:rPr>
                <w:u w:val="double"/>
              </w:rPr>
              <w:t>100%</w:t>
            </w:r>
          </w:p>
        </w:tc>
        <w:tc>
          <w:tcPr>
            <w:tcW w:w="1350" w:type="dxa"/>
            <w:shd w:val="clear" w:color="auto" w:fill="auto"/>
          </w:tcPr>
          <w:p w14:paraId="475DAC13" w14:textId="77777777" w:rsidR="00146ED8" w:rsidRPr="00001100" w:rsidRDefault="00146ED8" w:rsidP="00146ED8">
            <w:pPr>
              <w:jc w:val="center"/>
              <w:rPr>
                <w:u w:val="double"/>
              </w:rPr>
            </w:pPr>
            <w:r w:rsidRPr="00001100">
              <w:rPr>
                <w:u w:val="double"/>
              </w:rPr>
              <w:t>100%</w:t>
            </w:r>
          </w:p>
        </w:tc>
        <w:tc>
          <w:tcPr>
            <w:tcW w:w="1620" w:type="dxa"/>
            <w:shd w:val="clear" w:color="auto" w:fill="auto"/>
          </w:tcPr>
          <w:p w14:paraId="6F9F412C" w14:textId="77777777" w:rsidR="00146ED8" w:rsidRPr="00001100" w:rsidRDefault="00146ED8" w:rsidP="00146ED8">
            <w:pPr>
              <w:jc w:val="center"/>
              <w:rPr>
                <w:u w:val="double"/>
              </w:rPr>
            </w:pPr>
            <w:r w:rsidRPr="00001100">
              <w:rPr>
                <w:u w:val="double"/>
              </w:rPr>
              <w:t>100%</w:t>
            </w:r>
          </w:p>
        </w:tc>
      </w:tr>
      <w:tr w:rsidR="00146ED8" w:rsidRPr="00001100" w14:paraId="7ABCA730" w14:textId="77777777" w:rsidTr="00146ED8">
        <w:trPr>
          <w:trHeight w:val="368"/>
        </w:trPr>
        <w:tc>
          <w:tcPr>
            <w:tcW w:w="8028" w:type="dxa"/>
            <w:gridSpan w:val="5"/>
          </w:tcPr>
          <w:p w14:paraId="0CBE4729" w14:textId="77777777" w:rsidR="00146ED8" w:rsidRPr="00001100" w:rsidRDefault="00146ED8" w:rsidP="00146ED8">
            <w:r>
              <w:t>Types of clubs:</w:t>
            </w:r>
          </w:p>
        </w:tc>
      </w:tr>
      <w:tr w:rsidR="00146ED8" w:rsidRPr="00001100" w14:paraId="0D1A4BEC" w14:textId="77777777" w:rsidTr="00146ED8">
        <w:trPr>
          <w:trHeight w:val="144"/>
        </w:trPr>
        <w:tc>
          <w:tcPr>
            <w:tcW w:w="3168" w:type="dxa"/>
          </w:tcPr>
          <w:p w14:paraId="3266DE97" w14:textId="77777777" w:rsidR="00146ED8" w:rsidRPr="00001100" w:rsidRDefault="00146ED8" w:rsidP="00146ED8">
            <w:pPr>
              <w:tabs>
                <w:tab w:val="left" w:pos="306"/>
              </w:tabs>
            </w:pPr>
            <w:r w:rsidRPr="00001100">
              <w:tab/>
              <w:t>Country Clubs</w:t>
            </w:r>
          </w:p>
        </w:tc>
        <w:tc>
          <w:tcPr>
            <w:tcW w:w="270" w:type="dxa"/>
            <w:vMerge w:val="restart"/>
          </w:tcPr>
          <w:p w14:paraId="2F760DF7" w14:textId="77777777" w:rsidR="00146ED8" w:rsidRPr="00001100" w:rsidRDefault="00146ED8" w:rsidP="00146ED8">
            <w:pPr>
              <w:jc w:val="center"/>
            </w:pPr>
          </w:p>
        </w:tc>
        <w:tc>
          <w:tcPr>
            <w:tcW w:w="1620" w:type="dxa"/>
            <w:shd w:val="clear" w:color="auto" w:fill="auto"/>
          </w:tcPr>
          <w:p w14:paraId="5F027EAA" w14:textId="77777777" w:rsidR="00146ED8" w:rsidRPr="00001100" w:rsidRDefault="00146ED8" w:rsidP="00146ED8">
            <w:pPr>
              <w:jc w:val="center"/>
            </w:pPr>
            <w:r w:rsidRPr="00001100">
              <w:t>61%</w:t>
            </w:r>
          </w:p>
        </w:tc>
        <w:tc>
          <w:tcPr>
            <w:tcW w:w="1350" w:type="dxa"/>
            <w:shd w:val="clear" w:color="auto" w:fill="auto"/>
          </w:tcPr>
          <w:p w14:paraId="7DC239F6" w14:textId="77777777" w:rsidR="00146ED8" w:rsidRPr="00001100" w:rsidRDefault="00146ED8" w:rsidP="00146ED8">
            <w:pPr>
              <w:jc w:val="center"/>
            </w:pPr>
            <w:r w:rsidRPr="00001100">
              <w:t>63%</w:t>
            </w:r>
          </w:p>
        </w:tc>
        <w:tc>
          <w:tcPr>
            <w:tcW w:w="1620" w:type="dxa"/>
            <w:shd w:val="clear" w:color="auto" w:fill="auto"/>
          </w:tcPr>
          <w:p w14:paraId="1F369C63" w14:textId="77777777" w:rsidR="00146ED8" w:rsidRPr="00001100" w:rsidRDefault="00146ED8" w:rsidP="00146ED8">
            <w:pPr>
              <w:jc w:val="center"/>
            </w:pPr>
            <w:r w:rsidRPr="00001100">
              <w:t>62%</w:t>
            </w:r>
          </w:p>
        </w:tc>
      </w:tr>
      <w:tr w:rsidR="00146ED8" w:rsidRPr="00001100" w14:paraId="4AD43E9E" w14:textId="77777777" w:rsidTr="00146ED8">
        <w:trPr>
          <w:trHeight w:val="144"/>
        </w:trPr>
        <w:tc>
          <w:tcPr>
            <w:tcW w:w="3168" w:type="dxa"/>
          </w:tcPr>
          <w:p w14:paraId="44DF5AED" w14:textId="77777777" w:rsidR="00146ED8" w:rsidRPr="00001100" w:rsidRDefault="00146ED8" w:rsidP="00146ED8">
            <w:pPr>
              <w:tabs>
                <w:tab w:val="left" w:pos="306"/>
              </w:tabs>
            </w:pPr>
            <w:r w:rsidRPr="00001100">
              <w:tab/>
              <w:t>Golf Clubs</w:t>
            </w:r>
          </w:p>
        </w:tc>
        <w:tc>
          <w:tcPr>
            <w:tcW w:w="270" w:type="dxa"/>
            <w:vMerge/>
          </w:tcPr>
          <w:p w14:paraId="47B006CC" w14:textId="77777777" w:rsidR="00146ED8" w:rsidRPr="00001100" w:rsidRDefault="00146ED8" w:rsidP="00146ED8">
            <w:pPr>
              <w:jc w:val="center"/>
            </w:pPr>
          </w:p>
        </w:tc>
        <w:tc>
          <w:tcPr>
            <w:tcW w:w="1620" w:type="dxa"/>
            <w:shd w:val="clear" w:color="auto" w:fill="auto"/>
          </w:tcPr>
          <w:p w14:paraId="47018BA3" w14:textId="77777777" w:rsidR="00146ED8" w:rsidRPr="00001100" w:rsidRDefault="00146ED8" w:rsidP="00146ED8">
            <w:pPr>
              <w:jc w:val="center"/>
            </w:pPr>
            <w:r w:rsidRPr="00001100">
              <w:t>13</w:t>
            </w:r>
          </w:p>
        </w:tc>
        <w:tc>
          <w:tcPr>
            <w:tcW w:w="1350" w:type="dxa"/>
            <w:shd w:val="clear" w:color="auto" w:fill="auto"/>
          </w:tcPr>
          <w:p w14:paraId="2156C9A7" w14:textId="77777777" w:rsidR="00146ED8" w:rsidRPr="00001100" w:rsidRDefault="00146ED8" w:rsidP="00146ED8">
            <w:pPr>
              <w:jc w:val="center"/>
            </w:pPr>
            <w:r w:rsidRPr="00001100">
              <w:t>12</w:t>
            </w:r>
          </w:p>
        </w:tc>
        <w:tc>
          <w:tcPr>
            <w:tcW w:w="1620" w:type="dxa"/>
            <w:shd w:val="clear" w:color="auto" w:fill="auto"/>
          </w:tcPr>
          <w:p w14:paraId="1982D28E" w14:textId="77777777" w:rsidR="00146ED8" w:rsidRPr="00001100" w:rsidRDefault="00146ED8" w:rsidP="00146ED8">
            <w:pPr>
              <w:jc w:val="center"/>
            </w:pPr>
            <w:r w:rsidRPr="00001100">
              <w:t>13</w:t>
            </w:r>
          </w:p>
        </w:tc>
      </w:tr>
      <w:tr w:rsidR="00146ED8" w:rsidRPr="00001100" w14:paraId="3B023986" w14:textId="77777777" w:rsidTr="00146ED8">
        <w:trPr>
          <w:trHeight w:val="144"/>
        </w:trPr>
        <w:tc>
          <w:tcPr>
            <w:tcW w:w="3168" w:type="dxa"/>
          </w:tcPr>
          <w:p w14:paraId="4B73139B" w14:textId="77777777" w:rsidR="00146ED8" w:rsidRPr="00001100" w:rsidRDefault="00146ED8" w:rsidP="00146ED8">
            <w:pPr>
              <w:tabs>
                <w:tab w:val="left" w:pos="306"/>
              </w:tabs>
            </w:pPr>
            <w:r w:rsidRPr="00001100">
              <w:tab/>
              <w:t>City Clubs</w:t>
            </w:r>
          </w:p>
        </w:tc>
        <w:tc>
          <w:tcPr>
            <w:tcW w:w="270" w:type="dxa"/>
            <w:vMerge/>
          </w:tcPr>
          <w:p w14:paraId="18C403D8" w14:textId="77777777" w:rsidR="00146ED8" w:rsidRPr="00001100" w:rsidRDefault="00146ED8" w:rsidP="00146ED8">
            <w:pPr>
              <w:jc w:val="center"/>
            </w:pPr>
          </w:p>
        </w:tc>
        <w:tc>
          <w:tcPr>
            <w:tcW w:w="1620" w:type="dxa"/>
            <w:shd w:val="clear" w:color="auto" w:fill="auto"/>
          </w:tcPr>
          <w:p w14:paraId="32D4237A" w14:textId="77777777" w:rsidR="00146ED8" w:rsidRPr="00001100" w:rsidRDefault="00146ED8" w:rsidP="00146ED8">
            <w:pPr>
              <w:jc w:val="center"/>
            </w:pPr>
            <w:r w:rsidRPr="00001100">
              <w:t>13</w:t>
            </w:r>
          </w:p>
        </w:tc>
        <w:tc>
          <w:tcPr>
            <w:tcW w:w="1350" w:type="dxa"/>
            <w:shd w:val="clear" w:color="auto" w:fill="auto"/>
          </w:tcPr>
          <w:p w14:paraId="0F61C708" w14:textId="77777777" w:rsidR="00146ED8" w:rsidRPr="00001100" w:rsidRDefault="00146ED8" w:rsidP="00146ED8">
            <w:pPr>
              <w:jc w:val="center"/>
            </w:pPr>
            <w:r w:rsidRPr="00001100">
              <w:t>15</w:t>
            </w:r>
          </w:p>
        </w:tc>
        <w:tc>
          <w:tcPr>
            <w:tcW w:w="1620" w:type="dxa"/>
            <w:shd w:val="clear" w:color="auto" w:fill="auto"/>
          </w:tcPr>
          <w:p w14:paraId="351D2ADD" w14:textId="77777777" w:rsidR="00146ED8" w:rsidRPr="00001100" w:rsidRDefault="00146ED8" w:rsidP="00146ED8">
            <w:pPr>
              <w:jc w:val="center"/>
            </w:pPr>
            <w:r w:rsidRPr="00001100">
              <w:t>19</w:t>
            </w:r>
          </w:p>
        </w:tc>
      </w:tr>
      <w:tr w:rsidR="00146ED8" w:rsidRPr="00001100" w14:paraId="183EB423" w14:textId="77777777" w:rsidTr="00146ED8">
        <w:trPr>
          <w:trHeight w:val="144"/>
        </w:trPr>
        <w:tc>
          <w:tcPr>
            <w:tcW w:w="3168" w:type="dxa"/>
          </w:tcPr>
          <w:p w14:paraId="5F65B054" w14:textId="77777777" w:rsidR="00146ED8" w:rsidRPr="00001100" w:rsidRDefault="00146ED8" w:rsidP="00146ED8">
            <w:pPr>
              <w:tabs>
                <w:tab w:val="left" w:pos="306"/>
              </w:tabs>
            </w:pPr>
            <w:r w:rsidRPr="00001100">
              <w:tab/>
              <w:t>Other Clubs</w:t>
            </w:r>
          </w:p>
        </w:tc>
        <w:tc>
          <w:tcPr>
            <w:tcW w:w="270" w:type="dxa"/>
            <w:vMerge/>
          </w:tcPr>
          <w:p w14:paraId="5B2A80DF" w14:textId="77777777" w:rsidR="00146ED8" w:rsidRPr="00001100" w:rsidRDefault="00146ED8" w:rsidP="00146ED8">
            <w:pPr>
              <w:jc w:val="center"/>
              <w:rPr>
                <w:u w:val="single"/>
              </w:rPr>
            </w:pPr>
          </w:p>
        </w:tc>
        <w:tc>
          <w:tcPr>
            <w:tcW w:w="1620" w:type="dxa"/>
            <w:shd w:val="clear" w:color="auto" w:fill="auto"/>
          </w:tcPr>
          <w:p w14:paraId="089EDC9B" w14:textId="77777777" w:rsidR="00146ED8" w:rsidRPr="00001100" w:rsidRDefault="00146ED8" w:rsidP="00146ED8">
            <w:pPr>
              <w:jc w:val="center"/>
              <w:rPr>
                <w:u w:val="single"/>
              </w:rPr>
            </w:pPr>
            <w:r w:rsidRPr="00001100">
              <w:rPr>
                <w:u w:val="single"/>
              </w:rPr>
              <w:t>13</w:t>
            </w:r>
          </w:p>
        </w:tc>
        <w:tc>
          <w:tcPr>
            <w:tcW w:w="1350" w:type="dxa"/>
            <w:shd w:val="clear" w:color="auto" w:fill="auto"/>
          </w:tcPr>
          <w:p w14:paraId="5181E7DF" w14:textId="77777777" w:rsidR="00146ED8" w:rsidRPr="00001100" w:rsidRDefault="00146ED8" w:rsidP="00146ED8">
            <w:pPr>
              <w:jc w:val="center"/>
              <w:rPr>
                <w:u w:val="single"/>
              </w:rPr>
            </w:pPr>
            <w:r w:rsidRPr="00001100">
              <w:rPr>
                <w:u w:val="single"/>
              </w:rPr>
              <w:t>10</w:t>
            </w:r>
          </w:p>
        </w:tc>
        <w:tc>
          <w:tcPr>
            <w:tcW w:w="1620" w:type="dxa"/>
            <w:shd w:val="clear" w:color="auto" w:fill="auto"/>
          </w:tcPr>
          <w:p w14:paraId="7FA92D60" w14:textId="77777777" w:rsidR="00146ED8" w:rsidRPr="00001100" w:rsidRDefault="00146ED8" w:rsidP="00146ED8">
            <w:pPr>
              <w:jc w:val="center"/>
              <w:rPr>
                <w:u w:val="single"/>
              </w:rPr>
            </w:pPr>
            <w:r w:rsidRPr="00001100">
              <w:rPr>
                <w:u w:val="single"/>
              </w:rPr>
              <w:t>6</w:t>
            </w:r>
          </w:p>
        </w:tc>
      </w:tr>
      <w:tr w:rsidR="00146ED8" w:rsidRPr="00001100" w14:paraId="7AF658BB" w14:textId="77777777" w:rsidTr="00146ED8">
        <w:trPr>
          <w:trHeight w:val="144"/>
        </w:trPr>
        <w:tc>
          <w:tcPr>
            <w:tcW w:w="3168" w:type="dxa"/>
          </w:tcPr>
          <w:p w14:paraId="38916AB9" w14:textId="77777777" w:rsidR="00146ED8" w:rsidRPr="00001100" w:rsidRDefault="00146ED8" w:rsidP="00146ED8">
            <w:pPr>
              <w:tabs>
                <w:tab w:val="left" w:pos="306"/>
                <w:tab w:val="left" w:pos="666"/>
              </w:tabs>
            </w:pPr>
            <w:r w:rsidRPr="00001100">
              <w:tab/>
            </w:r>
            <w:r w:rsidRPr="00001100">
              <w:tab/>
              <w:t>Total</w:t>
            </w:r>
          </w:p>
        </w:tc>
        <w:tc>
          <w:tcPr>
            <w:tcW w:w="270" w:type="dxa"/>
            <w:vMerge/>
          </w:tcPr>
          <w:p w14:paraId="3DB8040A" w14:textId="77777777" w:rsidR="00146ED8" w:rsidRPr="00001100" w:rsidRDefault="00146ED8" w:rsidP="00146ED8">
            <w:pPr>
              <w:jc w:val="center"/>
              <w:rPr>
                <w:u w:val="double"/>
              </w:rPr>
            </w:pPr>
          </w:p>
        </w:tc>
        <w:tc>
          <w:tcPr>
            <w:tcW w:w="1620" w:type="dxa"/>
            <w:shd w:val="clear" w:color="auto" w:fill="auto"/>
          </w:tcPr>
          <w:p w14:paraId="577FBC63" w14:textId="77777777" w:rsidR="00146ED8" w:rsidRPr="00001100" w:rsidRDefault="00146ED8" w:rsidP="00146ED8">
            <w:pPr>
              <w:jc w:val="center"/>
              <w:rPr>
                <w:u w:val="double"/>
              </w:rPr>
            </w:pPr>
            <w:r w:rsidRPr="00001100">
              <w:rPr>
                <w:u w:val="double"/>
              </w:rPr>
              <w:t>1005</w:t>
            </w:r>
          </w:p>
        </w:tc>
        <w:tc>
          <w:tcPr>
            <w:tcW w:w="1350" w:type="dxa"/>
            <w:shd w:val="clear" w:color="auto" w:fill="auto"/>
          </w:tcPr>
          <w:p w14:paraId="5A6B0A1D" w14:textId="77777777" w:rsidR="00146ED8" w:rsidRPr="00001100" w:rsidRDefault="00146ED8" w:rsidP="00146ED8">
            <w:pPr>
              <w:jc w:val="center"/>
              <w:rPr>
                <w:u w:val="double"/>
              </w:rPr>
            </w:pPr>
            <w:r w:rsidRPr="00001100">
              <w:rPr>
                <w:u w:val="double"/>
              </w:rPr>
              <w:t>100%</w:t>
            </w:r>
          </w:p>
        </w:tc>
        <w:tc>
          <w:tcPr>
            <w:tcW w:w="1620" w:type="dxa"/>
            <w:shd w:val="clear" w:color="auto" w:fill="auto"/>
          </w:tcPr>
          <w:p w14:paraId="576FE6CE" w14:textId="77777777" w:rsidR="00146ED8" w:rsidRPr="00001100" w:rsidRDefault="00146ED8" w:rsidP="00146ED8">
            <w:pPr>
              <w:jc w:val="center"/>
              <w:rPr>
                <w:u w:val="double"/>
              </w:rPr>
            </w:pPr>
            <w:r w:rsidRPr="00001100">
              <w:rPr>
                <w:u w:val="double"/>
              </w:rPr>
              <w:t>100%</w:t>
            </w:r>
          </w:p>
        </w:tc>
      </w:tr>
      <w:tr w:rsidR="00146ED8" w:rsidRPr="00001100" w14:paraId="1FBC736F" w14:textId="77777777" w:rsidTr="00146ED8">
        <w:trPr>
          <w:trHeight w:val="359"/>
        </w:trPr>
        <w:tc>
          <w:tcPr>
            <w:tcW w:w="8028" w:type="dxa"/>
            <w:gridSpan w:val="5"/>
          </w:tcPr>
          <w:p w14:paraId="57B6ED5A" w14:textId="77777777" w:rsidR="00146ED8" w:rsidRPr="00001100" w:rsidRDefault="00146ED8" w:rsidP="00146ED8">
            <w:r w:rsidRPr="00001100">
              <w:t>Number of Members:</w:t>
            </w:r>
          </w:p>
        </w:tc>
      </w:tr>
      <w:tr w:rsidR="00146ED8" w:rsidRPr="00001100" w14:paraId="7E3D44A7" w14:textId="77777777" w:rsidTr="00146ED8">
        <w:trPr>
          <w:trHeight w:val="144"/>
        </w:trPr>
        <w:tc>
          <w:tcPr>
            <w:tcW w:w="3168" w:type="dxa"/>
          </w:tcPr>
          <w:p w14:paraId="1BA525B8" w14:textId="77777777" w:rsidR="00146ED8" w:rsidRPr="00001100" w:rsidRDefault="00146ED8" w:rsidP="00146ED8">
            <w:pPr>
              <w:tabs>
                <w:tab w:val="left" w:pos="306"/>
              </w:tabs>
            </w:pPr>
            <w:r w:rsidRPr="00001100">
              <w:tab/>
              <w:t>&lt; 300</w:t>
            </w:r>
          </w:p>
        </w:tc>
        <w:tc>
          <w:tcPr>
            <w:tcW w:w="270" w:type="dxa"/>
            <w:vMerge w:val="restart"/>
          </w:tcPr>
          <w:p w14:paraId="29A4C6C2" w14:textId="77777777" w:rsidR="00146ED8" w:rsidRPr="00001100" w:rsidRDefault="00146ED8" w:rsidP="00146ED8">
            <w:pPr>
              <w:jc w:val="center"/>
            </w:pPr>
          </w:p>
        </w:tc>
        <w:tc>
          <w:tcPr>
            <w:tcW w:w="1620" w:type="dxa"/>
            <w:shd w:val="clear" w:color="auto" w:fill="auto"/>
          </w:tcPr>
          <w:p w14:paraId="3169BBD2" w14:textId="77777777" w:rsidR="00146ED8" w:rsidRPr="00001100" w:rsidRDefault="00146ED8" w:rsidP="00146ED8">
            <w:pPr>
              <w:jc w:val="center"/>
            </w:pPr>
            <w:r w:rsidRPr="00001100">
              <w:t>19%</w:t>
            </w:r>
          </w:p>
        </w:tc>
        <w:tc>
          <w:tcPr>
            <w:tcW w:w="1350" w:type="dxa"/>
            <w:shd w:val="clear" w:color="auto" w:fill="auto"/>
          </w:tcPr>
          <w:p w14:paraId="40573BBC" w14:textId="77777777" w:rsidR="00146ED8" w:rsidRPr="00001100" w:rsidRDefault="00146ED8" w:rsidP="00146ED8">
            <w:pPr>
              <w:jc w:val="center"/>
            </w:pPr>
            <w:r w:rsidRPr="00001100">
              <w:t>8%</w:t>
            </w:r>
          </w:p>
        </w:tc>
        <w:tc>
          <w:tcPr>
            <w:tcW w:w="1620" w:type="dxa"/>
            <w:shd w:val="clear" w:color="auto" w:fill="auto"/>
          </w:tcPr>
          <w:p w14:paraId="6D9B69F8" w14:textId="77777777" w:rsidR="00146ED8" w:rsidRPr="00001100" w:rsidRDefault="00146ED8" w:rsidP="00146ED8">
            <w:pPr>
              <w:jc w:val="center"/>
            </w:pPr>
            <w:r w:rsidRPr="00001100">
              <w:t>15%</w:t>
            </w:r>
          </w:p>
        </w:tc>
      </w:tr>
      <w:tr w:rsidR="00146ED8" w:rsidRPr="00001100" w14:paraId="1C3E0B03" w14:textId="77777777" w:rsidTr="00146ED8">
        <w:trPr>
          <w:trHeight w:val="144"/>
        </w:trPr>
        <w:tc>
          <w:tcPr>
            <w:tcW w:w="3168" w:type="dxa"/>
          </w:tcPr>
          <w:p w14:paraId="0F7FBAB9" w14:textId="77777777" w:rsidR="00146ED8" w:rsidRPr="00001100" w:rsidRDefault="00146ED8" w:rsidP="00146ED8">
            <w:pPr>
              <w:tabs>
                <w:tab w:val="left" w:pos="306"/>
              </w:tabs>
            </w:pPr>
            <w:r w:rsidRPr="00001100">
              <w:tab/>
              <w:t>300-500</w:t>
            </w:r>
          </w:p>
        </w:tc>
        <w:tc>
          <w:tcPr>
            <w:tcW w:w="270" w:type="dxa"/>
            <w:vMerge/>
          </w:tcPr>
          <w:p w14:paraId="322B0F05" w14:textId="77777777" w:rsidR="00146ED8" w:rsidRPr="00001100" w:rsidRDefault="00146ED8" w:rsidP="00146ED8">
            <w:pPr>
              <w:jc w:val="center"/>
            </w:pPr>
          </w:p>
        </w:tc>
        <w:tc>
          <w:tcPr>
            <w:tcW w:w="1620" w:type="dxa"/>
            <w:shd w:val="clear" w:color="auto" w:fill="auto"/>
          </w:tcPr>
          <w:p w14:paraId="38EBF50E" w14:textId="77777777" w:rsidR="00146ED8" w:rsidRPr="00001100" w:rsidRDefault="00146ED8" w:rsidP="00146ED8">
            <w:pPr>
              <w:jc w:val="center"/>
            </w:pPr>
            <w:r w:rsidRPr="00001100">
              <w:t>37</w:t>
            </w:r>
          </w:p>
        </w:tc>
        <w:tc>
          <w:tcPr>
            <w:tcW w:w="1350" w:type="dxa"/>
            <w:shd w:val="clear" w:color="auto" w:fill="auto"/>
          </w:tcPr>
          <w:p w14:paraId="4F24E371" w14:textId="77777777" w:rsidR="00146ED8" w:rsidRPr="00001100" w:rsidRDefault="00146ED8" w:rsidP="00146ED8">
            <w:pPr>
              <w:jc w:val="center"/>
            </w:pPr>
            <w:r w:rsidRPr="00001100">
              <w:t>19</w:t>
            </w:r>
          </w:p>
        </w:tc>
        <w:tc>
          <w:tcPr>
            <w:tcW w:w="1620" w:type="dxa"/>
            <w:shd w:val="clear" w:color="auto" w:fill="auto"/>
          </w:tcPr>
          <w:p w14:paraId="55363938" w14:textId="77777777" w:rsidR="00146ED8" w:rsidRPr="00001100" w:rsidRDefault="00146ED8" w:rsidP="00146ED8">
            <w:pPr>
              <w:jc w:val="center"/>
            </w:pPr>
            <w:r w:rsidRPr="00001100">
              <w:t>7</w:t>
            </w:r>
          </w:p>
        </w:tc>
      </w:tr>
      <w:tr w:rsidR="00146ED8" w:rsidRPr="00001100" w14:paraId="72A7A8F3" w14:textId="77777777" w:rsidTr="00146ED8">
        <w:trPr>
          <w:trHeight w:val="144"/>
        </w:trPr>
        <w:tc>
          <w:tcPr>
            <w:tcW w:w="3168" w:type="dxa"/>
          </w:tcPr>
          <w:p w14:paraId="13393AA0" w14:textId="77777777" w:rsidR="00146ED8" w:rsidRPr="00001100" w:rsidRDefault="00146ED8" w:rsidP="00146ED8">
            <w:pPr>
              <w:tabs>
                <w:tab w:val="left" w:pos="306"/>
              </w:tabs>
            </w:pPr>
            <w:r w:rsidRPr="00001100">
              <w:tab/>
              <w:t>501-750</w:t>
            </w:r>
          </w:p>
        </w:tc>
        <w:tc>
          <w:tcPr>
            <w:tcW w:w="270" w:type="dxa"/>
            <w:vMerge/>
          </w:tcPr>
          <w:p w14:paraId="158AB903" w14:textId="77777777" w:rsidR="00146ED8" w:rsidRPr="00001100" w:rsidRDefault="00146ED8" w:rsidP="00146ED8">
            <w:pPr>
              <w:jc w:val="center"/>
            </w:pPr>
          </w:p>
        </w:tc>
        <w:tc>
          <w:tcPr>
            <w:tcW w:w="1620" w:type="dxa"/>
            <w:shd w:val="clear" w:color="auto" w:fill="auto"/>
          </w:tcPr>
          <w:p w14:paraId="05E85400" w14:textId="77777777" w:rsidR="00146ED8" w:rsidRPr="00001100" w:rsidRDefault="00146ED8" w:rsidP="00146ED8">
            <w:pPr>
              <w:jc w:val="center"/>
            </w:pPr>
            <w:r w:rsidRPr="00001100">
              <w:t>19</w:t>
            </w:r>
          </w:p>
        </w:tc>
        <w:tc>
          <w:tcPr>
            <w:tcW w:w="1350" w:type="dxa"/>
            <w:shd w:val="clear" w:color="auto" w:fill="auto"/>
          </w:tcPr>
          <w:p w14:paraId="3CEB4869" w14:textId="77777777" w:rsidR="00146ED8" w:rsidRPr="00001100" w:rsidRDefault="00146ED8" w:rsidP="00146ED8">
            <w:pPr>
              <w:jc w:val="center"/>
            </w:pPr>
            <w:r w:rsidRPr="00001100">
              <w:t>28</w:t>
            </w:r>
          </w:p>
        </w:tc>
        <w:tc>
          <w:tcPr>
            <w:tcW w:w="1620" w:type="dxa"/>
            <w:shd w:val="clear" w:color="auto" w:fill="auto"/>
          </w:tcPr>
          <w:p w14:paraId="2945B7C4" w14:textId="77777777" w:rsidR="00146ED8" w:rsidRPr="00001100" w:rsidRDefault="00146ED8" w:rsidP="00146ED8">
            <w:pPr>
              <w:jc w:val="center"/>
            </w:pPr>
            <w:r w:rsidRPr="00001100">
              <w:t>21</w:t>
            </w:r>
          </w:p>
        </w:tc>
      </w:tr>
      <w:tr w:rsidR="00146ED8" w:rsidRPr="00001100" w14:paraId="3002F8FB" w14:textId="77777777" w:rsidTr="00146ED8">
        <w:trPr>
          <w:trHeight w:val="144"/>
        </w:trPr>
        <w:tc>
          <w:tcPr>
            <w:tcW w:w="3168" w:type="dxa"/>
          </w:tcPr>
          <w:p w14:paraId="25096ECF" w14:textId="77777777" w:rsidR="00146ED8" w:rsidRPr="00001100" w:rsidRDefault="00146ED8" w:rsidP="00146ED8">
            <w:pPr>
              <w:tabs>
                <w:tab w:val="left" w:pos="306"/>
              </w:tabs>
            </w:pPr>
            <w:r w:rsidRPr="00001100">
              <w:tab/>
              <w:t>751-1,000</w:t>
            </w:r>
          </w:p>
        </w:tc>
        <w:tc>
          <w:tcPr>
            <w:tcW w:w="270" w:type="dxa"/>
            <w:vMerge/>
          </w:tcPr>
          <w:p w14:paraId="75ECD0D7" w14:textId="77777777" w:rsidR="00146ED8" w:rsidRPr="00001100" w:rsidRDefault="00146ED8" w:rsidP="00146ED8">
            <w:pPr>
              <w:jc w:val="center"/>
            </w:pPr>
          </w:p>
        </w:tc>
        <w:tc>
          <w:tcPr>
            <w:tcW w:w="1620" w:type="dxa"/>
            <w:shd w:val="clear" w:color="auto" w:fill="auto"/>
          </w:tcPr>
          <w:p w14:paraId="1914B98D" w14:textId="77777777" w:rsidR="00146ED8" w:rsidRPr="00001100" w:rsidRDefault="00146ED8" w:rsidP="00146ED8">
            <w:pPr>
              <w:jc w:val="center"/>
            </w:pPr>
            <w:r w:rsidRPr="00001100">
              <w:t>0</w:t>
            </w:r>
          </w:p>
        </w:tc>
        <w:tc>
          <w:tcPr>
            <w:tcW w:w="1350" w:type="dxa"/>
            <w:shd w:val="clear" w:color="auto" w:fill="auto"/>
          </w:tcPr>
          <w:p w14:paraId="4B1F09FF" w14:textId="77777777" w:rsidR="00146ED8" w:rsidRPr="00001100" w:rsidRDefault="00146ED8" w:rsidP="00146ED8">
            <w:pPr>
              <w:jc w:val="center"/>
            </w:pPr>
            <w:r w:rsidRPr="00001100">
              <w:t>14</w:t>
            </w:r>
          </w:p>
        </w:tc>
        <w:tc>
          <w:tcPr>
            <w:tcW w:w="1620" w:type="dxa"/>
            <w:shd w:val="clear" w:color="auto" w:fill="auto"/>
          </w:tcPr>
          <w:p w14:paraId="00CF6930" w14:textId="77777777" w:rsidR="00146ED8" w:rsidRPr="00001100" w:rsidRDefault="00146ED8" w:rsidP="00146ED8">
            <w:pPr>
              <w:jc w:val="center"/>
            </w:pPr>
            <w:r w:rsidRPr="00001100">
              <w:t>21</w:t>
            </w:r>
          </w:p>
        </w:tc>
      </w:tr>
      <w:tr w:rsidR="00146ED8" w:rsidRPr="00001100" w14:paraId="08D118B7" w14:textId="77777777" w:rsidTr="00146ED8">
        <w:trPr>
          <w:trHeight w:val="144"/>
        </w:trPr>
        <w:tc>
          <w:tcPr>
            <w:tcW w:w="3168" w:type="dxa"/>
          </w:tcPr>
          <w:p w14:paraId="7D1684E8" w14:textId="77777777" w:rsidR="00146ED8" w:rsidRPr="00001100" w:rsidRDefault="00146ED8" w:rsidP="00146ED8">
            <w:pPr>
              <w:tabs>
                <w:tab w:val="left" w:pos="306"/>
              </w:tabs>
            </w:pPr>
            <w:r w:rsidRPr="00001100">
              <w:tab/>
              <w:t>1,001-1,500</w:t>
            </w:r>
          </w:p>
        </w:tc>
        <w:tc>
          <w:tcPr>
            <w:tcW w:w="270" w:type="dxa"/>
            <w:vMerge/>
          </w:tcPr>
          <w:p w14:paraId="63F5A7CF" w14:textId="77777777" w:rsidR="00146ED8" w:rsidRPr="00001100" w:rsidRDefault="00146ED8" w:rsidP="00146ED8">
            <w:pPr>
              <w:jc w:val="center"/>
            </w:pPr>
          </w:p>
        </w:tc>
        <w:tc>
          <w:tcPr>
            <w:tcW w:w="1620" w:type="dxa"/>
            <w:shd w:val="clear" w:color="auto" w:fill="auto"/>
          </w:tcPr>
          <w:p w14:paraId="6233AB9B" w14:textId="77777777" w:rsidR="00146ED8" w:rsidRPr="00001100" w:rsidRDefault="00146ED8" w:rsidP="00146ED8">
            <w:pPr>
              <w:jc w:val="center"/>
            </w:pPr>
            <w:r w:rsidRPr="00001100">
              <w:t>19</w:t>
            </w:r>
          </w:p>
        </w:tc>
        <w:tc>
          <w:tcPr>
            <w:tcW w:w="1350" w:type="dxa"/>
            <w:shd w:val="clear" w:color="auto" w:fill="auto"/>
          </w:tcPr>
          <w:p w14:paraId="734B395D" w14:textId="77777777" w:rsidR="00146ED8" w:rsidRPr="00001100" w:rsidRDefault="00146ED8" w:rsidP="00146ED8">
            <w:pPr>
              <w:jc w:val="center"/>
            </w:pPr>
            <w:r w:rsidRPr="00001100">
              <w:t>22</w:t>
            </w:r>
          </w:p>
        </w:tc>
        <w:tc>
          <w:tcPr>
            <w:tcW w:w="1620" w:type="dxa"/>
            <w:shd w:val="clear" w:color="auto" w:fill="auto"/>
          </w:tcPr>
          <w:p w14:paraId="27E49FBF" w14:textId="77777777" w:rsidR="00146ED8" w:rsidRPr="00001100" w:rsidRDefault="00146ED8" w:rsidP="00146ED8">
            <w:pPr>
              <w:jc w:val="center"/>
            </w:pPr>
            <w:r w:rsidRPr="00001100">
              <w:t>21</w:t>
            </w:r>
          </w:p>
        </w:tc>
      </w:tr>
      <w:tr w:rsidR="00146ED8" w:rsidRPr="00001100" w14:paraId="26E740B3" w14:textId="77777777" w:rsidTr="00146ED8">
        <w:trPr>
          <w:trHeight w:val="144"/>
        </w:trPr>
        <w:tc>
          <w:tcPr>
            <w:tcW w:w="3168" w:type="dxa"/>
          </w:tcPr>
          <w:p w14:paraId="58ADCC0B" w14:textId="77777777" w:rsidR="00146ED8" w:rsidRPr="00001100" w:rsidRDefault="00146ED8" w:rsidP="00146ED8">
            <w:pPr>
              <w:tabs>
                <w:tab w:val="left" w:pos="306"/>
              </w:tabs>
            </w:pPr>
            <w:r w:rsidRPr="00001100">
              <w:tab/>
              <w:t>&gt; 1,500</w:t>
            </w:r>
          </w:p>
        </w:tc>
        <w:tc>
          <w:tcPr>
            <w:tcW w:w="270" w:type="dxa"/>
            <w:vMerge/>
          </w:tcPr>
          <w:p w14:paraId="1E79983E" w14:textId="77777777" w:rsidR="00146ED8" w:rsidRPr="00001100" w:rsidRDefault="00146ED8" w:rsidP="00146ED8">
            <w:pPr>
              <w:jc w:val="center"/>
              <w:rPr>
                <w:u w:val="single"/>
              </w:rPr>
            </w:pPr>
          </w:p>
        </w:tc>
        <w:tc>
          <w:tcPr>
            <w:tcW w:w="1620" w:type="dxa"/>
            <w:shd w:val="clear" w:color="auto" w:fill="auto"/>
          </w:tcPr>
          <w:p w14:paraId="39D2389F" w14:textId="77777777" w:rsidR="00146ED8" w:rsidRPr="00001100" w:rsidRDefault="00146ED8" w:rsidP="00146ED8">
            <w:pPr>
              <w:jc w:val="center"/>
              <w:rPr>
                <w:u w:val="single"/>
              </w:rPr>
            </w:pPr>
            <w:r w:rsidRPr="00001100">
              <w:rPr>
                <w:u w:val="single"/>
              </w:rPr>
              <w:t>6</w:t>
            </w:r>
          </w:p>
        </w:tc>
        <w:tc>
          <w:tcPr>
            <w:tcW w:w="1350" w:type="dxa"/>
            <w:shd w:val="clear" w:color="auto" w:fill="auto"/>
          </w:tcPr>
          <w:p w14:paraId="50D30B25" w14:textId="77777777" w:rsidR="00146ED8" w:rsidRPr="00001100" w:rsidRDefault="00146ED8" w:rsidP="00146ED8">
            <w:pPr>
              <w:jc w:val="center"/>
              <w:rPr>
                <w:u w:val="single"/>
              </w:rPr>
            </w:pPr>
            <w:r w:rsidRPr="00001100">
              <w:rPr>
                <w:u w:val="single"/>
              </w:rPr>
              <w:t>8</w:t>
            </w:r>
          </w:p>
        </w:tc>
        <w:tc>
          <w:tcPr>
            <w:tcW w:w="1620" w:type="dxa"/>
            <w:shd w:val="clear" w:color="auto" w:fill="auto"/>
          </w:tcPr>
          <w:p w14:paraId="4B5F6D0C" w14:textId="77777777" w:rsidR="00146ED8" w:rsidRPr="00001100" w:rsidRDefault="00146ED8" w:rsidP="00146ED8">
            <w:pPr>
              <w:jc w:val="center"/>
              <w:rPr>
                <w:u w:val="single"/>
              </w:rPr>
            </w:pPr>
            <w:r w:rsidRPr="00001100">
              <w:rPr>
                <w:u w:val="single"/>
              </w:rPr>
              <w:t>15</w:t>
            </w:r>
          </w:p>
        </w:tc>
      </w:tr>
      <w:tr w:rsidR="00146ED8" w:rsidRPr="00001100" w14:paraId="72E2872F" w14:textId="77777777" w:rsidTr="00146ED8">
        <w:trPr>
          <w:trHeight w:val="144"/>
        </w:trPr>
        <w:tc>
          <w:tcPr>
            <w:tcW w:w="3168" w:type="dxa"/>
          </w:tcPr>
          <w:p w14:paraId="10A9D69E" w14:textId="77777777" w:rsidR="00146ED8" w:rsidRPr="00001100" w:rsidRDefault="00146ED8" w:rsidP="00146ED8">
            <w:pPr>
              <w:tabs>
                <w:tab w:val="left" w:pos="306"/>
                <w:tab w:val="left" w:pos="666"/>
              </w:tabs>
            </w:pPr>
            <w:r w:rsidRPr="00001100">
              <w:tab/>
            </w:r>
            <w:r w:rsidRPr="00001100">
              <w:tab/>
              <w:t>Total</w:t>
            </w:r>
          </w:p>
        </w:tc>
        <w:tc>
          <w:tcPr>
            <w:tcW w:w="270" w:type="dxa"/>
            <w:vMerge/>
          </w:tcPr>
          <w:p w14:paraId="5E9B18BB" w14:textId="77777777" w:rsidR="00146ED8" w:rsidRPr="00001100" w:rsidRDefault="00146ED8" w:rsidP="00146ED8">
            <w:pPr>
              <w:jc w:val="center"/>
              <w:rPr>
                <w:u w:val="double"/>
              </w:rPr>
            </w:pPr>
          </w:p>
        </w:tc>
        <w:tc>
          <w:tcPr>
            <w:tcW w:w="1620" w:type="dxa"/>
            <w:shd w:val="clear" w:color="auto" w:fill="auto"/>
          </w:tcPr>
          <w:p w14:paraId="7F1093A6" w14:textId="77777777" w:rsidR="00146ED8" w:rsidRPr="00001100" w:rsidRDefault="00146ED8" w:rsidP="00146ED8">
            <w:pPr>
              <w:jc w:val="center"/>
              <w:rPr>
                <w:u w:val="double"/>
              </w:rPr>
            </w:pPr>
            <w:r w:rsidRPr="00001100">
              <w:rPr>
                <w:u w:val="double"/>
              </w:rPr>
              <w:t>100%</w:t>
            </w:r>
          </w:p>
        </w:tc>
        <w:tc>
          <w:tcPr>
            <w:tcW w:w="1350" w:type="dxa"/>
            <w:shd w:val="clear" w:color="auto" w:fill="auto"/>
          </w:tcPr>
          <w:p w14:paraId="39FD3FB7" w14:textId="77777777" w:rsidR="00146ED8" w:rsidRPr="00001100" w:rsidRDefault="00146ED8" w:rsidP="00146ED8">
            <w:pPr>
              <w:jc w:val="center"/>
              <w:rPr>
                <w:u w:val="double"/>
              </w:rPr>
            </w:pPr>
            <w:r w:rsidRPr="00001100">
              <w:rPr>
                <w:u w:val="double"/>
              </w:rPr>
              <w:t>100%</w:t>
            </w:r>
          </w:p>
        </w:tc>
        <w:tc>
          <w:tcPr>
            <w:tcW w:w="1620" w:type="dxa"/>
            <w:shd w:val="clear" w:color="auto" w:fill="auto"/>
          </w:tcPr>
          <w:p w14:paraId="4382256C" w14:textId="77777777" w:rsidR="00146ED8" w:rsidRPr="00001100" w:rsidRDefault="00146ED8" w:rsidP="00146ED8">
            <w:pPr>
              <w:jc w:val="center"/>
              <w:rPr>
                <w:u w:val="double"/>
              </w:rPr>
            </w:pPr>
            <w:r w:rsidRPr="00001100">
              <w:rPr>
                <w:u w:val="double"/>
              </w:rPr>
              <w:t>100%</w:t>
            </w:r>
          </w:p>
        </w:tc>
      </w:tr>
      <w:tr w:rsidR="00146ED8" w:rsidRPr="00001100" w14:paraId="1315CFBC" w14:textId="77777777" w:rsidTr="00146ED8">
        <w:trPr>
          <w:trHeight w:val="296"/>
        </w:trPr>
        <w:tc>
          <w:tcPr>
            <w:tcW w:w="8028" w:type="dxa"/>
            <w:gridSpan w:val="5"/>
          </w:tcPr>
          <w:p w14:paraId="776905F0" w14:textId="77777777" w:rsidR="00146ED8" w:rsidRPr="00001100" w:rsidRDefault="00146ED8" w:rsidP="00146ED8">
            <w:r w:rsidRPr="00001100">
              <w:t>Location of Clubs in US:</w:t>
            </w:r>
          </w:p>
        </w:tc>
      </w:tr>
      <w:tr w:rsidR="00146ED8" w:rsidRPr="00001100" w14:paraId="6E10AC0D" w14:textId="77777777" w:rsidTr="00146ED8">
        <w:trPr>
          <w:trHeight w:val="144"/>
        </w:trPr>
        <w:tc>
          <w:tcPr>
            <w:tcW w:w="3168" w:type="dxa"/>
          </w:tcPr>
          <w:p w14:paraId="46CF2967" w14:textId="77777777" w:rsidR="00146ED8" w:rsidRPr="00001100" w:rsidRDefault="00146ED8" w:rsidP="00146ED8">
            <w:pPr>
              <w:tabs>
                <w:tab w:val="left" w:pos="306"/>
                <w:tab w:val="left" w:pos="666"/>
              </w:tabs>
            </w:pPr>
            <w:r w:rsidRPr="00001100">
              <w:tab/>
              <w:t>East</w:t>
            </w:r>
          </w:p>
        </w:tc>
        <w:tc>
          <w:tcPr>
            <w:tcW w:w="270" w:type="dxa"/>
            <w:vMerge w:val="restart"/>
          </w:tcPr>
          <w:p w14:paraId="1474208C" w14:textId="77777777" w:rsidR="00146ED8" w:rsidRPr="00001100" w:rsidRDefault="00146ED8" w:rsidP="00146ED8">
            <w:pPr>
              <w:tabs>
                <w:tab w:val="left" w:pos="306"/>
                <w:tab w:val="left" w:pos="666"/>
              </w:tabs>
              <w:jc w:val="center"/>
            </w:pPr>
          </w:p>
        </w:tc>
        <w:tc>
          <w:tcPr>
            <w:tcW w:w="1620" w:type="dxa"/>
            <w:shd w:val="clear" w:color="auto" w:fill="auto"/>
          </w:tcPr>
          <w:p w14:paraId="46116351" w14:textId="77777777" w:rsidR="00146ED8" w:rsidRPr="00001100" w:rsidRDefault="00146ED8" w:rsidP="00146ED8">
            <w:pPr>
              <w:tabs>
                <w:tab w:val="left" w:pos="306"/>
                <w:tab w:val="left" w:pos="666"/>
              </w:tabs>
              <w:jc w:val="center"/>
            </w:pPr>
            <w:r w:rsidRPr="00001100">
              <w:t>50%</w:t>
            </w:r>
          </w:p>
        </w:tc>
        <w:tc>
          <w:tcPr>
            <w:tcW w:w="1350" w:type="dxa"/>
            <w:shd w:val="clear" w:color="auto" w:fill="auto"/>
          </w:tcPr>
          <w:p w14:paraId="241BE6B4" w14:textId="77777777" w:rsidR="00146ED8" w:rsidRPr="00001100" w:rsidRDefault="00146ED8" w:rsidP="00146ED8">
            <w:pPr>
              <w:tabs>
                <w:tab w:val="left" w:pos="306"/>
                <w:tab w:val="left" w:pos="666"/>
              </w:tabs>
              <w:jc w:val="center"/>
            </w:pPr>
            <w:r w:rsidRPr="00001100">
              <w:t>54%</w:t>
            </w:r>
          </w:p>
        </w:tc>
        <w:tc>
          <w:tcPr>
            <w:tcW w:w="1620" w:type="dxa"/>
            <w:shd w:val="clear" w:color="auto" w:fill="auto"/>
          </w:tcPr>
          <w:p w14:paraId="5D6E5DC8" w14:textId="77777777" w:rsidR="00146ED8" w:rsidRPr="00001100" w:rsidRDefault="00146ED8" w:rsidP="00146ED8">
            <w:pPr>
              <w:tabs>
                <w:tab w:val="left" w:pos="306"/>
                <w:tab w:val="left" w:pos="666"/>
              </w:tabs>
              <w:jc w:val="center"/>
            </w:pPr>
            <w:r w:rsidRPr="00001100">
              <w:t>67%</w:t>
            </w:r>
          </w:p>
        </w:tc>
      </w:tr>
      <w:tr w:rsidR="00146ED8" w:rsidRPr="00001100" w14:paraId="2E520106" w14:textId="77777777" w:rsidTr="00146ED8">
        <w:trPr>
          <w:trHeight w:val="144"/>
        </w:trPr>
        <w:tc>
          <w:tcPr>
            <w:tcW w:w="3168" w:type="dxa"/>
          </w:tcPr>
          <w:p w14:paraId="10A56C3B" w14:textId="77777777" w:rsidR="00146ED8" w:rsidRPr="00001100" w:rsidRDefault="00146ED8" w:rsidP="00146ED8">
            <w:pPr>
              <w:tabs>
                <w:tab w:val="left" w:pos="306"/>
                <w:tab w:val="left" w:pos="666"/>
              </w:tabs>
            </w:pPr>
            <w:r w:rsidRPr="00001100">
              <w:tab/>
              <w:t>Central</w:t>
            </w:r>
          </w:p>
        </w:tc>
        <w:tc>
          <w:tcPr>
            <w:tcW w:w="270" w:type="dxa"/>
            <w:vMerge/>
          </w:tcPr>
          <w:p w14:paraId="3535D080" w14:textId="77777777" w:rsidR="00146ED8" w:rsidRPr="00001100" w:rsidRDefault="00146ED8" w:rsidP="00146ED8">
            <w:pPr>
              <w:tabs>
                <w:tab w:val="left" w:pos="306"/>
                <w:tab w:val="left" w:pos="666"/>
              </w:tabs>
              <w:jc w:val="center"/>
            </w:pPr>
          </w:p>
        </w:tc>
        <w:tc>
          <w:tcPr>
            <w:tcW w:w="1620" w:type="dxa"/>
            <w:shd w:val="clear" w:color="auto" w:fill="auto"/>
          </w:tcPr>
          <w:p w14:paraId="6C8C99C3" w14:textId="77777777" w:rsidR="00146ED8" w:rsidRPr="00001100" w:rsidRDefault="00146ED8" w:rsidP="00146ED8">
            <w:pPr>
              <w:tabs>
                <w:tab w:val="left" w:pos="306"/>
                <w:tab w:val="left" w:pos="666"/>
              </w:tabs>
              <w:jc w:val="center"/>
            </w:pPr>
            <w:r w:rsidRPr="00001100">
              <w:t>31</w:t>
            </w:r>
          </w:p>
        </w:tc>
        <w:tc>
          <w:tcPr>
            <w:tcW w:w="1350" w:type="dxa"/>
            <w:shd w:val="clear" w:color="auto" w:fill="auto"/>
          </w:tcPr>
          <w:p w14:paraId="68F3B0D1" w14:textId="77777777" w:rsidR="00146ED8" w:rsidRPr="00001100" w:rsidRDefault="00146ED8" w:rsidP="00146ED8">
            <w:pPr>
              <w:tabs>
                <w:tab w:val="left" w:pos="306"/>
                <w:tab w:val="left" w:pos="666"/>
              </w:tabs>
              <w:jc w:val="center"/>
            </w:pPr>
            <w:r w:rsidRPr="00001100">
              <w:t>25</w:t>
            </w:r>
          </w:p>
        </w:tc>
        <w:tc>
          <w:tcPr>
            <w:tcW w:w="1620" w:type="dxa"/>
            <w:shd w:val="clear" w:color="auto" w:fill="auto"/>
          </w:tcPr>
          <w:p w14:paraId="67D3402E" w14:textId="77777777" w:rsidR="00146ED8" w:rsidRPr="00001100" w:rsidRDefault="00146ED8" w:rsidP="00146ED8">
            <w:pPr>
              <w:tabs>
                <w:tab w:val="left" w:pos="306"/>
                <w:tab w:val="left" w:pos="666"/>
              </w:tabs>
              <w:jc w:val="center"/>
            </w:pPr>
            <w:r w:rsidRPr="00001100">
              <w:t>13</w:t>
            </w:r>
          </w:p>
        </w:tc>
      </w:tr>
      <w:tr w:rsidR="00146ED8" w:rsidRPr="00001100" w14:paraId="4995391D" w14:textId="77777777" w:rsidTr="00146ED8">
        <w:trPr>
          <w:trHeight w:val="144"/>
        </w:trPr>
        <w:tc>
          <w:tcPr>
            <w:tcW w:w="3168" w:type="dxa"/>
          </w:tcPr>
          <w:p w14:paraId="1AFE14A1" w14:textId="77777777" w:rsidR="00146ED8" w:rsidRPr="00001100" w:rsidRDefault="00146ED8" w:rsidP="00146ED8">
            <w:pPr>
              <w:tabs>
                <w:tab w:val="left" w:pos="306"/>
                <w:tab w:val="left" w:pos="666"/>
              </w:tabs>
            </w:pPr>
            <w:r w:rsidRPr="00001100">
              <w:tab/>
              <w:t>West</w:t>
            </w:r>
          </w:p>
        </w:tc>
        <w:tc>
          <w:tcPr>
            <w:tcW w:w="270" w:type="dxa"/>
            <w:vMerge/>
          </w:tcPr>
          <w:p w14:paraId="206A28FA" w14:textId="77777777" w:rsidR="00146ED8" w:rsidRPr="00001100" w:rsidRDefault="00146ED8" w:rsidP="00146ED8">
            <w:pPr>
              <w:tabs>
                <w:tab w:val="left" w:pos="306"/>
                <w:tab w:val="left" w:pos="666"/>
              </w:tabs>
              <w:jc w:val="center"/>
              <w:rPr>
                <w:u w:val="single"/>
              </w:rPr>
            </w:pPr>
          </w:p>
        </w:tc>
        <w:tc>
          <w:tcPr>
            <w:tcW w:w="1620" w:type="dxa"/>
            <w:shd w:val="clear" w:color="auto" w:fill="auto"/>
          </w:tcPr>
          <w:p w14:paraId="23B2B30C" w14:textId="77777777" w:rsidR="00146ED8" w:rsidRPr="00001100" w:rsidRDefault="00146ED8" w:rsidP="00146ED8">
            <w:pPr>
              <w:tabs>
                <w:tab w:val="left" w:pos="306"/>
                <w:tab w:val="left" w:pos="666"/>
              </w:tabs>
              <w:jc w:val="center"/>
              <w:rPr>
                <w:u w:val="single"/>
              </w:rPr>
            </w:pPr>
            <w:r w:rsidRPr="00001100">
              <w:rPr>
                <w:u w:val="single"/>
              </w:rPr>
              <w:t>19</w:t>
            </w:r>
          </w:p>
        </w:tc>
        <w:tc>
          <w:tcPr>
            <w:tcW w:w="1350" w:type="dxa"/>
            <w:shd w:val="clear" w:color="auto" w:fill="auto"/>
          </w:tcPr>
          <w:p w14:paraId="198B9DFE" w14:textId="77777777" w:rsidR="00146ED8" w:rsidRPr="00001100" w:rsidRDefault="00146ED8" w:rsidP="00146ED8">
            <w:pPr>
              <w:tabs>
                <w:tab w:val="left" w:pos="306"/>
                <w:tab w:val="left" w:pos="666"/>
              </w:tabs>
              <w:jc w:val="center"/>
              <w:rPr>
                <w:u w:val="single"/>
              </w:rPr>
            </w:pPr>
            <w:r w:rsidRPr="00001100">
              <w:rPr>
                <w:u w:val="single"/>
              </w:rPr>
              <w:t>21</w:t>
            </w:r>
          </w:p>
        </w:tc>
        <w:tc>
          <w:tcPr>
            <w:tcW w:w="1620" w:type="dxa"/>
            <w:shd w:val="clear" w:color="auto" w:fill="auto"/>
          </w:tcPr>
          <w:p w14:paraId="1C38C974" w14:textId="77777777" w:rsidR="00146ED8" w:rsidRPr="00001100" w:rsidRDefault="00146ED8" w:rsidP="00146ED8">
            <w:pPr>
              <w:tabs>
                <w:tab w:val="left" w:pos="306"/>
                <w:tab w:val="left" w:pos="666"/>
              </w:tabs>
              <w:jc w:val="center"/>
              <w:rPr>
                <w:u w:val="single"/>
              </w:rPr>
            </w:pPr>
            <w:r w:rsidRPr="00001100">
              <w:rPr>
                <w:u w:val="single"/>
              </w:rPr>
              <w:t>20</w:t>
            </w:r>
          </w:p>
        </w:tc>
      </w:tr>
      <w:tr w:rsidR="00146ED8" w:rsidRPr="00001100" w14:paraId="595CEA6E" w14:textId="77777777" w:rsidTr="00146ED8">
        <w:trPr>
          <w:trHeight w:val="144"/>
        </w:trPr>
        <w:tc>
          <w:tcPr>
            <w:tcW w:w="3168" w:type="dxa"/>
          </w:tcPr>
          <w:p w14:paraId="7CBCDC6E" w14:textId="77777777" w:rsidR="00146ED8" w:rsidRPr="00001100" w:rsidRDefault="00146ED8" w:rsidP="00146ED8">
            <w:pPr>
              <w:tabs>
                <w:tab w:val="left" w:pos="306"/>
                <w:tab w:val="left" w:pos="666"/>
              </w:tabs>
            </w:pPr>
            <w:r w:rsidRPr="00001100">
              <w:tab/>
            </w:r>
            <w:r w:rsidRPr="00001100">
              <w:tab/>
              <w:t>Total</w:t>
            </w:r>
          </w:p>
        </w:tc>
        <w:tc>
          <w:tcPr>
            <w:tcW w:w="270" w:type="dxa"/>
            <w:vMerge/>
          </w:tcPr>
          <w:p w14:paraId="7461726D" w14:textId="77777777" w:rsidR="00146ED8" w:rsidRPr="00001100" w:rsidRDefault="00146ED8" w:rsidP="00146ED8">
            <w:pPr>
              <w:tabs>
                <w:tab w:val="left" w:pos="306"/>
                <w:tab w:val="left" w:pos="666"/>
              </w:tabs>
              <w:jc w:val="center"/>
              <w:rPr>
                <w:u w:val="double"/>
              </w:rPr>
            </w:pPr>
          </w:p>
        </w:tc>
        <w:tc>
          <w:tcPr>
            <w:tcW w:w="1620" w:type="dxa"/>
            <w:shd w:val="clear" w:color="auto" w:fill="auto"/>
          </w:tcPr>
          <w:p w14:paraId="596FB336" w14:textId="77777777" w:rsidR="00146ED8" w:rsidRPr="00001100" w:rsidRDefault="00146ED8" w:rsidP="00146ED8">
            <w:pPr>
              <w:tabs>
                <w:tab w:val="left" w:pos="306"/>
                <w:tab w:val="left" w:pos="666"/>
              </w:tabs>
              <w:jc w:val="center"/>
              <w:rPr>
                <w:u w:val="double"/>
              </w:rPr>
            </w:pPr>
            <w:r w:rsidRPr="00001100">
              <w:rPr>
                <w:u w:val="double"/>
              </w:rPr>
              <w:t>100%</w:t>
            </w:r>
          </w:p>
        </w:tc>
        <w:tc>
          <w:tcPr>
            <w:tcW w:w="1350" w:type="dxa"/>
            <w:shd w:val="clear" w:color="auto" w:fill="auto"/>
          </w:tcPr>
          <w:p w14:paraId="2D3B02F3" w14:textId="77777777" w:rsidR="00146ED8" w:rsidRPr="00001100" w:rsidRDefault="00146ED8" w:rsidP="00146ED8">
            <w:pPr>
              <w:tabs>
                <w:tab w:val="left" w:pos="306"/>
                <w:tab w:val="left" w:pos="666"/>
              </w:tabs>
              <w:jc w:val="center"/>
              <w:rPr>
                <w:u w:val="double"/>
              </w:rPr>
            </w:pPr>
            <w:r w:rsidRPr="00001100">
              <w:rPr>
                <w:u w:val="double"/>
              </w:rPr>
              <w:t>100%</w:t>
            </w:r>
          </w:p>
        </w:tc>
        <w:tc>
          <w:tcPr>
            <w:tcW w:w="1620" w:type="dxa"/>
            <w:shd w:val="clear" w:color="auto" w:fill="auto"/>
          </w:tcPr>
          <w:p w14:paraId="4BECE012" w14:textId="77777777" w:rsidR="00146ED8" w:rsidRPr="00001100" w:rsidRDefault="00146ED8" w:rsidP="00146ED8">
            <w:pPr>
              <w:tabs>
                <w:tab w:val="left" w:pos="306"/>
                <w:tab w:val="left" w:pos="666"/>
              </w:tabs>
              <w:jc w:val="center"/>
              <w:rPr>
                <w:u w:val="double"/>
              </w:rPr>
            </w:pPr>
            <w:r w:rsidRPr="00001100">
              <w:rPr>
                <w:u w:val="double"/>
              </w:rPr>
              <w:t>100%</w:t>
            </w:r>
          </w:p>
        </w:tc>
      </w:tr>
      <w:tr w:rsidR="00146ED8" w:rsidRPr="00001100" w14:paraId="288600E1" w14:textId="77777777" w:rsidTr="00146ED8">
        <w:trPr>
          <w:trHeight w:val="368"/>
        </w:trPr>
        <w:tc>
          <w:tcPr>
            <w:tcW w:w="8028" w:type="dxa"/>
            <w:gridSpan w:val="5"/>
          </w:tcPr>
          <w:p w14:paraId="5C9A5A45" w14:textId="77777777" w:rsidR="00146ED8" w:rsidRPr="00053F49" w:rsidRDefault="00146ED8" w:rsidP="00146ED8">
            <w:pPr>
              <w:tabs>
                <w:tab w:val="left" w:pos="306"/>
                <w:tab w:val="left" w:pos="666"/>
              </w:tabs>
            </w:pPr>
            <w:r w:rsidRPr="00001100">
              <w:t>Profit Orientation:</w:t>
            </w:r>
          </w:p>
        </w:tc>
      </w:tr>
      <w:tr w:rsidR="00146ED8" w:rsidRPr="00001100" w14:paraId="7C36EEAF" w14:textId="77777777" w:rsidTr="00146ED8">
        <w:trPr>
          <w:trHeight w:val="144"/>
        </w:trPr>
        <w:tc>
          <w:tcPr>
            <w:tcW w:w="3168" w:type="dxa"/>
          </w:tcPr>
          <w:p w14:paraId="37DC7C39" w14:textId="77777777" w:rsidR="00146ED8" w:rsidRPr="00001100" w:rsidRDefault="00146ED8" w:rsidP="00146ED8">
            <w:pPr>
              <w:tabs>
                <w:tab w:val="left" w:pos="306"/>
                <w:tab w:val="left" w:pos="666"/>
              </w:tabs>
            </w:pPr>
            <w:r w:rsidRPr="00001100">
              <w:t xml:space="preserve">     For Profit</w:t>
            </w:r>
          </w:p>
        </w:tc>
        <w:tc>
          <w:tcPr>
            <w:tcW w:w="270" w:type="dxa"/>
            <w:vMerge w:val="restart"/>
          </w:tcPr>
          <w:p w14:paraId="2096714C" w14:textId="77777777" w:rsidR="00146ED8" w:rsidRPr="00001100" w:rsidRDefault="00146ED8" w:rsidP="00146ED8">
            <w:pPr>
              <w:tabs>
                <w:tab w:val="left" w:pos="306"/>
                <w:tab w:val="left" w:pos="666"/>
              </w:tabs>
              <w:jc w:val="center"/>
              <w:rPr>
                <w:u w:val="double"/>
              </w:rPr>
            </w:pPr>
          </w:p>
        </w:tc>
        <w:tc>
          <w:tcPr>
            <w:tcW w:w="1620" w:type="dxa"/>
            <w:shd w:val="clear" w:color="auto" w:fill="auto"/>
          </w:tcPr>
          <w:p w14:paraId="46853B3D" w14:textId="77777777" w:rsidR="00146ED8" w:rsidRPr="00001100" w:rsidRDefault="00146ED8" w:rsidP="00146ED8">
            <w:pPr>
              <w:tabs>
                <w:tab w:val="left" w:pos="306"/>
                <w:tab w:val="left" w:pos="666"/>
              </w:tabs>
              <w:jc w:val="center"/>
            </w:pPr>
            <w:r w:rsidRPr="00001100">
              <w:t>25%</w:t>
            </w:r>
          </w:p>
        </w:tc>
        <w:tc>
          <w:tcPr>
            <w:tcW w:w="1350" w:type="dxa"/>
            <w:shd w:val="clear" w:color="auto" w:fill="auto"/>
          </w:tcPr>
          <w:p w14:paraId="003E69B5" w14:textId="77777777" w:rsidR="00146ED8" w:rsidRPr="00001100" w:rsidRDefault="00146ED8" w:rsidP="00146ED8">
            <w:pPr>
              <w:tabs>
                <w:tab w:val="left" w:pos="306"/>
                <w:tab w:val="left" w:pos="666"/>
              </w:tabs>
              <w:jc w:val="center"/>
            </w:pPr>
            <w:r w:rsidRPr="00001100">
              <w:t>13%</w:t>
            </w:r>
          </w:p>
        </w:tc>
        <w:tc>
          <w:tcPr>
            <w:tcW w:w="1620" w:type="dxa"/>
            <w:shd w:val="clear" w:color="auto" w:fill="auto"/>
          </w:tcPr>
          <w:p w14:paraId="7569F05C" w14:textId="77777777" w:rsidR="00146ED8" w:rsidRPr="00001100" w:rsidRDefault="00146ED8" w:rsidP="00146ED8">
            <w:pPr>
              <w:tabs>
                <w:tab w:val="left" w:pos="306"/>
                <w:tab w:val="left" w:pos="666"/>
              </w:tabs>
              <w:jc w:val="center"/>
            </w:pPr>
            <w:r w:rsidRPr="00001100">
              <w:t>0%</w:t>
            </w:r>
          </w:p>
        </w:tc>
      </w:tr>
      <w:tr w:rsidR="00146ED8" w:rsidRPr="00001100" w14:paraId="12071AA3" w14:textId="77777777" w:rsidTr="00146ED8">
        <w:trPr>
          <w:trHeight w:val="144"/>
        </w:trPr>
        <w:tc>
          <w:tcPr>
            <w:tcW w:w="3168" w:type="dxa"/>
          </w:tcPr>
          <w:p w14:paraId="626FA223" w14:textId="77777777" w:rsidR="00146ED8" w:rsidRPr="00001100" w:rsidRDefault="00146ED8" w:rsidP="00146ED8">
            <w:pPr>
              <w:tabs>
                <w:tab w:val="left" w:pos="306"/>
                <w:tab w:val="left" w:pos="666"/>
              </w:tabs>
            </w:pPr>
            <w:r w:rsidRPr="00001100">
              <w:t xml:space="preserve">     Non Profit</w:t>
            </w:r>
          </w:p>
        </w:tc>
        <w:tc>
          <w:tcPr>
            <w:tcW w:w="270" w:type="dxa"/>
            <w:vMerge/>
          </w:tcPr>
          <w:p w14:paraId="6FAC0E93" w14:textId="77777777" w:rsidR="00146ED8" w:rsidRPr="00001100" w:rsidRDefault="00146ED8" w:rsidP="00146ED8">
            <w:pPr>
              <w:tabs>
                <w:tab w:val="left" w:pos="306"/>
                <w:tab w:val="left" w:pos="666"/>
              </w:tabs>
              <w:jc w:val="center"/>
              <w:rPr>
                <w:u w:val="double"/>
              </w:rPr>
            </w:pPr>
          </w:p>
        </w:tc>
        <w:tc>
          <w:tcPr>
            <w:tcW w:w="1620" w:type="dxa"/>
            <w:shd w:val="clear" w:color="auto" w:fill="auto"/>
          </w:tcPr>
          <w:p w14:paraId="36B812E4" w14:textId="77777777" w:rsidR="00146ED8" w:rsidRPr="00001100" w:rsidRDefault="00146ED8" w:rsidP="00146ED8">
            <w:pPr>
              <w:tabs>
                <w:tab w:val="left" w:pos="306"/>
                <w:tab w:val="left" w:pos="666"/>
              </w:tabs>
              <w:jc w:val="center"/>
            </w:pPr>
            <w:r w:rsidRPr="00001100">
              <w:t>75</w:t>
            </w:r>
          </w:p>
        </w:tc>
        <w:tc>
          <w:tcPr>
            <w:tcW w:w="1350" w:type="dxa"/>
            <w:shd w:val="clear" w:color="auto" w:fill="auto"/>
          </w:tcPr>
          <w:p w14:paraId="4EB98779" w14:textId="77777777" w:rsidR="00146ED8" w:rsidRPr="00001100" w:rsidRDefault="00146ED8" w:rsidP="00146ED8">
            <w:pPr>
              <w:tabs>
                <w:tab w:val="left" w:pos="306"/>
                <w:tab w:val="left" w:pos="666"/>
              </w:tabs>
              <w:jc w:val="center"/>
            </w:pPr>
            <w:r w:rsidRPr="00001100">
              <w:t>85</w:t>
            </w:r>
          </w:p>
        </w:tc>
        <w:tc>
          <w:tcPr>
            <w:tcW w:w="1620" w:type="dxa"/>
            <w:shd w:val="clear" w:color="auto" w:fill="auto"/>
          </w:tcPr>
          <w:p w14:paraId="3E8F1435" w14:textId="77777777" w:rsidR="00146ED8" w:rsidRPr="00001100" w:rsidRDefault="00146ED8" w:rsidP="00146ED8">
            <w:pPr>
              <w:tabs>
                <w:tab w:val="left" w:pos="306"/>
                <w:tab w:val="left" w:pos="666"/>
              </w:tabs>
              <w:jc w:val="center"/>
            </w:pPr>
            <w:r w:rsidRPr="00001100">
              <w:t>94</w:t>
            </w:r>
          </w:p>
        </w:tc>
      </w:tr>
      <w:tr w:rsidR="00146ED8" w:rsidRPr="00001100" w14:paraId="2CBA9961" w14:textId="77777777" w:rsidTr="00146ED8">
        <w:trPr>
          <w:trHeight w:val="144"/>
        </w:trPr>
        <w:tc>
          <w:tcPr>
            <w:tcW w:w="3168" w:type="dxa"/>
          </w:tcPr>
          <w:p w14:paraId="3595897A" w14:textId="77777777" w:rsidR="00146ED8" w:rsidRPr="00001100" w:rsidRDefault="00146ED8" w:rsidP="00146ED8">
            <w:pPr>
              <w:tabs>
                <w:tab w:val="left" w:pos="306"/>
                <w:tab w:val="left" w:pos="666"/>
              </w:tabs>
            </w:pPr>
            <w:r w:rsidRPr="00001100">
              <w:t xml:space="preserve">     Others</w:t>
            </w:r>
          </w:p>
        </w:tc>
        <w:tc>
          <w:tcPr>
            <w:tcW w:w="270" w:type="dxa"/>
            <w:vMerge/>
          </w:tcPr>
          <w:p w14:paraId="44C7D1E1" w14:textId="77777777" w:rsidR="00146ED8" w:rsidRPr="00001100" w:rsidRDefault="00146ED8" w:rsidP="00146ED8">
            <w:pPr>
              <w:tabs>
                <w:tab w:val="left" w:pos="306"/>
                <w:tab w:val="left" w:pos="666"/>
              </w:tabs>
              <w:jc w:val="center"/>
              <w:rPr>
                <w:u w:val="double"/>
              </w:rPr>
            </w:pPr>
          </w:p>
        </w:tc>
        <w:tc>
          <w:tcPr>
            <w:tcW w:w="1620" w:type="dxa"/>
            <w:shd w:val="clear" w:color="auto" w:fill="auto"/>
          </w:tcPr>
          <w:p w14:paraId="40CB864C" w14:textId="77777777" w:rsidR="00146ED8" w:rsidRPr="00001100" w:rsidRDefault="00146ED8" w:rsidP="00146ED8">
            <w:pPr>
              <w:tabs>
                <w:tab w:val="left" w:pos="306"/>
                <w:tab w:val="left" w:pos="666"/>
              </w:tabs>
              <w:jc w:val="center"/>
              <w:rPr>
                <w:u w:val="double"/>
              </w:rPr>
            </w:pPr>
            <w:r w:rsidRPr="00001100">
              <w:rPr>
                <w:u w:val="double"/>
              </w:rPr>
              <w:t>0</w:t>
            </w:r>
          </w:p>
        </w:tc>
        <w:tc>
          <w:tcPr>
            <w:tcW w:w="1350" w:type="dxa"/>
            <w:shd w:val="clear" w:color="auto" w:fill="auto"/>
          </w:tcPr>
          <w:p w14:paraId="5AEBD81E" w14:textId="77777777" w:rsidR="00146ED8" w:rsidRPr="00001100" w:rsidRDefault="00146ED8" w:rsidP="00146ED8">
            <w:pPr>
              <w:jc w:val="center"/>
            </w:pPr>
            <w:r w:rsidRPr="00001100">
              <w:rPr>
                <w:u w:val="single"/>
              </w:rPr>
              <w:t>2</w:t>
            </w:r>
          </w:p>
        </w:tc>
        <w:tc>
          <w:tcPr>
            <w:tcW w:w="1620" w:type="dxa"/>
            <w:shd w:val="clear" w:color="auto" w:fill="auto"/>
          </w:tcPr>
          <w:p w14:paraId="24CECDD1" w14:textId="77777777" w:rsidR="00146ED8" w:rsidRPr="00001100" w:rsidRDefault="00146ED8" w:rsidP="00146ED8">
            <w:pPr>
              <w:tabs>
                <w:tab w:val="left" w:pos="306"/>
                <w:tab w:val="left" w:pos="666"/>
              </w:tabs>
              <w:jc w:val="center"/>
              <w:rPr>
                <w:u w:val="double"/>
              </w:rPr>
            </w:pPr>
            <w:r w:rsidRPr="00001100">
              <w:rPr>
                <w:u w:val="double"/>
              </w:rPr>
              <w:t>6</w:t>
            </w:r>
          </w:p>
        </w:tc>
      </w:tr>
      <w:tr w:rsidR="00146ED8" w:rsidRPr="00001100" w14:paraId="656E47E8" w14:textId="77777777" w:rsidTr="00146ED8">
        <w:trPr>
          <w:trHeight w:val="144"/>
        </w:trPr>
        <w:tc>
          <w:tcPr>
            <w:tcW w:w="3168" w:type="dxa"/>
          </w:tcPr>
          <w:p w14:paraId="0D9AD889" w14:textId="77777777" w:rsidR="00146ED8" w:rsidRPr="00001100" w:rsidRDefault="00146ED8" w:rsidP="00146ED8">
            <w:pPr>
              <w:tabs>
                <w:tab w:val="left" w:pos="306"/>
                <w:tab w:val="left" w:pos="666"/>
              </w:tabs>
            </w:pPr>
            <w:r w:rsidRPr="00001100">
              <w:t xml:space="preserve">          Total</w:t>
            </w:r>
          </w:p>
        </w:tc>
        <w:tc>
          <w:tcPr>
            <w:tcW w:w="270" w:type="dxa"/>
            <w:vMerge/>
          </w:tcPr>
          <w:p w14:paraId="0871BF63" w14:textId="77777777" w:rsidR="00146ED8" w:rsidRPr="00001100" w:rsidRDefault="00146ED8" w:rsidP="00146ED8">
            <w:pPr>
              <w:tabs>
                <w:tab w:val="left" w:pos="306"/>
                <w:tab w:val="left" w:pos="666"/>
              </w:tabs>
              <w:jc w:val="center"/>
              <w:rPr>
                <w:u w:val="double"/>
              </w:rPr>
            </w:pPr>
          </w:p>
        </w:tc>
        <w:tc>
          <w:tcPr>
            <w:tcW w:w="1620" w:type="dxa"/>
            <w:shd w:val="clear" w:color="auto" w:fill="auto"/>
          </w:tcPr>
          <w:p w14:paraId="0EC7F49C" w14:textId="77777777" w:rsidR="00146ED8" w:rsidRPr="00001100" w:rsidRDefault="00146ED8" w:rsidP="00146ED8">
            <w:pPr>
              <w:tabs>
                <w:tab w:val="left" w:pos="306"/>
                <w:tab w:val="left" w:pos="666"/>
              </w:tabs>
              <w:jc w:val="center"/>
              <w:rPr>
                <w:u w:val="double"/>
              </w:rPr>
            </w:pPr>
            <w:r w:rsidRPr="00001100">
              <w:rPr>
                <w:u w:val="double"/>
              </w:rPr>
              <w:t>100%</w:t>
            </w:r>
          </w:p>
        </w:tc>
        <w:tc>
          <w:tcPr>
            <w:tcW w:w="1350" w:type="dxa"/>
            <w:shd w:val="clear" w:color="auto" w:fill="auto"/>
          </w:tcPr>
          <w:p w14:paraId="27FFCEA1" w14:textId="77777777" w:rsidR="00146ED8" w:rsidRPr="00001100" w:rsidRDefault="00146ED8" w:rsidP="00146ED8">
            <w:pPr>
              <w:jc w:val="center"/>
            </w:pPr>
            <w:r w:rsidRPr="00001100">
              <w:rPr>
                <w:u w:val="double"/>
              </w:rPr>
              <w:t>100%</w:t>
            </w:r>
          </w:p>
        </w:tc>
        <w:tc>
          <w:tcPr>
            <w:tcW w:w="1620" w:type="dxa"/>
            <w:shd w:val="clear" w:color="auto" w:fill="auto"/>
          </w:tcPr>
          <w:p w14:paraId="1BA6B4AE" w14:textId="77777777" w:rsidR="00146ED8" w:rsidRPr="00001100" w:rsidRDefault="00146ED8" w:rsidP="00146ED8">
            <w:pPr>
              <w:tabs>
                <w:tab w:val="left" w:pos="306"/>
                <w:tab w:val="left" w:pos="666"/>
              </w:tabs>
              <w:jc w:val="center"/>
              <w:rPr>
                <w:u w:val="double"/>
              </w:rPr>
            </w:pPr>
            <w:r w:rsidRPr="00001100">
              <w:rPr>
                <w:u w:val="double"/>
              </w:rPr>
              <w:t>100%</w:t>
            </w:r>
          </w:p>
        </w:tc>
      </w:tr>
    </w:tbl>
    <w:p w14:paraId="65AC05CD" w14:textId="77777777" w:rsidR="00E325CD" w:rsidRPr="00001100" w:rsidRDefault="00E325CD" w:rsidP="00EE137F">
      <w:pPr>
        <w:ind w:firstLine="720"/>
        <w:jc w:val="both"/>
      </w:pPr>
      <w:r w:rsidRPr="00001100">
        <w:lastRenderedPageBreak/>
        <w:t>The profit orientation of the clubs perhaps is the one characteristic that is most ironic.   While 25% of the low performers are for profit, only 13% of all respondents are for profit and none of the top performers are for profit.  Thus, the profit orientation seems to have an inverse effect in the financial performance of the clubs in 2011.</w:t>
      </w:r>
    </w:p>
    <w:p w14:paraId="52C9812C" w14:textId="77777777" w:rsidR="00146ED8" w:rsidRDefault="00146ED8" w:rsidP="001D22D0">
      <w:pPr>
        <w:jc w:val="both"/>
      </w:pPr>
    </w:p>
    <w:p w14:paraId="176D526C" w14:textId="77777777" w:rsidR="003B14CC" w:rsidRPr="00001100" w:rsidRDefault="00D37C12" w:rsidP="001D22D0">
      <w:pPr>
        <w:jc w:val="both"/>
        <w:rPr>
          <w:b/>
          <w:i/>
        </w:rPr>
      </w:pPr>
      <w:r w:rsidRPr="00001100">
        <w:rPr>
          <w:b/>
          <w:i/>
        </w:rPr>
        <w:t>Key Ratios</w:t>
      </w:r>
    </w:p>
    <w:p w14:paraId="57FFC01E" w14:textId="77777777" w:rsidR="00146ED8" w:rsidRDefault="00146ED8" w:rsidP="001D22D0">
      <w:pPr>
        <w:ind w:firstLine="720"/>
        <w:jc w:val="both"/>
      </w:pPr>
    </w:p>
    <w:p w14:paraId="097A124C" w14:textId="77777777" w:rsidR="00146ED8" w:rsidRDefault="00D37C12" w:rsidP="001D22D0">
      <w:pPr>
        <w:ind w:firstLine="720"/>
        <w:jc w:val="both"/>
      </w:pPr>
      <w:r w:rsidRPr="00001100">
        <w:t xml:space="preserve">Twenty-four ratios </w:t>
      </w:r>
      <w:r w:rsidR="005E47BF" w:rsidRPr="00001100">
        <w:t xml:space="preserve">are calculated </w:t>
      </w:r>
      <w:r w:rsidR="00EA41FE" w:rsidRPr="00001100">
        <w:t xml:space="preserve">this section.  The median, together with the top and bottom 20% clubs, </w:t>
      </w:r>
      <w:r w:rsidR="00A76B94" w:rsidRPr="00001100">
        <w:t xml:space="preserve">is </w:t>
      </w:r>
      <w:r w:rsidR="00EA41FE" w:rsidRPr="00001100">
        <w:t xml:space="preserve">reported as three groups in order to </w:t>
      </w:r>
      <w:r w:rsidR="003B14CC" w:rsidRPr="00001100">
        <w:t>provide</w:t>
      </w:r>
      <w:r w:rsidR="00EA41FE" w:rsidRPr="00001100">
        <w:t xml:space="preserve"> management with more insight and </w:t>
      </w:r>
      <w:r w:rsidR="003B14CC" w:rsidRPr="00001100">
        <w:t>comparison</w:t>
      </w:r>
      <w:r w:rsidR="00EA41FE" w:rsidRPr="00001100">
        <w:t xml:space="preserve"> points</w:t>
      </w:r>
      <w:r w:rsidR="003B14CC" w:rsidRPr="00001100">
        <w:t xml:space="preserve">. </w:t>
      </w:r>
    </w:p>
    <w:p w14:paraId="2B1CA775" w14:textId="77777777" w:rsidR="003B14CC" w:rsidRPr="00001100" w:rsidRDefault="003B14CC" w:rsidP="001D22D0">
      <w:pPr>
        <w:ind w:firstLine="720"/>
        <w:jc w:val="both"/>
      </w:pPr>
    </w:p>
    <w:p w14:paraId="0550EFAD" w14:textId="77777777" w:rsidR="003B14CC" w:rsidRPr="00DF0F9E" w:rsidRDefault="003B14CC" w:rsidP="001D22D0">
      <w:pPr>
        <w:tabs>
          <w:tab w:val="left" w:pos="0"/>
        </w:tabs>
        <w:jc w:val="both"/>
        <w:outlineLvl w:val="0"/>
      </w:pPr>
      <w:r w:rsidRPr="00DF0F9E">
        <w:rPr>
          <w:i/>
        </w:rPr>
        <w:t>Liquidity Ratios</w:t>
      </w:r>
    </w:p>
    <w:p w14:paraId="0D076DDB" w14:textId="77777777" w:rsidR="00146ED8" w:rsidRDefault="00146ED8" w:rsidP="001D22D0">
      <w:pPr>
        <w:ind w:firstLine="720"/>
        <w:jc w:val="both"/>
        <w:outlineLvl w:val="0"/>
      </w:pPr>
    </w:p>
    <w:p w14:paraId="710E3243" w14:textId="77777777" w:rsidR="00F4451C" w:rsidRPr="00001100" w:rsidRDefault="00F4451C" w:rsidP="001D22D0">
      <w:pPr>
        <w:ind w:firstLine="720"/>
        <w:jc w:val="both"/>
        <w:outlineLvl w:val="0"/>
      </w:pPr>
      <w:r w:rsidRPr="00001100">
        <w:t>Liquidity ratios focus on a club’</w:t>
      </w:r>
      <w:r w:rsidR="00067F25" w:rsidRPr="00001100">
        <w:t xml:space="preserve">s ability to pay its bills in the short-run.  All ratios presented include numbers from the balance sheets of the clubs.  </w:t>
      </w:r>
    </w:p>
    <w:p w14:paraId="48AB2E06" w14:textId="77777777" w:rsidR="00146ED8" w:rsidRDefault="00146ED8" w:rsidP="001D22D0">
      <w:pPr>
        <w:tabs>
          <w:tab w:val="left" w:pos="0"/>
        </w:tabs>
        <w:jc w:val="both"/>
        <w:rPr>
          <w:b/>
        </w:rPr>
      </w:pPr>
    </w:p>
    <w:p w14:paraId="6A11756B" w14:textId="77777777" w:rsidR="00146ED8" w:rsidRPr="004A53F0" w:rsidRDefault="003B14CC" w:rsidP="001D22D0">
      <w:pPr>
        <w:tabs>
          <w:tab w:val="left" w:pos="0"/>
        </w:tabs>
        <w:jc w:val="both"/>
        <w:rPr>
          <w:b/>
        </w:rPr>
      </w:pPr>
      <w:r w:rsidRPr="00001100">
        <w:rPr>
          <w:b/>
        </w:rPr>
        <w:t>1.</w:t>
      </w:r>
      <w:r w:rsidRPr="00001100">
        <w:rPr>
          <w:b/>
        </w:rPr>
        <w:tab/>
        <w:t>Current ratio = current assets / current liabilities</w:t>
      </w:r>
      <w:r w:rsidRPr="00001100">
        <w:t>.</w:t>
      </w:r>
    </w:p>
    <w:p w14:paraId="3AD27086" w14:textId="77777777" w:rsidR="003B14CC" w:rsidRPr="00001100" w:rsidRDefault="004A53F0" w:rsidP="001D22D0">
      <w:pPr>
        <w:tabs>
          <w:tab w:val="left" w:pos="0"/>
        </w:tabs>
        <w:jc w:val="both"/>
        <w:rPr>
          <w:noProof/>
        </w:rPr>
      </w:pPr>
      <w:r>
        <w:tab/>
      </w:r>
      <w:r w:rsidR="00EA41FE" w:rsidRPr="00001100">
        <w:t xml:space="preserve">A </w:t>
      </w:r>
      <w:r w:rsidR="003B14CC" w:rsidRPr="00001100">
        <w:t xml:space="preserve">1.0 </w:t>
      </w:r>
      <w:r w:rsidR="00EA41FE" w:rsidRPr="00001100">
        <w:t xml:space="preserve">current ratio </w:t>
      </w:r>
      <w:r w:rsidR="003B14CC" w:rsidRPr="00001100">
        <w:t xml:space="preserve">means </w:t>
      </w:r>
      <w:r w:rsidR="00EA41FE" w:rsidRPr="00001100">
        <w:t xml:space="preserve">a club </w:t>
      </w:r>
      <w:r w:rsidR="003B14CC" w:rsidRPr="00001100">
        <w:t xml:space="preserve">has the exact amount of current assets to cover and pay off its current debts.  As seen in Table 2, the median current ratio was </w:t>
      </w:r>
      <w:r w:rsidR="003753C9" w:rsidRPr="00001100">
        <w:t>2.00</w:t>
      </w:r>
      <w:r w:rsidR="00CB159F" w:rsidRPr="00001100">
        <w:t xml:space="preserve"> for </w:t>
      </w:r>
      <w:proofErr w:type="gramStart"/>
      <w:r w:rsidR="00CB159F" w:rsidRPr="00001100">
        <w:t>2011,</w:t>
      </w:r>
      <w:proofErr w:type="gramEnd"/>
      <w:r w:rsidR="00CB159F" w:rsidRPr="00001100">
        <w:t xml:space="preserve"> </w:t>
      </w:r>
      <w:r w:rsidR="00EA41FE" w:rsidRPr="00001100">
        <w:t>t</w:t>
      </w:r>
      <w:r w:rsidR="003B14CC" w:rsidRPr="00001100">
        <w:t xml:space="preserve">he top performers </w:t>
      </w:r>
      <w:r w:rsidR="00437505" w:rsidRPr="00001100">
        <w:t>were at 2.</w:t>
      </w:r>
      <w:r w:rsidR="003753C9" w:rsidRPr="00001100">
        <w:t>1</w:t>
      </w:r>
      <w:r w:rsidR="00437505" w:rsidRPr="00001100">
        <w:t>0</w:t>
      </w:r>
      <w:r w:rsidR="003B14CC" w:rsidRPr="00001100">
        <w:t xml:space="preserve"> while the low performers </w:t>
      </w:r>
      <w:r w:rsidR="00437505" w:rsidRPr="00001100">
        <w:t>were at 1.</w:t>
      </w:r>
      <w:r w:rsidR="003753C9" w:rsidRPr="00001100">
        <w:t>43.</w:t>
      </w:r>
      <w:r w:rsidR="00437505" w:rsidRPr="00001100">
        <w:t xml:space="preserve">  Therefore, all clubs </w:t>
      </w:r>
      <w:r w:rsidR="00A76B94" w:rsidRPr="00001100">
        <w:t xml:space="preserve">appear to be </w:t>
      </w:r>
      <w:r w:rsidR="00437505" w:rsidRPr="00001100">
        <w:t>managing their short-term obligations well</w:t>
      </w:r>
      <w:r w:rsidR="00A76B94" w:rsidRPr="00001100">
        <w:t xml:space="preserve">, </w:t>
      </w:r>
      <w:r w:rsidR="00437505" w:rsidRPr="00001100">
        <w:t xml:space="preserve">even when some are struggling with their </w:t>
      </w:r>
      <w:proofErr w:type="gramStart"/>
      <w:r w:rsidR="00437505" w:rsidRPr="00001100">
        <w:t>profitability</w:t>
      </w:r>
      <w:r w:rsidR="00A2208C" w:rsidRPr="00001100">
        <w:t xml:space="preserve"> </w:t>
      </w:r>
      <w:r w:rsidR="001C45DA" w:rsidRPr="00001100">
        <w:t>which</w:t>
      </w:r>
      <w:proofErr w:type="gramEnd"/>
      <w:r w:rsidR="001C45DA" w:rsidRPr="00001100">
        <w:t xml:space="preserve"> will be discussed later. </w:t>
      </w:r>
    </w:p>
    <w:p w14:paraId="363398AD" w14:textId="77777777" w:rsidR="00146ED8" w:rsidRDefault="00146ED8" w:rsidP="001D22D0">
      <w:pPr>
        <w:tabs>
          <w:tab w:val="left" w:pos="0"/>
        </w:tabs>
        <w:jc w:val="both"/>
        <w:rPr>
          <w:b/>
        </w:rPr>
      </w:pPr>
    </w:p>
    <w:p w14:paraId="7474F013" w14:textId="77777777" w:rsidR="003B14CC" w:rsidRPr="00001100" w:rsidRDefault="003B14CC" w:rsidP="001D22D0">
      <w:pPr>
        <w:tabs>
          <w:tab w:val="left" w:pos="0"/>
        </w:tabs>
        <w:jc w:val="both"/>
        <w:rPr>
          <w:b/>
        </w:rPr>
      </w:pPr>
      <w:proofErr w:type="gramStart"/>
      <w:r w:rsidRPr="00001100">
        <w:rPr>
          <w:b/>
        </w:rPr>
        <w:t>2./</w:t>
      </w:r>
      <w:proofErr w:type="gramEnd"/>
      <w:r w:rsidRPr="00001100">
        <w:rPr>
          <w:b/>
        </w:rPr>
        <w:t xml:space="preserve">3.  </w:t>
      </w:r>
      <w:r w:rsidRPr="00001100">
        <w:rPr>
          <w:b/>
        </w:rPr>
        <w:tab/>
        <w:t xml:space="preserve"> Accounts receivable turnover = total revenues / average accounts receivable (times and days)</w:t>
      </w:r>
    </w:p>
    <w:p w14:paraId="452AF0D4" w14:textId="77777777" w:rsidR="00146ED8" w:rsidRDefault="001C45DA" w:rsidP="004A53F0">
      <w:pPr>
        <w:tabs>
          <w:tab w:val="left" w:pos="0"/>
        </w:tabs>
        <w:ind w:firstLine="720"/>
        <w:jc w:val="both"/>
      </w:pPr>
      <w:r w:rsidRPr="00001100">
        <w:t xml:space="preserve">The nature of the club industry is that </w:t>
      </w:r>
      <w:proofErr w:type="gramStart"/>
      <w:r w:rsidRPr="00001100">
        <w:t>little cash is paid by members</w:t>
      </w:r>
      <w:proofErr w:type="gramEnd"/>
      <w:r w:rsidRPr="00001100">
        <w:t xml:space="preserve"> as the club provides goods and services.  Clubs generally bill members at the end of the month services are provided and members have until the end of the following month to pay.  Therefore, accounts receivable for clubs are often significant.  </w:t>
      </w:r>
    </w:p>
    <w:p w14:paraId="1B65CC76" w14:textId="77777777" w:rsidR="003B14CC" w:rsidRDefault="00A53BF8" w:rsidP="001D22D0">
      <w:pPr>
        <w:tabs>
          <w:tab w:val="left" w:pos="0"/>
        </w:tabs>
        <w:ind w:firstLine="720"/>
        <w:jc w:val="both"/>
      </w:pPr>
      <w:r w:rsidRPr="00001100">
        <w:t xml:space="preserve">Accounts receivable turnover can be measured as a number in times or by days.  </w:t>
      </w:r>
      <w:r w:rsidR="003B14CC" w:rsidRPr="00001100">
        <w:t>The</w:t>
      </w:r>
      <w:r w:rsidRPr="00001100">
        <w:t xml:space="preserve">y </w:t>
      </w:r>
      <w:r w:rsidR="003F7BF0" w:rsidRPr="00001100">
        <w:t xml:space="preserve">work together to </w:t>
      </w:r>
      <w:r w:rsidR="003B14CC" w:rsidRPr="00001100">
        <w:t>measure the speed of conversion of accounts receivables into cash</w:t>
      </w:r>
      <w:r w:rsidR="003F7BF0" w:rsidRPr="00001100">
        <w:t xml:space="preserve">, in </w:t>
      </w:r>
      <w:r w:rsidR="00CB159F" w:rsidRPr="00001100">
        <w:t>other words</w:t>
      </w:r>
      <w:r w:rsidR="001C45DA" w:rsidRPr="00001100">
        <w:t xml:space="preserve">, how fast clubs </w:t>
      </w:r>
      <w:r w:rsidR="003F7BF0" w:rsidRPr="00001100">
        <w:t xml:space="preserve">collect money that </w:t>
      </w:r>
      <w:r w:rsidR="00A76B94" w:rsidRPr="00001100">
        <w:t xml:space="preserve">is </w:t>
      </w:r>
      <w:r w:rsidR="003F7BF0" w:rsidRPr="00001100">
        <w:t>owed to them</w:t>
      </w:r>
      <w:r w:rsidR="003B14CC" w:rsidRPr="00001100">
        <w:t xml:space="preserve">.  A median of </w:t>
      </w:r>
      <w:r w:rsidR="003753C9" w:rsidRPr="00001100">
        <w:t>10.38</w:t>
      </w:r>
      <w:r w:rsidR="003F7BF0" w:rsidRPr="00001100">
        <w:t xml:space="preserve"> (3</w:t>
      </w:r>
      <w:r w:rsidR="003753C9" w:rsidRPr="00001100">
        <w:t>5</w:t>
      </w:r>
      <w:r w:rsidR="003F7BF0" w:rsidRPr="00001100">
        <w:t xml:space="preserve"> days) </w:t>
      </w:r>
      <w:r w:rsidR="003753C9" w:rsidRPr="00001100">
        <w:t xml:space="preserve">was better than the </w:t>
      </w:r>
      <w:r w:rsidR="003B14CC" w:rsidRPr="00001100">
        <w:t xml:space="preserve">9.66 </w:t>
      </w:r>
      <w:r w:rsidR="00A2208C" w:rsidRPr="00001100">
        <w:t xml:space="preserve">(38 days) </w:t>
      </w:r>
      <w:r w:rsidR="003B14CC" w:rsidRPr="00001100">
        <w:t xml:space="preserve">reported in </w:t>
      </w:r>
      <w:r w:rsidR="003753C9" w:rsidRPr="00001100">
        <w:t xml:space="preserve">the banner year of </w:t>
      </w:r>
      <w:r w:rsidR="003B14CC" w:rsidRPr="00001100">
        <w:t xml:space="preserve">2004 (DeFranco &amp; Schmidgall, 2008).  </w:t>
      </w:r>
      <w:r w:rsidR="003F7BF0" w:rsidRPr="00001100">
        <w:t xml:space="preserve">This is great news.  </w:t>
      </w:r>
      <w:r w:rsidR="003B14CC" w:rsidRPr="00001100">
        <w:t xml:space="preserve">The top performers </w:t>
      </w:r>
      <w:r w:rsidR="003F7BF0" w:rsidRPr="00001100">
        <w:t xml:space="preserve">showed </w:t>
      </w:r>
      <w:proofErr w:type="gramStart"/>
      <w:r w:rsidR="003F7BF0" w:rsidRPr="00001100">
        <w:t>a</w:t>
      </w:r>
      <w:proofErr w:type="gramEnd"/>
      <w:r w:rsidR="003F7BF0" w:rsidRPr="00001100">
        <w:t xml:space="preserve"> 1</w:t>
      </w:r>
      <w:r w:rsidR="003753C9" w:rsidRPr="00001100">
        <w:t>1.33</w:t>
      </w:r>
      <w:r w:rsidR="003F7BF0" w:rsidRPr="00001100">
        <w:t xml:space="preserve"> ratio which translates to an average collection period of 3</w:t>
      </w:r>
      <w:r w:rsidR="003753C9" w:rsidRPr="00001100">
        <w:t>2</w:t>
      </w:r>
      <w:r w:rsidR="003F7BF0" w:rsidRPr="00001100">
        <w:t xml:space="preserve"> days, just slightly over a month.  </w:t>
      </w:r>
      <w:r w:rsidR="00A76B94" w:rsidRPr="00001100">
        <w:t xml:space="preserve">The low performers were </w:t>
      </w:r>
      <w:r w:rsidR="003753C9" w:rsidRPr="00001100">
        <w:t>behind</w:t>
      </w:r>
      <w:r w:rsidR="00A76B94" w:rsidRPr="00001100">
        <w:t xml:space="preserve"> the </w:t>
      </w:r>
      <w:r w:rsidR="00780477" w:rsidRPr="00001100">
        <w:t>leaders</w:t>
      </w:r>
      <w:r w:rsidR="003753C9" w:rsidRPr="00001100">
        <w:t xml:space="preserve">, </w:t>
      </w:r>
      <w:r w:rsidR="003B14CC" w:rsidRPr="00001100">
        <w:t xml:space="preserve">extending credit for </w:t>
      </w:r>
      <w:r w:rsidR="003753C9" w:rsidRPr="00001100">
        <w:t>a week more at 39 days</w:t>
      </w:r>
      <w:r w:rsidR="007C6C7E" w:rsidRPr="00001100">
        <w:t xml:space="preserve"> with a ratio of </w:t>
      </w:r>
      <w:r w:rsidR="003753C9" w:rsidRPr="00001100">
        <w:t>9.45</w:t>
      </w:r>
      <w:r w:rsidR="007C6C7E" w:rsidRPr="00001100">
        <w:t xml:space="preserve">.  </w:t>
      </w:r>
      <w:r w:rsidR="003B14CC" w:rsidRPr="00001100">
        <w:t xml:space="preserve">This </w:t>
      </w:r>
      <w:r w:rsidR="007C6C7E" w:rsidRPr="00001100">
        <w:t xml:space="preserve">low ratio </w:t>
      </w:r>
      <w:r w:rsidR="003753C9" w:rsidRPr="00001100">
        <w:t xml:space="preserve">can use some </w:t>
      </w:r>
      <w:proofErr w:type="gramStart"/>
      <w:r w:rsidR="003753C9" w:rsidRPr="00001100">
        <w:t>improvement</w:t>
      </w:r>
      <w:proofErr w:type="gramEnd"/>
      <w:r w:rsidR="003753C9" w:rsidRPr="00001100">
        <w:t xml:space="preserve"> as it will </w:t>
      </w:r>
      <w:r w:rsidR="007C6C7E" w:rsidRPr="00001100">
        <w:t>hinder the clubs</w:t>
      </w:r>
      <w:r w:rsidR="00CB159F" w:rsidRPr="00001100">
        <w:t xml:space="preserve">’ </w:t>
      </w:r>
      <w:r w:rsidR="007C6C7E" w:rsidRPr="00001100">
        <w:t xml:space="preserve">cash position, </w:t>
      </w:r>
      <w:r w:rsidR="007C6C7E" w:rsidRPr="00001100">
        <w:lastRenderedPageBreak/>
        <w:t xml:space="preserve">especially in </w:t>
      </w:r>
      <w:r w:rsidR="003B14CC" w:rsidRPr="00001100">
        <w:t>tough economic times</w:t>
      </w:r>
      <w:r w:rsidR="007C6C7E" w:rsidRPr="00001100">
        <w:t xml:space="preserve"> and thus need</w:t>
      </w:r>
      <w:r w:rsidR="00CB159F" w:rsidRPr="00001100">
        <w:t>s</w:t>
      </w:r>
      <w:r w:rsidR="007C6C7E" w:rsidRPr="00001100">
        <w:t xml:space="preserve"> to be closely monitored to see if certain policies can be improved.  </w:t>
      </w:r>
    </w:p>
    <w:p w14:paraId="2B617D5F" w14:textId="77777777" w:rsidR="00146ED8" w:rsidRPr="00001100" w:rsidRDefault="00146ED8" w:rsidP="001D22D0">
      <w:pPr>
        <w:tabs>
          <w:tab w:val="left" w:pos="0"/>
        </w:tabs>
        <w:ind w:firstLine="720"/>
        <w:jc w:val="both"/>
      </w:pPr>
    </w:p>
    <w:p w14:paraId="41BC5764" w14:textId="725BC28C" w:rsidR="00146ED8" w:rsidRPr="00EE137F" w:rsidRDefault="003B14CC" w:rsidP="00EE137F">
      <w:pPr>
        <w:tabs>
          <w:tab w:val="left" w:pos="0"/>
        </w:tabs>
        <w:ind w:left="720" w:hanging="720"/>
        <w:jc w:val="both"/>
        <w:rPr>
          <w:b/>
        </w:rPr>
      </w:pPr>
      <w:r w:rsidRPr="00001100">
        <w:rPr>
          <w:b/>
        </w:rPr>
        <w:t>4.</w:t>
      </w:r>
      <w:r w:rsidRPr="00001100">
        <w:rPr>
          <w:b/>
        </w:rPr>
        <w:tab/>
        <w:t>Operating cash flows to current liabilities = operating cash flow / average current liabilities</w:t>
      </w:r>
    </w:p>
    <w:p w14:paraId="717160AE" w14:textId="77777777" w:rsidR="003B14CC" w:rsidRPr="00001100" w:rsidRDefault="003B14CC" w:rsidP="001D22D0">
      <w:pPr>
        <w:tabs>
          <w:tab w:val="left" w:pos="0"/>
        </w:tabs>
        <w:ind w:firstLine="720"/>
        <w:jc w:val="both"/>
      </w:pPr>
      <w:r w:rsidRPr="00001100">
        <w:t>This liquidity ratio</w:t>
      </w:r>
      <w:r w:rsidR="007C6C7E" w:rsidRPr="00001100">
        <w:t xml:space="preserve"> has </w:t>
      </w:r>
      <w:r w:rsidRPr="00001100">
        <w:t>a median of 0.</w:t>
      </w:r>
      <w:r w:rsidR="003753C9" w:rsidRPr="00001100">
        <w:t>28</w:t>
      </w:r>
      <w:r w:rsidR="007C6C7E" w:rsidRPr="00001100">
        <w:t xml:space="preserve">.  </w:t>
      </w:r>
      <w:proofErr w:type="gramStart"/>
      <w:r w:rsidR="007C6C7E" w:rsidRPr="00001100">
        <w:t>This means $0.</w:t>
      </w:r>
      <w:r w:rsidR="003753C9" w:rsidRPr="00001100">
        <w:t>28</w:t>
      </w:r>
      <w:r w:rsidRPr="00001100">
        <w:t xml:space="preserve"> of cash flow generated from operations (not by investing or financing activities) were provided by the club for payment toward each $1 of current </w:t>
      </w:r>
      <w:r w:rsidR="007C6C7E" w:rsidRPr="00001100">
        <w:t>debt</w:t>
      </w:r>
      <w:proofErr w:type="gramEnd"/>
      <w:r w:rsidRPr="00001100">
        <w:t xml:space="preserve">.  </w:t>
      </w:r>
      <w:r w:rsidR="007C6C7E" w:rsidRPr="00001100">
        <w:t xml:space="preserve">The </w:t>
      </w:r>
      <w:r w:rsidRPr="00001100">
        <w:t xml:space="preserve">top performers </w:t>
      </w:r>
      <w:r w:rsidR="003753C9" w:rsidRPr="00001100">
        <w:t>r</w:t>
      </w:r>
      <w:r w:rsidR="007C6C7E" w:rsidRPr="00001100">
        <w:t xml:space="preserve">eported in </w:t>
      </w:r>
      <w:r w:rsidR="003753C9" w:rsidRPr="00001100">
        <w:t xml:space="preserve">at </w:t>
      </w:r>
      <w:r w:rsidR="007C6C7E" w:rsidRPr="00001100">
        <w:t>$0.</w:t>
      </w:r>
      <w:r w:rsidR="003753C9" w:rsidRPr="00001100">
        <w:t>4</w:t>
      </w:r>
      <w:r w:rsidR="007C6C7E" w:rsidRPr="00001100">
        <w:t xml:space="preserve">2 while the low performers </w:t>
      </w:r>
      <w:r w:rsidR="003753C9" w:rsidRPr="00001100">
        <w:t xml:space="preserve">only reported a level of </w:t>
      </w:r>
      <w:r w:rsidR="007C6C7E" w:rsidRPr="00001100">
        <w:t>$0.</w:t>
      </w:r>
      <w:r w:rsidR="003753C9" w:rsidRPr="00001100">
        <w:t>11</w:t>
      </w:r>
      <w:r w:rsidR="007C6C7E" w:rsidRPr="00001100">
        <w:t>.</w:t>
      </w:r>
      <w:r w:rsidR="00A266EC" w:rsidRPr="00001100">
        <w:t xml:space="preserve">  The difference of this ratio between the top and low performing clubs is significant.  </w:t>
      </w:r>
      <w:r w:rsidR="007C6C7E" w:rsidRPr="00001100">
        <w:t xml:space="preserve">  </w:t>
      </w:r>
    </w:p>
    <w:p w14:paraId="2596ECBF" w14:textId="77777777" w:rsidR="00001100" w:rsidRPr="00146ED8" w:rsidRDefault="00001100" w:rsidP="00001100">
      <w:pPr>
        <w:jc w:val="both"/>
        <w:rPr>
          <w:i/>
        </w:rPr>
      </w:pPr>
    </w:p>
    <w:p w14:paraId="2A0526D7" w14:textId="77777777" w:rsidR="003B14CC" w:rsidRPr="00146ED8" w:rsidRDefault="003B14CC" w:rsidP="00001100">
      <w:pPr>
        <w:jc w:val="both"/>
        <w:rPr>
          <w:i/>
        </w:rPr>
      </w:pPr>
      <w:r w:rsidRPr="00146ED8">
        <w:rPr>
          <w:i/>
        </w:rPr>
        <w:t>Solvency Ratios</w:t>
      </w:r>
    </w:p>
    <w:p w14:paraId="22AFDC93" w14:textId="77777777" w:rsidR="00146ED8" w:rsidRDefault="00146ED8" w:rsidP="001D22D0">
      <w:pPr>
        <w:tabs>
          <w:tab w:val="left" w:pos="0"/>
        </w:tabs>
        <w:jc w:val="both"/>
        <w:outlineLvl w:val="0"/>
      </w:pPr>
      <w:r>
        <w:tab/>
      </w:r>
    </w:p>
    <w:p w14:paraId="4FADBE68" w14:textId="77777777" w:rsidR="0009391A" w:rsidRDefault="00146ED8" w:rsidP="001D22D0">
      <w:pPr>
        <w:tabs>
          <w:tab w:val="left" w:pos="0"/>
        </w:tabs>
        <w:jc w:val="both"/>
        <w:outlineLvl w:val="0"/>
      </w:pPr>
      <w:r>
        <w:tab/>
      </w:r>
      <w:r w:rsidR="0009391A" w:rsidRPr="00001100">
        <w:t xml:space="preserve">Solvency should be evaluated from both balance sheet and income statement perspectives.  </w:t>
      </w:r>
      <w:r w:rsidR="00A2208C" w:rsidRPr="00001100">
        <w:t xml:space="preserve">Solvency ratios reveal the ability of a club to pay its bills in the </w:t>
      </w:r>
      <w:proofErr w:type="gramStart"/>
      <w:r w:rsidR="00A2208C" w:rsidRPr="00001100">
        <w:t>long-run</w:t>
      </w:r>
      <w:proofErr w:type="gramEnd"/>
      <w:r w:rsidR="00A2208C" w:rsidRPr="00001100">
        <w:t xml:space="preserve">.  </w:t>
      </w:r>
      <w:r w:rsidR="0009391A" w:rsidRPr="00001100">
        <w:t xml:space="preserve">Three essentially balance sheet ratios and two income statement ratios are presented.  </w:t>
      </w:r>
    </w:p>
    <w:p w14:paraId="576E6ECD" w14:textId="77777777" w:rsidR="00146ED8" w:rsidRPr="00001100" w:rsidRDefault="00146ED8" w:rsidP="001D22D0">
      <w:pPr>
        <w:tabs>
          <w:tab w:val="left" w:pos="0"/>
        </w:tabs>
        <w:jc w:val="both"/>
        <w:outlineLvl w:val="0"/>
      </w:pPr>
    </w:p>
    <w:p w14:paraId="31FEA5AA" w14:textId="454368D9" w:rsidR="00146ED8" w:rsidRPr="00EE137F" w:rsidRDefault="003B14CC" w:rsidP="001D22D0">
      <w:pPr>
        <w:tabs>
          <w:tab w:val="left" w:pos="0"/>
        </w:tabs>
        <w:jc w:val="both"/>
        <w:rPr>
          <w:b/>
        </w:rPr>
      </w:pPr>
      <w:r w:rsidRPr="00001100">
        <w:rPr>
          <w:b/>
        </w:rPr>
        <w:t>5.</w:t>
      </w:r>
      <w:r w:rsidRPr="00001100">
        <w:rPr>
          <w:b/>
        </w:rPr>
        <w:tab/>
        <w:t xml:space="preserve">Operating cash flows to long-term debt = operating cash flows / </w:t>
      </w:r>
      <w:r w:rsidR="00A2208C" w:rsidRPr="00001100">
        <w:rPr>
          <w:b/>
        </w:rPr>
        <w:t xml:space="preserve">average </w:t>
      </w:r>
      <w:r w:rsidRPr="00001100">
        <w:rPr>
          <w:b/>
        </w:rPr>
        <w:t>long-term debt</w:t>
      </w:r>
    </w:p>
    <w:p w14:paraId="11263D42" w14:textId="77777777" w:rsidR="003B14CC" w:rsidRDefault="003B14CC" w:rsidP="001D22D0">
      <w:pPr>
        <w:tabs>
          <w:tab w:val="left" w:pos="0"/>
        </w:tabs>
        <w:jc w:val="both"/>
      </w:pPr>
      <w:r w:rsidRPr="00001100">
        <w:tab/>
        <w:t xml:space="preserve">This </w:t>
      </w:r>
      <w:r w:rsidR="007C6C7E" w:rsidRPr="00001100">
        <w:t xml:space="preserve">first solvency ratio is very similar to the last </w:t>
      </w:r>
      <w:r w:rsidR="0009391A" w:rsidRPr="00001100">
        <w:t xml:space="preserve">liquidity ratio discussed </w:t>
      </w:r>
      <w:r w:rsidR="007C6C7E" w:rsidRPr="00001100">
        <w:t xml:space="preserve">except it looks at </w:t>
      </w:r>
      <w:r w:rsidR="0009391A" w:rsidRPr="00001100">
        <w:t xml:space="preserve">a club’s </w:t>
      </w:r>
      <w:r w:rsidR="007C6C7E" w:rsidRPr="00001100">
        <w:t>ability to pay</w:t>
      </w:r>
      <w:r w:rsidR="0009391A" w:rsidRPr="00001100">
        <w:t xml:space="preserve"> its </w:t>
      </w:r>
      <w:r w:rsidRPr="00001100">
        <w:t xml:space="preserve">long-term debt.  </w:t>
      </w:r>
      <w:r w:rsidR="007C6C7E" w:rsidRPr="00001100">
        <w:t>The short-term version has a median of $0.</w:t>
      </w:r>
      <w:r w:rsidR="003753C9" w:rsidRPr="00001100">
        <w:t>28</w:t>
      </w:r>
      <w:r w:rsidR="007C6C7E" w:rsidRPr="00001100">
        <w:t xml:space="preserve"> but the long-term version only showed a </w:t>
      </w:r>
      <w:r w:rsidRPr="00001100">
        <w:t xml:space="preserve">median of </w:t>
      </w:r>
      <w:r w:rsidR="007C6C7E" w:rsidRPr="00001100">
        <w:t>$</w:t>
      </w:r>
      <w:r w:rsidRPr="00001100">
        <w:t>0.</w:t>
      </w:r>
      <w:r w:rsidR="007C6C7E" w:rsidRPr="00001100">
        <w:t>1</w:t>
      </w:r>
      <w:r w:rsidR="003753C9" w:rsidRPr="00001100">
        <w:t>0</w:t>
      </w:r>
      <w:r w:rsidRPr="00001100">
        <w:t xml:space="preserve">.  </w:t>
      </w:r>
      <w:r w:rsidR="00F41286" w:rsidRPr="00001100">
        <w:t>T</w:t>
      </w:r>
      <w:r w:rsidR="007C6C7E" w:rsidRPr="00001100">
        <w:t xml:space="preserve">he top performers </w:t>
      </w:r>
      <w:r w:rsidR="00F41286" w:rsidRPr="00001100">
        <w:t>showed $0.25</w:t>
      </w:r>
      <w:r w:rsidR="007C6C7E" w:rsidRPr="00001100">
        <w:t xml:space="preserve"> in the </w:t>
      </w:r>
      <w:r w:rsidRPr="00001100">
        <w:t xml:space="preserve">long-term </w:t>
      </w:r>
      <w:r w:rsidR="007C6C7E" w:rsidRPr="00001100">
        <w:t>version</w:t>
      </w:r>
      <w:r w:rsidR="00F41286" w:rsidRPr="00001100">
        <w:t>, while th</w:t>
      </w:r>
      <w:r w:rsidR="007C6C7E" w:rsidRPr="00001100">
        <w:t>e low performers only reported a 0.0</w:t>
      </w:r>
      <w:r w:rsidR="00F41286" w:rsidRPr="00001100">
        <w:t>5</w:t>
      </w:r>
      <w:r w:rsidR="007C6C7E" w:rsidRPr="00001100">
        <w:t xml:space="preserve"> rat</w:t>
      </w:r>
      <w:r w:rsidR="001674F4" w:rsidRPr="00001100">
        <w:t>io, meaning they only have $0.0</w:t>
      </w:r>
      <w:r w:rsidR="00F41286" w:rsidRPr="00001100">
        <w:t>5</w:t>
      </w:r>
      <w:r w:rsidR="00A266EC" w:rsidRPr="00001100">
        <w:t xml:space="preserve"> </w:t>
      </w:r>
      <w:r w:rsidR="007C6C7E" w:rsidRPr="00001100">
        <w:t xml:space="preserve">of operating cash flow to cover </w:t>
      </w:r>
      <w:r w:rsidR="0009391A" w:rsidRPr="00001100">
        <w:t xml:space="preserve">each </w:t>
      </w:r>
      <w:r w:rsidR="007C6C7E" w:rsidRPr="00001100">
        <w:t xml:space="preserve">$1.00 </w:t>
      </w:r>
      <w:r w:rsidR="0009391A" w:rsidRPr="00001100">
        <w:t xml:space="preserve">of </w:t>
      </w:r>
      <w:r w:rsidR="007C6C7E" w:rsidRPr="00001100">
        <w:t xml:space="preserve">long-term debt.  Creditors do scrutinize solvency ratios when approving loans and such low ratios </w:t>
      </w:r>
      <w:r w:rsidR="002D000C" w:rsidRPr="00001100">
        <w:t>do not hold high promise</w:t>
      </w:r>
      <w:r w:rsidR="00C707F9" w:rsidRPr="00001100">
        <w:t xml:space="preserve"> especially for the low performers.  </w:t>
      </w:r>
    </w:p>
    <w:p w14:paraId="0308BFEF" w14:textId="77777777" w:rsidR="00146ED8" w:rsidRPr="00001100" w:rsidRDefault="00146ED8" w:rsidP="001D22D0">
      <w:pPr>
        <w:tabs>
          <w:tab w:val="left" w:pos="0"/>
        </w:tabs>
        <w:jc w:val="both"/>
      </w:pPr>
    </w:p>
    <w:p w14:paraId="046866B9" w14:textId="461A2D90" w:rsidR="00146ED8" w:rsidRPr="00001100" w:rsidRDefault="003B14CC" w:rsidP="00EE137F">
      <w:pPr>
        <w:tabs>
          <w:tab w:val="left" w:pos="0"/>
        </w:tabs>
        <w:ind w:left="720" w:hanging="720"/>
        <w:jc w:val="both"/>
        <w:rPr>
          <w:b/>
        </w:rPr>
      </w:pPr>
      <w:bookmarkStart w:id="0" w:name="OLE_LINK4"/>
      <w:bookmarkStart w:id="1" w:name="OLE_LINK3"/>
      <w:r w:rsidRPr="00001100">
        <w:rPr>
          <w:b/>
        </w:rPr>
        <w:t>6.</w:t>
      </w:r>
      <w:r w:rsidRPr="00001100">
        <w:rPr>
          <w:b/>
        </w:rPr>
        <w:tab/>
        <w:t>Long term debt to total capitalization = long term liabilities / (total long-term liabilities + total members’ equity)</w:t>
      </w:r>
    </w:p>
    <w:bookmarkEnd w:id="0"/>
    <w:bookmarkEnd w:id="1"/>
    <w:p w14:paraId="34398372" w14:textId="77777777" w:rsidR="001A41DE" w:rsidRDefault="003B14CC" w:rsidP="00001100">
      <w:pPr>
        <w:tabs>
          <w:tab w:val="left" w:pos="0"/>
        </w:tabs>
        <w:jc w:val="both"/>
      </w:pPr>
      <w:r w:rsidRPr="00001100">
        <w:rPr>
          <w:b/>
        </w:rPr>
        <w:tab/>
      </w:r>
      <w:r w:rsidRPr="00001100">
        <w:t>This</w:t>
      </w:r>
      <w:r w:rsidR="002D000C" w:rsidRPr="00001100">
        <w:t xml:space="preserve"> second </w:t>
      </w:r>
      <w:r w:rsidR="0009391A" w:rsidRPr="00001100">
        <w:t xml:space="preserve">solvency ratio </w:t>
      </w:r>
      <w:r w:rsidR="002D000C" w:rsidRPr="00001100">
        <w:t xml:space="preserve">measures a club’s long-term debt to </w:t>
      </w:r>
      <w:r w:rsidR="003F3122" w:rsidRPr="00001100">
        <w:t xml:space="preserve">its total </w:t>
      </w:r>
      <w:r w:rsidR="002D000C" w:rsidRPr="00001100">
        <w:t xml:space="preserve">capitalization.  Thus, this is one of the few ratios </w:t>
      </w:r>
      <w:r w:rsidR="003F3122" w:rsidRPr="00001100">
        <w:t xml:space="preserve">where </w:t>
      </w:r>
      <w:r w:rsidR="002D000C" w:rsidRPr="00001100">
        <w:t>a smaller number is better as it signifies less debt incurred by the club</w:t>
      </w:r>
      <w:r w:rsidR="0009391A" w:rsidRPr="00001100">
        <w:t xml:space="preserve"> and</w:t>
      </w:r>
      <w:r w:rsidR="002D000C" w:rsidRPr="00001100">
        <w:t xml:space="preserve"> c</w:t>
      </w:r>
      <w:r w:rsidRPr="00001100">
        <w:t xml:space="preserve">reditors prefer a lower </w:t>
      </w:r>
      <w:r w:rsidR="002D000C" w:rsidRPr="00001100">
        <w:t>ratio</w:t>
      </w:r>
      <w:r w:rsidR="0009391A" w:rsidRPr="00001100">
        <w:t xml:space="preserve"> than other users of financial ratios.  </w:t>
      </w:r>
      <w:r w:rsidRPr="00001100">
        <w:t>Th</w:t>
      </w:r>
      <w:r w:rsidR="002D000C" w:rsidRPr="00001100">
        <w:t>e 0.2</w:t>
      </w:r>
      <w:r w:rsidR="00F41286" w:rsidRPr="00001100">
        <w:t>5</w:t>
      </w:r>
      <w:r w:rsidR="002D000C" w:rsidRPr="00001100">
        <w:t xml:space="preserve"> median means for every </w:t>
      </w:r>
      <w:r w:rsidRPr="00001100">
        <w:t xml:space="preserve">$1.00 of the clubs’ </w:t>
      </w:r>
      <w:proofErr w:type="gramStart"/>
      <w:r w:rsidR="00F5639E" w:rsidRPr="00001100">
        <w:t>long term</w:t>
      </w:r>
      <w:proofErr w:type="gramEnd"/>
      <w:r w:rsidR="00F5639E" w:rsidRPr="00001100">
        <w:t xml:space="preserve"> debt and members’ equity</w:t>
      </w:r>
      <w:r w:rsidR="002D000C" w:rsidRPr="00001100">
        <w:t>, $0.2</w:t>
      </w:r>
      <w:r w:rsidR="00F41286" w:rsidRPr="00001100">
        <w:t>5</w:t>
      </w:r>
      <w:r w:rsidR="002D000C" w:rsidRPr="00001100">
        <w:t xml:space="preserve"> w</w:t>
      </w:r>
      <w:r w:rsidR="00F5639E" w:rsidRPr="00001100">
        <w:t>as</w:t>
      </w:r>
      <w:r w:rsidR="002D000C" w:rsidRPr="00001100">
        <w:t xml:space="preserve"> financed by long-term debt</w:t>
      </w:r>
      <w:r w:rsidRPr="00001100">
        <w:t>.  The top performing clubs reported a 0.</w:t>
      </w:r>
      <w:r w:rsidR="00F41286" w:rsidRPr="00001100">
        <w:t>20</w:t>
      </w:r>
      <w:r w:rsidR="002D000C" w:rsidRPr="00001100">
        <w:t xml:space="preserve"> ratio meaning only </w:t>
      </w:r>
      <w:r w:rsidR="001674F4" w:rsidRPr="00001100">
        <w:t>20</w:t>
      </w:r>
      <w:r w:rsidR="002D000C" w:rsidRPr="00001100">
        <w:t>% of the capitalization was financed by long-term d</w:t>
      </w:r>
      <w:r w:rsidRPr="00001100">
        <w:t>ebt</w:t>
      </w:r>
      <w:r w:rsidR="002D000C" w:rsidRPr="00001100">
        <w:t xml:space="preserve">, while </w:t>
      </w:r>
      <w:r w:rsidRPr="00001100">
        <w:t>the low performing clubs</w:t>
      </w:r>
      <w:r w:rsidR="002D000C" w:rsidRPr="00001100">
        <w:t xml:space="preserve"> had a higher long-term debt ratio at </w:t>
      </w:r>
      <w:r w:rsidR="00F41286" w:rsidRPr="00001100">
        <w:t>2</w:t>
      </w:r>
      <w:r w:rsidR="002D000C" w:rsidRPr="00001100">
        <w:t>3%</w:t>
      </w:r>
      <w:r w:rsidRPr="00001100">
        <w:t>.</w:t>
      </w:r>
      <w:r w:rsidR="003F3122" w:rsidRPr="00001100">
        <w:t xml:space="preserve">  Thus, the difference of this ratio between the to</w:t>
      </w:r>
      <w:r w:rsidR="00001100">
        <w:t>p and low performers is minor.</w:t>
      </w:r>
    </w:p>
    <w:p w14:paraId="1D748020" w14:textId="77777777" w:rsidR="00146ED8" w:rsidRPr="00001100" w:rsidRDefault="00146ED8" w:rsidP="00001100">
      <w:pPr>
        <w:tabs>
          <w:tab w:val="left" w:pos="0"/>
        </w:tabs>
        <w:jc w:val="both"/>
      </w:pPr>
    </w:p>
    <w:p w14:paraId="2F0E69B9" w14:textId="42172FB0" w:rsidR="00146ED8" w:rsidRPr="00001100" w:rsidRDefault="003B14CC" w:rsidP="00EE137F">
      <w:pPr>
        <w:tabs>
          <w:tab w:val="left" w:pos="0"/>
        </w:tabs>
        <w:ind w:left="720" w:hanging="720"/>
        <w:jc w:val="both"/>
        <w:rPr>
          <w:b/>
        </w:rPr>
      </w:pPr>
      <w:r w:rsidRPr="00001100">
        <w:rPr>
          <w:b/>
        </w:rPr>
        <w:lastRenderedPageBreak/>
        <w:t>7.</w:t>
      </w:r>
      <w:r w:rsidRPr="00001100">
        <w:rPr>
          <w:b/>
        </w:rPr>
        <w:tab/>
        <w:t>Debt-equity ratio = total long-term liabilities / total members’ equity</w:t>
      </w:r>
    </w:p>
    <w:p w14:paraId="56FAA7E6" w14:textId="77777777" w:rsidR="003B14CC" w:rsidRDefault="003B14CC" w:rsidP="001D22D0">
      <w:pPr>
        <w:tabs>
          <w:tab w:val="left" w:pos="0"/>
        </w:tabs>
        <w:jc w:val="both"/>
      </w:pPr>
      <w:r w:rsidRPr="00001100">
        <w:tab/>
      </w:r>
      <w:r w:rsidR="007F163A" w:rsidRPr="00001100">
        <w:t>For 2011, the debt-equity ratio of the club industry was at 0.</w:t>
      </w:r>
      <w:r w:rsidR="00F41286" w:rsidRPr="00001100">
        <w:t>3</w:t>
      </w:r>
      <w:r w:rsidR="007F163A" w:rsidRPr="00001100">
        <w:t>2.  The difference between this ratio and the last one is that this one measures total debt as compared to equity only whereas the last one only looks at long-term debt and the total capitalization which is debt and equity combine</w:t>
      </w:r>
      <w:r w:rsidR="006C4C59" w:rsidRPr="00001100">
        <w:t>d</w:t>
      </w:r>
      <w:r w:rsidR="007F163A" w:rsidRPr="00001100">
        <w:t xml:space="preserve">.  Thus, this ratio is a stricter measurement of debt level.  Similarly, a smaller number is desired.  </w:t>
      </w:r>
      <w:r w:rsidRPr="00001100">
        <w:t xml:space="preserve">The median </w:t>
      </w:r>
      <w:r w:rsidR="007F163A" w:rsidRPr="00001100">
        <w:t>of 0.</w:t>
      </w:r>
      <w:r w:rsidR="00F41286" w:rsidRPr="00001100">
        <w:t>32</w:t>
      </w:r>
      <w:r w:rsidR="007F163A" w:rsidRPr="00001100">
        <w:t xml:space="preserve"> showed that the median club ha</w:t>
      </w:r>
      <w:r w:rsidR="00644342" w:rsidRPr="00001100">
        <w:t>d</w:t>
      </w:r>
      <w:r w:rsidR="007F163A" w:rsidRPr="00001100">
        <w:t xml:space="preserve"> $0.</w:t>
      </w:r>
      <w:r w:rsidR="00F41286" w:rsidRPr="00001100">
        <w:t>3</w:t>
      </w:r>
      <w:r w:rsidR="007F163A" w:rsidRPr="00001100">
        <w:t xml:space="preserve">2 debt to each $1.00 of </w:t>
      </w:r>
      <w:r w:rsidR="009C5596" w:rsidRPr="00001100">
        <w:t xml:space="preserve">equity.  </w:t>
      </w:r>
      <w:r w:rsidRPr="00001100">
        <w:t xml:space="preserve"> The low performers were at 0.</w:t>
      </w:r>
      <w:r w:rsidR="00F41286" w:rsidRPr="00001100">
        <w:t>30</w:t>
      </w:r>
      <w:r w:rsidR="009C5596" w:rsidRPr="00001100">
        <w:t xml:space="preserve"> and</w:t>
      </w:r>
      <w:r w:rsidRPr="00001100">
        <w:t xml:space="preserve"> the top performers were at 0.</w:t>
      </w:r>
      <w:r w:rsidR="00F41286" w:rsidRPr="00001100">
        <w:t>25</w:t>
      </w:r>
      <w:r w:rsidRPr="00001100">
        <w:t xml:space="preserve">.  </w:t>
      </w:r>
      <w:r w:rsidR="00EA5096" w:rsidRPr="00001100">
        <w:t xml:space="preserve">It appeared that when clubs were ranked according to their return on assets, both low and top performing clubs were better than the median.  </w:t>
      </w:r>
    </w:p>
    <w:p w14:paraId="690801E6" w14:textId="77777777" w:rsidR="00146ED8" w:rsidRPr="00001100" w:rsidRDefault="00146ED8" w:rsidP="001D22D0">
      <w:pPr>
        <w:tabs>
          <w:tab w:val="left" w:pos="0"/>
        </w:tabs>
        <w:jc w:val="both"/>
      </w:pPr>
    </w:p>
    <w:p w14:paraId="24042013" w14:textId="0E8D5AF1" w:rsidR="00146ED8" w:rsidRPr="00001100" w:rsidRDefault="003B14CC" w:rsidP="00EE137F">
      <w:pPr>
        <w:tabs>
          <w:tab w:val="left" w:pos="0"/>
        </w:tabs>
        <w:ind w:left="720" w:hanging="720"/>
        <w:jc w:val="both"/>
        <w:rPr>
          <w:b/>
        </w:rPr>
      </w:pPr>
      <w:r w:rsidRPr="00001100">
        <w:rPr>
          <w:b/>
        </w:rPr>
        <w:t>8.</w:t>
      </w:r>
      <w:r w:rsidRPr="00001100">
        <w:rPr>
          <w:b/>
        </w:rPr>
        <w:tab/>
        <w:t>Times interest earned (TIE) = (net income + interest expense) / interest expense or = EBIT / interest expense</w:t>
      </w:r>
    </w:p>
    <w:p w14:paraId="4D4F4D7F" w14:textId="77777777" w:rsidR="001A41DE" w:rsidRDefault="003B14CC" w:rsidP="00001100">
      <w:pPr>
        <w:tabs>
          <w:tab w:val="left" w:pos="0"/>
        </w:tabs>
        <w:jc w:val="both"/>
      </w:pPr>
      <w:r w:rsidRPr="00001100">
        <w:rPr>
          <w:b/>
        </w:rPr>
        <w:tab/>
      </w:r>
      <w:r w:rsidR="00882299" w:rsidRPr="00001100">
        <w:t>T</w:t>
      </w:r>
      <w:r w:rsidRPr="00001100">
        <w:t xml:space="preserve">he TIE </w:t>
      </w:r>
      <w:r w:rsidR="00882299" w:rsidRPr="00001100">
        <w:t xml:space="preserve">ratio measures the </w:t>
      </w:r>
      <w:r w:rsidRPr="00001100">
        <w:t>number of times a clu</w:t>
      </w:r>
      <w:r w:rsidR="00882299" w:rsidRPr="00001100">
        <w:t>b can cover its interest payment obligation with its earnings before interest and tax</w:t>
      </w:r>
      <w:r w:rsidRPr="00001100">
        <w:t xml:space="preserve">.  In previous years, the median club had </w:t>
      </w:r>
      <w:r w:rsidR="00882299" w:rsidRPr="00001100">
        <w:t>T</w:t>
      </w:r>
      <w:r w:rsidRPr="00001100">
        <w:t>IE</w:t>
      </w:r>
      <w:r w:rsidR="00882299" w:rsidRPr="00001100">
        <w:t xml:space="preserve">s from less than 1.00 to over </w:t>
      </w:r>
      <w:r w:rsidRPr="00001100">
        <w:t xml:space="preserve">1.50 (DeFranco &amp; Schmidgall, </w:t>
      </w:r>
      <w:r w:rsidR="00882299" w:rsidRPr="00001100">
        <w:t xml:space="preserve">2009b; DeFranco &amp; Schmidgall, </w:t>
      </w:r>
      <w:r w:rsidRPr="00001100">
        <w:t xml:space="preserve">2008).  </w:t>
      </w:r>
      <w:r w:rsidR="00882299" w:rsidRPr="00001100">
        <w:t>In 20</w:t>
      </w:r>
      <w:r w:rsidR="008D2DE5" w:rsidRPr="00001100">
        <w:t>1</w:t>
      </w:r>
      <w:r w:rsidR="00882299" w:rsidRPr="00001100">
        <w:t>1, this ratio was reported at</w:t>
      </w:r>
      <w:r w:rsidR="006C4C59" w:rsidRPr="00001100">
        <w:t xml:space="preserve"> </w:t>
      </w:r>
      <w:r w:rsidR="00F41286" w:rsidRPr="00001100">
        <w:t>1.41.</w:t>
      </w:r>
      <w:r w:rsidR="00882299" w:rsidRPr="00001100">
        <w:t xml:space="preserve">  This means </w:t>
      </w:r>
      <w:r w:rsidRPr="00001100">
        <w:t xml:space="preserve">the </w:t>
      </w:r>
      <w:r w:rsidR="00882299" w:rsidRPr="00001100">
        <w:t xml:space="preserve">median club </w:t>
      </w:r>
      <w:r w:rsidRPr="00001100">
        <w:t>had only $</w:t>
      </w:r>
      <w:r w:rsidR="00F41286" w:rsidRPr="00001100">
        <w:t>1.41</w:t>
      </w:r>
      <w:r w:rsidRPr="00001100">
        <w:t xml:space="preserve"> of earnings before interest and tax to cover every $1.00 of interest payment obligation.  </w:t>
      </w:r>
      <w:r w:rsidR="00882299" w:rsidRPr="00001100">
        <w:t>The</w:t>
      </w:r>
      <w:r w:rsidRPr="00001100">
        <w:t xml:space="preserve"> top performers</w:t>
      </w:r>
      <w:r w:rsidR="00882299" w:rsidRPr="00001100">
        <w:t>, with less debt (as seen in the previous ratios)</w:t>
      </w:r>
      <w:r w:rsidRPr="00001100">
        <w:t xml:space="preserve"> report</w:t>
      </w:r>
      <w:r w:rsidR="00882299" w:rsidRPr="00001100">
        <w:t>ed</w:t>
      </w:r>
      <w:r w:rsidRPr="00001100">
        <w:t xml:space="preserve"> a </w:t>
      </w:r>
      <w:r w:rsidR="00F41286" w:rsidRPr="00001100">
        <w:t xml:space="preserve">high </w:t>
      </w:r>
      <w:r w:rsidRPr="00001100">
        <w:t xml:space="preserve">TIE of </w:t>
      </w:r>
      <w:r w:rsidR="00F41286" w:rsidRPr="00001100">
        <w:t>64.06</w:t>
      </w:r>
      <w:r w:rsidRPr="00001100">
        <w:t xml:space="preserve">, meaning they could pay their interest expense </w:t>
      </w:r>
      <w:r w:rsidR="00F41286" w:rsidRPr="00001100">
        <w:t>64</w:t>
      </w:r>
      <w:r w:rsidR="00882299" w:rsidRPr="00001100">
        <w:t xml:space="preserve"> </w:t>
      </w:r>
      <w:r w:rsidRPr="00001100">
        <w:t xml:space="preserve">times over.  However, the lower performers </w:t>
      </w:r>
      <w:r w:rsidR="00882299" w:rsidRPr="00001100">
        <w:t xml:space="preserve">were not as </w:t>
      </w:r>
      <w:r w:rsidR="006C4C59" w:rsidRPr="00001100">
        <w:t xml:space="preserve">fortunate.  </w:t>
      </w:r>
      <w:r w:rsidR="00882299" w:rsidRPr="00001100">
        <w:t>Their TIE was -</w:t>
      </w:r>
      <w:r w:rsidR="00F41286" w:rsidRPr="00001100">
        <w:t>3.74</w:t>
      </w:r>
      <w:r w:rsidR="004F5290" w:rsidRPr="00001100">
        <w:t xml:space="preserve">.  This means that they were not </w:t>
      </w:r>
      <w:r w:rsidR="00882299" w:rsidRPr="00001100">
        <w:t xml:space="preserve">able to cover their interest </w:t>
      </w:r>
      <w:r w:rsidR="009A18C0" w:rsidRPr="00001100">
        <w:t xml:space="preserve">obligations as </w:t>
      </w:r>
      <w:r w:rsidR="00882299" w:rsidRPr="00001100">
        <w:t xml:space="preserve">they had </w:t>
      </w:r>
      <w:r w:rsidR="004F5290" w:rsidRPr="00001100">
        <w:t xml:space="preserve">a </w:t>
      </w:r>
      <w:r w:rsidR="00882299" w:rsidRPr="00001100">
        <w:t xml:space="preserve">loss </w:t>
      </w:r>
      <w:r w:rsidR="004F5290" w:rsidRPr="00001100">
        <w:t xml:space="preserve">prior to their annual interest expense such that the loss was </w:t>
      </w:r>
      <w:r w:rsidR="00F41286" w:rsidRPr="00001100">
        <w:t>3.74</w:t>
      </w:r>
      <w:r w:rsidR="00882299" w:rsidRPr="00001100">
        <w:t xml:space="preserve"> </w:t>
      </w:r>
      <w:r w:rsidR="004F5290" w:rsidRPr="00001100">
        <w:t xml:space="preserve">times </w:t>
      </w:r>
      <w:r w:rsidR="00882299" w:rsidRPr="00001100">
        <w:t>their interest obligation.</w:t>
      </w:r>
      <w:r w:rsidRPr="00001100">
        <w:t xml:space="preserve"> </w:t>
      </w:r>
    </w:p>
    <w:p w14:paraId="765CDDBF" w14:textId="77777777" w:rsidR="00146ED8" w:rsidRPr="00001100" w:rsidRDefault="00146ED8" w:rsidP="00001100">
      <w:pPr>
        <w:tabs>
          <w:tab w:val="left" w:pos="0"/>
        </w:tabs>
        <w:jc w:val="both"/>
      </w:pPr>
    </w:p>
    <w:p w14:paraId="051A5B32" w14:textId="5FE68785" w:rsidR="00146ED8" w:rsidRPr="00001100" w:rsidRDefault="003B14CC" w:rsidP="001D22D0">
      <w:pPr>
        <w:jc w:val="both"/>
        <w:rPr>
          <w:b/>
        </w:rPr>
      </w:pPr>
      <w:r w:rsidRPr="00001100">
        <w:rPr>
          <w:b/>
        </w:rPr>
        <w:t>9.</w:t>
      </w:r>
      <w:r w:rsidRPr="00001100">
        <w:rPr>
          <w:b/>
        </w:rPr>
        <w:tab/>
        <w:t xml:space="preserve">Fixed charge coverage </w:t>
      </w:r>
      <w:r w:rsidR="006C4C59" w:rsidRPr="00001100">
        <w:rPr>
          <w:b/>
        </w:rPr>
        <w:t xml:space="preserve">(FCC) </w:t>
      </w:r>
      <w:r w:rsidRPr="00001100">
        <w:rPr>
          <w:b/>
        </w:rPr>
        <w:t>= (net income + interest expense + rent expense) / (interest expense + rent expense)</w:t>
      </w:r>
    </w:p>
    <w:p w14:paraId="6C224230" w14:textId="29E9ED75" w:rsidR="00C547CB" w:rsidRDefault="00F41286" w:rsidP="00EE137F">
      <w:pPr>
        <w:tabs>
          <w:tab w:val="left" w:pos="0"/>
        </w:tabs>
        <w:ind w:firstLine="720"/>
        <w:jc w:val="both"/>
      </w:pPr>
      <w:r w:rsidRPr="00001100">
        <w:t>The fixed charge coverage is very similar to the TIE but it also includes the effect of rent expense.  When rent is added</w:t>
      </w:r>
      <w:r w:rsidR="009E64B3" w:rsidRPr="00001100">
        <w:t xml:space="preserve"> to both the numerator and denominator of the TIE ratio, </w:t>
      </w:r>
      <w:r w:rsidRPr="00001100">
        <w:t xml:space="preserve">the median </w:t>
      </w:r>
      <w:r w:rsidR="009E64B3" w:rsidRPr="00001100">
        <w:t xml:space="preserve">decreases to </w:t>
      </w:r>
      <w:r w:rsidRPr="00001100">
        <w:t xml:space="preserve">1.15 and the top performers reported at 7.83 times while the low performers, still at a negative number, </w:t>
      </w:r>
      <w:r w:rsidR="006C4C59" w:rsidRPr="00001100">
        <w:t xml:space="preserve">were </w:t>
      </w:r>
      <w:r w:rsidRPr="00001100">
        <w:t>at -0.24.</w:t>
      </w:r>
      <w:r w:rsidR="006C4C59" w:rsidRPr="00001100">
        <w:t xml:space="preserve">  </w:t>
      </w:r>
      <w:proofErr w:type="gramStart"/>
      <w:r w:rsidR="006C4C59" w:rsidRPr="00001100">
        <w:t>Solvency from an income statement perspective as shown by both the TIE and FCC ratios are</w:t>
      </w:r>
      <w:proofErr w:type="gramEnd"/>
      <w:r w:rsidR="006C4C59" w:rsidRPr="00001100">
        <w:t xml:space="preserve"> a real challenge for the low performers.  Overall, the low performers do not have the profitability to handle their </w:t>
      </w:r>
      <w:r w:rsidR="004B0387" w:rsidRPr="00001100">
        <w:t>interest and rental expense</w:t>
      </w:r>
      <w:r w:rsidR="006C4C59" w:rsidRPr="00001100">
        <w:t xml:space="preserve">.  </w:t>
      </w:r>
    </w:p>
    <w:p w14:paraId="795227BE" w14:textId="77777777" w:rsidR="00C547CB" w:rsidRPr="00001100" w:rsidRDefault="00C547CB" w:rsidP="00C547CB">
      <w:pPr>
        <w:tabs>
          <w:tab w:val="left" w:pos="0"/>
        </w:tabs>
        <w:ind w:firstLine="720"/>
        <w:jc w:val="both"/>
      </w:pPr>
    </w:p>
    <w:p w14:paraId="5FCB8B0C" w14:textId="77777777" w:rsidR="003B14CC" w:rsidRDefault="003B14CC" w:rsidP="001D22D0">
      <w:pPr>
        <w:tabs>
          <w:tab w:val="left" w:pos="0"/>
        </w:tabs>
        <w:ind w:left="720" w:hanging="720"/>
        <w:jc w:val="both"/>
        <w:outlineLvl w:val="0"/>
        <w:rPr>
          <w:i/>
        </w:rPr>
      </w:pPr>
      <w:r w:rsidRPr="00DF0F9E">
        <w:rPr>
          <w:i/>
        </w:rPr>
        <w:t>Activity Ratios</w:t>
      </w:r>
    </w:p>
    <w:p w14:paraId="1EA24246" w14:textId="77777777" w:rsidR="00146ED8" w:rsidRPr="00DF0F9E" w:rsidRDefault="00146ED8" w:rsidP="001D22D0">
      <w:pPr>
        <w:tabs>
          <w:tab w:val="left" w:pos="0"/>
        </w:tabs>
        <w:ind w:left="720" w:hanging="720"/>
        <w:jc w:val="both"/>
        <w:outlineLvl w:val="0"/>
        <w:rPr>
          <w:i/>
        </w:rPr>
      </w:pPr>
    </w:p>
    <w:p w14:paraId="51D53505" w14:textId="77777777" w:rsidR="004B0387" w:rsidRDefault="004B0387" w:rsidP="001D22D0">
      <w:pPr>
        <w:ind w:firstLine="720"/>
        <w:jc w:val="both"/>
        <w:outlineLvl w:val="0"/>
      </w:pPr>
      <w:r w:rsidRPr="00001100">
        <w:t xml:space="preserve">Activity ratios measure management’s ability to use assets entrusted to it to provide services and generate profits.  Five activity ratios are reported.  </w:t>
      </w:r>
    </w:p>
    <w:p w14:paraId="7B5FE67E" w14:textId="77777777" w:rsidR="00146ED8" w:rsidRPr="00001100" w:rsidRDefault="00146ED8" w:rsidP="001D22D0">
      <w:pPr>
        <w:ind w:firstLine="720"/>
        <w:jc w:val="both"/>
        <w:outlineLvl w:val="0"/>
      </w:pPr>
    </w:p>
    <w:p w14:paraId="73529D81" w14:textId="0E4769D0" w:rsidR="00146ED8" w:rsidRPr="00EE137F" w:rsidRDefault="003B14CC" w:rsidP="00EE137F">
      <w:pPr>
        <w:tabs>
          <w:tab w:val="left" w:pos="0"/>
        </w:tabs>
        <w:ind w:left="720" w:hanging="720"/>
        <w:jc w:val="both"/>
        <w:rPr>
          <w:b/>
        </w:rPr>
      </w:pPr>
      <w:r w:rsidRPr="00001100">
        <w:rPr>
          <w:b/>
        </w:rPr>
        <w:lastRenderedPageBreak/>
        <w:t>10</w:t>
      </w:r>
      <w:proofErr w:type="gramStart"/>
      <w:r w:rsidRPr="00001100">
        <w:rPr>
          <w:b/>
        </w:rPr>
        <w:t>./</w:t>
      </w:r>
      <w:proofErr w:type="gramEnd"/>
      <w:r w:rsidRPr="00001100">
        <w:rPr>
          <w:b/>
        </w:rPr>
        <w:t>11.</w:t>
      </w:r>
      <w:r w:rsidRPr="00001100">
        <w:rPr>
          <w:b/>
        </w:rPr>
        <w:tab/>
        <w:t>Food inventory turnover = cost of food used / average food inventory (times and day</w:t>
      </w:r>
      <w:r w:rsidR="004B0387" w:rsidRPr="00001100">
        <w:rPr>
          <w:b/>
        </w:rPr>
        <w:t>s</w:t>
      </w:r>
      <w:r w:rsidRPr="00001100">
        <w:rPr>
          <w:b/>
        </w:rPr>
        <w:t>)</w:t>
      </w:r>
    </w:p>
    <w:p w14:paraId="437140EB" w14:textId="77777777" w:rsidR="003B14CC" w:rsidRDefault="003B14CC" w:rsidP="001D22D0">
      <w:pPr>
        <w:tabs>
          <w:tab w:val="left" w:pos="0"/>
        </w:tabs>
        <w:jc w:val="both"/>
      </w:pPr>
      <w:r w:rsidRPr="00001100">
        <w:tab/>
      </w:r>
      <w:r w:rsidR="007606CD" w:rsidRPr="00001100">
        <w:t>For the year 2011, a 1</w:t>
      </w:r>
      <w:r w:rsidR="00F41286" w:rsidRPr="00001100">
        <w:t>7.86</w:t>
      </w:r>
      <w:r w:rsidR="007606CD" w:rsidRPr="00001100">
        <w:t xml:space="preserve"> times </w:t>
      </w:r>
      <w:r w:rsidRPr="00001100">
        <w:t xml:space="preserve">food inventory turnover </w:t>
      </w:r>
      <w:r w:rsidR="007606CD" w:rsidRPr="00001100">
        <w:t xml:space="preserve">was reported as the median.  When this number is divided into </w:t>
      </w:r>
      <w:r w:rsidRPr="00001100">
        <w:t>365 days a year</w:t>
      </w:r>
      <w:r w:rsidR="007606CD" w:rsidRPr="00001100">
        <w:t xml:space="preserve">, on the average, food </w:t>
      </w:r>
      <w:r w:rsidR="00F41286" w:rsidRPr="00001100">
        <w:t>stayed 20</w:t>
      </w:r>
      <w:r w:rsidR="007606CD" w:rsidRPr="00001100">
        <w:t xml:space="preserve"> days as inventory before </w:t>
      </w:r>
      <w:r w:rsidR="008D0FB4" w:rsidRPr="00001100">
        <w:t xml:space="preserve">it was </w:t>
      </w:r>
      <w:r w:rsidR="007606CD" w:rsidRPr="00001100">
        <w:t xml:space="preserve">sold.  One might expect the top performers to have a higher turnover ratio, keeping food in the club for a shorter period of time.  </w:t>
      </w:r>
      <w:r w:rsidR="00F41286" w:rsidRPr="00001100">
        <w:t xml:space="preserve">Indeed, their ratio was at 19.54 or 19 days, just one day better.  </w:t>
      </w:r>
      <w:r w:rsidR="007606CD" w:rsidRPr="00001100">
        <w:t xml:space="preserve">However, </w:t>
      </w:r>
      <w:r w:rsidR="00F41286" w:rsidRPr="00001100">
        <w:t>the</w:t>
      </w:r>
      <w:r w:rsidR="007606CD" w:rsidRPr="00001100">
        <w:t xml:space="preserve"> low performers reported in at 1</w:t>
      </w:r>
      <w:r w:rsidR="00F41286" w:rsidRPr="00001100">
        <w:t>3.74</w:t>
      </w:r>
      <w:r w:rsidR="007606CD" w:rsidRPr="00001100">
        <w:t xml:space="preserve"> times or </w:t>
      </w:r>
      <w:r w:rsidR="005B76CC" w:rsidRPr="00001100">
        <w:t xml:space="preserve">27 days.  One extra week per cycle adds up to many weeks per year. </w:t>
      </w:r>
      <w:r w:rsidR="008D0FB4" w:rsidRPr="00001100">
        <w:t>Thus, the low performers should</w:t>
      </w:r>
      <w:r w:rsidR="009E64B3" w:rsidRPr="00001100">
        <w:t xml:space="preserve"> investigate </w:t>
      </w:r>
      <w:r w:rsidR="007606CD" w:rsidRPr="00001100">
        <w:t>their food inventory management</w:t>
      </w:r>
      <w:r w:rsidR="009E64B3" w:rsidRPr="00001100">
        <w:t xml:space="preserve"> </w:t>
      </w:r>
      <w:r w:rsidR="000D7A32" w:rsidRPr="00001100">
        <w:t xml:space="preserve">practices and take appropriate steps to improve.  </w:t>
      </w:r>
      <w:r w:rsidR="007606CD" w:rsidRPr="00001100">
        <w:t xml:space="preserve">  </w:t>
      </w:r>
    </w:p>
    <w:p w14:paraId="6AD4564E" w14:textId="77777777" w:rsidR="00146ED8" w:rsidRPr="00001100" w:rsidRDefault="00146ED8" w:rsidP="001D22D0">
      <w:pPr>
        <w:tabs>
          <w:tab w:val="left" w:pos="0"/>
        </w:tabs>
        <w:jc w:val="both"/>
      </w:pPr>
    </w:p>
    <w:p w14:paraId="667B4EFC" w14:textId="64B30EE7" w:rsidR="00146ED8" w:rsidRPr="00001100" w:rsidRDefault="003B14CC" w:rsidP="00EE137F">
      <w:pPr>
        <w:tabs>
          <w:tab w:val="left" w:pos="0"/>
        </w:tabs>
        <w:ind w:left="720" w:hanging="720"/>
        <w:jc w:val="both"/>
        <w:rPr>
          <w:b/>
        </w:rPr>
      </w:pPr>
      <w:r w:rsidRPr="00001100">
        <w:rPr>
          <w:b/>
        </w:rPr>
        <w:t>12</w:t>
      </w:r>
      <w:proofErr w:type="gramStart"/>
      <w:r w:rsidRPr="00001100">
        <w:rPr>
          <w:b/>
        </w:rPr>
        <w:t>./</w:t>
      </w:r>
      <w:proofErr w:type="gramEnd"/>
      <w:r w:rsidRPr="00001100">
        <w:rPr>
          <w:b/>
        </w:rPr>
        <w:t>13.</w:t>
      </w:r>
      <w:r w:rsidRPr="00001100">
        <w:rPr>
          <w:b/>
        </w:rPr>
        <w:tab/>
        <w:t>Beverage inventory turnover = cost of beverage sold / average beverage inventory (times and day</w:t>
      </w:r>
      <w:r w:rsidR="006858CF" w:rsidRPr="00001100">
        <w:rPr>
          <w:b/>
        </w:rPr>
        <w:t>s</w:t>
      </w:r>
      <w:r w:rsidRPr="00001100">
        <w:rPr>
          <w:b/>
        </w:rPr>
        <w:t>)</w:t>
      </w:r>
    </w:p>
    <w:p w14:paraId="23920F43" w14:textId="77777777" w:rsidR="003B14CC" w:rsidRDefault="003B14CC" w:rsidP="001D22D0">
      <w:pPr>
        <w:tabs>
          <w:tab w:val="left" w:pos="0"/>
        </w:tabs>
        <w:jc w:val="both"/>
      </w:pPr>
      <w:r w:rsidRPr="00001100">
        <w:tab/>
      </w:r>
      <w:r w:rsidR="007606CD" w:rsidRPr="00001100">
        <w:t xml:space="preserve">The median </w:t>
      </w:r>
      <w:r w:rsidRPr="00001100">
        <w:t xml:space="preserve">beverage turnover was </w:t>
      </w:r>
      <w:r w:rsidR="007606CD" w:rsidRPr="00001100">
        <w:t>at 3.</w:t>
      </w:r>
      <w:r w:rsidR="005B76CC" w:rsidRPr="00001100">
        <w:t>29</w:t>
      </w:r>
      <w:r w:rsidR="007606CD" w:rsidRPr="00001100">
        <w:t xml:space="preserve"> times o</w:t>
      </w:r>
      <w:r w:rsidR="005B76CC" w:rsidRPr="00001100">
        <w:t>r 111</w:t>
      </w:r>
      <w:r w:rsidR="007606CD" w:rsidRPr="00001100">
        <w:t xml:space="preserve"> days.  While</w:t>
      </w:r>
      <w:r w:rsidR="008D0FB4" w:rsidRPr="00001100">
        <w:t xml:space="preserve"> </w:t>
      </w:r>
      <w:r w:rsidR="007606CD" w:rsidRPr="00001100">
        <w:t xml:space="preserve">this is </w:t>
      </w:r>
      <w:r w:rsidR="005B76CC" w:rsidRPr="00001100">
        <w:t xml:space="preserve">quite </w:t>
      </w:r>
      <w:r w:rsidR="007606CD" w:rsidRPr="00001100">
        <w:t xml:space="preserve">consistent with previous years (DeFranco and Schmidgall, </w:t>
      </w:r>
      <w:r w:rsidR="00697AB1" w:rsidRPr="00001100">
        <w:t xml:space="preserve">2007; DeFranco and Schmidgall, </w:t>
      </w:r>
      <w:r w:rsidR="007606CD" w:rsidRPr="00001100">
        <w:t>2009b)</w:t>
      </w:r>
      <w:r w:rsidR="00697AB1" w:rsidRPr="00001100">
        <w:t>, the top performers reported a very low ratio in 2011 at only 1.</w:t>
      </w:r>
      <w:r w:rsidR="005B76CC" w:rsidRPr="00001100">
        <w:t>43</w:t>
      </w:r>
      <w:r w:rsidR="00697AB1" w:rsidRPr="00001100">
        <w:t>.  In other words, they h</w:t>
      </w:r>
      <w:r w:rsidR="005B76CC" w:rsidRPr="00001100">
        <w:t>e</w:t>
      </w:r>
      <w:r w:rsidR="00697AB1" w:rsidRPr="00001100">
        <w:t xml:space="preserve">ld their beverage inventory for </w:t>
      </w:r>
      <w:r w:rsidR="005B76CC" w:rsidRPr="00001100">
        <w:t>255</w:t>
      </w:r>
      <w:r w:rsidR="00697AB1" w:rsidRPr="00001100">
        <w:t xml:space="preserve"> days.  Th</w:t>
      </w:r>
      <w:r w:rsidR="005B76CC" w:rsidRPr="00001100">
        <w:t>e</w:t>
      </w:r>
      <w:r w:rsidR="00697AB1" w:rsidRPr="00001100">
        <w:t xml:space="preserve"> low performers </w:t>
      </w:r>
      <w:r w:rsidR="005B76CC" w:rsidRPr="00001100">
        <w:t>were at 2.12 times or 172 days, better than the top performers in this category</w:t>
      </w:r>
      <w:r w:rsidR="00697AB1" w:rsidRPr="00001100">
        <w:t xml:space="preserve">.  </w:t>
      </w:r>
      <w:r w:rsidR="000074C1" w:rsidRPr="00001100">
        <w:t>While there may be reasons why the clubs had to hold on to the beverage inventory, it appears to be good practice for each club to review their beverage inventory practices, including their purchasing and storage procedures to ensure that the clubs are not necessarily tying up funds in inventory which can otherwise be spent more wisely.</w:t>
      </w:r>
      <w:r w:rsidR="008D0FB4" w:rsidRPr="00001100">
        <w:t xml:space="preserve">  Past research </w:t>
      </w:r>
      <w:r w:rsidR="006858CF" w:rsidRPr="00001100">
        <w:t xml:space="preserve">by these researchers </w:t>
      </w:r>
      <w:r w:rsidR="008D0FB4" w:rsidRPr="00001100">
        <w:t xml:space="preserve">has revealed </w:t>
      </w:r>
      <w:r w:rsidR="006858CF" w:rsidRPr="00001100">
        <w:t xml:space="preserve">that many </w:t>
      </w:r>
      <w:r w:rsidR="008D0FB4" w:rsidRPr="00001100">
        <w:t>clubs have extensive wine inventories.  This could well be the reason the top performers have such a relative large beverage inventory.</w:t>
      </w:r>
      <w:r w:rsidR="000074C1" w:rsidRPr="00001100">
        <w:t xml:space="preserve">   </w:t>
      </w:r>
    </w:p>
    <w:p w14:paraId="35603E87" w14:textId="77777777" w:rsidR="00146ED8" w:rsidRPr="00001100" w:rsidRDefault="00146ED8" w:rsidP="001D22D0">
      <w:pPr>
        <w:tabs>
          <w:tab w:val="left" w:pos="0"/>
        </w:tabs>
        <w:jc w:val="both"/>
        <w:rPr>
          <w:b/>
        </w:rPr>
      </w:pPr>
    </w:p>
    <w:p w14:paraId="17A9DFF7" w14:textId="444F928D" w:rsidR="00146ED8" w:rsidRPr="00001100" w:rsidRDefault="003B14CC" w:rsidP="00EE137F">
      <w:pPr>
        <w:tabs>
          <w:tab w:val="left" w:pos="0"/>
        </w:tabs>
        <w:ind w:left="720" w:hanging="720"/>
        <w:jc w:val="both"/>
        <w:rPr>
          <w:b/>
        </w:rPr>
      </w:pPr>
      <w:r w:rsidRPr="00001100">
        <w:rPr>
          <w:b/>
        </w:rPr>
        <w:t>14</w:t>
      </w:r>
      <w:proofErr w:type="gramStart"/>
      <w:r w:rsidRPr="00001100">
        <w:rPr>
          <w:b/>
        </w:rPr>
        <w:t>./</w:t>
      </w:r>
      <w:proofErr w:type="gramEnd"/>
      <w:r w:rsidRPr="00001100">
        <w:rPr>
          <w:b/>
        </w:rPr>
        <w:t>15.</w:t>
      </w:r>
      <w:r w:rsidRPr="00001100">
        <w:rPr>
          <w:b/>
        </w:rPr>
        <w:tab/>
        <w:t>Golf inventory turnover = cost of golf merchandise sold / average golf merchandise inventory (times and day</w:t>
      </w:r>
      <w:r w:rsidR="006858CF" w:rsidRPr="00001100">
        <w:rPr>
          <w:b/>
        </w:rPr>
        <w:t>s</w:t>
      </w:r>
      <w:r w:rsidRPr="00001100">
        <w:rPr>
          <w:b/>
        </w:rPr>
        <w:t>)</w:t>
      </w:r>
    </w:p>
    <w:p w14:paraId="6B01CCC9" w14:textId="77777777" w:rsidR="003B14CC" w:rsidRDefault="00BD4434" w:rsidP="001D22D0">
      <w:pPr>
        <w:tabs>
          <w:tab w:val="left" w:pos="0"/>
        </w:tabs>
        <w:ind w:firstLine="720"/>
        <w:jc w:val="both"/>
      </w:pPr>
      <w:r w:rsidRPr="00001100">
        <w:t xml:space="preserve">Similar to the previous two ratios, this </w:t>
      </w:r>
      <w:r w:rsidR="00776D74" w:rsidRPr="00001100">
        <w:t xml:space="preserve">ratio </w:t>
      </w:r>
      <w:r w:rsidRPr="00001100">
        <w:t xml:space="preserve">measures the golf merchandise </w:t>
      </w:r>
      <w:r w:rsidR="003B14CC" w:rsidRPr="00001100">
        <w:t>turnover</w:t>
      </w:r>
      <w:r w:rsidR="00F577A3" w:rsidRPr="00001100">
        <w:t xml:space="preserve">.  This ratio is expected to be much lower than food or perhaps similar or just slightly below beverage inventory turnover as we are looking </w:t>
      </w:r>
      <w:r w:rsidR="00776D74" w:rsidRPr="00001100">
        <w:t xml:space="preserve">at </w:t>
      </w:r>
      <w:r w:rsidR="003B14CC" w:rsidRPr="00001100">
        <w:t>golf equipment, accessories, and clothing</w:t>
      </w:r>
      <w:r w:rsidR="00F577A3" w:rsidRPr="00001100">
        <w:t xml:space="preserve"> which </w:t>
      </w:r>
      <w:r w:rsidR="003B14CC" w:rsidRPr="00001100">
        <w:t>are not perishable items</w:t>
      </w:r>
      <w:r w:rsidR="00F577A3" w:rsidRPr="00001100">
        <w:t xml:space="preserve">.  The median was at </w:t>
      </w:r>
      <w:r w:rsidR="005B76CC" w:rsidRPr="00001100">
        <w:t>1.91 times</w:t>
      </w:r>
      <w:r w:rsidR="00F577A3" w:rsidRPr="00001100">
        <w:t xml:space="preserve"> or </w:t>
      </w:r>
      <w:r w:rsidR="005B76CC" w:rsidRPr="00001100">
        <w:t>191</w:t>
      </w:r>
      <w:r w:rsidR="00F577A3" w:rsidRPr="00001100">
        <w:t xml:space="preserve"> days.  </w:t>
      </w:r>
      <w:r w:rsidR="005B76CC" w:rsidRPr="00001100">
        <w:t>T</w:t>
      </w:r>
      <w:r w:rsidR="00F577A3" w:rsidRPr="00001100">
        <w:t xml:space="preserve">he top performers </w:t>
      </w:r>
      <w:r w:rsidR="005B76CC" w:rsidRPr="00001100">
        <w:t xml:space="preserve">reported in at 2.88 (127 days), and even </w:t>
      </w:r>
      <w:r w:rsidR="00F577A3" w:rsidRPr="00001100">
        <w:t>the low perform</w:t>
      </w:r>
      <w:r w:rsidR="005B76CC" w:rsidRPr="00001100">
        <w:t>ing group beat the median at 2.38 times or 153 days</w:t>
      </w:r>
      <w:r w:rsidR="00776D74" w:rsidRPr="00001100">
        <w:t>; thus, both the top and low performing clubs beat the median</w:t>
      </w:r>
      <w:r w:rsidR="000D766D" w:rsidRPr="00001100">
        <w:t xml:space="preserve"> numbers.  </w:t>
      </w:r>
      <w:r w:rsidR="00776D74" w:rsidRPr="00001100">
        <w:t xml:space="preserve"> </w:t>
      </w:r>
    </w:p>
    <w:p w14:paraId="14749D5F" w14:textId="77777777" w:rsidR="00EE137F" w:rsidRPr="00001100" w:rsidRDefault="00EE137F" w:rsidP="001D22D0">
      <w:pPr>
        <w:tabs>
          <w:tab w:val="left" w:pos="0"/>
        </w:tabs>
        <w:ind w:firstLine="720"/>
        <w:jc w:val="both"/>
      </w:pPr>
    </w:p>
    <w:p w14:paraId="6B6A7685" w14:textId="77777777" w:rsidR="003B14CC" w:rsidRDefault="003B14CC" w:rsidP="001D22D0">
      <w:pPr>
        <w:tabs>
          <w:tab w:val="left" w:pos="0"/>
        </w:tabs>
        <w:ind w:left="720" w:hanging="720"/>
        <w:jc w:val="both"/>
        <w:rPr>
          <w:b/>
        </w:rPr>
      </w:pPr>
      <w:r w:rsidRPr="00001100">
        <w:rPr>
          <w:b/>
        </w:rPr>
        <w:t>16.</w:t>
      </w:r>
      <w:r w:rsidRPr="00001100">
        <w:rPr>
          <w:b/>
        </w:rPr>
        <w:tab/>
        <w:t>Property and equipment turnover = total revenues / average net fixed assets</w:t>
      </w:r>
    </w:p>
    <w:p w14:paraId="50261E69" w14:textId="3C89639E" w:rsidR="003B14CC" w:rsidRDefault="00EE137F" w:rsidP="001D22D0">
      <w:pPr>
        <w:tabs>
          <w:tab w:val="left" w:pos="0"/>
        </w:tabs>
        <w:jc w:val="both"/>
      </w:pPr>
      <w:r>
        <w:tab/>
      </w:r>
      <w:r w:rsidR="003B14CC" w:rsidRPr="00001100">
        <w:t>Th</w:t>
      </w:r>
      <w:r w:rsidR="00F577A3" w:rsidRPr="00001100">
        <w:t xml:space="preserve">e property and equipment turnover indicates </w:t>
      </w:r>
      <w:r w:rsidR="003B14CC" w:rsidRPr="00001100">
        <w:t>how well a club us</w:t>
      </w:r>
      <w:r w:rsidR="00F577A3" w:rsidRPr="00001100">
        <w:t>es</w:t>
      </w:r>
      <w:r w:rsidR="003B14CC" w:rsidRPr="00001100">
        <w:t xml:space="preserve"> its fixed assets</w:t>
      </w:r>
      <w:r w:rsidR="00F577A3" w:rsidRPr="00001100">
        <w:t xml:space="preserve"> to</w:t>
      </w:r>
      <w:r w:rsidR="003B14CC" w:rsidRPr="00001100">
        <w:t xml:space="preserve"> generat</w:t>
      </w:r>
      <w:r w:rsidR="00F577A3" w:rsidRPr="00001100">
        <w:t>e</w:t>
      </w:r>
      <w:r w:rsidR="003B14CC" w:rsidRPr="00001100">
        <w:t xml:space="preserve"> revenues</w:t>
      </w:r>
      <w:r w:rsidR="00F577A3" w:rsidRPr="00001100">
        <w:t>.  T</w:t>
      </w:r>
      <w:r w:rsidR="003B14CC" w:rsidRPr="00001100">
        <w:t xml:space="preserve">herefore, </w:t>
      </w:r>
      <w:r w:rsidR="00F577A3" w:rsidRPr="00001100">
        <w:t>a</w:t>
      </w:r>
      <w:r w:rsidR="003B14CC" w:rsidRPr="00001100">
        <w:t xml:space="preserve"> higher </w:t>
      </w:r>
      <w:r w:rsidR="00F577A3" w:rsidRPr="00001100">
        <w:t xml:space="preserve">ratio is preferred.  In 2011, </w:t>
      </w:r>
      <w:r w:rsidR="00F577A3" w:rsidRPr="00001100">
        <w:lastRenderedPageBreak/>
        <w:t xml:space="preserve">the median was 0.68, which means for </w:t>
      </w:r>
      <w:r w:rsidR="003B14CC" w:rsidRPr="00001100">
        <w:t>every</w:t>
      </w:r>
      <w:r w:rsidR="00F577A3" w:rsidRPr="00001100">
        <w:t xml:space="preserve"> $1.00</w:t>
      </w:r>
      <w:r w:rsidR="003B14CC" w:rsidRPr="00001100">
        <w:t xml:space="preserve"> of net property and </w:t>
      </w:r>
      <w:proofErr w:type="gramStart"/>
      <w:r w:rsidR="003B14CC" w:rsidRPr="00001100">
        <w:t>equipment</w:t>
      </w:r>
      <w:r w:rsidR="00F577A3" w:rsidRPr="00001100">
        <w:t>,</w:t>
      </w:r>
      <w:proofErr w:type="gramEnd"/>
      <w:r w:rsidR="00F577A3" w:rsidRPr="00001100">
        <w:t xml:space="preserve"> a median club </w:t>
      </w:r>
      <w:r w:rsidR="008D0FB4" w:rsidRPr="00001100">
        <w:t xml:space="preserve">was </w:t>
      </w:r>
      <w:r w:rsidR="00F577A3" w:rsidRPr="00001100">
        <w:t>able to generate</w:t>
      </w:r>
      <w:r w:rsidR="008D0FB4" w:rsidRPr="00001100">
        <w:t xml:space="preserve"> </w:t>
      </w:r>
      <w:r w:rsidR="003B14CC" w:rsidRPr="00001100">
        <w:t>$.6</w:t>
      </w:r>
      <w:r w:rsidR="00F577A3" w:rsidRPr="00001100">
        <w:t xml:space="preserve">8 in </w:t>
      </w:r>
      <w:r w:rsidR="003B14CC" w:rsidRPr="00001100">
        <w:t xml:space="preserve">revenues. </w:t>
      </w:r>
      <w:r w:rsidR="00915B26" w:rsidRPr="00001100">
        <w:t xml:space="preserve">Although the top performers are better in their return on assets, their revenue generation statistics were not </w:t>
      </w:r>
      <w:r w:rsidR="00197910" w:rsidRPr="00001100">
        <w:t xml:space="preserve">overly </w:t>
      </w:r>
      <w:r w:rsidR="00915B26" w:rsidRPr="00001100">
        <w:t xml:space="preserve">impressive.  The top performers </w:t>
      </w:r>
      <w:r w:rsidR="008D0FB4" w:rsidRPr="00001100">
        <w:t xml:space="preserve">were </w:t>
      </w:r>
      <w:r w:rsidR="00915B26" w:rsidRPr="00001100">
        <w:t>only able to generate $0.</w:t>
      </w:r>
      <w:r w:rsidR="005B76CC" w:rsidRPr="00001100">
        <w:t>77</w:t>
      </w:r>
      <w:r w:rsidR="00915B26" w:rsidRPr="00001100">
        <w:t xml:space="preserve"> and the low performers</w:t>
      </w:r>
      <w:r w:rsidR="005B76CC" w:rsidRPr="00001100">
        <w:t xml:space="preserve"> were only able to generate $0.63</w:t>
      </w:r>
      <w:r w:rsidR="00146ED8">
        <w:t>.</w:t>
      </w:r>
    </w:p>
    <w:p w14:paraId="61697517" w14:textId="77777777" w:rsidR="00146ED8" w:rsidRPr="00001100" w:rsidRDefault="00146ED8" w:rsidP="001D22D0">
      <w:pPr>
        <w:tabs>
          <w:tab w:val="left" w:pos="0"/>
        </w:tabs>
        <w:jc w:val="both"/>
      </w:pPr>
    </w:p>
    <w:p w14:paraId="25BDD01E" w14:textId="77777777" w:rsidR="003B14CC" w:rsidRDefault="003B14CC" w:rsidP="001D22D0">
      <w:pPr>
        <w:tabs>
          <w:tab w:val="left" w:pos="0"/>
        </w:tabs>
        <w:ind w:left="720" w:hanging="720"/>
        <w:jc w:val="both"/>
        <w:rPr>
          <w:b/>
        </w:rPr>
      </w:pPr>
      <w:r w:rsidRPr="00001100">
        <w:rPr>
          <w:b/>
        </w:rPr>
        <w:t>17.</w:t>
      </w:r>
      <w:r w:rsidRPr="00001100">
        <w:rPr>
          <w:b/>
        </w:rPr>
        <w:tab/>
        <w:t>Total asset turnover = total revenues / average total assets</w:t>
      </w:r>
    </w:p>
    <w:p w14:paraId="7760B4DD" w14:textId="3820E766" w:rsidR="003B14CC" w:rsidRDefault="00EE137F" w:rsidP="001D22D0">
      <w:pPr>
        <w:tabs>
          <w:tab w:val="left" w:pos="0"/>
        </w:tabs>
        <w:jc w:val="both"/>
      </w:pPr>
      <w:r>
        <w:tab/>
      </w:r>
      <w:r w:rsidR="00915B26" w:rsidRPr="00001100">
        <w:t xml:space="preserve">This ratio takes the last </w:t>
      </w:r>
      <w:r w:rsidR="005A5C5A" w:rsidRPr="00001100">
        <w:t>ratio</w:t>
      </w:r>
      <w:r w:rsidR="00915B26" w:rsidRPr="00001100">
        <w:t xml:space="preserve"> further </w:t>
      </w:r>
      <w:r w:rsidR="005A5C5A" w:rsidRPr="00001100">
        <w:t xml:space="preserve">as it </w:t>
      </w:r>
      <w:r w:rsidR="00915B26" w:rsidRPr="00001100">
        <w:t>measure</w:t>
      </w:r>
      <w:r w:rsidR="005A5C5A" w:rsidRPr="00001100">
        <w:t>s</w:t>
      </w:r>
      <w:r w:rsidR="00FB64EE" w:rsidRPr="00001100">
        <w:t xml:space="preserve"> </w:t>
      </w:r>
      <w:r w:rsidR="00915B26" w:rsidRPr="00001100">
        <w:t xml:space="preserve">not just property and equipment but all assets.  In other words, this ratio </w:t>
      </w:r>
      <w:r w:rsidR="003B14CC" w:rsidRPr="00001100">
        <w:t>measures the effectiveness of using all</w:t>
      </w:r>
      <w:r w:rsidR="00915B26" w:rsidRPr="00001100">
        <w:t xml:space="preserve"> assets in a club to generate revenue.  The </w:t>
      </w:r>
      <w:r w:rsidR="003B14CC" w:rsidRPr="00001100">
        <w:t>median of 0.5</w:t>
      </w:r>
      <w:r w:rsidR="005B76CC" w:rsidRPr="00001100">
        <w:t>0</w:t>
      </w:r>
      <w:r w:rsidR="00915B26" w:rsidRPr="00001100">
        <w:t xml:space="preserve"> means </w:t>
      </w:r>
      <w:r w:rsidR="003B14CC" w:rsidRPr="00001100">
        <w:t xml:space="preserve">for every dollar of </w:t>
      </w:r>
      <w:r w:rsidR="00915B26" w:rsidRPr="00001100">
        <w:t xml:space="preserve">total </w:t>
      </w:r>
      <w:r w:rsidR="003B14CC" w:rsidRPr="00001100">
        <w:t>asset</w:t>
      </w:r>
      <w:r w:rsidR="00915B26" w:rsidRPr="00001100">
        <w:t xml:space="preserve">s, the clubs were able to generate </w:t>
      </w:r>
      <w:r w:rsidR="003B14CC" w:rsidRPr="00001100">
        <w:t>$0.5</w:t>
      </w:r>
      <w:r w:rsidR="005B76CC" w:rsidRPr="00001100">
        <w:t>0</w:t>
      </w:r>
      <w:r w:rsidR="003B14CC" w:rsidRPr="00001100">
        <w:t xml:space="preserve"> in revenues</w:t>
      </w:r>
      <w:r w:rsidR="00FB64EE" w:rsidRPr="00001100">
        <w:t xml:space="preserve"> for each $1.00 of total assets.  </w:t>
      </w:r>
      <w:r w:rsidR="00915B26" w:rsidRPr="00001100">
        <w:t xml:space="preserve">The </w:t>
      </w:r>
      <w:r w:rsidR="003B14CC" w:rsidRPr="00001100">
        <w:t>top performers</w:t>
      </w:r>
      <w:r w:rsidR="00915B26" w:rsidRPr="00001100">
        <w:t xml:space="preserve"> were able to generate a bit more at a rate of </w:t>
      </w:r>
      <w:r w:rsidR="003B14CC" w:rsidRPr="00001100">
        <w:t>$0.6</w:t>
      </w:r>
      <w:r w:rsidR="005B76CC" w:rsidRPr="00001100">
        <w:t>0</w:t>
      </w:r>
      <w:r w:rsidR="00915B26" w:rsidRPr="00001100">
        <w:t xml:space="preserve"> while the low performers were only </w:t>
      </w:r>
      <w:r w:rsidR="005B76CC" w:rsidRPr="00001100">
        <w:t xml:space="preserve">one cent behind </w:t>
      </w:r>
      <w:r w:rsidR="008D0FB4" w:rsidRPr="00001100">
        <w:t xml:space="preserve">the median </w:t>
      </w:r>
      <w:r w:rsidR="005B76CC" w:rsidRPr="00001100">
        <w:t xml:space="preserve">at </w:t>
      </w:r>
      <w:r w:rsidR="00915B26" w:rsidRPr="00001100">
        <w:t>$0.4</w:t>
      </w:r>
      <w:r w:rsidR="005B76CC" w:rsidRPr="00001100">
        <w:t>9</w:t>
      </w:r>
      <w:r w:rsidR="00915B26" w:rsidRPr="00001100">
        <w:t xml:space="preserve">.  These numbers can surely use some improvement.  Thus, the </w:t>
      </w:r>
      <w:r w:rsidR="003B14CC" w:rsidRPr="00001100">
        <w:t xml:space="preserve">club industry </w:t>
      </w:r>
      <w:r w:rsidR="00915B26" w:rsidRPr="00001100">
        <w:t>may want to evaluate the</w:t>
      </w:r>
      <w:r w:rsidR="00FB64EE" w:rsidRPr="00001100">
        <w:t>ir revenue generating ability.</w:t>
      </w:r>
    </w:p>
    <w:p w14:paraId="5407857C" w14:textId="77777777" w:rsidR="00146ED8" w:rsidRPr="00001100" w:rsidRDefault="00146ED8" w:rsidP="001D22D0">
      <w:pPr>
        <w:tabs>
          <w:tab w:val="left" w:pos="0"/>
        </w:tabs>
        <w:jc w:val="both"/>
      </w:pPr>
    </w:p>
    <w:p w14:paraId="3F98C1FC" w14:textId="77777777" w:rsidR="003B14CC" w:rsidRDefault="003B14CC" w:rsidP="001D22D0">
      <w:pPr>
        <w:tabs>
          <w:tab w:val="left" w:pos="0"/>
        </w:tabs>
        <w:jc w:val="both"/>
        <w:outlineLvl w:val="0"/>
        <w:rPr>
          <w:i/>
        </w:rPr>
      </w:pPr>
      <w:r w:rsidRPr="00DF0F9E">
        <w:rPr>
          <w:i/>
        </w:rPr>
        <w:t>Profitability Ratios</w:t>
      </w:r>
    </w:p>
    <w:p w14:paraId="6256B584" w14:textId="77777777" w:rsidR="00146ED8" w:rsidRPr="00DF0F9E" w:rsidRDefault="00146ED8" w:rsidP="001D22D0">
      <w:pPr>
        <w:tabs>
          <w:tab w:val="left" w:pos="0"/>
        </w:tabs>
        <w:jc w:val="both"/>
        <w:outlineLvl w:val="0"/>
      </w:pPr>
    </w:p>
    <w:p w14:paraId="337E620B" w14:textId="77777777" w:rsidR="00FB64EE" w:rsidRDefault="00FB64EE" w:rsidP="001D22D0">
      <w:pPr>
        <w:tabs>
          <w:tab w:val="left" w:pos="0"/>
        </w:tabs>
        <w:jc w:val="both"/>
        <w:outlineLvl w:val="0"/>
      </w:pPr>
      <w:r w:rsidRPr="00001100">
        <w:tab/>
        <w:t xml:space="preserve">Profitability ratios will clearly reveal a separation between the top and bottom financially performing clubs.  Three profitability ratios are included.  Profit margin </w:t>
      </w:r>
      <w:r w:rsidR="0051528E" w:rsidRPr="00001100">
        <w:t>focuses</w:t>
      </w:r>
      <w:r w:rsidRPr="00001100">
        <w:t xml:space="preserve"> on the bottom line (net income) and the top line (total revenues).  ROA compares the net income to the average total assets while the operating efficiency compares the income the GM is responsible for t</w:t>
      </w:r>
      <w:r w:rsidR="00E94AEA" w:rsidRPr="00001100">
        <w:t>o</w:t>
      </w:r>
      <w:r w:rsidRPr="00001100">
        <w:t xml:space="preserve"> total revenues.  </w:t>
      </w:r>
    </w:p>
    <w:p w14:paraId="128418B7" w14:textId="77777777" w:rsidR="00146ED8" w:rsidRPr="00001100" w:rsidRDefault="00146ED8" w:rsidP="001D22D0">
      <w:pPr>
        <w:tabs>
          <w:tab w:val="left" w:pos="0"/>
        </w:tabs>
        <w:jc w:val="both"/>
        <w:outlineLvl w:val="0"/>
      </w:pPr>
    </w:p>
    <w:p w14:paraId="65299F89" w14:textId="615A0E7E" w:rsidR="00146ED8" w:rsidRPr="00EE137F" w:rsidRDefault="003B14CC" w:rsidP="001D22D0">
      <w:pPr>
        <w:tabs>
          <w:tab w:val="left" w:pos="0"/>
        </w:tabs>
        <w:jc w:val="both"/>
        <w:rPr>
          <w:b/>
        </w:rPr>
      </w:pPr>
      <w:r w:rsidRPr="00001100">
        <w:rPr>
          <w:b/>
        </w:rPr>
        <w:t>18.</w:t>
      </w:r>
      <w:r w:rsidRPr="00001100">
        <w:rPr>
          <w:b/>
        </w:rPr>
        <w:tab/>
        <w:t>Profit margin = net income / total revenues</w:t>
      </w:r>
    </w:p>
    <w:p w14:paraId="08DA39E4" w14:textId="77777777" w:rsidR="00906EC8" w:rsidRDefault="00915B26" w:rsidP="001D22D0">
      <w:pPr>
        <w:tabs>
          <w:tab w:val="left" w:pos="0"/>
        </w:tabs>
        <w:jc w:val="both"/>
      </w:pPr>
      <w:r w:rsidRPr="00001100">
        <w:tab/>
        <w:t xml:space="preserve">The </w:t>
      </w:r>
      <w:r w:rsidR="007B7D92" w:rsidRPr="00001100">
        <w:t xml:space="preserve">profit margin </w:t>
      </w:r>
      <w:r w:rsidR="008D0FB4" w:rsidRPr="00001100">
        <w:t xml:space="preserve">of </w:t>
      </w:r>
      <w:r w:rsidR="007B7D92" w:rsidRPr="00001100">
        <w:t xml:space="preserve">the median </w:t>
      </w:r>
      <w:r w:rsidR="008D0FB4" w:rsidRPr="00001100">
        <w:t xml:space="preserve">club </w:t>
      </w:r>
      <w:r w:rsidR="007B7D92" w:rsidRPr="00001100">
        <w:t xml:space="preserve">of </w:t>
      </w:r>
      <w:r w:rsidR="008D0FB4" w:rsidRPr="00001100">
        <w:t xml:space="preserve">only </w:t>
      </w:r>
      <w:r w:rsidR="007B7D92" w:rsidRPr="00001100">
        <w:t xml:space="preserve">0.5% was much less than the top performers at 12.6%.  The low performers, at a loss, reported a negative profit margin of 8.8%.  Thus, overall, the profitability of the club industry in 2011 was not </w:t>
      </w:r>
      <w:r w:rsidR="00B5244A" w:rsidRPr="00001100">
        <w:t>positive.</w:t>
      </w:r>
      <w:r w:rsidR="008D0FB4" w:rsidRPr="00001100">
        <w:t xml:space="preserve">  Yet, the top performers did reasonably well!</w:t>
      </w:r>
    </w:p>
    <w:p w14:paraId="36EBA19E" w14:textId="77777777" w:rsidR="00146ED8" w:rsidRPr="00001100" w:rsidRDefault="00146ED8" w:rsidP="001D22D0">
      <w:pPr>
        <w:tabs>
          <w:tab w:val="left" w:pos="0"/>
        </w:tabs>
        <w:jc w:val="both"/>
      </w:pPr>
    </w:p>
    <w:p w14:paraId="1446CC3C" w14:textId="56EADAD4" w:rsidR="00146ED8" w:rsidRPr="00EE137F" w:rsidRDefault="003B14CC" w:rsidP="001D22D0">
      <w:pPr>
        <w:tabs>
          <w:tab w:val="left" w:pos="0"/>
        </w:tabs>
        <w:jc w:val="both"/>
        <w:rPr>
          <w:b/>
        </w:rPr>
      </w:pPr>
      <w:r w:rsidRPr="00001100">
        <w:rPr>
          <w:b/>
        </w:rPr>
        <w:t>19.</w:t>
      </w:r>
      <w:r w:rsidRPr="00001100">
        <w:rPr>
          <w:b/>
        </w:rPr>
        <w:tab/>
        <w:t>Return on assets = net income / average total</w:t>
      </w:r>
      <w:r w:rsidR="005D560D" w:rsidRPr="00001100">
        <w:rPr>
          <w:b/>
        </w:rPr>
        <w:t xml:space="preserve"> </w:t>
      </w:r>
      <w:r w:rsidRPr="00001100">
        <w:rPr>
          <w:b/>
        </w:rPr>
        <w:t>assets</w:t>
      </w:r>
    </w:p>
    <w:p w14:paraId="7B15E2D9" w14:textId="77777777" w:rsidR="007A3D83" w:rsidRDefault="003B14CC" w:rsidP="001D22D0">
      <w:pPr>
        <w:tabs>
          <w:tab w:val="left" w:pos="0"/>
        </w:tabs>
        <w:jc w:val="both"/>
      </w:pPr>
      <w:r w:rsidRPr="00001100">
        <w:tab/>
        <w:t xml:space="preserve">The </w:t>
      </w:r>
      <w:r w:rsidR="00906EC8" w:rsidRPr="00001100">
        <w:t xml:space="preserve">median </w:t>
      </w:r>
      <w:r w:rsidRPr="00001100">
        <w:t xml:space="preserve">return on assets </w:t>
      </w:r>
      <w:r w:rsidR="00906EC8" w:rsidRPr="00001100">
        <w:t>was at 0.</w:t>
      </w:r>
      <w:r w:rsidR="00B5244A" w:rsidRPr="00001100">
        <w:t>2</w:t>
      </w:r>
      <w:r w:rsidR="00906EC8" w:rsidRPr="00001100">
        <w:t>%, which translates to only t</w:t>
      </w:r>
      <w:r w:rsidR="00B5244A" w:rsidRPr="00001100">
        <w:t>wo</w:t>
      </w:r>
      <w:r w:rsidR="00906EC8" w:rsidRPr="00001100">
        <w:t xml:space="preserve"> cents of net income to </w:t>
      </w:r>
      <w:r w:rsidR="005F532F" w:rsidRPr="00001100">
        <w:t xml:space="preserve">each </w:t>
      </w:r>
      <w:r w:rsidR="00906EC8" w:rsidRPr="00001100">
        <w:t xml:space="preserve">dollar of assets.  The difference is very pronounced between the top and low performers where the top performers reported in at </w:t>
      </w:r>
      <w:r w:rsidR="00B5244A" w:rsidRPr="00001100">
        <w:t>7.</w:t>
      </w:r>
      <w:r w:rsidR="00906EC8" w:rsidRPr="00001100">
        <w:t>6% and the low performers were at a loss of -4.</w:t>
      </w:r>
      <w:r w:rsidR="00B5244A" w:rsidRPr="00001100">
        <w:t>3</w:t>
      </w:r>
      <w:r w:rsidR="00906EC8" w:rsidRPr="00001100">
        <w:t xml:space="preserve">%.  </w:t>
      </w:r>
      <w:r w:rsidR="007E3766" w:rsidRPr="00001100">
        <w:t>In the activity ratios, it was evident that the low</w:t>
      </w:r>
      <w:r w:rsidR="004F1129" w:rsidRPr="00001100">
        <w:t xml:space="preserve"> </w:t>
      </w:r>
      <w:r w:rsidR="007E3766" w:rsidRPr="00001100">
        <w:t xml:space="preserve">performing </w:t>
      </w:r>
      <w:r w:rsidR="004F1129" w:rsidRPr="00001100">
        <w:t>clubs</w:t>
      </w:r>
      <w:r w:rsidR="007E3766" w:rsidRPr="00001100">
        <w:t xml:space="preserve"> </w:t>
      </w:r>
      <w:r w:rsidR="004F1129" w:rsidRPr="00001100">
        <w:t xml:space="preserve">were </w:t>
      </w:r>
      <w:r w:rsidR="007E3766" w:rsidRPr="00001100">
        <w:t xml:space="preserve">not able to generate a high level of revenues and in the last two ratios measuring </w:t>
      </w:r>
      <w:r w:rsidR="002503B0" w:rsidRPr="00001100">
        <w:t>profitability;</w:t>
      </w:r>
      <w:r w:rsidR="007E3766" w:rsidRPr="00001100">
        <w:t xml:space="preserve"> it also appears that </w:t>
      </w:r>
      <w:r w:rsidR="004F1129" w:rsidRPr="00001100">
        <w:t xml:space="preserve">these clubs are </w:t>
      </w:r>
      <w:r w:rsidR="007E3766" w:rsidRPr="00001100">
        <w:t>havi</w:t>
      </w:r>
      <w:r w:rsidR="007A3D83" w:rsidRPr="00001100">
        <w:t xml:space="preserve">ng a difficult time to </w:t>
      </w:r>
      <w:r w:rsidR="004F1129" w:rsidRPr="00001100">
        <w:t>generate profits.</w:t>
      </w:r>
      <w:r w:rsidR="007A3D83" w:rsidRPr="00001100">
        <w:t xml:space="preserve"> </w:t>
      </w:r>
      <w:r w:rsidRPr="00001100">
        <w:t xml:space="preserve"> </w:t>
      </w:r>
    </w:p>
    <w:p w14:paraId="11ACA2DC" w14:textId="77777777" w:rsidR="00146ED8" w:rsidRPr="00001100" w:rsidRDefault="00146ED8" w:rsidP="001D22D0">
      <w:pPr>
        <w:tabs>
          <w:tab w:val="left" w:pos="0"/>
        </w:tabs>
        <w:jc w:val="both"/>
      </w:pPr>
    </w:p>
    <w:p w14:paraId="748AE81A" w14:textId="0AD9D5CE" w:rsidR="00146ED8" w:rsidRPr="00EE137F" w:rsidRDefault="003B14CC" w:rsidP="001D22D0">
      <w:pPr>
        <w:tabs>
          <w:tab w:val="left" w:pos="0"/>
        </w:tabs>
        <w:jc w:val="both"/>
        <w:rPr>
          <w:b/>
        </w:rPr>
      </w:pPr>
      <w:r w:rsidRPr="00001100">
        <w:rPr>
          <w:b/>
        </w:rPr>
        <w:lastRenderedPageBreak/>
        <w:t>20.</w:t>
      </w:r>
      <w:r w:rsidRPr="00001100">
        <w:rPr>
          <w:b/>
        </w:rPr>
        <w:tab/>
        <w:t xml:space="preserve">Operating efficiency ratio = income before fixed </w:t>
      </w:r>
      <w:r w:rsidR="00D3671E">
        <w:rPr>
          <w:b/>
        </w:rPr>
        <w:t>charges</w:t>
      </w:r>
      <w:r w:rsidRPr="00001100">
        <w:rPr>
          <w:b/>
        </w:rPr>
        <w:t xml:space="preserve"> / total revenues</w:t>
      </w:r>
    </w:p>
    <w:p w14:paraId="0FF72CE7" w14:textId="77777777" w:rsidR="00146ED8" w:rsidRDefault="007A3D83" w:rsidP="001D22D0">
      <w:pPr>
        <w:tabs>
          <w:tab w:val="left" w:pos="0"/>
        </w:tabs>
        <w:jc w:val="both"/>
      </w:pPr>
      <w:r w:rsidRPr="00001100">
        <w:tab/>
        <w:t xml:space="preserve">This final profitability ratio measures the effectiveness of </w:t>
      </w:r>
      <w:r w:rsidR="003B14CC" w:rsidRPr="00001100">
        <w:t xml:space="preserve">management </w:t>
      </w:r>
      <w:r w:rsidRPr="00001100">
        <w:t xml:space="preserve">better than the other two </w:t>
      </w:r>
      <w:r w:rsidR="003B14CC" w:rsidRPr="00001100">
        <w:t xml:space="preserve">profitability ratios </w:t>
      </w:r>
      <w:r w:rsidRPr="00001100">
        <w:t>because i</w:t>
      </w:r>
      <w:r w:rsidR="00066B83" w:rsidRPr="00001100">
        <w:t xml:space="preserve">t considers </w:t>
      </w:r>
      <w:r w:rsidR="003B14CC" w:rsidRPr="00001100">
        <w:t xml:space="preserve">income before fixed charges rather than the net income.  </w:t>
      </w:r>
      <w:r w:rsidRPr="00001100">
        <w:t xml:space="preserve">Normally, </w:t>
      </w:r>
      <w:r w:rsidR="003B14CC" w:rsidRPr="00001100">
        <w:t>fixed charges such as interest</w:t>
      </w:r>
      <w:r w:rsidR="00066B83" w:rsidRPr="00001100">
        <w:t>, depreciation and rent</w:t>
      </w:r>
      <w:r w:rsidR="003B14CC" w:rsidRPr="00001100">
        <w:t xml:space="preserve"> </w:t>
      </w:r>
      <w:r w:rsidR="00066B83" w:rsidRPr="00001100">
        <w:t xml:space="preserve">result from decisions made </w:t>
      </w:r>
      <w:r w:rsidRPr="00001100">
        <w:t xml:space="preserve">by </w:t>
      </w:r>
      <w:r w:rsidR="003B14CC" w:rsidRPr="00001100">
        <w:t>the board of directors</w:t>
      </w:r>
      <w:r w:rsidRPr="00001100">
        <w:t xml:space="preserve"> in which management does not have much control</w:t>
      </w:r>
      <w:r w:rsidR="003B14CC" w:rsidRPr="00001100">
        <w:t xml:space="preserve">.  The </w:t>
      </w:r>
      <w:r w:rsidRPr="00001100">
        <w:t xml:space="preserve">2011 </w:t>
      </w:r>
      <w:r w:rsidR="003B14CC" w:rsidRPr="00001100">
        <w:t xml:space="preserve">median response </w:t>
      </w:r>
      <w:r w:rsidR="00066B83" w:rsidRPr="00001100">
        <w:t>is</w:t>
      </w:r>
      <w:r w:rsidRPr="00001100">
        <w:t xml:space="preserve"> </w:t>
      </w:r>
      <w:r w:rsidR="00B5244A" w:rsidRPr="00001100">
        <w:t>18.0</w:t>
      </w:r>
      <w:r w:rsidRPr="00001100">
        <w:t xml:space="preserve">%, </w:t>
      </w:r>
      <w:r w:rsidR="003B14CC" w:rsidRPr="00001100">
        <w:t>the top performers</w:t>
      </w:r>
      <w:r w:rsidRPr="00001100">
        <w:t>’</w:t>
      </w:r>
      <w:r w:rsidR="003B14CC" w:rsidRPr="00001100">
        <w:t xml:space="preserve"> </w:t>
      </w:r>
      <w:r w:rsidRPr="00001100">
        <w:t xml:space="preserve">response </w:t>
      </w:r>
      <w:r w:rsidR="00066B83" w:rsidRPr="00001100">
        <w:t>is</w:t>
      </w:r>
      <w:r w:rsidRPr="00001100">
        <w:t xml:space="preserve"> </w:t>
      </w:r>
      <w:r w:rsidR="00B5244A" w:rsidRPr="00001100">
        <w:t>32.2</w:t>
      </w:r>
      <w:r w:rsidRPr="00001100">
        <w:t xml:space="preserve">%, </w:t>
      </w:r>
      <w:r w:rsidR="00B5244A" w:rsidRPr="00001100">
        <w:t xml:space="preserve">and </w:t>
      </w:r>
      <w:r w:rsidRPr="00001100">
        <w:t xml:space="preserve">more </w:t>
      </w:r>
      <w:r w:rsidR="00C91CD4" w:rsidRPr="00001100">
        <w:t>interestingly</w:t>
      </w:r>
      <w:r w:rsidRPr="00001100">
        <w:t xml:space="preserve"> the </w:t>
      </w:r>
      <w:r w:rsidR="003B14CC" w:rsidRPr="00001100">
        <w:t>low performers</w:t>
      </w:r>
      <w:r w:rsidRPr="00001100">
        <w:t>’</w:t>
      </w:r>
      <w:r w:rsidR="003B14CC" w:rsidRPr="00001100">
        <w:t xml:space="preserve"> </w:t>
      </w:r>
      <w:r w:rsidR="00C91CD4" w:rsidRPr="00001100">
        <w:t>have</w:t>
      </w:r>
      <w:r w:rsidRPr="00001100">
        <w:t xml:space="preserve"> a positive </w:t>
      </w:r>
      <w:r w:rsidR="00C91CD4" w:rsidRPr="00001100">
        <w:t>result</w:t>
      </w:r>
      <w:r w:rsidRPr="00001100">
        <w:t xml:space="preserve"> of 16.</w:t>
      </w:r>
      <w:r w:rsidR="00B5244A" w:rsidRPr="00001100">
        <w:t>9</w:t>
      </w:r>
      <w:proofErr w:type="gramStart"/>
      <w:r w:rsidRPr="00001100">
        <w:t xml:space="preserve">% </w:t>
      </w:r>
      <w:r w:rsidR="00C91CD4" w:rsidRPr="00001100">
        <w:t>which</w:t>
      </w:r>
      <w:proofErr w:type="gramEnd"/>
      <w:r w:rsidR="00C91CD4" w:rsidRPr="00001100">
        <w:t xml:space="preserve"> </w:t>
      </w:r>
      <w:r w:rsidRPr="00001100">
        <w:t xml:space="preserve">indicates the fixed </w:t>
      </w:r>
      <w:r w:rsidR="00C91CD4" w:rsidRPr="00001100">
        <w:t>charges</w:t>
      </w:r>
      <w:r w:rsidRPr="00001100">
        <w:t xml:space="preserve"> are posing some serious challenges for the low per</w:t>
      </w:r>
      <w:r w:rsidR="00B5244A" w:rsidRPr="00001100">
        <w:t>formers</w:t>
      </w:r>
      <w:r w:rsidRPr="00001100">
        <w:t>.</w:t>
      </w:r>
      <w:r w:rsidR="00C91CD4" w:rsidRPr="00001100">
        <w:t xml:space="preserve">  From this perspective, the top performing clubs do nearly twice as well as the low performers. </w:t>
      </w:r>
    </w:p>
    <w:p w14:paraId="18824C59" w14:textId="77777777" w:rsidR="00146ED8" w:rsidRPr="00001100" w:rsidRDefault="00146ED8" w:rsidP="001D22D0">
      <w:pPr>
        <w:tabs>
          <w:tab w:val="left" w:pos="0"/>
        </w:tabs>
        <w:jc w:val="both"/>
      </w:pPr>
    </w:p>
    <w:p w14:paraId="59B7AF2C" w14:textId="77777777" w:rsidR="003B14CC" w:rsidRPr="00DF0F9E" w:rsidRDefault="003B14CC" w:rsidP="001D22D0">
      <w:pPr>
        <w:tabs>
          <w:tab w:val="left" w:pos="0"/>
        </w:tabs>
        <w:ind w:left="720" w:hanging="720"/>
        <w:jc w:val="both"/>
        <w:outlineLvl w:val="0"/>
      </w:pPr>
      <w:r w:rsidRPr="00DF0F9E">
        <w:rPr>
          <w:i/>
        </w:rPr>
        <w:t>Operating Ratios</w:t>
      </w:r>
    </w:p>
    <w:p w14:paraId="76C817B4" w14:textId="77777777" w:rsidR="00146ED8" w:rsidRDefault="00146ED8" w:rsidP="001D22D0">
      <w:pPr>
        <w:ind w:firstLine="720"/>
        <w:jc w:val="both"/>
        <w:outlineLvl w:val="0"/>
      </w:pPr>
    </w:p>
    <w:p w14:paraId="754243BB" w14:textId="77777777" w:rsidR="0051528E" w:rsidRPr="00001100" w:rsidRDefault="0051528E" w:rsidP="001D22D0">
      <w:pPr>
        <w:ind w:firstLine="720"/>
        <w:jc w:val="both"/>
        <w:outlineLvl w:val="0"/>
      </w:pPr>
      <w:r w:rsidRPr="00001100">
        <w:t>Operating ratios focus on the day-to-day expenses of a club.  The largest expense of clubs is always labor.  In addition, this research also consider</w:t>
      </w:r>
      <w:r w:rsidR="00454A43" w:rsidRPr="00001100">
        <w:t xml:space="preserve">ed </w:t>
      </w:r>
      <w:r w:rsidRPr="00001100">
        <w:t xml:space="preserve">to various cost of sales as a percentage of the related revenues.  </w:t>
      </w:r>
    </w:p>
    <w:p w14:paraId="0A2D5A24" w14:textId="77777777" w:rsidR="00146ED8" w:rsidRDefault="00146ED8" w:rsidP="001D22D0">
      <w:pPr>
        <w:tabs>
          <w:tab w:val="left" w:pos="0"/>
        </w:tabs>
        <w:ind w:left="720" w:hanging="720"/>
        <w:jc w:val="both"/>
        <w:rPr>
          <w:b/>
        </w:rPr>
      </w:pPr>
    </w:p>
    <w:p w14:paraId="4254D899" w14:textId="3297849C" w:rsidR="00146ED8" w:rsidRDefault="003B14CC" w:rsidP="00EE137F">
      <w:pPr>
        <w:tabs>
          <w:tab w:val="left" w:pos="0"/>
        </w:tabs>
        <w:ind w:left="720" w:hanging="720"/>
        <w:jc w:val="both"/>
        <w:rPr>
          <w:b/>
        </w:rPr>
      </w:pPr>
      <w:r w:rsidRPr="00001100">
        <w:rPr>
          <w:b/>
        </w:rPr>
        <w:t>21.</w:t>
      </w:r>
      <w:r w:rsidRPr="00001100">
        <w:rPr>
          <w:b/>
        </w:rPr>
        <w:tab/>
        <w:t>Food cost percentage = cost of food sold / food sales</w:t>
      </w:r>
    </w:p>
    <w:p w14:paraId="4C064710" w14:textId="77777777" w:rsidR="001A41DE" w:rsidRPr="00001100" w:rsidRDefault="00146ED8" w:rsidP="00001100">
      <w:pPr>
        <w:tabs>
          <w:tab w:val="left" w:pos="0"/>
        </w:tabs>
        <w:jc w:val="both"/>
      </w:pPr>
      <w:r>
        <w:tab/>
      </w:r>
      <w:r w:rsidR="003B14CC" w:rsidRPr="00001100">
        <w:t>The first three ratios in this category are complement</w:t>
      </w:r>
      <w:r w:rsidR="007A3D83" w:rsidRPr="00001100">
        <w:t>ary ratio</w:t>
      </w:r>
      <w:r w:rsidR="003B14CC" w:rsidRPr="00001100">
        <w:t xml:space="preserve">s to the inventory turnover ratios in the activity category.  </w:t>
      </w:r>
      <w:r w:rsidR="007A3D83" w:rsidRPr="00001100">
        <w:t xml:space="preserve">It would be prudent to view them as a group.  The 2011 </w:t>
      </w:r>
      <w:r w:rsidR="003B14CC" w:rsidRPr="00001100">
        <w:t xml:space="preserve">median food cost percentage </w:t>
      </w:r>
      <w:r w:rsidR="00A3419A" w:rsidRPr="00001100">
        <w:t>was at 39.1</w:t>
      </w:r>
      <w:r w:rsidR="007A3D83" w:rsidRPr="00001100">
        <w:t xml:space="preserve">%, with the </w:t>
      </w:r>
      <w:r w:rsidR="004A281C" w:rsidRPr="00001100">
        <w:t xml:space="preserve">top </w:t>
      </w:r>
      <w:r w:rsidR="003B14CC" w:rsidRPr="00001100">
        <w:t>performers</w:t>
      </w:r>
      <w:r w:rsidR="007A3D83" w:rsidRPr="00001100">
        <w:t xml:space="preserve"> at 3</w:t>
      </w:r>
      <w:r w:rsidR="00A3419A" w:rsidRPr="00001100">
        <w:t>3.0</w:t>
      </w:r>
      <w:r w:rsidR="007A3D83" w:rsidRPr="00001100">
        <w:t xml:space="preserve">% and the low </w:t>
      </w:r>
      <w:r w:rsidR="003B14CC" w:rsidRPr="00001100">
        <w:t>performers</w:t>
      </w:r>
      <w:r w:rsidR="007A3D83" w:rsidRPr="00001100">
        <w:t xml:space="preserve"> at 3</w:t>
      </w:r>
      <w:r w:rsidR="00A3419A" w:rsidRPr="00001100">
        <w:t>8.4</w:t>
      </w:r>
      <w:r w:rsidR="007A3D83" w:rsidRPr="00001100">
        <w:t xml:space="preserve">%.  When viewed with the inventory ratios, while it appears the low performers </w:t>
      </w:r>
      <w:r w:rsidR="004A281C" w:rsidRPr="00001100">
        <w:t>were</w:t>
      </w:r>
      <w:r w:rsidR="007A3D83" w:rsidRPr="00001100">
        <w:t xml:space="preserve"> holding on to the</w:t>
      </w:r>
      <w:r w:rsidR="004A281C" w:rsidRPr="00001100">
        <w:t>ir food</w:t>
      </w:r>
      <w:r w:rsidR="007A3D83" w:rsidRPr="00001100">
        <w:t xml:space="preserve"> inventory longer, they </w:t>
      </w:r>
      <w:r w:rsidR="004A281C" w:rsidRPr="00001100">
        <w:t>were</w:t>
      </w:r>
      <w:r w:rsidR="007A3D83" w:rsidRPr="00001100">
        <w:t xml:space="preserve"> </w:t>
      </w:r>
      <w:r w:rsidR="005D560D" w:rsidRPr="00001100">
        <w:t xml:space="preserve">at least </w:t>
      </w:r>
      <w:r w:rsidR="007A3D83" w:rsidRPr="00001100">
        <w:t>keeping the food costs relatively low</w:t>
      </w:r>
      <w:r w:rsidR="007C7B17" w:rsidRPr="00001100">
        <w:t xml:space="preserve"> compared to club industry average.</w:t>
      </w:r>
    </w:p>
    <w:p w14:paraId="49C91559" w14:textId="77777777" w:rsidR="00146ED8" w:rsidRDefault="003B14CC" w:rsidP="001D22D0">
      <w:pPr>
        <w:tabs>
          <w:tab w:val="left" w:pos="0"/>
        </w:tabs>
        <w:jc w:val="both"/>
      </w:pPr>
      <w:r w:rsidRPr="00001100">
        <w:tab/>
      </w:r>
    </w:p>
    <w:p w14:paraId="79C71542" w14:textId="77777777" w:rsidR="00EE137F" w:rsidRDefault="00EE137F" w:rsidP="00146ED8">
      <w:pPr>
        <w:rPr>
          <w:u w:val="single"/>
        </w:rPr>
      </w:pPr>
    </w:p>
    <w:p w14:paraId="722B7503" w14:textId="5E509F5E" w:rsidR="00EE137F" w:rsidRDefault="00EE137F" w:rsidP="00EE137F">
      <w:pPr>
        <w:tabs>
          <w:tab w:val="left" w:pos="0"/>
        </w:tabs>
        <w:jc w:val="both"/>
      </w:pPr>
      <w:r w:rsidRPr="00001100">
        <w:rPr>
          <w:b/>
        </w:rPr>
        <w:t>22.</w:t>
      </w:r>
      <w:r w:rsidRPr="00001100">
        <w:rPr>
          <w:b/>
        </w:rPr>
        <w:tab/>
        <w:t>Beverage cost percentage = cost of beverages sold / beverage sales</w:t>
      </w:r>
    </w:p>
    <w:p w14:paraId="0834DB1F" w14:textId="77777777" w:rsidR="00EE137F" w:rsidRDefault="00EE137F" w:rsidP="00EE137F">
      <w:pPr>
        <w:tabs>
          <w:tab w:val="left" w:pos="0"/>
        </w:tabs>
        <w:jc w:val="both"/>
      </w:pPr>
      <w:r>
        <w:tab/>
      </w:r>
      <w:r w:rsidRPr="00001100">
        <w:t xml:space="preserve">The median beverage cost percentage was at 31.8% with the top performers at 29.1% and the low performers at only 28.3%.  Again, the low performing group was doing its best to try to use cost management techniques to compensate for the inventory management challenges.  A beverage cost of less than 30% for the low performing group is most commendable.  </w:t>
      </w:r>
    </w:p>
    <w:p w14:paraId="658774D8" w14:textId="77777777" w:rsidR="00EE137F" w:rsidRDefault="00EE137F" w:rsidP="00146ED8">
      <w:pPr>
        <w:rPr>
          <w:u w:val="single"/>
        </w:rPr>
      </w:pPr>
    </w:p>
    <w:p w14:paraId="189A63A7" w14:textId="77777777" w:rsidR="00EE137F" w:rsidRDefault="00EE137F" w:rsidP="00146ED8">
      <w:pPr>
        <w:rPr>
          <w:u w:val="single"/>
        </w:rPr>
      </w:pPr>
    </w:p>
    <w:p w14:paraId="55FEBEFA" w14:textId="77777777" w:rsidR="00EE137F" w:rsidRDefault="00EE137F" w:rsidP="00146ED8">
      <w:pPr>
        <w:rPr>
          <w:u w:val="single"/>
        </w:rPr>
      </w:pPr>
    </w:p>
    <w:p w14:paraId="28F150E4" w14:textId="77777777" w:rsidR="00EE137F" w:rsidRDefault="00EE137F" w:rsidP="00146ED8">
      <w:pPr>
        <w:rPr>
          <w:u w:val="single"/>
        </w:rPr>
      </w:pPr>
    </w:p>
    <w:p w14:paraId="4CB90D06" w14:textId="77777777" w:rsidR="00EE137F" w:rsidRDefault="00EE137F" w:rsidP="00146ED8">
      <w:pPr>
        <w:rPr>
          <w:u w:val="single"/>
        </w:rPr>
      </w:pPr>
    </w:p>
    <w:p w14:paraId="4244C40F" w14:textId="77777777" w:rsidR="00146ED8" w:rsidRDefault="00146ED8" w:rsidP="00146ED8">
      <w:pPr>
        <w:rPr>
          <w:u w:val="single"/>
        </w:rPr>
      </w:pPr>
      <w:r w:rsidRPr="00001100">
        <w:rPr>
          <w:u w:val="single"/>
        </w:rPr>
        <w:lastRenderedPageBreak/>
        <w:t>Table 2. Comparison of Key Financial Ratios of Top and Lower Performers in 2011</w:t>
      </w:r>
    </w:p>
    <w:p w14:paraId="63224D49" w14:textId="77777777" w:rsidR="00146ED8" w:rsidRPr="00001100" w:rsidRDefault="00146ED8" w:rsidP="00146ED8">
      <w:pPr>
        <w:rPr>
          <w:u w:val="single"/>
        </w:rPr>
      </w:pPr>
    </w:p>
    <w:tbl>
      <w:tblPr>
        <w:tblW w:w="8040" w:type="dxa"/>
        <w:jc w:val="center"/>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1530"/>
        <w:gridCol w:w="1350"/>
        <w:gridCol w:w="1410"/>
      </w:tblGrid>
      <w:tr w:rsidR="00146ED8" w:rsidRPr="00001100" w14:paraId="586AB479" w14:textId="77777777" w:rsidTr="00146ED8">
        <w:trPr>
          <w:cantSplit/>
          <w:trHeight w:val="144"/>
          <w:jc w:val="center"/>
        </w:trPr>
        <w:tc>
          <w:tcPr>
            <w:tcW w:w="3750" w:type="dxa"/>
            <w:shd w:val="clear" w:color="auto" w:fill="auto"/>
          </w:tcPr>
          <w:p w14:paraId="35FBE18E" w14:textId="77777777" w:rsidR="00146ED8" w:rsidRPr="00001100" w:rsidRDefault="00146ED8" w:rsidP="00146ED8">
            <w:pPr>
              <w:jc w:val="center"/>
            </w:pPr>
          </w:p>
        </w:tc>
        <w:tc>
          <w:tcPr>
            <w:tcW w:w="1530" w:type="dxa"/>
            <w:shd w:val="clear" w:color="auto" w:fill="auto"/>
          </w:tcPr>
          <w:p w14:paraId="1B08DDFA" w14:textId="77777777" w:rsidR="00146ED8" w:rsidRPr="00001100" w:rsidRDefault="00146ED8" w:rsidP="00146ED8">
            <w:pPr>
              <w:jc w:val="center"/>
            </w:pPr>
            <w:r w:rsidRPr="00001100">
              <w:t>Low Performers</w:t>
            </w:r>
          </w:p>
        </w:tc>
        <w:tc>
          <w:tcPr>
            <w:tcW w:w="1350" w:type="dxa"/>
            <w:shd w:val="clear" w:color="auto" w:fill="auto"/>
          </w:tcPr>
          <w:p w14:paraId="3E388E0C" w14:textId="77777777" w:rsidR="00146ED8" w:rsidRPr="00001100" w:rsidRDefault="00146ED8" w:rsidP="00146ED8">
            <w:pPr>
              <w:jc w:val="center"/>
            </w:pPr>
            <w:r w:rsidRPr="00001100">
              <w:t>Median</w:t>
            </w:r>
          </w:p>
        </w:tc>
        <w:tc>
          <w:tcPr>
            <w:tcW w:w="1410" w:type="dxa"/>
            <w:shd w:val="clear" w:color="auto" w:fill="auto"/>
          </w:tcPr>
          <w:p w14:paraId="1AAE2E1D" w14:textId="77777777" w:rsidR="00146ED8" w:rsidRPr="00001100" w:rsidRDefault="00146ED8" w:rsidP="00146ED8">
            <w:pPr>
              <w:jc w:val="center"/>
            </w:pPr>
            <w:r w:rsidRPr="00001100">
              <w:t xml:space="preserve">Top </w:t>
            </w:r>
          </w:p>
          <w:p w14:paraId="272BDA84" w14:textId="77777777" w:rsidR="00146ED8" w:rsidRPr="00001100" w:rsidRDefault="00146ED8" w:rsidP="00146ED8">
            <w:pPr>
              <w:jc w:val="center"/>
            </w:pPr>
            <w:r w:rsidRPr="00001100">
              <w:t>Performers</w:t>
            </w:r>
          </w:p>
        </w:tc>
      </w:tr>
      <w:tr w:rsidR="00146ED8" w:rsidRPr="00001100" w14:paraId="0C8DCFF8" w14:textId="77777777" w:rsidTr="00146ED8">
        <w:trPr>
          <w:cantSplit/>
          <w:trHeight w:val="305"/>
          <w:jc w:val="center"/>
        </w:trPr>
        <w:tc>
          <w:tcPr>
            <w:tcW w:w="8040" w:type="dxa"/>
            <w:gridSpan w:val="4"/>
            <w:shd w:val="clear" w:color="auto" w:fill="auto"/>
          </w:tcPr>
          <w:p w14:paraId="109A5A7B" w14:textId="77777777" w:rsidR="00146ED8" w:rsidRPr="00001100" w:rsidRDefault="00146ED8" w:rsidP="00146ED8">
            <w:pPr>
              <w:tabs>
                <w:tab w:val="decimal" w:pos="543"/>
              </w:tabs>
              <w:jc w:val="center"/>
            </w:pPr>
            <w:r w:rsidRPr="00001100">
              <w:t>Liquidity Ratios</w:t>
            </w:r>
          </w:p>
        </w:tc>
      </w:tr>
      <w:tr w:rsidR="00146ED8" w:rsidRPr="00001100" w14:paraId="6AF6D846" w14:textId="77777777" w:rsidTr="00146ED8">
        <w:trPr>
          <w:cantSplit/>
          <w:trHeight w:val="144"/>
          <w:jc w:val="center"/>
        </w:trPr>
        <w:tc>
          <w:tcPr>
            <w:tcW w:w="3750" w:type="dxa"/>
            <w:shd w:val="clear" w:color="auto" w:fill="auto"/>
          </w:tcPr>
          <w:p w14:paraId="377001CF" w14:textId="77777777" w:rsidR="00146ED8" w:rsidRPr="00001100" w:rsidRDefault="00146ED8" w:rsidP="00146ED8">
            <w:pPr>
              <w:tabs>
                <w:tab w:val="left" w:pos="306"/>
              </w:tabs>
            </w:pPr>
            <w:r w:rsidRPr="00001100">
              <w:tab/>
              <w:t>Current Ratio</w:t>
            </w:r>
          </w:p>
        </w:tc>
        <w:tc>
          <w:tcPr>
            <w:tcW w:w="1530" w:type="dxa"/>
            <w:shd w:val="clear" w:color="auto" w:fill="auto"/>
          </w:tcPr>
          <w:p w14:paraId="5F023C30" w14:textId="77777777" w:rsidR="00146ED8" w:rsidRPr="00001100" w:rsidRDefault="00146ED8" w:rsidP="00146ED8">
            <w:pPr>
              <w:tabs>
                <w:tab w:val="decimal" w:pos="543"/>
              </w:tabs>
            </w:pPr>
            <w:r w:rsidRPr="00001100">
              <w:t>1.43</w:t>
            </w:r>
          </w:p>
        </w:tc>
        <w:tc>
          <w:tcPr>
            <w:tcW w:w="1350" w:type="dxa"/>
            <w:shd w:val="clear" w:color="auto" w:fill="auto"/>
          </w:tcPr>
          <w:p w14:paraId="73CBDD0B" w14:textId="77777777" w:rsidR="00146ED8" w:rsidRPr="00001100" w:rsidRDefault="00146ED8" w:rsidP="00146ED8">
            <w:pPr>
              <w:tabs>
                <w:tab w:val="decimal" w:pos="543"/>
              </w:tabs>
            </w:pPr>
            <w:r w:rsidRPr="00001100">
              <w:t>2.00</w:t>
            </w:r>
          </w:p>
        </w:tc>
        <w:tc>
          <w:tcPr>
            <w:tcW w:w="1410" w:type="dxa"/>
            <w:shd w:val="clear" w:color="auto" w:fill="auto"/>
          </w:tcPr>
          <w:p w14:paraId="6EEBE681" w14:textId="77777777" w:rsidR="00146ED8" w:rsidRPr="00001100" w:rsidRDefault="00146ED8" w:rsidP="00146ED8">
            <w:pPr>
              <w:tabs>
                <w:tab w:val="decimal" w:pos="543"/>
              </w:tabs>
            </w:pPr>
            <w:r w:rsidRPr="00001100">
              <w:t>2.10</w:t>
            </w:r>
          </w:p>
        </w:tc>
      </w:tr>
      <w:tr w:rsidR="00146ED8" w:rsidRPr="00001100" w14:paraId="29A22CCA" w14:textId="77777777" w:rsidTr="00146ED8">
        <w:trPr>
          <w:cantSplit/>
          <w:trHeight w:val="144"/>
          <w:jc w:val="center"/>
        </w:trPr>
        <w:tc>
          <w:tcPr>
            <w:tcW w:w="3750" w:type="dxa"/>
            <w:shd w:val="clear" w:color="auto" w:fill="auto"/>
          </w:tcPr>
          <w:p w14:paraId="1AD3E78C" w14:textId="77777777" w:rsidR="00146ED8" w:rsidRPr="00001100" w:rsidRDefault="00146ED8" w:rsidP="00146ED8">
            <w:pPr>
              <w:tabs>
                <w:tab w:val="left" w:pos="306"/>
              </w:tabs>
            </w:pPr>
            <w:r w:rsidRPr="00001100">
              <w:tab/>
              <w:t>Accounts Receivable Turnover</w:t>
            </w:r>
          </w:p>
        </w:tc>
        <w:tc>
          <w:tcPr>
            <w:tcW w:w="1530" w:type="dxa"/>
            <w:shd w:val="clear" w:color="auto" w:fill="auto"/>
          </w:tcPr>
          <w:p w14:paraId="4E66B1E9" w14:textId="77777777" w:rsidR="00146ED8" w:rsidRPr="00001100" w:rsidRDefault="00146ED8" w:rsidP="00146ED8">
            <w:pPr>
              <w:tabs>
                <w:tab w:val="decimal" w:pos="543"/>
              </w:tabs>
            </w:pPr>
            <w:r w:rsidRPr="00001100">
              <w:t>9.45</w:t>
            </w:r>
          </w:p>
        </w:tc>
        <w:tc>
          <w:tcPr>
            <w:tcW w:w="1350" w:type="dxa"/>
            <w:shd w:val="clear" w:color="auto" w:fill="auto"/>
          </w:tcPr>
          <w:p w14:paraId="54C41F7F" w14:textId="77777777" w:rsidR="00146ED8" w:rsidRPr="00001100" w:rsidRDefault="00146ED8" w:rsidP="00146ED8">
            <w:pPr>
              <w:tabs>
                <w:tab w:val="decimal" w:pos="543"/>
              </w:tabs>
            </w:pPr>
            <w:r w:rsidRPr="00001100">
              <w:t>10.38</w:t>
            </w:r>
          </w:p>
        </w:tc>
        <w:tc>
          <w:tcPr>
            <w:tcW w:w="1410" w:type="dxa"/>
            <w:shd w:val="clear" w:color="auto" w:fill="auto"/>
          </w:tcPr>
          <w:p w14:paraId="02F91B8A" w14:textId="77777777" w:rsidR="00146ED8" w:rsidRPr="00001100" w:rsidRDefault="00146ED8" w:rsidP="00146ED8">
            <w:pPr>
              <w:tabs>
                <w:tab w:val="decimal" w:pos="543"/>
              </w:tabs>
            </w:pPr>
            <w:r w:rsidRPr="00001100">
              <w:t>11.33</w:t>
            </w:r>
          </w:p>
        </w:tc>
      </w:tr>
      <w:tr w:rsidR="00146ED8" w:rsidRPr="00001100" w14:paraId="32625F73" w14:textId="77777777" w:rsidTr="00146ED8">
        <w:trPr>
          <w:cantSplit/>
          <w:trHeight w:val="162"/>
          <w:jc w:val="center"/>
        </w:trPr>
        <w:tc>
          <w:tcPr>
            <w:tcW w:w="3750" w:type="dxa"/>
            <w:shd w:val="clear" w:color="auto" w:fill="auto"/>
          </w:tcPr>
          <w:p w14:paraId="4D9D08F1" w14:textId="77777777" w:rsidR="00146ED8" w:rsidRPr="00001100" w:rsidRDefault="00146ED8" w:rsidP="00146ED8">
            <w:pPr>
              <w:tabs>
                <w:tab w:val="left" w:pos="306"/>
              </w:tabs>
            </w:pPr>
            <w:r w:rsidRPr="00001100">
              <w:tab/>
              <w:t>Average Collection Period</w:t>
            </w:r>
          </w:p>
        </w:tc>
        <w:tc>
          <w:tcPr>
            <w:tcW w:w="1530" w:type="dxa"/>
            <w:shd w:val="clear" w:color="auto" w:fill="auto"/>
          </w:tcPr>
          <w:p w14:paraId="1C6CE1F1" w14:textId="77777777" w:rsidR="00146ED8" w:rsidRPr="00001100" w:rsidRDefault="00146ED8" w:rsidP="00146ED8">
            <w:pPr>
              <w:tabs>
                <w:tab w:val="decimal" w:pos="543"/>
              </w:tabs>
            </w:pPr>
            <w:r w:rsidRPr="00001100">
              <w:t>39 days</w:t>
            </w:r>
          </w:p>
        </w:tc>
        <w:tc>
          <w:tcPr>
            <w:tcW w:w="1350" w:type="dxa"/>
            <w:shd w:val="clear" w:color="auto" w:fill="auto"/>
          </w:tcPr>
          <w:p w14:paraId="18248C9B" w14:textId="77777777" w:rsidR="00146ED8" w:rsidRPr="00001100" w:rsidRDefault="00146ED8" w:rsidP="00146ED8">
            <w:pPr>
              <w:tabs>
                <w:tab w:val="decimal" w:pos="543"/>
              </w:tabs>
            </w:pPr>
            <w:r w:rsidRPr="00001100">
              <w:t>35 days</w:t>
            </w:r>
          </w:p>
        </w:tc>
        <w:tc>
          <w:tcPr>
            <w:tcW w:w="1410" w:type="dxa"/>
            <w:shd w:val="clear" w:color="auto" w:fill="auto"/>
          </w:tcPr>
          <w:p w14:paraId="4D32D6AC" w14:textId="77777777" w:rsidR="00146ED8" w:rsidRPr="00001100" w:rsidRDefault="00146ED8" w:rsidP="00146ED8">
            <w:pPr>
              <w:tabs>
                <w:tab w:val="decimal" w:pos="543"/>
              </w:tabs>
            </w:pPr>
            <w:r w:rsidRPr="00001100">
              <w:t>32 days</w:t>
            </w:r>
          </w:p>
        </w:tc>
      </w:tr>
      <w:tr w:rsidR="00146ED8" w:rsidRPr="00001100" w14:paraId="1DDBCD0D" w14:textId="77777777" w:rsidTr="00146ED8">
        <w:trPr>
          <w:cantSplit/>
          <w:trHeight w:val="144"/>
          <w:jc w:val="center"/>
        </w:trPr>
        <w:tc>
          <w:tcPr>
            <w:tcW w:w="3750" w:type="dxa"/>
            <w:shd w:val="clear" w:color="auto" w:fill="auto"/>
          </w:tcPr>
          <w:p w14:paraId="02F485E3" w14:textId="77777777" w:rsidR="00146ED8" w:rsidRPr="00001100" w:rsidRDefault="00146ED8" w:rsidP="00146ED8">
            <w:pPr>
              <w:tabs>
                <w:tab w:val="left" w:pos="306"/>
              </w:tabs>
            </w:pPr>
            <w:r w:rsidRPr="00001100">
              <w:tab/>
              <w:t xml:space="preserve">Operating Cash Flows to </w:t>
            </w:r>
          </w:p>
          <w:p w14:paraId="79C11766" w14:textId="77777777" w:rsidR="00146ED8" w:rsidRPr="00001100" w:rsidRDefault="00146ED8" w:rsidP="00146ED8">
            <w:pPr>
              <w:tabs>
                <w:tab w:val="left" w:pos="306"/>
              </w:tabs>
            </w:pPr>
            <w:r w:rsidRPr="00001100">
              <w:t xml:space="preserve">           Current Liabilities</w:t>
            </w:r>
          </w:p>
        </w:tc>
        <w:tc>
          <w:tcPr>
            <w:tcW w:w="1530" w:type="dxa"/>
            <w:shd w:val="clear" w:color="auto" w:fill="auto"/>
          </w:tcPr>
          <w:p w14:paraId="7FAB9E43" w14:textId="77777777" w:rsidR="00146ED8" w:rsidRPr="00001100" w:rsidRDefault="00146ED8" w:rsidP="00146ED8">
            <w:pPr>
              <w:tabs>
                <w:tab w:val="decimal" w:pos="543"/>
              </w:tabs>
            </w:pPr>
            <w:r w:rsidRPr="00001100">
              <w:t>0.11</w:t>
            </w:r>
          </w:p>
        </w:tc>
        <w:tc>
          <w:tcPr>
            <w:tcW w:w="1350" w:type="dxa"/>
            <w:shd w:val="clear" w:color="auto" w:fill="auto"/>
          </w:tcPr>
          <w:p w14:paraId="75E36AFF" w14:textId="77777777" w:rsidR="00146ED8" w:rsidRPr="00001100" w:rsidRDefault="00146ED8" w:rsidP="00146ED8">
            <w:pPr>
              <w:tabs>
                <w:tab w:val="decimal" w:pos="543"/>
              </w:tabs>
            </w:pPr>
            <w:r w:rsidRPr="00001100">
              <w:t>0.28</w:t>
            </w:r>
          </w:p>
        </w:tc>
        <w:tc>
          <w:tcPr>
            <w:tcW w:w="1410" w:type="dxa"/>
            <w:shd w:val="clear" w:color="auto" w:fill="auto"/>
          </w:tcPr>
          <w:p w14:paraId="308C9FD0" w14:textId="77777777" w:rsidR="00146ED8" w:rsidRPr="00001100" w:rsidRDefault="00146ED8" w:rsidP="00146ED8">
            <w:pPr>
              <w:tabs>
                <w:tab w:val="decimal" w:pos="543"/>
              </w:tabs>
            </w:pPr>
            <w:r w:rsidRPr="00001100">
              <w:t>0.42</w:t>
            </w:r>
          </w:p>
        </w:tc>
      </w:tr>
      <w:tr w:rsidR="00146ED8" w:rsidRPr="00001100" w14:paraId="473F95F7" w14:textId="77777777" w:rsidTr="00146ED8">
        <w:trPr>
          <w:cantSplit/>
          <w:trHeight w:val="287"/>
          <w:jc w:val="center"/>
        </w:trPr>
        <w:tc>
          <w:tcPr>
            <w:tcW w:w="8040" w:type="dxa"/>
            <w:gridSpan w:val="4"/>
            <w:shd w:val="clear" w:color="auto" w:fill="auto"/>
          </w:tcPr>
          <w:p w14:paraId="14562113" w14:textId="77777777" w:rsidR="00146ED8" w:rsidRPr="00001100" w:rsidRDefault="00146ED8" w:rsidP="00146ED8">
            <w:pPr>
              <w:tabs>
                <w:tab w:val="decimal" w:pos="543"/>
              </w:tabs>
              <w:jc w:val="center"/>
            </w:pPr>
            <w:r w:rsidRPr="00001100">
              <w:t>Solvency Ratios</w:t>
            </w:r>
          </w:p>
        </w:tc>
      </w:tr>
      <w:tr w:rsidR="00146ED8" w:rsidRPr="00001100" w14:paraId="233C16C3" w14:textId="77777777" w:rsidTr="00146ED8">
        <w:trPr>
          <w:cantSplit/>
          <w:trHeight w:val="144"/>
          <w:jc w:val="center"/>
        </w:trPr>
        <w:tc>
          <w:tcPr>
            <w:tcW w:w="3750" w:type="dxa"/>
            <w:shd w:val="clear" w:color="auto" w:fill="auto"/>
          </w:tcPr>
          <w:p w14:paraId="6D690A2E" w14:textId="77777777" w:rsidR="00146ED8" w:rsidRPr="00001100" w:rsidRDefault="00146ED8" w:rsidP="00146ED8">
            <w:pPr>
              <w:tabs>
                <w:tab w:val="left" w:pos="306"/>
              </w:tabs>
            </w:pPr>
            <w:r w:rsidRPr="00001100">
              <w:tab/>
              <w:t xml:space="preserve">Operating Cash Flows to </w:t>
            </w:r>
          </w:p>
          <w:p w14:paraId="71B884AA" w14:textId="77777777" w:rsidR="00146ED8" w:rsidRPr="00001100" w:rsidRDefault="00146ED8" w:rsidP="00146ED8">
            <w:pPr>
              <w:tabs>
                <w:tab w:val="left" w:pos="306"/>
              </w:tabs>
            </w:pPr>
            <w:r w:rsidRPr="00001100">
              <w:t xml:space="preserve">           Long-term Debt</w:t>
            </w:r>
          </w:p>
        </w:tc>
        <w:tc>
          <w:tcPr>
            <w:tcW w:w="1530" w:type="dxa"/>
            <w:shd w:val="clear" w:color="auto" w:fill="FFFFFF"/>
          </w:tcPr>
          <w:p w14:paraId="4EC654A2" w14:textId="77777777" w:rsidR="00146ED8" w:rsidRPr="00001100" w:rsidRDefault="00146ED8" w:rsidP="00146ED8">
            <w:pPr>
              <w:tabs>
                <w:tab w:val="decimal" w:pos="543"/>
              </w:tabs>
            </w:pPr>
            <w:r w:rsidRPr="00001100">
              <w:t>0.05</w:t>
            </w:r>
          </w:p>
        </w:tc>
        <w:tc>
          <w:tcPr>
            <w:tcW w:w="1350" w:type="dxa"/>
            <w:shd w:val="clear" w:color="auto" w:fill="FFFFFF"/>
          </w:tcPr>
          <w:p w14:paraId="29A9B3D4" w14:textId="77777777" w:rsidR="00146ED8" w:rsidRPr="00001100" w:rsidRDefault="00146ED8" w:rsidP="00146ED8">
            <w:pPr>
              <w:tabs>
                <w:tab w:val="decimal" w:pos="543"/>
              </w:tabs>
            </w:pPr>
            <w:r w:rsidRPr="00001100">
              <w:t>0.10</w:t>
            </w:r>
          </w:p>
        </w:tc>
        <w:tc>
          <w:tcPr>
            <w:tcW w:w="1410" w:type="dxa"/>
            <w:shd w:val="clear" w:color="auto" w:fill="FFFFFF"/>
          </w:tcPr>
          <w:p w14:paraId="6E6491D9" w14:textId="77777777" w:rsidR="00146ED8" w:rsidRPr="00001100" w:rsidRDefault="00146ED8" w:rsidP="00146ED8">
            <w:pPr>
              <w:tabs>
                <w:tab w:val="decimal" w:pos="543"/>
              </w:tabs>
            </w:pPr>
            <w:r w:rsidRPr="00001100">
              <w:t>0.25</w:t>
            </w:r>
          </w:p>
        </w:tc>
      </w:tr>
      <w:tr w:rsidR="00146ED8" w:rsidRPr="00001100" w14:paraId="76ED45CE" w14:textId="77777777" w:rsidTr="00146ED8">
        <w:trPr>
          <w:cantSplit/>
          <w:trHeight w:val="144"/>
          <w:jc w:val="center"/>
        </w:trPr>
        <w:tc>
          <w:tcPr>
            <w:tcW w:w="3750" w:type="dxa"/>
            <w:shd w:val="clear" w:color="auto" w:fill="auto"/>
          </w:tcPr>
          <w:p w14:paraId="53420417" w14:textId="77777777" w:rsidR="00146ED8" w:rsidRPr="00001100" w:rsidRDefault="00146ED8" w:rsidP="00146ED8">
            <w:pPr>
              <w:tabs>
                <w:tab w:val="left" w:pos="306"/>
              </w:tabs>
            </w:pPr>
            <w:r w:rsidRPr="00001100">
              <w:tab/>
              <w:t xml:space="preserve">Long-term Debt to </w:t>
            </w:r>
          </w:p>
          <w:p w14:paraId="26A3CA9D" w14:textId="77777777" w:rsidR="00146ED8" w:rsidRPr="00001100" w:rsidRDefault="00146ED8" w:rsidP="00146ED8">
            <w:pPr>
              <w:tabs>
                <w:tab w:val="left" w:pos="306"/>
              </w:tabs>
            </w:pPr>
            <w:r w:rsidRPr="00001100">
              <w:t xml:space="preserve">           Total Capitalization</w:t>
            </w:r>
          </w:p>
        </w:tc>
        <w:tc>
          <w:tcPr>
            <w:tcW w:w="1530" w:type="dxa"/>
            <w:shd w:val="clear" w:color="auto" w:fill="FFFFFF"/>
          </w:tcPr>
          <w:p w14:paraId="74A09DDB" w14:textId="77777777" w:rsidR="00146ED8" w:rsidRPr="00001100" w:rsidRDefault="00146ED8" w:rsidP="00146ED8">
            <w:pPr>
              <w:tabs>
                <w:tab w:val="decimal" w:pos="543"/>
              </w:tabs>
            </w:pPr>
            <w:r w:rsidRPr="00001100">
              <w:t>0.23</w:t>
            </w:r>
          </w:p>
        </w:tc>
        <w:tc>
          <w:tcPr>
            <w:tcW w:w="1350" w:type="dxa"/>
            <w:shd w:val="clear" w:color="auto" w:fill="FFFFFF"/>
          </w:tcPr>
          <w:p w14:paraId="50D4DCEF" w14:textId="77777777" w:rsidR="00146ED8" w:rsidRPr="00001100" w:rsidRDefault="00146ED8" w:rsidP="00146ED8">
            <w:pPr>
              <w:tabs>
                <w:tab w:val="decimal" w:pos="543"/>
              </w:tabs>
            </w:pPr>
            <w:r w:rsidRPr="00001100">
              <w:t>0.25</w:t>
            </w:r>
          </w:p>
        </w:tc>
        <w:tc>
          <w:tcPr>
            <w:tcW w:w="1410" w:type="dxa"/>
            <w:shd w:val="clear" w:color="auto" w:fill="FFFFFF"/>
          </w:tcPr>
          <w:p w14:paraId="112C98C4" w14:textId="77777777" w:rsidR="00146ED8" w:rsidRPr="00001100" w:rsidRDefault="00146ED8" w:rsidP="00146ED8">
            <w:pPr>
              <w:tabs>
                <w:tab w:val="decimal" w:pos="543"/>
              </w:tabs>
            </w:pPr>
            <w:r w:rsidRPr="00001100">
              <w:t>0.20</w:t>
            </w:r>
          </w:p>
        </w:tc>
      </w:tr>
      <w:tr w:rsidR="00146ED8" w:rsidRPr="00001100" w14:paraId="4B7B3360" w14:textId="77777777" w:rsidTr="00146ED8">
        <w:trPr>
          <w:cantSplit/>
          <w:trHeight w:val="144"/>
          <w:jc w:val="center"/>
        </w:trPr>
        <w:tc>
          <w:tcPr>
            <w:tcW w:w="3750" w:type="dxa"/>
            <w:shd w:val="clear" w:color="auto" w:fill="auto"/>
          </w:tcPr>
          <w:p w14:paraId="079BEF4B" w14:textId="77777777" w:rsidR="00146ED8" w:rsidRPr="00001100" w:rsidRDefault="00146ED8" w:rsidP="00146ED8">
            <w:pPr>
              <w:tabs>
                <w:tab w:val="left" w:pos="306"/>
              </w:tabs>
            </w:pPr>
            <w:r w:rsidRPr="00001100">
              <w:tab/>
              <w:t>Debt-equity Ratio</w:t>
            </w:r>
          </w:p>
        </w:tc>
        <w:tc>
          <w:tcPr>
            <w:tcW w:w="1530" w:type="dxa"/>
            <w:shd w:val="clear" w:color="auto" w:fill="FFFFFF"/>
          </w:tcPr>
          <w:p w14:paraId="0437C2AD" w14:textId="77777777" w:rsidR="00146ED8" w:rsidRPr="00001100" w:rsidRDefault="00146ED8" w:rsidP="00146ED8">
            <w:pPr>
              <w:tabs>
                <w:tab w:val="decimal" w:pos="543"/>
              </w:tabs>
            </w:pPr>
            <w:r w:rsidRPr="00001100">
              <w:t>0.30</w:t>
            </w:r>
          </w:p>
        </w:tc>
        <w:tc>
          <w:tcPr>
            <w:tcW w:w="1350" w:type="dxa"/>
            <w:shd w:val="clear" w:color="auto" w:fill="FFFFFF"/>
          </w:tcPr>
          <w:p w14:paraId="6A3423B0" w14:textId="77777777" w:rsidR="00146ED8" w:rsidRPr="00001100" w:rsidRDefault="00146ED8" w:rsidP="00146ED8">
            <w:pPr>
              <w:tabs>
                <w:tab w:val="decimal" w:pos="543"/>
              </w:tabs>
            </w:pPr>
            <w:r w:rsidRPr="00001100">
              <w:t>0.32</w:t>
            </w:r>
          </w:p>
        </w:tc>
        <w:tc>
          <w:tcPr>
            <w:tcW w:w="1410" w:type="dxa"/>
            <w:shd w:val="clear" w:color="auto" w:fill="FFFFFF"/>
          </w:tcPr>
          <w:p w14:paraId="6D4A03A8" w14:textId="77777777" w:rsidR="00146ED8" w:rsidRPr="00001100" w:rsidRDefault="00146ED8" w:rsidP="00146ED8">
            <w:pPr>
              <w:tabs>
                <w:tab w:val="decimal" w:pos="543"/>
              </w:tabs>
            </w:pPr>
            <w:r w:rsidRPr="00001100">
              <w:t>0.25</w:t>
            </w:r>
          </w:p>
        </w:tc>
      </w:tr>
      <w:tr w:rsidR="00146ED8" w:rsidRPr="00001100" w14:paraId="4CBF1157" w14:textId="77777777" w:rsidTr="00146ED8">
        <w:trPr>
          <w:cantSplit/>
          <w:trHeight w:val="144"/>
          <w:jc w:val="center"/>
        </w:trPr>
        <w:tc>
          <w:tcPr>
            <w:tcW w:w="3750" w:type="dxa"/>
            <w:shd w:val="clear" w:color="auto" w:fill="auto"/>
          </w:tcPr>
          <w:p w14:paraId="506EC0B7" w14:textId="77777777" w:rsidR="00146ED8" w:rsidRPr="00001100" w:rsidRDefault="00146ED8" w:rsidP="00146ED8">
            <w:pPr>
              <w:tabs>
                <w:tab w:val="left" w:pos="306"/>
              </w:tabs>
            </w:pPr>
            <w:r w:rsidRPr="00001100">
              <w:tab/>
              <w:t>Times Interest Earned</w:t>
            </w:r>
          </w:p>
        </w:tc>
        <w:tc>
          <w:tcPr>
            <w:tcW w:w="1530" w:type="dxa"/>
            <w:shd w:val="clear" w:color="auto" w:fill="FFFFFF"/>
          </w:tcPr>
          <w:p w14:paraId="43E41A53" w14:textId="77777777" w:rsidR="00146ED8" w:rsidRPr="00001100" w:rsidRDefault="00146ED8" w:rsidP="00146ED8">
            <w:pPr>
              <w:tabs>
                <w:tab w:val="decimal" w:pos="543"/>
              </w:tabs>
            </w:pPr>
            <w:r w:rsidRPr="00001100">
              <w:t>-3.74</w:t>
            </w:r>
          </w:p>
        </w:tc>
        <w:tc>
          <w:tcPr>
            <w:tcW w:w="1350" w:type="dxa"/>
            <w:shd w:val="clear" w:color="auto" w:fill="FFFFFF"/>
          </w:tcPr>
          <w:p w14:paraId="20D2C6EF" w14:textId="77777777" w:rsidR="00146ED8" w:rsidRPr="00001100" w:rsidRDefault="00146ED8" w:rsidP="00146ED8">
            <w:pPr>
              <w:tabs>
                <w:tab w:val="decimal" w:pos="543"/>
              </w:tabs>
            </w:pPr>
            <w:r w:rsidRPr="00001100">
              <w:t>1.41</w:t>
            </w:r>
          </w:p>
        </w:tc>
        <w:tc>
          <w:tcPr>
            <w:tcW w:w="1410" w:type="dxa"/>
            <w:shd w:val="clear" w:color="auto" w:fill="FFFFFF"/>
          </w:tcPr>
          <w:p w14:paraId="51267E10" w14:textId="77777777" w:rsidR="00146ED8" w:rsidRPr="00001100" w:rsidRDefault="00146ED8" w:rsidP="00146ED8">
            <w:pPr>
              <w:tabs>
                <w:tab w:val="decimal" w:pos="543"/>
              </w:tabs>
            </w:pPr>
            <w:r w:rsidRPr="00001100">
              <w:t>64.06</w:t>
            </w:r>
          </w:p>
        </w:tc>
      </w:tr>
      <w:tr w:rsidR="00146ED8" w:rsidRPr="00001100" w14:paraId="0F2D9A05" w14:textId="77777777" w:rsidTr="00146ED8">
        <w:trPr>
          <w:cantSplit/>
          <w:trHeight w:val="144"/>
          <w:jc w:val="center"/>
        </w:trPr>
        <w:tc>
          <w:tcPr>
            <w:tcW w:w="3750" w:type="dxa"/>
            <w:shd w:val="clear" w:color="auto" w:fill="auto"/>
          </w:tcPr>
          <w:p w14:paraId="5909152A" w14:textId="77777777" w:rsidR="00146ED8" w:rsidRPr="00001100" w:rsidRDefault="00146ED8" w:rsidP="00146ED8">
            <w:pPr>
              <w:tabs>
                <w:tab w:val="left" w:pos="306"/>
              </w:tabs>
            </w:pPr>
            <w:r w:rsidRPr="00001100">
              <w:tab/>
              <w:t>Fixed Charge Coverage</w:t>
            </w:r>
          </w:p>
        </w:tc>
        <w:tc>
          <w:tcPr>
            <w:tcW w:w="1530" w:type="dxa"/>
            <w:shd w:val="clear" w:color="auto" w:fill="FFFFFF"/>
          </w:tcPr>
          <w:p w14:paraId="4C7DCEF0" w14:textId="77777777" w:rsidR="00146ED8" w:rsidRPr="00001100" w:rsidRDefault="00146ED8" w:rsidP="00146ED8">
            <w:pPr>
              <w:tabs>
                <w:tab w:val="decimal" w:pos="543"/>
              </w:tabs>
            </w:pPr>
            <w:r w:rsidRPr="00001100">
              <w:t>-0.24</w:t>
            </w:r>
          </w:p>
        </w:tc>
        <w:tc>
          <w:tcPr>
            <w:tcW w:w="1350" w:type="dxa"/>
            <w:shd w:val="clear" w:color="auto" w:fill="FFFFFF"/>
          </w:tcPr>
          <w:p w14:paraId="1178AF7F" w14:textId="77777777" w:rsidR="00146ED8" w:rsidRPr="00001100" w:rsidRDefault="00146ED8" w:rsidP="00146ED8">
            <w:pPr>
              <w:tabs>
                <w:tab w:val="decimal" w:pos="543"/>
              </w:tabs>
            </w:pPr>
            <w:r w:rsidRPr="00001100">
              <w:t>1.15</w:t>
            </w:r>
          </w:p>
        </w:tc>
        <w:tc>
          <w:tcPr>
            <w:tcW w:w="1410" w:type="dxa"/>
            <w:shd w:val="clear" w:color="auto" w:fill="FFFFFF"/>
          </w:tcPr>
          <w:p w14:paraId="5DF15A99" w14:textId="77777777" w:rsidR="00146ED8" w:rsidRPr="00001100" w:rsidRDefault="00146ED8" w:rsidP="00146ED8">
            <w:pPr>
              <w:tabs>
                <w:tab w:val="decimal" w:pos="543"/>
              </w:tabs>
            </w:pPr>
            <w:r w:rsidRPr="00001100">
              <w:t>7.83</w:t>
            </w:r>
          </w:p>
        </w:tc>
      </w:tr>
      <w:tr w:rsidR="00146ED8" w:rsidRPr="00001100" w14:paraId="68678D1B" w14:textId="77777777" w:rsidTr="00146ED8">
        <w:trPr>
          <w:cantSplit/>
          <w:trHeight w:val="260"/>
          <w:jc w:val="center"/>
        </w:trPr>
        <w:tc>
          <w:tcPr>
            <w:tcW w:w="8040" w:type="dxa"/>
            <w:gridSpan w:val="4"/>
            <w:shd w:val="clear" w:color="auto" w:fill="auto"/>
          </w:tcPr>
          <w:p w14:paraId="637A5DA6" w14:textId="77777777" w:rsidR="00146ED8" w:rsidRPr="00001100" w:rsidRDefault="00146ED8" w:rsidP="00146ED8">
            <w:pPr>
              <w:tabs>
                <w:tab w:val="decimal" w:pos="588"/>
              </w:tabs>
              <w:jc w:val="center"/>
            </w:pPr>
            <w:r w:rsidRPr="00001100">
              <w:t>Activity Ratios</w:t>
            </w:r>
          </w:p>
        </w:tc>
      </w:tr>
      <w:tr w:rsidR="00146ED8" w:rsidRPr="00001100" w14:paraId="171CD963" w14:textId="77777777" w:rsidTr="00146ED8">
        <w:trPr>
          <w:cantSplit/>
          <w:trHeight w:val="144"/>
          <w:jc w:val="center"/>
        </w:trPr>
        <w:tc>
          <w:tcPr>
            <w:tcW w:w="8040" w:type="dxa"/>
            <w:gridSpan w:val="4"/>
            <w:shd w:val="clear" w:color="auto" w:fill="auto"/>
          </w:tcPr>
          <w:p w14:paraId="679D42E9" w14:textId="77777777" w:rsidR="00146ED8" w:rsidRPr="00001100" w:rsidRDefault="00146ED8" w:rsidP="00146ED8">
            <w:pPr>
              <w:tabs>
                <w:tab w:val="decimal" w:pos="543"/>
              </w:tabs>
            </w:pPr>
            <w:r w:rsidRPr="00001100">
              <w:t xml:space="preserve">   Food Inventory Turnover</w:t>
            </w:r>
          </w:p>
        </w:tc>
      </w:tr>
      <w:tr w:rsidR="00146ED8" w:rsidRPr="00001100" w14:paraId="5A8B3136" w14:textId="77777777" w:rsidTr="00146ED8">
        <w:trPr>
          <w:cantSplit/>
          <w:trHeight w:val="144"/>
          <w:jc w:val="center"/>
        </w:trPr>
        <w:tc>
          <w:tcPr>
            <w:tcW w:w="3750" w:type="dxa"/>
            <w:shd w:val="clear" w:color="auto" w:fill="auto"/>
          </w:tcPr>
          <w:p w14:paraId="48CC5E4A" w14:textId="77777777" w:rsidR="00146ED8" w:rsidRPr="00001100" w:rsidRDefault="00146ED8" w:rsidP="00146ED8">
            <w:pPr>
              <w:tabs>
                <w:tab w:val="left" w:pos="306"/>
              </w:tabs>
            </w:pPr>
            <w:r w:rsidRPr="00001100">
              <w:tab/>
              <w:t xml:space="preserve">   a.</w:t>
            </w:r>
            <w:r w:rsidRPr="00001100">
              <w:tab/>
              <w:t>Times</w:t>
            </w:r>
          </w:p>
        </w:tc>
        <w:tc>
          <w:tcPr>
            <w:tcW w:w="1530" w:type="dxa"/>
            <w:shd w:val="clear" w:color="auto" w:fill="auto"/>
          </w:tcPr>
          <w:p w14:paraId="634A26FB" w14:textId="77777777" w:rsidR="00146ED8" w:rsidRPr="00001100" w:rsidRDefault="00146ED8" w:rsidP="00146ED8">
            <w:pPr>
              <w:tabs>
                <w:tab w:val="decimal" w:pos="543"/>
              </w:tabs>
              <w:jc w:val="center"/>
            </w:pPr>
            <w:r w:rsidRPr="00001100">
              <w:t>13.74</w:t>
            </w:r>
          </w:p>
        </w:tc>
        <w:tc>
          <w:tcPr>
            <w:tcW w:w="1350" w:type="dxa"/>
            <w:shd w:val="clear" w:color="auto" w:fill="auto"/>
          </w:tcPr>
          <w:p w14:paraId="2EC64CD1" w14:textId="77777777" w:rsidR="00146ED8" w:rsidRPr="00001100" w:rsidRDefault="00146ED8" w:rsidP="00146ED8">
            <w:pPr>
              <w:tabs>
                <w:tab w:val="decimal" w:pos="543"/>
              </w:tabs>
              <w:jc w:val="center"/>
            </w:pPr>
            <w:r w:rsidRPr="00001100">
              <w:t>17.86</w:t>
            </w:r>
          </w:p>
        </w:tc>
        <w:tc>
          <w:tcPr>
            <w:tcW w:w="1410" w:type="dxa"/>
            <w:shd w:val="clear" w:color="auto" w:fill="auto"/>
          </w:tcPr>
          <w:p w14:paraId="087DBB68" w14:textId="77777777" w:rsidR="00146ED8" w:rsidRPr="00001100" w:rsidRDefault="00146ED8" w:rsidP="00146ED8">
            <w:pPr>
              <w:tabs>
                <w:tab w:val="decimal" w:pos="543"/>
              </w:tabs>
              <w:jc w:val="center"/>
            </w:pPr>
            <w:r w:rsidRPr="00001100">
              <w:t>19.54</w:t>
            </w:r>
          </w:p>
        </w:tc>
      </w:tr>
      <w:tr w:rsidR="00146ED8" w:rsidRPr="00001100" w14:paraId="56E4B0A4" w14:textId="77777777" w:rsidTr="00146ED8">
        <w:trPr>
          <w:cantSplit/>
          <w:trHeight w:val="144"/>
          <w:jc w:val="center"/>
        </w:trPr>
        <w:tc>
          <w:tcPr>
            <w:tcW w:w="3750" w:type="dxa"/>
            <w:shd w:val="clear" w:color="auto" w:fill="auto"/>
          </w:tcPr>
          <w:p w14:paraId="28EBD9CF" w14:textId="77777777" w:rsidR="00146ED8" w:rsidRPr="00001100" w:rsidRDefault="00146ED8" w:rsidP="00146ED8">
            <w:pPr>
              <w:tabs>
                <w:tab w:val="left" w:pos="306"/>
              </w:tabs>
            </w:pPr>
            <w:r w:rsidRPr="00001100">
              <w:tab/>
              <w:t xml:space="preserve">   b.</w:t>
            </w:r>
            <w:r w:rsidRPr="00001100">
              <w:tab/>
              <w:t>Days</w:t>
            </w:r>
          </w:p>
        </w:tc>
        <w:tc>
          <w:tcPr>
            <w:tcW w:w="1530" w:type="dxa"/>
            <w:shd w:val="clear" w:color="auto" w:fill="auto"/>
          </w:tcPr>
          <w:p w14:paraId="7B0F90F8" w14:textId="77777777" w:rsidR="00146ED8" w:rsidRPr="00001100" w:rsidRDefault="00146ED8" w:rsidP="00146ED8">
            <w:pPr>
              <w:tabs>
                <w:tab w:val="decimal" w:pos="543"/>
              </w:tabs>
              <w:jc w:val="center"/>
            </w:pPr>
            <w:r w:rsidRPr="00001100">
              <w:t>27 days</w:t>
            </w:r>
          </w:p>
        </w:tc>
        <w:tc>
          <w:tcPr>
            <w:tcW w:w="1350" w:type="dxa"/>
            <w:shd w:val="clear" w:color="auto" w:fill="auto"/>
          </w:tcPr>
          <w:p w14:paraId="1F3971D5" w14:textId="77777777" w:rsidR="00146ED8" w:rsidRPr="00001100" w:rsidRDefault="00146ED8" w:rsidP="00146ED8">
            <w:pPr>
              <w:tabs>
                <w:tab w:val="decimal" w:pos="543"/>
              </w:tabs>
              <w:jc w:val="center"/>
            </w:pPr>
            <w:r w:rsidRPr="00001100">
              <w:t>20 days</w:t>
            </w:r>
          </w:p>
        </w:tc>
        <w:tc>
          <w:tcPr>
            <w:tcW w:w="1410" w:type="dxa"/>
            <w:shd w:val="clear" w:color="auto" w:fill="auto"/>
          </w:tcPr>
          <w:p w14:paraId="79D0B60B" w14:textId="77777777" w:rsidR="00146ED8" w:rsidRPr="00001100" w:rsidRDefault="00146ED8" w:rsidP="00146ED8">
            <w:pPr>
              <w:tabs>
                <w:tab w:val="decimal" w:pos="543"/>
              </w:tabs>
              <w:jc w:val="center"/>
            </w:pPr>
            <w:r w:rsidRPr="00001100">
              <w:t>19 days</w:t>
            </w:r>
          </w:p>
        </w:tc>
      </w:tr>
      <w:tr w:rsidR="00146ED8" w:rsidRPr="00001100" w14:paraId="67950A31" w14:textId="77777777" w:rsidTr="00146ED8">
        <w:trPr>
          <w:cantSplit/>
          <w:trHeight w:val="144"/>
          <w:jc w:val="center"/>
        </w:trPr>
        <w:tc>
          <w:tcPr>
            <w:tcW w:w="8040" w:type="dxa"/>
            <w:gridSpan w:val="4"/>
            <w:shd w:val="clear" w:color="auto" w:fill="auto"/>
          </w:tcPr>
          <w:p w14:paraId="1E596C1B" w14:textId="77777777" w:rsidR="00146ED8" w:rsidRPr="00001100" w:rsidRDefault="00146ED8" w:rsidP="00146ED8">
            <w:pPr>
              <w:tabs>
                <w:tab w:val="decimal" w:pos="0"/>
              </w:tabs>
            </w:pPr>
            <w:r w:rsidRPr="00001100">
              <w:t xml:space="preserve">   Beverage Inventory Turnover</w:t>
            </w:r>
          </w:p>
        </w:tc>
      </w:tr>
      <w:tr w:rsidR="00146ED8" w:rsidRPr="00001100" w14:paraId="46EE35F8" w14:textId="77777777" w:rsidTr="00146ED8">
        <w:trPr>
          <w:cantSplit/>
          <w:trHeight w:val="144"/>
          <w:jc w:val="center"/>
        </w:trPr>
        <w:tc>
          <w:tcPr>
            <w:tcW w:w="3750" w:type="dxa"/>
            <w:shd w:val="clear" w:color="auto" w:fill="auto"/>
          </w:tcPr>
          <w:p w14:paraId="5BB4F774" w14:textId="77777777" w:rsidR="00146ED8" w:rsidRPr="00001100" w:rsidRDefault="00146ED8" w:rsidP="00146ED8">
            <w:pPr>
              <w:tabs>
                <w:tab w:val="left" w:pos="306"/>
              </w:tabs>
            </w:pPr>
            <w:r w:rsidRPr="00001100">
              <w:tab/>
              <w:t xml:space="preserve">   a.</w:t>
            </w:r>
            <w:r w:rsidRPr="00001100">
              <w:tab/>
              <w:t>Times</w:t>
            </w:r>
          </w:p>
        </w:tc>
        <w:tc>
          <w:tcPr>
            <w:tcW w:w="1530" w:type="dxa"/>
            <w:shd w:val="clear" w:color="auto" w:fill="auto"/>
          </w:tcPr>
          <w:p w14:paraId="48860E6F" w14:textId="77777777" w:rsidR="00146ED8" w:rsidRPr="00001100" w:rsidRDefault="00146ED8" w:rsidP="00146ED8">
            <w:pPr>
              <w:tabs>
                <w:tab w:val="decimal" w:pos="543"/>
              </w:tabs>
              <w:jc w:val="center"/>
            </w:pPr>
            <w:r w:rsidRPr="00001100">
              <w:t>2.12</w:t>
            </w:r>
          </w:p>
        </w:tc>
        <w:tc>
          <w:tcPr>
            <w:tcW w:w="1350" w:type="dxa"/>
            <w:shd w:val="clear" w:color="auto" w:fill="auto"/>
          </w:tcPr>
          <w:p w14:paraId="59E48460" w14:textId="77777777" w:rsidR="00146ED8" w:rsidRPr="00001100" w:rsidRDefault="00146ED8" w:rsidP="00146ED8">
            <w:pPr>
              <w:tabs>
                <w:tab w:val="decimal" w:pos="543"/>
              </w:tabs>
              <w:jc w:val="center"/>
            </w:pPr>
            <w:r w:rsidRPr="00001100">
              <w:t>3.29</w:t>
            </w:r>
          </w:p>
        </w:tc>
        <w:tc>
          <w:tcPr>
            <w:tcW w:w="1410" w:type="dxa"/>
            <w:shd w:val="clear" w:color="auto" w:fill="auto"/>
          </w:tcPr>
          <w:p w14:paraId="2EB73EBA" w14:textId="77777777" w:rsidR="00146ED8" w:rsidRPr="00001100" w:rsidRDefault="00146ED8" w:rsidP="00146ED8">
            <w:pPr>
              <w:tabs>
                <w:tab w:val="decimal" w:pos="543"/>
              </w:tabs>
              <w:jc w:val="center"/>
            </w:pPr>
            <w:r w:rsidRPr="00001100">
              <w:t>1.43</w:t>
            </w:r>
          </w:p>
        </w:tc>
      </w:tr>
      <w:tr w:rsidR="00146ED8" w:rsidRPr="00001100" w14:paraId="1E86E277" w14:textId="77777777" w:rsidTr="00146ED8">
        <w:trPr>
          <w:cantSplit/>
          <w:trHeight w:val="144"/>
          <w:jc w:val="center"/>
        </w:trPr>
        <w:tc>
          <w:tcPr>
            <w:tcW w:w="3750" w:type="dxa"/>
            <w:shd w:val="clear" w:color="auto" w:fill="auto"/>
          </w:tcPr>
          <w:p w14:paraId="3B99411D" w14:textId="77777777" w:rsidR="00146ED8" w:rsidRPr="00001100" w:rsidRDefault="00146ED8" w:rsidP="00146ED8">
            <w:pPr>
              <w:tabs>
                <w:tab w:val="left" w:pos="306"/>
              </w:tabs>
            </w:pPr>
            <w:r w:rsidRPr="00001100">
              <w:tab/>
              <w:t xml:space="preserve">   b.</w:t>
            </w:r>
            <w:r w:rsidRPr="00001100">
              <w:tab/>
              <w:t>Days</w:t>
            </w:r>
          </w:p>
        </w:tc>
        <w:tc>
          <w:tcPr>
            <w:tcW w:w="1530" w:type="dxa"/>
            <w:shd w:val="clear" w:color="auto" w:fill="auto"/>
          </w:tcPr>
          <w:p w14:paraId="0163BD19" w14:textId="77777777" w:rsidR="00146ED8" w:rsidRPr="00001100" w:rsidRDefault="00146ED8" w:rsidP="00146ED8">
            <w:pPr>
              <w:tabs>
                <w:tab w:val="decimal" w:pos="543"/>
              </w:tabs>
              <w:jc w:val="center"/>
            </w:pPr>
            <w:r w:rsidRPr="00001100">
              <w:t>172 days</w:t>
            </w:r>
          </w:p>
        </w:tc>
        <w:tc>
          <w:tcPr>
            <w:tcW w:w="1350" w:type="dxa"/>
            <w:shd w:val="clear" w:color="auto" w:fill="auto"/>
          </w:tcPr>
          <w:p w14:paraId="6A5A071A" w14:textId="77777777" w:rsidR="00146ED8" w:rsidRPr="00001100" w:rsidRDefault="00146ED8" w:rsidP="00146ED8">
            <w:pPr>
              <w:tabs>
                <w:tab w:val="decimal" w:pos="543"/>
              </w:tabs>
              <w:jc w:val="center"/>
            </w:pPr>
            <w:r w:rsidRPr="00001100">
              <w:t>111days</w:t>
            </w:r>
          </w:p>
        </w:tc>
        <w:tc>
          <w:tcPr>
            <w:tcW w:w="1410" w:type="dxa"/>
            <w:shd w:val="clear" w:color="auto" w:fill="auto"/>
          </w:tcPr>
          <w:p w14:paraId="1ACF51EE" w14:textId="77777777" w:rsidR="00146ED8" w:rsidRPr="00001100" w:rsidRDefault="00146ED8" w:rsidP="00146ED8">
            <w:pPr>
              <w:tabs>
                <w:tab w:val="decimal" w:pos="543"/>
              </w:tabs>
              <w:jc w:val="center"/>
            </w:pPr>
            <w:r w:rsidRPr="00001100">
              <w:t>255 days</w:t>
            </w:r>
          </w:p>
        </w:tc>
      </w:tr>
      <w:tr w:rsidR="00146ED8" w:rsidRPr="00001100" w14:paraId="2CEAF4FB" w14:textId="77777777" w:rsidTr="00146ED8">
        <w:trPr>
          <w:cantSplit/>
          <w:trHeight w:val="144"/>
          <w:jc w:val="center"/>
        </w:trPr>
        <w:tc>
          <w:tcPr>
            <w:tcW w:w="8040" w:type="dxa"/>
            <w:gridSpan w:val="4"/>
            <w:shd w:val="clear" w:color="auto" w:fill="auto"/>
          </w:tcPr>
          <w:p w14:paraId="37AAC240" w14:textId="77777777" w:rsidR="00146ED8" w:rsidRPr="00001100" w:rsidRDefault="00146ED8" w:rsidP="00146ED8">
            <w:pPr>
              <w:tabs>
                <w:tab w:val="decimal" w:pos="543"/>
              </w:tabs>
              <w:jc w:val="both"/>
            </w:pPr>
            <w:r w:rsidRPr="00001100">
              <w:t xml:space="preserve">    Golf Merchandise Inventory Turnover</w:t>
            </w:r>
          </w:p>
        </w:tc>
      </w:tr>
      <w:tr w:rsidR="00146ED8" w:rsidRPr="00001100" w14:paraId="6CD8FCF2" w14:textId="77777777" w:rsidTr="00146ED8">
        <w:trPr>
          <w:cantSplit/>
          <w:trHeight w:val="144"/>
          <w:jc w:val="center"/>
        </w:trPr>
        <w:tc>
          <w:tcPr>
            <w:tcW w:w="3750" w:type="dxa"/>
            <w:shd w:val="clear" w:color="auto" w:fill="auto"/>
          </w:tcPr>
          <w:p w14:paraId="4CC511F5" w14:textId="77777777" w:rsidR="00146ED8" w:rsidRPr="00001100" w:rsidRDefault="00146ED8" w:rsidP="00146ED8">
            <w:pPr>
              <w:tabs>
                <w:tab w:val="left" w:pos="306"/>
                <w:tab w:val="left" w:pos="666"/>
              </w:tabs>
            </w:pPr>
            <w:r w:rsidRPr="00001100">
              <w:tab/>
              <w:t xml:space="preserve">   a.</w:t>
            </w:r>
            <w:r w:rsidRPr="00001100">
              <w:tab/>
              <w:t xml:space="preserve"> Times</w:t>
            </w:r>
          </w:p>
        </w:tc>
        <w:tc>
          <w:tcPr>
            <w:tcW w:w="1530" w:type="dxa"/>
            <w:shd w:val="clear" w:color="auto" w:fill="auto"/>
          </w:tcPr>
          <w:p w14:paraId="3F4EB680" w14:textId="77777777" w:rsidR="00146ED8" w:rsidRPr="00001100" w:rsidRDefault="00146ED8" w:rsidP="00146ED8">
            <w:pPr>
              <w:tabs>
                <w:tab w:val="decimal" w:pos="543"/>
              </w:tabs>
              <w:jc w:val="center"/>
            </w:pPr>
            <w:r w:rsidRPr="00001100">
              <w:t>2.38</w:t>
            </w:r>
          </w:p>
        </w:tc>
        <w:tc>
          <w:tcPr>
            <w:tcW w:w="1350" w:type="dxa"/>
            <w:shd w:val="clear" w:color="auto" w:fill="auto"/>
          </w:tcPr>
          <w:p w14:paraId="49BC25D0" w14:textId="77777777" w:rsidR="00146ED8" w:rsidRPr="00001100" w:rsidRDefault="00146ED8" w:rsidP="00146ED8">
            <w:pPr>
              <w:tabs>
                <w:tab w:val="decimal" w:pos="543"/>
              </w:tabs>
              <w:jc w:val="center"/>
            </w:pPr>
            <w:r w:rsidRPr="00001100">
              <w:t>1.91</w:t>
            </w:r>
          </w:p>
        </w:tc>
        <w:tc>
          <w:tcPr>
            <w:tcW w:w="1410" w:type="dxa"/>
            <w:shd w:val="clear" w:color="auto" w:fill="auto"/>
          </w:tcPr>
          <w:p w14:paraId="52038A2F" w14:textId="77777777" w:rsidR="00146ED8" w:rsidRPr="00001100" w:rsidRDefault="00146ED8" w:rsidP="00146ED8">
            <w:pPr>
              <w:tabs>
                <w:tab w:val="decimal" w:pos="543"/>
              </w:tabs>
              <w:jc w:val="center"/>
            </w:pPr>
            <w:r w:rsidRPr="00001100">
              <w:t>2.88</w:t>
            </w:r>
          </w:p>
        </w:tc>
      </w:tr>
      <w:tr w:rsidR="00146ED8" w:rsidRPr="00001100" w14:paraId="0692C15D" w14:textId="77777777" w:rsidTr="00146ED8">
        <w:trPr>
          <w:cantSplit/>
          <w:trHeight w:val="144"/>
          <w:jc w:val="center"/>
        </w:trPr>
        <w:tc>
          <w:tcPr>
            <w:tcW w:w="3750" w:type="dxa"/>
            <w:shd w:val="clear" w:color="auto" w:fill="auto"/>
          </w:tcPr>
          <w:p w14:paraId="5B6CC1E1" w14:textId="77777777" w:rsidR="00146ED8" w:rsidRPr="00001100" w:rsidRDefault="00146ED8" w:rsidP="00146ED8">
            <w:pPr>
              <w:tabs>
                <w:tab w:val="left" w:pos="306"/>
                <w:tab w:val="left" w:pos="666"/>
              </w:tabs>
            </w:pPr>
            <w:r w:rsidRPr="00001100">
              <w:tab/>
              <w:t xml:space="preserve">   b.</w:t>
            </w:r>
            <w:r w:rsidRPr="00001100">
              <w:tab/>
              <w:t>Days</w:t>
            </w:r>
          </w:p>
        </w:tc>
        <w:tc>
          <w:tcPr>
            <w:tcW w:w="1530" w:type="dxa"/>
            <w:shd w:val="clear" w:color="auto" w:fill="auto"/>
          </w:tcPr>
          <w:p w14:paraId="7656B937" w14:textId="77777777" w:rsidR="00146ED8" w:rsidRPr="00001100" w:rsidRDefault="00146ED8" w:rsidP="00146ED8">
            <w:pPr>
              <w:tabs>
                <w:tab w:val="decimal" w:pos="543"/>
              </w:tabs>
              <w:jc w:val="center"/>
            </w:pPr>
            <w:r w:rsidRPr="00001100">
              <w:t>153 days</w:t>
            </w:r>
          </w:p>
        </w:tc>
        <w:tc>
          <w:tcPr>
            <w:tcW w:w="1350" w:type="dxa"/>
            <w:shd w:val="clear" w:color="auto" w:fill="auto"/>
          </w:tcPr>
          <w:p w14:paraId="780C6312" w14:textId="77777777" w:rsidR="00146ED8" w:rsidRPr="00001100" w:rsidRDefault="00146ED8" w:rsidP="00146ED8">
            <w:pPr>
              <w:tabs>
                <w:tab w:val="decimal" w:pos="543"/>
              </w:tabs>
              <w:jc w:val="center"/>
            </w:pPr>
            <w:r w:rsidRPr="00001100">
              <w:t>191 days</w:t>
            </w:r>
          </w:p>
        </w:tc>
        <w:tc>
          <w:tcPr>
            <w:tcW w:w="1410" w:type="dxa"/>
            <w:shd w:val="clear" w:color="auto" w:fill="auto"/>
          </w:tcPr>
          <w:p w14:paraId="0E419F8E" w14:textId="77777777" w:rsidR="00146ED8" w:rsidRPr="00001100" w:rsidRDefault="00146ED8" w:rsidP="00146ED8">
            <w:pPr>
              <w:tabs>
                <w:tab w:val="decimal" w:pos="543"/>
              </w:tabs>
              <w:jc w:val="center"/>
            </w:pPr>
            <w:r w:rsidRPr="00001100">
              <w:t>127 days</w:t>
            </w:r>
          </w:p>
        </w:tc>
      </w:tr>
      <w:tr w:rsidR="00146ED8" w:rsidRPr="00001100" w14:paraId="673D29B3" w14:textId="77777777" w:rsidTr="00146ED8">
        <w:trPr>
          <w:cantSplit/>
          <w:trHeight w:val="144"/>
          <w:jc w:val="center"/>
        </w:trPr>
        <w:tc>
          <w:tcPr>
            <w:tcW w:w="3750" w:type="dxa"/>
            <w:shd w:val="clear" w:color="auto" w:fill="auto"/>
          </w:tcPr>
          <w:p w14:paraId="4710B7CB" w14:textId="77777777" w:rsidR="00146ED8" w:rsidRPr="00001100" w:rsidRDefault="00146ED8" w:rsidP="00146ED8">
            <w:pPr>
              <w:tabs>
                <w:tab w:val="left" w:pos="306"/>
                <w:tab w:val="left" w:pos="666"/>
              </w:tabs>
            </w:pPr>
            <w:r w:rsidRPr="00001100">
              <w:t xml:space="preserve">    Property &amp; Equipment Turnover</w:t>
            </w:r>
          </w:p>
        </w:tc>
        <w:tc>
          <w:tcPr>
            <w:tcW w:w="1530" w:type="dxa"/>
            <w:shd w:val="clear" w:color="auto" w:fill="auto"/>
          </w:tcPr>
          <w:p w14:paraId="6767CAA0" w14:textId="77777777" w:rsidR="00146ED8" w:rsidRPr="00001100" w:rsidRDefault="00146ED8" w:rsidP="00146ED8">
            <w:pPr>
              <w:tabs>
                <w:tab w:val="decimal" w:pos="543"/>
              </w:tabs>
              <w:jc w:val="center"/>
            </w:pPr>
            <w:r w:rsidRPr="00001100">
              <w:t>0.63</w:t>
            </w:r>
          </w:p>
        </w:tc>
        <w:tc>
          <w:tcPr>
            <w:tcW w:w="1350" w:type="dxa"/>
            <w:shd w:val="clear" w:color="auto" w:fill="auto"/>
          </w:tcPr>
          <w:p w14:paraId="13D53AD6" w14:textId="77777777" w:rsidR="00146ED8" w:rsidRPr="00001100" w:rsidRDefault="00146ED8" w:rsidP="00146ED8">
            <w:pPr>
              <w:tabs>
                <w:tab w:val="decimal" w:pos="543"/>
              </w:tabs>
              <w:jc w:val="center"/>
            </w:pPr>
            <w:r w:rsidRPr="00001100">
              <w:t>0.68</w:t>
            </w:r>
          </w:p>
        </w:tc>
        <w:tc>
          <w:tcPr>
            <w:tcW w:w="1410" w:type="dxa"/>
            <w:shd w:val="clear" w:color="auto" w:fill="auto"/>
          </w:tcPr>
          <w:p w14:paraId="763EEDFE" w14:textId="77777777" w:rsidR="00146ED8" w:rsidRPr="00001100" w:rsidRDefault="00146ED8" w:rsidP="00146ED8">
            <w:pPr>
              <w:tabs>
                <w:tab w:val="decimal" w:pos="543"/>
              </w:tabs>
              <w:jc w:val="center"/>
            </w:pPr>
            <w:r w:rsidRPr="00001100">
              <w:t>0.77</w:t>
            </w:r>
          </w:p>
        </w:tc>
      </w:tr>
      <w:tr w:rsidR="00146ED8" w:rsidRPr="00001100" w14:paraId="6CD16A68" w14:textId="77777777" w:rsidTr="00146ED8">
        <w:trPr>
          <w:cantSplit/>
          <w:trHeight w:val="144"/>
          <w:jc w:val="center"/>
        </w:trPr>
        <w:tc>
          <w:tcPr>
            <w:tcW w:w="3750" w:type="dxa"/>
            <w:shd w:val="clear" w:color="auto" w:fill="auto"/>
          </w:tcPr>
          <w:p w14:paraId="30759EC1" w14:textId="77777777" w:rsidR="00146ED8" w:rsidRPr="00001100" w:rsidRDefault="00146ED8" w:rsidP="00146ED8">
            <w:pPr>
              <w:tabs>
                <w:tab w:val="left" w:pos="306"/>
                <w:tab w:val="left" w:pos="666"/>
              </w:tabs>
            </w:pPr>
            <w:r>
              <w:t xml:space="preserve">    </w:t>
            </w:r>
            <w:r w:rsidRPr="00001100">
              <w:t>Total Asset Turnover</w:t>
            </w:r>
          </w:p>
        </w:tc>
        <w:tc>
          <w:tcPr>
            <w:tcW w:w="1530" w:type="dxa"/>
            <w:shd w:val="clear" w:color="auto" w:fill="auto"/>
          </w:tcPr>
          <w:p w14:paraId="2B582D14" w14:textId="77777777" w:rsidR="00146ED8" w:rsidRPr="00001100" w:rsidRDefault="00146ED8" w:rsidP="00146ED8">
            <w:pPr>
              <w:tabs>
                <w:tab w:val="decimal" w:pos="543"/>
              </w:tabs>
              <w:jc w:val="center"/>
            </w:pPr>
            <w:r w:rsidRPr="00001100">
              <w:t>0.49</w:t>
            </w:r>
          </w:p>
        </w:tc>
        <w:tc>
          <w:tcPr>
            <w:tcW w:w="1350" w:type="dxa"/>
            <w:shd w:val="clear" w:color="auto" w:fill="auto"/>
          </w:tcPr>
          <w:p w14:paraId="70C61F5F" w14:textId="77777777" w:rsidR="00146ED8" w:rsidRPr="00001100" w:rsidRDefault="00146ED8" w:rsidP="00146ED8">
            <w:pPr>
              <w:tabs>
                <w:tab w:val="decimal" w:pos="543"/>
              </w:tabs>
              <w:jc w:val="center"/>
            </w:pPr>
            <w:r w:rsidRPr="00001100">
              <w:t>0.50</w:t>
            </w:r>
          </w:p>
        </w:tc>
        <w:tc>
          <w:tcPr>
            <w:tcW w:w="1410" w:type="dxa"/>
            <w:shd w:val="clear" w:color="auto" w:fill="auto"/>
          </w:tcPr>
          <w:p w14:paraId="7BAE67CF" w14:textId="77777777" w:rsidR="00146ED8" w:rsidRPr="00001100" w:rsidRDefault="00146ED8" w:rsidP="00146ED8">
            <w:pPr>
              <w:tabs>
                <w:tab w:val="decimal" w:pos="543"/>
              </w:tabs>
              <w:jc w:val="center"/>
            </w:pPr>
            <w:r w:rsidRPr="00001100">
              <w:t>0.60</w:t>
            </w:r>
          </w:p>
        </w:tc>
      </w:tr>
      <w:tr w:rsidR="00146ED8" w:rsidRPr="00001100" w14:paraId="501CA170" w14:textId="77777777" w:rsidTr="00146ED8">
        <w:trPr>
          <w:cantSplit/>
          <w:trHeight w:val="332"/>
          <w:jc w:val="center"/>
        </w:trPr>
        <w:tc>
          <w:tcPr>
            <w:tcW w:w="8040" w:type="dxa"/>
            <w:gridSpan w:val="4"/>
            <w:shd w:val="clear" w:color="auto" w:fill="auto"/>
          </w:tcPr>
          <w:p w14:paraId="38EBFB83" w14:textId="77777777" w:rsidR="00146ED8" w:rsidRPr="00001100" w:rsidRDefault="00146ED8" w:rsidP="00146ED8">
            <w:pPr>
              <w:tabs>
                <w:tab w:val="decimal" w:pos="543"/>
              </w:tabs>
              <w:jc w:val="center"/>
            </w:pPr>
            <w:r w:rsidRPr="00001100">
              <w:t>Profitability Ratios</w:t>
            </w:r>
          </w:p>
        </w:tc>
      </w:tr>
      <w:tr w:rsidR="00146ED8" w:rsidRPr="00001100" w14:paraId="5829A8F6" w14:textId="77777777" w:rsidTr="00146ED8">
        <w:trPr>
          <w:cantSplit/>
          <w:trHeight w:val="144"/>
          <w:jc w:val="center"/>
        </w:trPr>
        <w:tc>
          <w:tcPr>
            <w:tcW w:w="3750" w:type="dxa"/>
            <w:shd w:val="clear" w:color="auto" w:fill="auto"/>
          </w:tcPr>
          <w:p w14:paraId="756A1F26" w14:textId="77777777" w:rsidR="00146ED8" w:rsidRPr="00001100" w:rsidRDefault="00146ED8" w:rsidP="00146ED8">
            <w:pPr>
              <w:tabs>
                <w:tab w:val="left" w:pos="306"/>
                <w:tab w:val="left" w:pos="666"/>
              </w:tabs>
            </w:pPr>
            <w:r w:rsidRPr="00001100">
              <w:tab/>
              <w:t>Profit Margin</w:t>
            </w:r>
          </w:p>
        </w:tc>
        <w:tc>
          <w:tcPr>
            <w:tcW w:w="1530" w:type="dxa"/>
            <w:shd w:val="clear" w:color="auto" w:fill="auto"/>
          </w:tcPr>
          <w:p w14:paraId="0339F05E" w14:textId="77777777" w:rsidR="00146ED8" w:rsidRPr="00001100" w:rsidRDefault="00146ED8" w:rsidP="00146ED8">
            <w:pPr>
              <w:tabs>
                <w:tab w:val="decimal" w:pos="543"/>
              </w:tabs>
              <w:jc w:val="center"/>
            </w:pPr>
            <w:r w:rsidRPr="00001100">
              <w:t>-8.8%</w:t>
            </w:r>
          </w:p>
        </w:tc>
        <w:tc>
          <w:tcPr>
            <w:tcW w:w="1350" w:type="dxa"/>
            <w:shd w:val="clear" w:color="auto" w:fill="auto"/>
          </w:tcPr>
          <w:p w14:paraId="60C6E77D" w14:textId="77777777" w:rsidR="00146ED8" w:rsidRPr="00001100" w:rsidRDefault="00146ED8" w:rsidP="00146ED8">
            <w:pPr>
              <w:tabs>
                <w:tab w:val="decimal" w:pos="543"/>
              </w:tabs>
              <w:jc w:val="center"/>
            </w:pPr>
            <w:r w:rsidRPr="00001100">
              <w:t>0.5%</w:t>
            </w:r>
          </w:p>
        </w:tc>
        <w:tc>
          <w:tcPr>
            <w:tcW w:w="1410" w:type="dxa"/>
            <w:shd w:val="clear" w:color="auto" w:fill="auto"/>
          </w:tcPr>
          <w:p w14:paraId="49ABA019" w14:textId="77777777" w:rsidR="00146ED8" w:rsidRPr="00001100" w:rsidRDefault="00146ED8" w:rsidP="00146ED8">
            <w:pPr>
              <w:tabs>
                <w:tab w:val="decimal" w:pos="543"/>
              </w:tabs>
              <w:jc w:val="center"/>
            </w:pPr>
            <w:r w:rsidRPr="00001100">
              <w:t>12.6%</w:t>
            </w:r>
          </w:p>
        </w:tc>
      </w:tr>
      <w:tr w:rsidR="00146ED8" w:rsidRPr="00001100" w14:paraId="7F1BCC6A" w14:textId="77777777" w:rsidTr="00146ED8">
        <w:trPr>
          <w:cantSplit/>
          <w:trHeight w:val="144"/>
          <w:jc w:val="center"/>
        </w:trPr>
        <w:tc>
          <w:tcPr>
            <w:tcW w:w="3750" w:type="dxa"/>
            <w:shd w:val="clear" w:color="auto" w:fill="auto"/>
          </w:tcPr>
          <w:p w14:paraId="5143C2F4" w14:textId="77777777" w:rsidR="00146ED8" w:rsidRPr="00001100" w:rsidRDefault="00146ED8" w:rsidP="00146ED8">
            <w:pPr>
              <w:tabs>
                <w:tab w:val="left" w:pos="306"/>
                <w:tab w:val="left" w:pos="666"/>
              </w:tabs>
            </w:pPr>
            <w:r w:rsidRPr="00001100">
              <w:tab/>
              <w:t>Return on Assets</w:t>
            </w:r>
          </w:p>
        </w:tc>
        <w:tc>
          <w:tcPr>
            <w:tcW w:w="1530" w:type="dxa"/>
            <w:shd w:val="clear" w:color="auto" w:fill="auto"/>
          </w:tcPr>
          <w:p w14:paraId="2F9ADF76" w14:textId="77777777" w:rsidR="00146ED8" w:rsidRPr="00001100" w:rsidRDefault="00146ED8" w:rsidP="00146ED8">
            <w:pPr>
              <w:tabs>
                <w:tab w:val="decimal" w:pos="543"/>
              </w:tabs>
              <w:jc w:val="center"/>
            </w:pPr>
            <w:r w:rsidRPr="00001100">
              <w:t>-4.3%</w:t>
            </w:r>
          </w:p>
        </w:tc>
        <w:tc>
          <w:tcPr>
            <w:tcW w:w="1350" w:type="dxa"/>
            <w:shd w:val="clear" w:color="auto" w:fill="auto"/>
          </w:tcPr>
          <w:p w14:paraId="637B7D05" w14:textId="77777777" w:rsidR="00146ED8" w:rsidRPr="00001100" w:rsidRDefault="00146ED8" w:rsidP="00146ED8">
            <w:pPr>
              <w:tabs>
                <w:tab w:val="decimal" w:pos="543"/>
              </w:tabs>
              <w:jc w:val="center"/>
            </w:pPr>
            <w:r w:rsidRPr="00001100">
              <w:t>0.2%</w:t>
            </w:r>
          </w:p>
        </w:tc>
        <w:tc>
          <w:tcPr>
            <w:tcW w:w="1410" w:type="dxa"/>
            <w:shd w:val="clear" w:color="auto" w:fill="auto"/>
          </w:tcPr>
          <w:p w14:paraId="137809C7" w14:textId="77777777" w:rsidR="00146ED8" w:rsidRPr="00001100" w:rsidRDefault="00146ED8" w:rsidP="00146ED8">
            <w:pPr>
              <w:tabs>
                <w:tab w:val="decimal" w:pos="543"/>
              </w:tabs>
              <w:jc w:val="center"/>
            </w:pPr>
            <w:r w:rsidRPr="00001100">
              <w:t>7.6%</w:t>
            </w:r>
          </w:p>
        </w:tc>
      </w:tr>
      <w:tr w:rsidR="00146ED8" w:rsidRPr="00001100" w14:paraId="02AF1954" w14:textId="77777777" w:rsidTr="00146ED8">
        <w:trPr>
          <w:cantSplit/>
          <w:trHeight w:val="144"/>
          <w:jc w:val="center"/>
        </w:trPr>
        <w:tc>
          <w:tcPr>
            <w:tcW w:w="3750" w:type="dxa"/>
            <w:shd w:val="clear" w:color="auto" w:fill="auto"/>
          </w:tcPr>
          <w:p w14:paraId="687DF664" w14:textId="77777777" w:rsidR="00146ED8" w:rsidRPr="00001100" w:rsidRDefault="00146ED8" w:rsidP="00146ED8">
            <w:pPr>
              <w:tabs>
                <w:tab w:val="left" w:pos="306"/>
                <w:tab w:val="left" w:pos="666"/>
              </w:tabs>
            </w:pPr>
            <w:r w:rsidRPr="00001100">
              <w:tab/>
              <w:t>Operating Efficiency</w:t>
            </w:r>
          </w:p>
        </w:tc>
        <w:tc>
          <w:tcPr>
            <w:tcW w:w="1530" w:type="dxa"/>
            <w:shd w:val="clear" w:color="auto" w:fill="auto"/>
          </w:tcPr>
          <w:p w14:paraId="43624C25" w14:textId="77777777" w:rsidR="00146ED8" w:rsidRPr="00001100" w:rsidRDefault="00146ED8" w:rsidP="00146ED8">
            <w:pPr>
              <w:tabs>
                <w:tab w:val="decimal" w:pos="543"/>
              </w:tabs>
              <w:jc w:val="center"/>
            </w:pPr>
            <w:r w:rsidRPr="00001100">
              <w:t>16.90%</w:t>
            </w:r>
          </w:p>
        </w:tc>
        <w:tc>
          <w:tcPr>
            <w:tcW w:w="1350" w:type="dxa"/>
            <w:shd w:val="clear" w:color="auto" w:fill="auto"/>
          </w:tcPr>
          <w:p w14:paraId="2D0FFDE9" w14:textId="77777777" w:rsidR="00146ED8" w:rsidRPr="00001100" w:rsidRDefault="00146ED8" w:rsidP="00146ED8">
            <w:pPr>
              <w:tabs>
                <w:tab w:val="decimal" w:pos="543"/>
              </w:tabs>
              <w:jc w:val="center"/>
            </w:pPr>
            <w:r w:rsidRPr="00001100">
              <w:t>18.0%</w:t>
            </w:r>
          </w:p>
        </w:tc>
        <w:tc>
          <w:tcPr>
            <w:tcW w:w="1410" w:type="dxa"/>
            <w:shd w:val="clear" w:color="auto" w:fill="auto"/>
          </w:tcPr>
          <w:p w14:paraId="598C9EA6" w14:textId="77777777" w:rsidR="00146ED8" w:rsidRPr="00001100" w:rsidRDefault="00146ED8" w:rsidP="00146ED8">
            <w:pPr>
              <w:tabs>
                <w:tab w:val="decimal" w:pos="543"/>
              </w:tabs>
              <w:jc w:val="center"/>
            </w:pPr>
            <w:r w:rsidRPr="00001100">
              <w:t>32.2%</w:t>
            </w:r>
          </w:p>
        </w:tc>
      </w:tr>
      <w:tr w:rsidR="00146ED8" w:rsidRPr="00001100" w14:paraId="3DA376E1" w14:textId="77777777" w:rsidTr="00146ED8">
        <w:trPr>
          <w:cantSplit/>
          <w:trHeight w:val="305"/>
          <w:jc w:val="center"/>
        </w:trPr>
        <w:tc>
          <w:tcPr>
            <w:tcW w:w="8040" w:type="dxa"/>
            <w:gridSpan w:val="4"/>
            <w:shd w:val="clear" w:color="auto" w:fill="auto"/>
          </w:tcPr>
          <w:p w14:paraId="126B68E3" w14:textId="77777777" w:rsidR="00146ED8" w:rsidRPr="00001100" w:rsidRDefault="00146ED8" w:rsidP="00146ED8">
            <w:pPr>
              <w:tabs>
                <w:tab w:val="decimal" w:pos="543"/>
              </w:tabs>
              <w:jc w:val="center"/>
            </w:pPr>
            <w:r w:rsidRPr="00001100">
              <w:t>Operating Ratios</w:t>
            </w:r>
          </w:p>
        </w:tc>
      </w:tr>
      <w:tr w:rsidR="00146ED8" w:rsidRPr="00001100" w14:paraId="610EC976" w14:textId="77777777" w:rsidTr="00146ED8">
        <w:trPr>
          <w:cantSplit/>
          <w:trHeight w:val="144"/>
          <w:jc w:val="center"/>
        </w:trPr>
        <w:tc>
          <w:tcPr>
            <w:tcW w:w="3750" w:type="dxa"/>
            <w:shd w:val="clear" w:color="auto" w:fill="auto"/>
          </w:tcPr>
          <w:p w14:paraId="431458E0" w14:textId="77777777" w:rsidR="00146ED8" w:rsidRPr="00001100" w:rsidRDefault="00146ED8" w:rsidP="00146ED8">
            <w:pPr>
              <w:tabs>
                <w:tab w:val="left" w:pos="306"/>
                <w:tab w:val="left" w:pos="666"/>
              </w:tabs>
            </w:pPr>
            <w:r w:rsidRPr="00001100">
              <w:tab/>
              <w:t>Food Cost Percentage</w:t>
            </w:r>
          </w:p>
        </w:tc>
        <w:tc>
          <w:tcPr>
            <w:tcW w:w="1530" w:type="dxa"/>
            <w:shd w:val="clear" w:color="auto" w:fill="auto"/>
          </w:tcPr>
          <w:p w14:paraId="7EA2599F" w14:textId="77777777" w:rsidR="00146ED8" w:rsidRPr="00001100" w:rsidRDefault="00146ED8" w:rsidP="00146ED8">
            <w:pPr>
              <w:tabs>
                <w:tab w:val="decimal" w:pos="543"/>
              </w:tabs>
              <w:jc w:val="center"/>
            </w:pPr>
            <w:r w:rsidRPr="00001100">
              <w:t>38.4%</w:t>
            </w:r>
          </w:p>
        </w:tc>
        <w:tc>
          <w:tcPr>
            <w:tcW w:w="1350" w:type="dxa"/>
            <w:shd w:val="clear" w:color="auto" w:fill="auto"/>
          </w:tcPr>
          <w:p w14:paraId="35551735" w14:textId="77777777" w:rsidR="00146ED8" w:rsidRPr="00001100" w:rsidRDefault="00146ED8" w:rsidP="00146ED8">
            <w:pPr>
              <w:tabs>
                <w:tab w:val="decimal" w:pos="543"/>
              </w:tabs>
              <w:jc w:val="center"/>
            </w:pPr>
            <w:r w:rsidRPr="00001100">
              <w:t>39.1%</w:t>
            </w:r>
          </w:p>
        </w:tc>
        <w:tc>
          <w:tcPr>
            <w:tcW w:w="1410" w:type="dxa"/>
            <w:shd w:val="clear" w:color="auto" w:fill="auto"/>
          </w:tcPr>
          <w:p w14:paraId="1C681C34" w14:textId="77777777" w:rsidR="00146ED8" w:rsidRPr="00001100" w:rsidRDefault="00146ED8" w:rsidP="00146ED8">
            <w:pPr>
              <w:tabs>
                <w:tab w:val="decimal" w:pos="543"/>
              </w:tabs>
              <w:jc w:val="center"/>
            </w:pPr>
            <w:r w:rsidRPr="00001100">
              <w:t>33.0%</w:t>
            </w:r>
          </w:p>
        </w:tc>
      </w:tr>
      <w:tr w:rsidR="00146ED8" w:rsidRPr="00001100" w14:paraId="04B72C34" w14:textId="77777777" w:rsidTr="00146ED8">
        <w:trPr>
          <w:cantSplit/>
          <w:trHeight w:val="144"/>
          <w:jc w:val="center"/>
        </w:trPr>
        <w:tc>
          <w:tcPr>
            <w:tcW w:w="3750" w:type="dxa"/>
            <w:shd w:val="clear" w:color="auto" w:fill="auto"/>
          </w:tcPr>
          <w:p w14:paraId="0F539427" w14:textId="77777777" w:rsidR="00146ED8" w:rsidRPr="00001100" w:rsidRDefault="00146ED8" w:rsidP="00146ED8">
            <w:pPr>
              <w:tabs>
                <w:tab w:val="left" w:pos="306"/>
                <w:tab w:val="left" w:pos="666"/>
              </w:tabs>
            </w:pPr>
            <w:r w:rsidRPr="00001100">
              <w:tab/>
              <w:t>Beverage Cost Percentage</w:t>
            </w:r>
          </w:p>
        </w:tc>
        <w:tc>
          <w:tcPr>
            <w:tcW w:w="1530" w:type="dxa"/>
            <w:shd w:val="clear" w:color="auto" w:fill="auto"/>
          </w:tcPr>
          <w:p w14:paraId="14675F4F" w14:textId="77777777" w:rsidR="00146ED8" w:rsidRPr="00001100" w:rsidRDefault="00146ED8" w:rsidP="00146ED8">
            <w:pPr>
              <w:tabs>
                <w:tab w:val="decimal" w:pos="543"/>
              </w:tabs>
              <w:jc w:val="center"/>
            </w:pPr>
            <w:r w:rsidRPr="00001100">
              <w:t>28.3%</w:t>
            </w:r>
          </w:p>
        </w:tc>
        <w:tc>
          <w:tcPr>
            <w:tcW w:w="1350" w:type="dxa"/>
            <w:shd w:val="clear" w:color="auto" w:fill="auto"/>
          </w:tcPr>
          <w:p w14:paraId="5CC00395" w14:textId="77777777" w:rsidR="00146ED8" w:rsidRPr="00001100" w:rsidRDefault="00146ED8" w:rsidP="00146ED8">
            <w:pPr>
              <w:tabs>
                <w:tab w:val="decimal" w:pos="543"/>
              </w:tabs>
              <w:jc w:val="center"/>
            </w:pPr>
            <w:r w:rsidRPr="00001100">
              <w:t>31.8%</w:t>
            </w:r>
          </w:p>
        </w:tc>
        <w:tc>
          <w:tcPr>
            <w:tcW w:w="1410" w:type="dxa"/>
            <w:shd w:val="clear" w:color="auto" w:fill="auto"/>
          </w:tcPr>
          <w:p w14:paraId="4D565993" w14:textId="77777777" w:rsidR="00146ED8" w:rsidRPr="00001100" w:rsidRDefault="00146ED8" w:rsidP="00146ED8">
            <w:pPr>
              <w:tabs>
                <w:tab w:val="decimal" w:pos="543"/>
              </w:tabs>
              <w:jc w:val="center"/>
            </w:pPr>
            <w:r w:rsidRPr="00001100">
              <w:t>29.1%</w:t>
            </w:r>
          </w:p>
        </w:tc>
      </w:tr>
      <w:tr w:rsidR="00146ED8" w:rsidRPr="00001100" w14:paraId="65941C1C" w14:textId="77777777" w:rsidTr="00146ED8">
        <w:trPr>
          <w:cantSplit/>
          <w:trHeight w:val="144"/>
          <w:jc w:val="center"/>
        </w:trPr>
        <w:tc>
          <w:tcPr>
            <w:tcW w:w="3750" w:type="dxa"/>
            <w:shd w:val="clear" w:color="auto" w:fill="auto"/>
          </w:tcPr>
          <w:p w14:paraId="02278B87" w14:textId="77777777" w:rsidR="00146ED8" w:rsidRDefault="00146ED8" w:rsidP="00146ED8">
            <w:pPr>
              <w:tabs>
                <w:tab w:val="left" w:pos="306"/>
                <w:tab w:val="left" w:pos="666"/>
              </w:tabs>
            </w:pPr>
            <w:r w:rsidRPr="00001100">
              <w:tab/>
              <w:t xml:space="preserve">Golf Merchandise Cost </w:t>
            </w:r>
          </w:p>
          <w:p w14:paraId="42207C34" w14:textId="77777777" w:rsidR="00146ED8" w:rsidRPr="00001100" w:rsidRDefault="00146ED8" w:rsidP="00146ED8">
            <w:pPr>
              <w:tabs>
                <w:tab w:val="left" w:pos="306"/>
                <w:tab w:val="left" w:pos="666"/>
              </w:tabs>
            </w:pPr>
            <w:r>
              <w:t xml:space="preserve">          </w:t>
            </w:r>
            <w:r w:rsidRPr="00001100">
              <w:t>Percentage</w:t>
            </w:r>
          </w:p>
        </w:tc>
        <w:tc>
          <w:tcPr>
            <w:tcW w:w="1530" w:type="dxa"/>
            <w:shd w:val="clear" w:color="auto" w:fill="auto"/>
          </w:tcPr>
          <w:p w14:paraId="7349BFA4" w14:textId="77777777" w:rsidR="00146ED8" w:rsidRPr="00001100" w:rsidRDefault="00146ED8" w:rsidP="00146ED8">
            <w:pPr>
              <w:tabs>
                <w:tab w:val="decimal" w:pos="543"/>
              </w:tabs>
              <w:jc w:val="center"/>
            </w:pPr>
            <w:r w:rsidRPr="00001100">
              <w:t>60.9%</w:t>
            </w:r>
          </w:p>
        </w:tc>
        <w:tc>
          <w:tcPr>
            <w:tcW w:w="1350" w:type="dxa"/>
            <w:shd w:val="clear" w:color="auto" w:fill="auto"/>
          </w:tcPr>
          <w:p w14:paraId="6F49E4DF" w14:textId="77777777" w:rsidR="00146ED8" w:rsidRPr="00001100" w:rsidRDefault="00146ED8" w:rsidP="00146ED8">
            <w:pPr>
              <w:tabs>
                <w:tab w:val="decimal" w:pos="543"/>
              </w:tabs>
              <w:jc w:val="center"/>
            </w:pPr>
            <w:r w:rsidRPr="00001100">
              <w:t>37.8%</w:t>
            </w:r>
          </w:p>
        </w:tc>
        <w:tc>
          <w:tcPr>
            <w:tcW w:w="1410" w:type="dxa"/>
            <w:shd w:val="clear" w:color="auto" w:fill="auto"/>
          </w:tcPr>
          <w:p w14:paraId="00DE273E" w14:textId="77777777" w:rsidR="00146ED8" w:rsidRPr="00001100" w:rsidRDefault="00146ED8" w:rsidP="00146ED8">
            <w:pPr>
              <w:tabs>
                <w:tab w:val="decimal" w:pos="543"/>
              </w:tabs>
              <w:jc w:val="center"/>
            </w:pPr>
            <w:r w:rsidRPr="00001100">
              <w:t>50.2%</w:t>
            </w:r>
          </w:p>
        </w:tc>
      </w:tr>
    </w:tbl>
    <w:p w14:paraId="7E4C8CA3" w14:textId="048FBD66" w:rsidR="00833589" w:rsidRDefault="00833589" w:rsidP="00833589">
      <w:pPr>
        <w:tabs>
          <w:tab w:val="left" w:pos="0"/>
        </w:tabs>
        <w:jc w:val="both"/>
        <w:rPr>
          <w:b/>
        </w:rPr>
      </w:pPr>
      <w:r w:rsidRPr="00001100">
        <w:rPr>
          <w:b/>
        </w:rPr>
        <w:lastRenderedPageBreak/>
        <w:t>23.</w:t>
      </w:r>
      <w:r w:rsidRPr="00001100">
        <w:rPr>
          <w:b/>
        </w:rPr>
        <w:tab/>
        <w:t>Cost of golf merchandise percentage = cost of golf merchandise / golf merchandise sales</w:t>
      </w:r>
    </w:p>
    <w:p w14:paraId="59BC4119" w14:textId="77777777" w:rsidR="00833589" w:rsidRPr="00001100" w:rsidRDefault="00833589" w:rsidP="00833589">
      <w:pPr>
        <w:tabs>
          <w:tab w:val="left" w:pos="0"/>
        </w:tabs>
        <w:jc w:val="both"/>
      </w:pPr>
      <w:r w:rsidRPr="00001100">
        <w:rPr>
          <w:b/>
        </w:rPr>
        <w:tab/>
      </w:r>
      <w:r w:rsidRPr="00001100">
        <w:t>The cost of golf merchandise median percentage in 2011 was at 37.8%.  The top performers reported a high percentage at 50.2%, and the low performers had the highest at 60.9%.  This ratio had been managed well in the past year and the median of 37.8% showed was a great indicator.  However, when clubs were ranked by their performance by their return of assets, their much higher cost percentage was not expected.</w:t>
      </w:r>
    </w:p>
    <w:p w14:paraId="261A4DE6" w14:textId="77777777" w:rsidR="00833589" w:rsidRDefault="00833589" w:rsidP="00833589">
      <w:pPr>
        <w:tabs>
          <w:tab w:val="left" w:pos="0"/>
        </w:tabs>
        <w:jc w:val="both"/>
        <w:rPr>
          <w:b/>
        </w:rPr>
      </w:pPr>
    </w:p>
    <w:p w14:paraId="49507C2F" w14:textId="4FB6BF7F" w:rsidR="00833589" w:rsidRDefault="00833589" w:rsidP="00833589">
      <w:pPr>
        <w:tabs>
          <w:tab w:val="left" w:pos="0"/>
        </w:tabs>
        <w:jc w:val="both"/>
      </w:pPr>
      <w:r w:rsidRPr="00001100">
        <w:rPr>
          <w:b/>
        </w:rPr>
        <w:t>24.  Labor cost = cost of labor / total sales</w:t>
      </w:r>
    </w:p>
    <w:p w14:paraId="2FB8EA19" w14:textId="77777777" w:rsidR="00833589" w:rsidRPr="00001100" w:rsidRDefault="00833589" w:rsidP="00833589">
      <w:pPr>
        <w:tabs>
          <w:tab w:val="left" w:pos="0"/>
        </w:tabs>
        <w:jc w:val="both"/>
      </w:pPr>
      <w:r>
        <w:tab/>
      </w:r>
      <w:r w:rsidRPr="00001100">
        <w:t xml:space="preserve">Labor cost is the highest cost in the club industry.  The median of less than 50% at 46.6% was most commendable.  The top performers’ 41.1% was another reason for their relatively high net income level while the 48.1% for the low performers did not leave much to flow to the net income.  Thus, club management especially for the low performers may also want to look into scheduling or training to see if some savings can be realized.  </w:t>
      </w:r>
    </w:p>
    <w:p w14:paraId="7E074CEA" w14:textId="77777777" w:rsidR="003B14CC" w:rsidRPr="00001100" w:rsidRDefault="003B14CC" w:rsidP="001D22D0">
      <w:pPr>
        <w:tabs>
          <w:tab w:val="left" w:pos="0"/>
        </w:tabs>
        <w:jc w:val="both"/>
      </w:pPr>
    </w:p>
    <w:p w14:paraId="791EA424" w14:textId="77777777" w:rsidR="003B14CC" w:rsidRPr="00001100" w:rsidRDefault="003B14CC" w:rsidP="001D22D0">
      <w:pPr>
        <w:jc w:val="both"/>
        <w:rPr>
          <w:b/>
          <w:i/>
        </w:rPr>
      </w:pPr>
      <w:r w:rsidRPr="00001100">
        <w:rPr>
          <w:b/>
          <w:i/>
        </w:rPr>
        <w:t>Key Balance Sheet and Statement of Activities Data</w:t>
      </w:r>
      <w:r w:rsidR="00D37C12" w:rsidRPr="00001100">
        <w:rPr>
          <w:b/>
          <w:i/>
        </w:rPr>
        <w:t xml:space="preserve"> Differences</w:t>
      </w:r>
    </w:p>
    <w:p w14:paraId="278BF217" w14:textId="77777777" w:rsidR="00146ED8" w:rsidRDefault="00146ED8" w:rsidP="00146ED8">
      <w:pPr>
        <w:ind w:firstLine="720"/>
        <w:jc w:val="both"/>
      </w:pPr>
    </w:p>
    <w:p w14:paraId="3ED31D52" w14:textId="77777777" w:rsidR="00146ED8" w:rsidRDefault="003B14CC" w:rsidP="00146ED8">
      <w:pPr>
        <w:jc w:val="both"/>
      </w:pPr>
      <w:r w:rsidRPr="00001100">
        <w:tab/>
      </w:r>
      <w:r w:rsidR="000F24DD" w:rsidRPr="00001100">
        <w:t xml:space="preserve">Ratios are invaluable resources and can act as benchmarks for dashboards indicating the relationships between one account and another within and across different financial statements.  Thus, utilizing the guidelines in the </w:t>
      </w:r>
      <w:r w:rsidRPr="00001100">
        <w:t xml:space="preserve">Uniform System of Financial Reporting for Clubs, </w:t>
      </w:r>
      <w:r w:rsidR="000F24DD" w:rsidRPr="00001100">
        <w:t xml:space="preserve">information about </w:t>
      </w:r>
      <w:r w:rsidRPr="00001100">
        <w:t xml:space="preserve">key balance sheet and statement of activities accounts </w:t>
      </w:r>
      <w:r w:rsidR="003D4BFA" w:rsidRPr="00001100">
        <w:t>were</w:t>
      </w:r>
      <w:r w:rsidRPr="00001100">
        <w:t xml:space="preserve"> collected</w:t>
      </w:r>
      <w:r w:rsidR="000F24DD" w:rsidRPr="00001100">
        <w:t xml:space="preserve">, and ratios were calculated, </w:t>
      </w:r>
      <w:r w:rsidRPr="00001100">
        <w:t>and reported</w:t>
      </w:r>
      <w:r w:rsidR="000F24DD" w:rsidRPr="00001100">
        <w:t xml:space="preserve">.  However, it is also </w:t>
      </w:r>
      <w:r w:rsidR="009A71A9" w:rsidRPr="00001100">
        <w:t xml:space="preserve">interesting </w:t>
      </w:r>
      <w:r w:rsidR="000F24DD" w:rsidRPr="00001100">
        <w:t>to look at the raw data itself and compare the differences between top and low performing groups, to see if certain patterns exist</w:t>
      </w:r>
      <w:r w:rsidR="00C20AD4" w:rsidRPr="00001100">
        <w:t xml:space="preserve"> </w:t>
      </w:r>
      <w:r w:rsidR="000F24DD" w:rsidRPr="00001100">
        <w:t xml:space="preserve">that perhaps club managers can be alerted.  Therefore, besides analyzing the set of twenty-four ratios, it is also wise to analyze the key dollar amounts in the financial statements.  </w:t>
      </w:r>
    </w:p>
    <w:p w14:paraId="63F97E72" w14:textId="51BCF1CE" w:rsidR="00833589" w:rsidRDefault="00EE137F" w:rsidP="00146ED8">
      <w:pPr>
        <w:jc w:val="both"/>
      </w:pPr>
      <w:r w:rsidRPr="00001100">
        <w:tab/>
        <w:t xml:space="preserve">Table 3 summarizes the balance sheet key accounts information for both top and low performers.  The averages are medians and therefore will not add to a total and only selected amounts are shown.  The dollar difference and percentage difference are also presented between the low and top performing clubs.  In terms of current assets, the top performers carried almost 65% more cash than the low performers at the end of the year.  It is also expected that since the top performers have clubs of all sizes and the low performers are largely smaller clubs, the top performers would have a larger balance in account receivables and inventories.  Although it is true in the case of accounts receivables and beverage inventories, it is not so for food.  The top performers are able to carry about 19% less in food </w:t>
      </w:r>
      <w:proofErr w:type="gramStart"/>
      <w:r w:rsidRPr="00001100">
        <w:t>inventory which</w:t>
      </w:r>
      <w:proofErr w:type="gramEnd"/>
      <w:r w:rsidRPr="00001100">
        <w:t xml:space="preserve"> amounts to around $7,000 at the end of the year.  </w:t>
      </w:r>
    </w:p>
    <w:p w14:paraId="000D7231" w14:textId="77777777" w:rsidR="00EE137F" w:rsidRDefault="00EE137F" w:rsidP="00146ED8">
      <w:pPr>
        <w:jc w:val="both"/>
        <w:rPr>
          <w:u w:val="single"/>
        </w:rPr>
      </w:pPr>
    </w:p>
    <w:p w14:paraId="7EA9B06E" w14:textId="77777777" w:rsidR="00146ED8" w:rsidRDefault="00146ED8" w:rsidP="00146ED8">
      <w:pPr>
        <w:jc w:val="both"/>
        <w:rPr>
          <w:u w:val="single"/>
        </w:rPr>
      </w:pPr>
      <w:r w:rsidRPr="00001100">
        <w:rPr>
          <w:u w:val="single"/>
        </w:rPr>
        <w:lastRenderedPageBreak/>
        <w:t>Table 3.  Key Balance Sheet Financial Data Differences End of 2011 (Medians)</w:t>
      </w:r>
    </w:p>
    <w:p w14:paraId="4EE25742" w14:textId="77777777" w:rsidR="004A53F0" w:rsidRPr="00146ED8" w:rsidRDefault="004A53F0" w:rsidP="00146ED8">
      <w:pPr>
        <w:jc w:val="both"/>
      </w:pPr>
    </w:p>
    <w:tbl>
      <w:tblPr>
        <w:tblW w:w="8295" w:type="dxa"/>
        <w:tblInd w:w="93" w:type="dxa"/>
        <w:tblLayout w:type="fixed"/>
        <w:tblLook w:val="04A0" w:firstRow="1" w:lastRow="0" w:firstColumn="1" w:lastColumn="0" w:noHBand="0" w:noVBand="1"/>
      </w:tblPr>
      <w:tblGrid>
        <w:gridCol w:w="1365"/>
        <w:gridCol w:w="1350"/>
        <w:gridCol w:w="1440"/>
        <w:gridCol w:w="1440"/>
        <w:gridCol w:w="1350"/>
        <w:gridCol w:w="1350"/>
      </w:tblGrid>
      <w:tr w:rsidR="00146ED8" w:rsidRPr="00001100" w14:paraId="32D16D41" w14:textId="77777777" w:rsidTr="00146ED8">
        <w:trPr>
          <w:trHeight w:val="630"/>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A5D03" w14:textId="77777777" w:rsidR="00146ED8" w:rsidRPr="00001100" w:rsidRDefault="00146ED8" w:rsidP="00146ED8">
            <w:pPr>
              <w:jc w:val="center"/>
              <w:rPr>
                <w:color w:val="000000"/>
              </w:rPr>
            </w:pPr>
          </w:p>
        </w:tc>
        <w:tc>
          <w:tcPr>
            <w:tcW w:w="1350" w:type="dxa"/>
            <w:tcBorders>
              <w:top w:val="single" w:sz="4" w:space="0" w:color="auto"/>
              <w:left w:val="nil"/>
              <w:bottom w:val="single" w:sz="4" w:space="0" w:color="auto"/>
              <w:right w:val="single" w:sz="4" w:space="0" w:color="auto"/>
            </w:tcBorders>
            <w:vAlign w:val="bottom"/>
          </w:tcPr>
          <w:p w14:paraId="460F145B" w14:textId="77777777" w:rsidR="00146ED8" w:rsidRPr="00001100" w:rsidRDefault="00146ED8" w:rsidP="00146ED8">
            <w:pPr>
              <w:jc w:val="center"/>
              <w:rPr>
                <w:b/>
                <w:bCs/>
                <w:color w:val="000000"/>
              </w:rPr>
            </w:pPr>
            <w:r w:rsidRPr="00001100">
              <w:rPr>
                <w:b/>
                <w:bCs/>
                <w:color w:val="000000"/>
              </w:rPr>
              <w:t>Median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CBFD9" w14:textId="77777777" w:rsidR="00146ED8" w:rsidRPr="00001100" w:rsidRDefault="00146ED8" w:rsidP="00146ED8">
            <w:pPr>
              <w:jc w:val="center"/>
              <w:rPr>
                <w:b/>
                <w:bCs/>
                <w:color w:val="000000"/>
              </w:rPr>
            </w:pPr>
            <w:r w:rsidRPr="00001100">
              <w:rPr>
                <w:b/>
                <w:bCs/>
                <w:color w:val="000000"/>
              </w:rPr>
              <w:t>Low Performers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1A8CB09" w14:textId="77777777" w:rsidR="00146ED8" w:rsidRPr="00001100" w:rsidRDefault="00146ED8" w:rsidP="00146ED8">
            <w:pPr>
              <w:jc w:val="center"/>
              <w:rPr>
                <w:b/>
                <w:bCs/>
                <w:color w:val="000000"/>
              </w:rPr>
            </w:pPr>
            <w:r w:rsidRPr="00001100">
              <w:rPr>
                <w:b/>
                <w:bCs/>
                <w:color w:val="000000"/>
              </w:rPr>
              <w:t>Top Performers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738204FD" w14:textId="77777777" w:rsidR="00146ED8" w:rsidRPr="00001100" w:rsidRDefault="00146ED8" w:rsidP="00146ED8">
            <w:pPr>
              <w:jc w:val="center"/>
              <w:rPr>
                <w:b/>
                <w:bCs/>
                <w:color w:val="000000"/>
              </w:rPr>
            </w:pPr>
            <w:r>
              <w:rPr>
                <w:b/>
                <w:bCs/>
                <w:color w:val="000000"/>
              </w:rPr>
              <w:t xml:space="preserve">$ </w:t>
            </w:r>
            <w:proofErr w:type="spellStart"/>
            <w:r w:rsidRPr="00001100">
              <w:rPr>
                <w:b/>
                <w:bCs/>
                <w:color w:val="000000"/>
              </w:rPr>
              <w:t>Dif</w:t>
            </w:r>
            <w:r>
              <w:rPr>
                <w:b/>
                <w:bCs/>
                <w:color w:val="000000"/>
              </w:rPr>
              <w:t>-</w:t>
            </w:r>
            <w:r w:rsidRPr="00001100">
              <w:rPr>
                <w:b/>
                <w:bCs/>
                <w:color w:val="000000"/>
              </w:rPr>
              <w:t>ference</w:t>
            </w:r>
            <w:proofErr w:type="spellEnd"/>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5E064D54" w14:textId="77777777" w:rsidR="00146ED8" w:rsidRPr="00001100" w:rsidRDefault="00146ED8" w:rsidP="00146ED8">
            <w:pPr>
              <w:jc w:val="center"/>
              <w:rPr>
                <w:b/>
                <w:bCs/>
                <w:color w:val="000000"/>
              </w:rPr>
            </w:pPr>
            <w:r>
              <w:rPr>
                <w:b/>
                <w:bCs/>
                <w:color w:val="000000"/>
              </w:rPr>
              <w:t xml:space="preserve">% </w:t>
            </w:r>
            <w:proofErr w:type="spellStart"/>
            <w:r w:rsidRPr="00001100">
              <w:rPr>
                <w:b/>
                <w:bCs/>
                <w:color w:val="000000"/>
              </w:rPr>
              <w:t>Dif</w:t>
            </w:r>
            <w:r>
              <w:rPr>
                <w:b/>
                <w:bCs/>
                <w:color w:val="000000"/>
              </w:rPr>
              <w:t>-</w:t>
            </w:r>
            <w:r w:rsidRPr="00001100">
              <w:rPr>
                <w:b/>
                <w:bCs/>
                <w:color w:val="000000"/>
              </w:rPr>
              <w:t>ference</w:t>
            </w:r>
            <w:proofErr w:type="spellEnd"/>
          </w:p>
        </w:tc>
      </w:tr>
      <w:tr w:rsidR="00146ED8" w:rsidRPr="00001100" w14:paraId="2D247C25" w14:textId="77777777" w:rsidTr="00146ED8">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27591302" w14:textId="77777777" w:rsidR="00146ED8" w:rsidRPr="00001100" w:rsidRDefault="00146ED8" w:rsidP="00146ED8">
            <w:pPr>
              <w:rPr>
                <w:color w:val="000000"/>
              </w:rPr>
            </w:pPr>
            <w:r w:rsidRPr="00001100">
              <w:rPr>
                <w:color w:val="000000"/>
              </w:rPr>
              <w:t>Cash</w:t>
            </w:r>
          </w:p>
        </w:tc>
        <w:tc>
          <w:tcPr>
            <w:tcW w:w="1350" w:type="dxa"/>
            <w:tcBorders>
              <w:top w:val="single" w:sz="4" w:space="0" w:color="auto"/>
              <w:left w:val="nil"/>
              <w:bottom w:val="single" w:sz="4" w:space="0" w:color="auto"/>
              <w:right w:val="single" w:sz="4" w:space="0" w:color="auto"/>
            </w:tcBorders>
          </w:tcPr>
          <w:p w14:paraId="1F3AF6A4" w14:textId="77777777" w:rsidR="00146ED8" w:rsidRPr="00001100" w:rsidRDefault="00146ED8" w:rsidP="00146ED8">
            <w:pPr>
              <w:jc w:val="right"/>
              <w:rPr>
                <w:color w:val="000000"/>
              </w:rPr>
            </w:pPr>
          </w:p>
          <w:p w14:paraId="3414ACEC" w14:textId="77777777" w:rsidR="00146ED8" w:rsidRPr="00001100" w:rsidRDefault="00146ED8" w:rsidP="00146ED8">
            <w:pPr>
              <w:jc w:val="right"/>
              <w:rPr>
                <w:color w:val="000000"/>
              </w:rPr>
            </w:pPr>
            <w:r w:rsidRPr="00001100">
              <w:rPr>
                <w:color w:val="000000"/>
              </w:rPr>
              <w:t>$946,547</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83AAE2E" w14:textId="77777777" w:rsidR="00146ED8" w:rsidRPr="00001100" w:rsidRDefault="00146ED8" w:rsidP="00146ED8">
            <w:pPr>
              <w:jc w:val="right"/>
              <w:rPr>
                <w:color w:val="000000"/>
              </w:rPr>
            </w:pPr>
            <w:r w:rsidRPr="00001100">
              <w:rPr>
                <w:color w:val="000000"/>
              </w:rPr>
              <w:t>$741,938</w:t>
            </w:r>
          </w:p>
        </w:tc>
        <w:tc>
          <w:tcPr>
            <w:tcW w:w="1440" w:type="dxa"/>
            <w:tcBorders>
              <w:top w:val="nil"/>
              <w:left w:val="nil"/>
              <w:bottom w:val="single" w:sz="4" w:space="0" w:color="auto"/>
              <w:right w:val="single" w:sz="4" w:space="0" w:color="auto"/>
            </w:tcBorders>
            <w:shd w:val="clear" w:color="auto" w:fill="auto"/>
            <w:noWrap/>
            <w:vAlign w:val="bottom"/>
            <w:hideMark/>
          </w:tcPr>
          <w:p w14:paraId="1E38E963" w14:textId="77777777" w:rsidR="00146ED8" w:rsidRPr="00001100" w:rsidRDefault="00146ED8" w:rsidP="00146ED8">
            <w:pPr>
              <w:jc w:val="right"/>
              <w:rPr>
                <w:color w:val="000000"/>
              </w:rPr>
            </w:pPr>
            <w:r w:rsidRPr="00001100">
              <w:rPr>
                <w:color w:val="000000"/>
              </w:rPr>
              <w:t>$1,220,828</w:t>
            </w:r>
          </w:p>
        </w:tc>
        <w:tc>
          <w:tcPr>
            <w:tcW w:w="1350" w:type="dxa"/>
            <w:tcBorders>
              <w:top w:val="nil"/>
              <w:left w:val="nil"/>
              <w:bottom w:val="single" w:sz="4" w:space="0" w:color="auto"/>
              <w:right w:val="single" w:sz="4" w:space="0" w:color="auto"/>
            </w:tcBorders>
            <w:shd w:val="clear" w:color="auto" w:fill="auto"/>
            <w:noWrap/>
            <w:vAlign w:val="bottom"/>
            <w:hideMark/>
          </w:tcPr>
          <w:p w14:paraId="085E4A2B" w14:textId="77777777" w:rsidR="00146ED8" w:rsidRPr="00001100" w:rsidRDefault="00146ED8" w:rsidP="00146ED8">
            <w:pPr>
              <w:jc w:val="right"/>
              <w:rPr>
                <w:color w:val="000000"/>
              </w:rPr>
            </w:pPr>
            <w:r w:rsidRPr="00001100">
              <w:rPr>
                <w:color w:val="000000"/>
              </w:rPr>
              <w:t>$478,890</w:t>
            </w:r>
          </w:p>
        </w:tc>
        <w:tc>
          <w:tcPr>
            <w:tcW w:w="1350" w:type="dxa"/>
            <w:tcBorders>
              <w:top w:val="nil"/>
              <w:left w:val="nil"/>
              <w:bottom w:val="single" w:sz="4" w:space="0" w:color="auto"/>
              <w:right w:val="single" w:sz="4" w:space="0" w:color="auto"/>
            </w:tcBorders>
            <w:shd w:val="clear" w:color="auto" w:fill="auto"/>
            <w:noWrap/>
            <w:vAlign w:val="bottom"/>
            <w:hideMark/>
          </w:tcPr>
          <w:p w14:paraId="245006E0" w14:textId="77777777" w:rsidR="00146ED8" w:rsidRPr="00001100" w:rsidRDefault="00146ED8" w:rsidP="00146ED8">
            <w:pPr>
              <w:ind w:right="144"/>
              <w:jc w:val="right"/>
              <w:rPr>
                <w:color w:val="000000"/>
              </w:rPr>
            </w:pPr>
            <w:r w:rsidRPr="00001100">
              <w:rPr>
                <w:color w:val="000000"/>
              </w:rPr>
              <w:t>64.55%</w:t>
            </w:r>
          </w:p>
        </w:tc>
      </w:tr>
      <w:tr w:rsidR="00146ED8" w:rsidRPr="00001100" w14:paraId="7C0E815C" w14:textId="77777777" w:rsidTr="00146ED8">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6BBB56D4" w14:textId="77777777" w:rsidR="00146ED8" w:rsidRPr="00001100" w:rsidRDefault="00146ED8" w:rsidP="00146ED8">
            <w:pPr>
              <w:rPr>
                <w:color w:val="000000"/>
              </w:rPr>
            </w:pPr>
            <w:r w:rsidRPr="00001100">
              <w:rPr>
                <w:color w:val="000000"/>
              </w:rPr>
              <w:t>Accounts Receivable</w:t>
            </w:r>
          </w:p>
        </w:tc>
        <w:tc>
          <w:tcPr>
            <w:tcW w:w="1350" w:type="dxa"/>
            <w:tcBorders>
              <w:top w:val="single" w:sz="4" w:space="0" w:color="auto"/>
              <w:left w:val="nil"/>
              <w:bottom w:val="single" w:sz="4" w:space="0" w:color="auto"/>
              <w:right w:val="single" w:sz="4" w:space="0" w:color="auto"/>
            </w:tcBorders>
          </w:tcPr>
          <w:p w14:paraId="0CFEF67C" w14:textId="77777777" w:rsidR="00146ED8" w:rsidRPr="00001100" w:rsidRDefault="00146ED8" w:rsidP="00146ED8">
            <w:pPr>
              <w:jc w:val="right"/>
              <w:rPr>
                <w:color w:val="000000"/>
              </w:rPr>
            </w:pPr>
          </w:p>
          <w:p w14:paraId="2C42A314" w14:textId="77777777" w:rsidR="00146ED8" w:rsidRPr="00001100" w:rsidRDefault="00146ED8" w:rsidP="00146ED8">
            <w:pPr>
              <w:jc w:val="right"/>
              <w:rPr>
                <w:color w:val="000000"/>
              </w:rPr>
            </w:pPr>
            <w:r w:rsidRPr="00001100">
              <w:rPr>
                <w:color w:val="000000"/>
              </w:rPr>
              <w:t>737,000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376FA4E" w14:textId="77777777" w:rsidR="00146ED8" w:rsidRPr="00001100" w:rsidRDefault="00146ED8" w:rsidP="00146ED8">
            <w:pPr>
              <w:jc w:val="right"/>
              <w:rPr>
                <w:color w:val="000000"/>
              </w:rPr>
            </w:pPr>
            <w:r w:rsidRPr="00001100">
              <w:rPr>
                <w:color w:val="000000"/>
              </w:rPr>
              <w:t>673,417</w:t>
            </w:r>
          </w:p>
        </w:tc>
        <w:tc>
          <w:tcPr>
            <w:tcW w:w="1440" w:type="dxa"/>
            <w:tcBorders>
              <w:top w:val="nil"/>
              <w:left w:val="nil"/>
              <w:bottom w:val="single" w:sz="4" w:space="0" w:color="auto"/>
              <w:right w:val="single" w:sz="4" w:space="0" w:color="auto"/>
            </w:tcBorders>
            <w:shd w:val="clear" w:color="auto" w:fill="auto"/>
            <w:noWrap/>
            <w:vAlign w:val="bottom"/>
            <w:hideMark/>
          </w:tcPr>
          <w:p w14:paraId="566D331D" w14:textId="77777777" w:rsidR="00146ED8" w:rsidRPr="00001100" w:rsidRDefault="00146ED8" w:rsidP="00146ED8">
            <w:pPr>
              <w:jc w:val="right"/>
              <w:rPr>
                <w:color w:val="000000"/>
              </w:rPr>
            </w:pPr>
            <w:r w:rsidRPr="00001100">
              <w:rPr>
                <w:color w:val="000000"/>
              </w:rPr>
              <w:t>823,525</w:t>
            </w:r>
          </w:p>
        </w:tc>
        <w:tc>
          <w:tcPr>
            <w:tcW w:w="1350" w:type="dxa"/>
            <w:tcBorders>
              <w:top w:val="nil"/>
              <w:left w:val="nil"/>
              <w:bottom w:val="single" w:sz="4" w:space="0" w:color="auto"/>
              <w:right w:val="single" w:sz="4" w:space="0" w:color="auto"/>
            </w:tcBorders>
            <w:shd w:val="clear" w:color="auto" w:fill="auto"/>
            <w:noWrap/>
            <w:vAlign w:val="bottom"/>
            <w:hideMark/>
          </w:tcPr>
          <w:p w14:paraId="364EC2E4" w14:textId="77777777" w:rsidR="00146ED8" w:rsidRPr="00001100" w:rsidRDefault="00146ED8" w:rsidP="00146ED8">
            <w:pPr>
              <w:jc w:val="right"/>
              <w:rPr>
                <w:color w:val="000000"/>
              </w:rPr>
            </w:pPr>
            <w:r w:rsidRPr="00001100">
              <w:rPr>
                <w:color w:val="000000"/>
              </w:rPr>
              <w:t>150,108</w:t>
            </w:r>
          </w:p>
        </w:tc>
        <w:tc>
          <w:tcPr>
            <w:tcW w:w="1350" w:type="dxa"/>
            <w:tcBorders>
              <w:top w:val="nil"/>
              <w:left w:val="nil"/>
              <w:bottom w:val="single" w:sz="4" w:space="0" w:color="auto"/>
              <w:right w:val="single" w:sz="4" w:space="0" w:color="auto"/>
            </w:tcBorders>
            <w:shd w:val="clear" w:color="auto" w:fill="auto"/>
            <w:noWrap/>
            <w:vAlign w:val="bottom"/>
            <w:hideMark/>
          </w:tcPr>
          <w:p w14:paraId="06977920" w14:textId="77777777" w:rsidR="00146ED8" w:rsidRPr="00001100" w:rsidRDefault="00146ED8" w:rsidP="00146ED8">
            <w:pPr>
              <w:ind w:right="339"/>
              <w:jc w:val="right"/>
              <w:rPr>
                <w:color w:val="000000"/>
              </w:rPr>
            </w:pPr>
            <w:r w:rsidRPr="00001100">
              <w:rPr>
                <w:color w:val="000000"/>
              </w:rPr>
              <w:t>22.29</w:t>
            </w:r>
          </w:p>
        </w:tc>
      </w:tr>
      <w:tr w:rsidR="00146ED8" w:rsidRPr="00001100" w14:paraId="7B715B25" w14:textId="77777777" w:rsidTr="00146ED8">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5385A43A" w14:textId="77777777" w:rsidR="00146ED8" w:rsidRPr="00001100" w:rsidRDefault="00146ED8" w:rsidP="00146ED8">
            <w:pPr>
              <w:rPr>
                <w:color w:val="000000"/>
              </w:rPr>
            </w:pPr>
            <w:r w:rsidRPr="00001100">
              <w:rPr>
                <w:color w:val="000000"/>
              </w:rPr>
              <w:t>Food Inventory</w:t>
            </w:r>
          </w:p>
        </w:tc>
        <w:tc>
          <w:tcPr>
            <w:tcW w:w="1350" w:type="dxa"/>
            <w:tcBorders>
              <w:top w:val="single" w:sz="4" w:space="0" w:color="auto"/>
              <w:left w:val="nil"/>
              <w:bottom w:val="single" w:sz="4" w:space="0" w:color="auto"/>
              <w:right w:val="single" w:sz="4" w:space="0" w:color="auto"/>
            </w:tcBorders>
          </w:tcPr>
          <w:p w14:paraId="48FA1E03" w14:textId="77777777" w:rsidR="00146ED8" w:rsidRPr="00001100" w:rsidRDefault="00146ED8" w:rsidP="00146ED8">
            <w:pPr>
              <w:jc w:val="right"/>
              <w:rPr>
                <w:color w:val="000000"/>
              </w:rPr>
            </w:pPr>
          </w:p>
          <w:p w14:paraId="3E5E23DE" w14:textId="77777777" w:rsidR="00146ED8" w:rsidRPr="00001100" w:rsidRDefault="00146ED8" w:rsidP="00146ED8">
            <w:pPr>
              <w:jc w:val="right"/>
              <w:rPr>
                <w:color w:val="000000"/>
              </w:rPr>
            </w:pPr>
            <w:r w:rsidRPr="00001100">
              <w:rPr>
                <w:color w:val="000000"/>
              </w:rPr>
              <w:t>31,400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3C92E021" w14:textId="77777777" w:rsidR="00146ED8" w:rsidRPr="00001100" w:rsidRDefault="00146ED8" w:rsidP="00146ED8">
            <w:pPr>
              <w:jc w:val="right"/>
              <w:rPr>
                <w:color w:val="000000"/>
              </w:rPr>
            </w:pPr>
            <w:r w:rsidRPr="00001100">
              <w:rPr>
                <w:color w:val="000000"/>
              </w:rPr>
              <w:t>36,102</w:t>
            </w:r>
          </w:p>
        </w:tc>
        <w:tc>
          <w:tcPr>
            <w:tcW w:w="1440" w:type="dxa"/>
            <w:tcBorders>
              <w:top w:val="nil"/>
              <w:left w:val="nil"/>
              <w:bottom w:val="single" w:sz="4" w:space="0" w:color="auto"/>
              <w:right w:val="single" w:sz="4" w:space="0" w:color="auto"/>
            </w:tcBorders>
            <w:shd w:val="clear" w:color="auto" w:fill="auto"/>
            <w:noWrap/>
            <w:vAlign w:val="bottom"/>
            <w:hideMark/>
          </w:tcPr>
          <w:p w14:paraId="69AD1BB7" w14:textId="77777777" w:rsidR="00146ED8" w:rsidRPr="00001100" w:rsidRDefault="00146ED8" w:rsidP="00146ED8">
            <w:pPr>
              <w:jc w:val="right"/>
              <w:rPr>
                <w:color w:val="000000"/>
              </w:rPr>
            </w:pPr>
            <w:r w:rsidRPr="00001100">
              <w:rPr>
                <w:color w:val="000000"/>
              </w:rPr>
              <w:t>29,243</w:t>
            </w:r>
          </w:p>
        </w:tc>
        <w:tc>
          <w:tcPr>
            <w:tcW w:w="1350" w:type="dxa"/>
            <w:tcBorders>
              <w:top w:val="nil"/>
              <w:left w:val="nil"/>
              <w:bottom w:val="single" w:sz="4" w:space="0" w:color="auto"/>
              <w:right w:val="single" w:sz="4" w:space="0" w:color="auto"/>
            </w:tcBorders>
            <w:shd w:val="clear" w:color="auto" w:fill="auto"/>
            <w:noWrap/>
            <w:vAlign w:val="bottom"/>
            <w:hideMark/>
          </w:tcPr>
          <w:p w14:paraId="310D317E" w14:textId="77777777" w:rsidR="00146ED8" w:rsidRPr="00001100" w:rsidRDefault="00146ED8" w:rsidP="00146ED8">
            <w:pPr>
              <w:jc w:val="right"/>
              <w:rPr>
                <w:color w:val="000000"/>
              </w:rPr>
            </w:pPr>
            <w:r w:rsidRPr="00001100">
              <w:rPr>
                <w:color w:val="FF0000"/>
              </w:rPr>
              <w:t>(6,859)</w:t>
            </w:r>
          </w:p>
        </w:tc>
        <w:tc>
          <w:tcPr>
            <w:tcW w:w="1350" w:type="dxa"/>
            <w:tcBorders>
              <w:top w:val="nil"/>
              <w:left w:val="nil"/>
              <w:bottom w:val="single" w:sz="4" w:space="0" w:color="auto"/>
              <w:right w:val="single" w:sz="4" w:space="0" w:color="auto"/>
            </w:tcBorders>
            <w:shd w:val="clear" w:color="auto" w:fill="auto"/>
            <w:noWrap/>
            <w:vAlign w:val="bottom"/>
            <w:hideMark/>
          </w:tcPr>
          <w:p w14:paraId="62308BD5" w14:textId="77777777" w:rsidR="00146ED8" w:rsidRPr="00001100" w:rsidRDefault="00146ED8" w:rsidP="00146ED8">
            <w:pPr>
              <w:ind w:right="339"/>
              <w:jc w:val="right"/>
              <w:rPr>
                <w:color w:val="000000"/>
              </w:rPr>
            </w:pPr>
            <w:r w:rsidRPr="00001100">
              <w:rPr>
                <w:color w:val="000000"/>
              </w:rPr>
              <w:t>-19.00</w:t>
            </w:r>
          </w:p>
        </w:tc>
      </w:tr>
      <w:tr w:rsidR="00146ED8" w:rsidRPr="00001100" w14:paraId="405B79B9" w14:textId="77777777" w:rsidTr="00146ED8">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46C28271" w14:textId="77777777" w:rsidR="00146ED8" w:rsidRPr="00001100" w:rsidRDefault="00146ED8" w:rsidP="00146ED8">
            <w:pPr>
              <w:rPr>
                <w:color w:val="000000"/>
              </w:rPr>
            </w:pPr>
            <w:r w:rsidRPr="00001100">
              <w:rPr>
                <w:color w:val="000000"/>
              </w:rPr>
              <w:t>Beverage Inventory</w:t>
            </w:r>
          </w:p>
        </w:tc>
        <w:tc>
          <w:tcPr>
            <w:tcW w:w="1350" w:type="dxa"/>
            <w:tcBorders>
              <w:top w:val="single" w:sz="4" w:space="0" w:color="auto"/>
              <w:left w:val="nil"/>
              <w:bottom w:val="single" w:sz="4" w:space="0" w:color="auto"/>
              <w:right w:val="single" w:sz="4" w:space="0" w:color="auto"/>
            </w:tcBorders>
          </w:tcPr>
          <w:p w14:paraId="2F130763" w14:textId="77777777" w:rsidR="00146ED8" w:rsidRPr="00001100" w:rsidRDefault="00146ED8" w:rsidP="00146ED8">
            <w:pPr>
              <w:jc w:val="right"/>
              <w:rPr>
                <w:color w:val="000000"/>
              </w:rPr>
            </w:pPr>
          </w:p>
          <w:p w14:paraId="080F2EBF" w14:textId="77777777" w:rsidR="00146ED8" w:rsidRPr="00001100" w:rsidRDefault="00146ED8" w:rsidP="00146ED8">
            <w:pPr>
              <w:jc w:val="right"/>
              <w:rPr>
                <w:color w:val="000000"/>
              </w:rPr>
            </w:pPr>
            <w:r w:rsidRPr="00001100">
              <w:rPr>
                <w:color w:val="000000"/>
              </w:rPr>
              <w:t>55,718</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980F754" w14:textId="77777777" w:rsidR="00146ED8" w:rsidRPr="00001100" w:rsidRDefault="00146ED8" w:rsidP="00146ED8">
            <w:pPr>
              <w:jc w:val="right"/>
              <w:rPr>
                <w:color w:val="000000"/>
              </w:rPr>
            </w:pPr>
            <w:r w:rsidRPr="00001100">
              <w:rPr>
                <w:color w:val="000000"/>
              </w:rPr>
              <w:t>45,444</w:t>
            </w:r>
          </w:p>
        </w:tc>
        <w:tc>
          <w:tcPr>
            <w:tcW w:w="1440" w:type="dxa"/>
            <w:tcBorders>
              <w:top w:val="nil"/>
              <w:left w:val="nil"/>
              <w:bottom w:val="single" w:sz="4" w:space="0" w:color="auto"/>
              <w:right w:val="single" w:sz="4" w:space="0" w:color="auto"/>
            </w:tcBorders>
            <w:shd w:val="clear" w:color="auto" w:fill="auto"/>
            <w:noWrap/>
            <w:vAlign w:val="bottom"/>
            <w:hideMark/>
          </w:tcPr>
          <w:p w14:paraId="739D3637" w14:textId="77777777" w:rsidR="00146ED8" w:rsidRPr="00001100" w:rsidRDefault="00146ED8" w:rsidP="00146ED8">
            <w:pPr>
              <w:jc w:val="right"/>
              <w:rPr>
                <w:color w:val="000000"/>
              </w:rPr>
            </w:pPr>
            <w:r w:rsidRPr="00001100">
              <w:rPr>
                <w:color w:val="000000"/>
              </w:rPr>
              <w:t>153,003</w:t>
            </w:r>
          </w:p>
        </w:tc>
        <w:tc>
          <w:tcPr>
            <w:tcW w:w="1350" w:type="dxa"/>
            <w:tcBorders>
              <w:top w:val="nil"/>
              <w:left w:val="nil"/>
              <w:bottom w:val="single" w:sz="4" w:space="0" w:color="auto"/>
              <w:right w:val="single" w:sz="4" w:space="0" w:color="auto"/>
            </w:tcBorders>
            <w:shd w:val="clear" w:color="auto" w:fill="auto"/>
            <w:noWrap/>
            <w:vAlign w:val="bottom"/>
            <w:hideMark/>
          </w:tcPr>
          <w:p w14:paraId="7135E0FA" w14:textId="77777777" w:rsidR="00146ED8" w:rsidRPr="00001100" w:rsidRDefault="00146ED8" w:rsidP="00146ED8">
            <w:pPr>
              <w:jc w:val="right"/>
              <w:rPr>
                <w:color w:val="000000"/>
              </w:rPr>
            </w:pPr>
            <w:r w:rsidRPr="00001100">
              <w:rPr>
                <w:color w:val="000000"/>
              </w:rPr>
              <w:t>107,559</w:t>
            </w:r>
          </w:p>
        </w:tc>
        <w:tc>
          <w:tcPr>
            <w:tcW w:w="1350" w:type="dxa"/>
            <w:tcBorders>
              <w:top w:val="nil"/>
              <w:left w:val="nil"/>
              <w:bottom w:val="single" w:sz="4" w:space="0" w:color="auto"/>
              <w:right w:val="single" w:sz="4" w:space="0" w:color="auto"/>
            </w:tcBorders>
            <w:shd w:val="clear" w:color="auto" w:fill="auto"/>
            <w:noWrap/>
            <w:vAlign w:val="bottom"/>
            <w:hideMark/>
          </w:tcPr>
          <w:p w14:paraId="3B04C08B" w14:textId="77777777" w:rsidR="00146ED8" w:rsidRPr="00001100" w:rsidRDefault="00146ED8" w:rsidP="00146ED8">
            <w:pPr>
              <w:ind w:right="339"/>
              <w:jc w:val="right"/>
              <w:rPr>
                <w:color w:val="000000"/>
              </w:rPr>
            </w:pPr>
            <w:r w:rsidRPr="00001100">
              <w:rPr>
                <w:color w:val="000000"/>
              </w:rPr>
              <w:t>236.68</w:t>
            </w:r>
          </w:p>
        </w:tc>
      </w:tr>
      <w:tr w:rsidR="00146ED8" w:rsidRPr="00001100" w14:paraId="599A844C" w14:textId="77777777" w:rsidTr="00146ED8">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10599742" w14:textId="77777777" w:rsidR="00146ED8" w:rsidRPr="00001100" w:rsidRDefault="00146ED8" w:rsidP="00146ED8">
            <w:pPr>
              <w:rPr>
                <w:color w:val="000000"/>
              </w:rPr>
            </w:pPr>
            <w:r w:rsidRPr="00001100">
              <w:rPr>
                <w:color w:val="000000"/>
              </w:rPr>
              <w:t>Total Current Assets</w:t>
            </w:r>
          </w:p>
        </w:tc>
        <w:tc>
          <w:tcPr>
            <w:tcW w:w="1350" w:type="dxa"/>
            <w:tcBorders>
              <w:top w:val="single" w:sz="4" w:space="0" w:color="auto"/>
              <w:left w:val="nil"/>
              <w:bottom w:val="single" w:sz="4" w:space="0" w:color="auto"/>
              <w:right w:val="single" w:sz="4" w:space="0" w:color="auto"/>
            </w:tcBorders>
          </w:tcPr>
          <w:p w14:paraId="580C8BC7" w14:textId="77777777" w:rsidR="00146ED8" w:rsidRPr="00001100" w:rsidRDefault="00146ED8" w:rsidP="00146ED8">
            <w:pPr>
              <w:jc w:val="right"/>
              <w:rPr>
                <w:color w:val="000000"/>
              </w:rPr>
            </w:pPr>
          </w:p>
          <w:p w14:paraId="745B3219" w14:textId="77777777" w:rsidR="00146ED8" w:rsidRDefault="00146ED8" w:rsidP="00146ED8">
            <w:pPr>
              <w:jc w:val="right"/>
              <w:rPr>
                <w:color w:val="000000"/>
              </w:rPr>
            </w:pPr>
          </w:p>
          <w:p w14:paraId="699DDCFE" w14:textId="77777777" w:rsidR="00146ED8" w:rsidRPr="00001100" w:rsidRDefault="00146ED8" w:rsidP="00146ED8">
            <w:pPr>
              <w:jc w:val="right"/>
              <w:rPr>
                <w:color w:val="000000"/>
              </w:rPr>
            </w:pPr>
            <w:r w:rsidRPr="00001100">
              <w:rPr>
                <w:color w:val="000000"/>
              </w:rPr>
              <w:t>2,404,860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6833FC79" w14:textId="77777777" w:rsidR="00146ED8" w:rsidRPr="00001100" w:rsidRDefault="00146ED8" w:rsidP="00146ED8">
            <w:pPr>
              <w:jc w:val="right"/>
              <w:rPr>
                <w:color w:val="000000"/>
              </w:rPr>
            </w:pPr>
            <w:r w:rsidRPr="00001100">
              <w:rPr>
                <w:color w:val="000000"/>
              </w:rPr>
              <w:t>1,416,244</w:t>
            </w:r>
          </w:p>
        </w:tc>
        <w:tc>
          <w:tcPr>
            <w:tcW w:w="1440" w:type="dxa"/>
            <w:tcBorders>
              <w:top w:val="nil"/>
              <w:left w:val="nil"/>
              <w:bottom w:val="single" w:sz="4" w:space="0" w:color="auto"/>
              <w:right w:val="single" w:sz="4" w:space="0" w:color="auto"/>
            </w:tcBorders>
            <w:shd w:val="clear" w:color="auto" w:fill="auto"/>
            <w:noWrap/>
            <w:vAlign w:val="bottom"/>
            <w:hideMark/>
          </w:tcPr>
          <w:p w14:paraId="2D69A5FE" w14:textId="77777777" w:rsidR="00146ED8" w:rsidRPr="00001100" w:rsidRDefault="00146ED8" w:rsidP="00146ED8">
            <w:pPr>
              <w:jc w:val="right"/>
              <w:rPr>
                <w:color w:val="000000"/>
              </w:rPr>
            </w:pPr>
            <w:r w:rsidRPr="00001100">
              <w:rPr>
                <w:color w:val="000000"/>
              </w:rPr>
              <w:t>3,664,000</w:t>
            </w:r>
          </w:p>
        </w:tc>
        <w:tc>
          <w:tcPr>
            <w:tcW w:w="1350" w:type="dxa"/>
            <w:tcBorders>
              <w:top w:val="nil"/>
              <w:left w:val="nil"/>
              <w:bottom w:val="single" w:sz="4" w:space="0" w:color="auto"/>
              <w:right w:val="single" w:sz="4" w:space="0" w:color="auto"/>
            </w:tcBorders>
            <w:shd w:val="clear" w:color="auto" w:fill="auto"/>
            <w:noWrap/>
            <w:vAlign w:val="bottom"/>
            <w:hideMark/>
          </w:tcPr>
          <w:p w14:paraId="4911DAAA" w14:textId="77777777" w:rsidR="00146ED8" w:rsidRPr="00001100" w:rsidRDefault="00146ED8" w:rsidP="00146ED8">
            <w:pPr>
              <w:jc w:val="right"/>
              <w:rPr>
                <w:color w:val="000000"/>
              </w:rPr>
            </w:pPr>
            <w:r w:rsidRPr="00001100">
              <w:rPr>
                <w:color w:val="000000"/>
              </w:rPr>
              <w:t>2,247,756</w:t>
            </w:r>
          </w:p>
        </w:tc>
        <w:tc>
          <w:tcPr>
            <w:tcW w:w="1350" w:type="dxa"/>
            <w:tcBorders>
              <w:top w:val="nil"/>
              <w:left w:val="nil"/>
              <w:bottom w:val="single" w:sz="4" w:space="0" w:color="auto"/>
              <w:right w:val="single" w:sz="4" w:space="0" w:color="auto"/>
            </w:tcBorders>
            <w:shd w:val="clear" w:color="auto" w:fill="auto"/>
            <w:noWrap/>
            <w:vAlign w:val="bottom"/>
            <w:hideMark/>
          </w:tcPr>
          <w:p w14:paraId="4CFE79FC" w14:textId="77777777" w:rsidR="00146ED8" w:rsidRPr="00001100" w:rsidRDefault="00146ED8" w:rsidP="00146ED8">
            <w:pPr>
              <w:ind w:right="339"/>
              <w:jc w:val="right"/>
              <w:rPr>
                <w:color w:val="000000"/>
              </w:rPr>
            </w:pPr>
            <w:r w:rsidRPr="00001100">
              <w:rPr>
                <w:color w:val="000000"/>
              </w:rPr>
              <w:t>158.71</w:t>
            </w:r>
          </w:p>
        </w:tc>
      </w:tr>
      <w:tr w:rsidR="00146ED8" w:rsidRPr="00001100" w14:paraId="7F996DA3" w14:textId="77777777" w:rsidTr="00146ED8">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17D249F4" w14:textId="77777777" w:rsidR="004A53F0" w:rsidRDefault="004A53F0" w:rsidP="00146ED8">
            <w:pPr>
              <w:rPr>
                <w:color w:val="000000"/>
              </w:rPr>
            </w:pPr>
          </w:p>
          <w:p w14:paraId="796BD028" w14:textId="77777777" w:rsidR="00146ED8" w:rsidRPr="00001100" w:rsidRDefault="00146ED8" w:rsidP="00146ED8">
            <w:pPr>
              <w:rPr>
                <w:color w:val="000000"/>
              </w:rPr>
            </w:pPr>
            <w:r w:rsidRPr="00001100">
              <w:rPr>
                <w:color w:val="000000"/>
              </w:rPr>
              <w:t>Total Fixed Assets (net)</w:t>
            </w:r>
          </w:p>
        </w:tc>
        <w:tc>
          <w:tcPr>
            <w:tcW w:w="1350" w:type="dxa"/>
            <w:tcBorders>
              <w:top w:val="single" w:sz="4" w:space="0" w:color="auto"/>
              <w:left w:val="nil"/>
              <w:bottom w:val="single" w:sz="4" w:space="0" w:color="auto"/>
              <w:right w:val="single" w:sz="4" w:space="0" w:color="auto"/>
            </w:tcBorders>
          </w:tcPr>
          <w:p w14:paraId="381D896A" w14:textId="77777777" w:rsidR="00146ED8" w:rsidRPr="00001100" w:rsidRDefault="00146ED8" w:rsidP="00146ED8">
            <w:pPr>
              <w:jc w:val="right"/>
              <w:rPr>
                <w:color w:val="000000"/>
              </w:rPr>
            </w:pPr>
          </w:p>
          <w:p w14:paraId="602D7D26" w14:textId="77777777" w:rsidR="00146ED8" w:rsidRPr="00001100" w:rsidRDefault="00146ED8" w:rsidP="00146ED8">
            <w:pPr>
              <w:jc w:val="right"/>
              <w:rPr>
                <w:color w:val="000000"/>
              </w:rPr>
            </w:pPr>
            <w:r w:rsidRPr="00001100">
              <w:rPr>
                <w:color w:val="000000"/>
              </w:rPr>
              <w:t>11,248,400</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4C270C3F" w14:textId="77777777" w:rsidR="00146ED8" w:rsidRPr="00001100" w:rsidRDefault="00146ED8" w:rsidP="00146ED8">
            <w:pPr>
              <w:jc w:val="right"/>
              <w:rPr>
                <w:color w:val="000000"/>
              </w:rPr>
            </w:pPr>
            <w:r w:rsidRPr="00001100">
              <w:rPr>
                <w:color w:val="000000"/>
              </w:rPr>
              <w:t>9,221,517</w:t>
            </w:r>
          </w:p>
        </w:tc>
        <w:tc>
          <w:tcPr>
            <w:tcW w:w="1440" w:type="dxa"/>
            <w:tcBorders>
              <w:top w:val="nil"/>
              <w:left w:val="nil"/>
              <w:bottom w:val="single" w:sz="4" w:space="0" w:color="auto"/>
              <w:right w:val="single" w:sz="4" w:space="0" w:color="auto"/>
            </w:tcBorders>
            <w:shd w:val="clear" w:color="auto" w:fill="auto"/>
            <w:noWrap/>
            <w:vAlign w:val="bottom"/>
            <w:hideMark/>
          </w:tcPr>
          <w:p w14:paraId="110DA6E1" w14:textId="77777777" w:rsidR="00146ED8" w:rsidRPr="00001100" w:rsidRDefault="00146ED8" w:rsidP="00146ED8">
            <w:pPr>
              <w:jc w:val="right"/>
              <w:rPr>
                <w:color w:val="000000"/>
              </w:rPr>
            </w:pPr>
            <w:r w:rsidRPr="00001100">
              <w:rPr>
                <w:color w:val="000000"/>
              </w:rPr>
              <w:t>12,843,954</w:t>
            </w:r>
          </w:p>
        </w:tc>
        <w:tc>
          <w:tcPr>
            <w:tcW w:w="1350" w:type="dxa"/>
            <w:tcBorders>
              <w:top w:val="nil"/>
              <w:left w:val="nil"/>
              <w:bottom w:val="single" w:sz="4" w:space="0" w:color="auto"/>
              <w:right w:val="single" w:sz="4" w:space="0" w:color="auto"/>
            </w:tcBorders>
            <w:shd w:val="clear" w:color="auto" w:fill="auto"/>
            <w:noWrap/>
            <w:vAlign w:val="bottom"/>
            <w:hideMark/>
          </w:tcPr>
          <w:p w14:paraId="53C7BEFC" w14:textId="77777777" w:rsidR="00146ED8" w:rsidRPr="00001100" w:rsidRDefault="00146ED8" w:rsidP="00146ED8">
            <w:pPr>
              <w:jc w:val="right"/>
              <w:rPr>
                <w:color w:val="000000"/>
              </w:rPr>
            </w:pPr>
            <w:r w:rsidRPr="00001100">
              <w:rPr>
                <w:color w:val="000000"/>
              </w:rPr>
              <w:t>3,622,437</w:t>
            </w:r>
          </w:p>
        </w:tc>
        <w:tc>
          <w:tcPr>
            <w:tcW w:w="1350" w:type="dxa"/>
            <w:tcBorders>
              <w:top w:val="nil"/>
              <w:left w:val="nil"/>
              <w:bottom w:val="single" w:sz="4" w:space="0" w:color="auto"/>
              <w:right w:val="single" w:sz="4" w:space="0" w:color="auto"/>
            </w:tcBorders>
            <w:shd w:val="clear" w:color="auto" w:fill="auto"/>
            <w:noWrap/>
            <w:vAlign w:val="bottom"/>
            <w:hideMark/>
          </w:tcPr>
          <w:p w14:paraId="30F69AB2" w14:textId="77777777" w:rsidR="00146ED8" w:rsidRPr="00001100" w:rsidRDefault="00146ED8" w:rsidP="00146ED8">
            <w:pPr>
              <w:ind w:right="339"/>
              <w:jc w:val="right"/>
              <w:rPr>
                <w:color w:val="000000"/>
              </w:rPr>
            </w:pPr>
            <w:r w:rsidRPr="00001100">
              <w:rPr>
                <w:color w:val="000000"/>
              </w:rPr>
              <w:t>39.28</w:t>
            </w:r>
          </w:p>
        </w:tc>
      </w:tr>
      <w:tr w:rsidR="00146ED8" w:rsidRPr="00001100" w14:paraId="5D8BFD05" w14:textId="77777777" w:rsidTr="00146ED8">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3C0FF14A" w14:textId="77777777" w:rsidR="00146ED8" w:rsidRPr="00001100" w:rsidRDefault="00146ED8" w:rsidP="00146ED8">
            <w:pPr>
              <w:rPr>
                <w:color w:val="000000"/>
              </w:rPr>
            </w:pPr>
            <w:r w:rsidRPr="00001100">
              <w:rPr>
                <w:color w:val="000000"/>
              </w:rPr>
              <w:t>Total Assets</w:t>
            </w:r>
          </w:p>
        </w:tc>
        <w:tc>
          <w:tcPr>
            <w:tcW w:w="1350" w:type="dxa"/>
            <w:tcBorders>
              <w:top w:val="single" w:sz="4" w:space="0" w:color="auto"/>
              <w:left w:val="nil"/>
              <w:bottom w:val="single" w:sz="4" w:space="0" w:color="auto"/>
              <w:right w:val="single" w:sz="4" w:space="0" w:color="auto"/>
            </w:tcBorders>
          </w:tcPr>
          <w:p w14:paraId="4AA86D16" w14:textId="77777777" w:rsidR="00146ED8" w:rsidRPr="00001100" w:rsidRDefault="00146ED8" w:rsidP="00146ED8">
            <w:pPr>
              <w:jc w:val="right"/>
              <w:rPr>
                <w:color w:val="000000"/>
              </w:rPr>
            </w:pPr>
          </w:p>
          <w:p w14:paraId="3A6DD097" w14:textId="77777777" w:rsidR="00146ED8" w:rsidRPr="00001100" w:rsidRDefault="00146ED8" w:rsidP="00146ED8">
            <w:pPr>
              <w:jc w:val="right"/>
              <w:rPr>
                <w:color w:val="000000"/>
              </w:rPr>
            </w:pPr>
            <w:r w:rsidRPr="00001100">
              <w:rPr>
                <w:color w:val="000000"/>
              </w:rPr>
              <w:t>16,150,224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21E80467" w14:textId="77777777" w:rsidR="00146ED8" w:rsidRPr="00001100" w:rsidRDefault="00146ED8" w:rsidP="00146ED8">
            <w:pPr>
              <w:jc w:val="right"/>
              <w:rPr>
                <w:color w:val="000000"/>
              </w:rPr>
            </w:pPr>
            <w:r w:rsidRPr="00001100">
              <w:rPr>
                <w:color w:val="000000"/>
              </w:rPr>
              <w:t>12,055,438</w:t>
            </w:r>
          </w:p>
        </w:tc>
        <w:tc>
          <w:tcPr>
            <w:tcW w:w="1440" w:type="dxa"/>
            <w:tcBorders>
              <w:top w:val="nil"/>
              <w:left w:val="nil"/>
              <w:bottom w:val="single" w:sz="4" w:space="0" w:color="auto"/>
              <w:right w:val="single" w:sz="4" w:space="0" w:color="auto"/>
            </w:tcBorders>
            <w:shd w:val="clear" w:color="auto" w:fill="auto"/>
            <w:noWrap/>
            <w:vAlign w:val="bottom"/>
            <w:hideMark/>
          </w:tcPr>
          <w:p w14:paraId="5CFDAB33" w14:textId="77777777" w:rsidR="00146ED8" w:rsidRPr="00001100" w:rsidRDefault="00146ED8" w:rsidP="00146ED8">
            <w:pPr>
              <w:jc w:val="right"/>
              <w:rPr>
                <w:color w:val="000000"/>
              </w:rPr>
            </w:pPr>
            <w:r w:rsidRPr="00001100">
              <w:rPr>
                <w:color w:val="000000"/>
              </w:rPr>
              <w:t>16,630,348</w:t>
            </w:r>
          </w:p>
        </w:tc>
        <w:tc>
          <w:tcPr>
            <w:tcW w:w="1350" w:type="dxa"/>
            <w:tcBorders>
              <w:top w:val="nil"/>
              <w:left w:val="nil"/>
              <w:bottom w:val="single" w:sz="4" w:space="0" w:color="auto"/>
              <w:right w:val="single" w:sz="4" w:space="0" w:color="auto"/>
            </w:tcBorders>
            <w:shd w:val="clear" w:color="auto" w:fill="auto"/>
            <w:noWrap/>
            <w:vAlign w:val="bottom"/>
            <w:hideMark/>
          </w:tcPr>
          <w:p w14:paraId="0A9D9DD2" w14:textId="77777777" w:rsidR="00146ED8" w:rsidRPr="00001100" w:rsidRDefault="00146ED8" w:rsidP="00146ED8">
            <w:pPr>
              <w:jc w:val="right"/>
              <w:rPr>
                <w:color w:val="000000"/>
              </w:rPr>
            </w:pPr>
            <w:r w:rsidRPr="00001100">
              <w:rPr>
                <w:color w:val="000000"/>
              </w:rPr>
              <w:t>4,574,910</w:t>
            </w:r>
          </w:p>
        </w:tc>
        <w:tc>
          <w:tcPr>
            <w:tcW w:w="1350" w:type="dxa"/>
            <w:tcBorders>
              <w:top w:val="nil"/>
              <w:left w:val="nil"/>
              <w:bottom w:val="single" w:sz="4" w:space="0" w:color="auto"/>
              <w:right w:val="single" w:sz="4" w:space="0" w:color="auto"/>
            </w:tcBorders>
            <w:shd w:val="clear" w:color="auto" w:fill="auto"/>
            <w:noWrap/>
            <w:vAlign w:val="bottom"/>
            <w:hideMark/>
          </w:tcPr>
          <w:p w14:paraId="5BBC300B" w14:textId="77777777" w:rsidR="00146ED8" w:rsidRPr="00001100" w:rsidRDefault="00146ED8" w:rsidP="00146ED8">
            <w:pPr>
              <w:ind w:right="339"/>
              <w:jc w:val="right"/>
              <w:rPr>
                <w:color w:val="000000"/>
              </w:rPr>
            </w:pPr>
            <w:r w:rsidRPr="00001100">
              <w:rPr>
                <w:color w:val="000000"/>
              </w:rPr>
              <w:t>37.95</w:t>
            </w:r>
          </w:p>
        </w:tc>
      </w:tr>
      <w:tr w:rsidR="00146ED8" w:rsidRPr="00001100" w14:paraId="7448EB35" w14:textId="77777777" w:rsidTr="004A53F0">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5E769FA7" w14:textId="77777777" w:rsidR="00146ED8" w:rsidRPr="00001100" w:rsidRDefault="00146ED8" w:rsidP="00146ED8">
            <w:pPr>
              <w:rPr>
                <w:color w:val="000000"/>
              </w:rPr>
            </w:pPr>
            <w:r w:rsidRPr="00001100">
              <w:rPr>
                <w:color w:val="000000"/>
              </w:rPr>
              <w:t>Total Current Liabilities</w:t>
            </w:r>
          </w:p>
        </w:tc>
        <w:tc>
          <w:tcPr>
            <w:tcW w:w="1350" w:type="dxa"/>
            <w:tcBorders>
              <w:top w:val="single" w:sz="4" w:space="0" w:color="auto"/>
              <w:left w:val="nil"/>
              <w:bottom w:val="single" w:sz="4" w:space="0" w:color="auto"/>
              <w:right w:val="single" w:sz="4" w:space="0" w:color="auto"/>
            </w:tcBorders>
          </w:tcPr>
          <w:p w14:paraId="07D7A6A8" w14:textId="77777777" w:rsidR="00146ED8" w:rsidRPr="00001100" w:rsidRDefault="00146ED8" w:rsidP="00146ED8">
            <w:pPr>
              <w:jc w:val="right"/>
              <w:rPr>
                <w:color w:val="000000"/>
              </w:rPr>
            </w:pPr>
          </w:p>
          <w:p w14:paraId="77213E77" w14:textId="77777777" w:rsidR="00146ED8" w:rsidRDefault="00146ED8" w:rsidP="00146ED8">
            <w:pPr>
              <w:jc w:val="right"/>
              <w:rPr>
                <w:color w:val="000000"/>
              </w:rPr>
            </w:pPr>
          </w:p>
          <w:p w14:paraId="5166475A" w14:textId="77777777" w:rsidR="00146ED8" w:rsidRPr="00001100" w:rsidRDefault="00146ED8" w:rsidP="00146ED8">
            <w:pPr>
              <w:jc w:val="right"/>
              <w:rPr>
                <w:color w:val="000000"/>
              </w:rPr>
            </w:pPr>
            <w:r w:rsidRPr="00001100">
              <w:rPr>
                <w:color w:val="000000"/>
              </w:rPr>
              <w:t>1,199,584</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5BCC25BB" w14:textId="77777777" w:rsidR="00146ED8" w:rsidRPr="00001100" w:rsidRDefault="00146ED8" w:rsidP="00146ED8">
            <w:pPr>
              <w:jc w:val="right"/>
              <w:rPr>
                <w:color w:val="000000"/>
              </w:rPr>
            </w:pPr>
            <w:r w:rsidRPr="00001100">
              <w:rPr>
                <w:color w:val="000000"/>
              </w:rPr>
              <w:t>988,139</w:t>
            </w:r>
          </w:p>
        </w:tc>
        <w:tc>
          <w:tcPr>
            <w:tcW w:w="1440" w:type="dxa"/>
            <w:tcBorders>
              <w:top w:val="nil"/>
              <w:left w:val="nil"/>
              <w:bottom w:val="single" w:sz="4" w:space="0" w:color="auto"/>
              <w:right w:val="single" w:sz="4" w:space="0" w:color="auto"/>
            </w:tcBorders>
            <w:shd w:val="clear" w:color="auto" w:fill="auto"/>
            <w:noWrap/>
            <w:vAlign w:val="bottom"/>
            <w:hideMark/>
          </w:tcPr>
          <w:p w14:paraId="41D04F33" w14:textId="77777777" w:rsidR="00146ED8" w:rsidRPr="00001100" w:rsidRDefault="00146ED8" w:rsidP="00146ED8">
            <w:pPr>
              <w:jc w:val="right"/>
              <w:rPr>
                <w:color w:val="000000"/>
              </w:rPr>
            </w:pPr>
            <w:r w:rsidRPr="00001100">
              <w:rPr>
                <w:color w:val="000000"/>
              </w:rPr>
              <w:t>1,745,468</w:t>
            </w:r>
          </w:p>
        </w:tc>
        <w:tc>
          <w:tcPr>
            <w:tcW w:w="1350" w:type="dxa"/>
            <w:tcBorders>
              <w:top w:val="nil"/>
              <w:left w:val="nil"/>
              <w:bottom w:val="single" w:sz="4" w:space="0" w:color="auto"/>
              <w:right w:val="single" w:sz="4" w:space="0" w:color="auto"/>
            </w:tcBorders>
            <w:shd w:val="clear" w:color="auto" w:fill="auto"/>
            <w:noWrap/>
            <w:vAlign w:val="bottom"/>
            <w:hideMark/>
          </w:tcPr>
          <w:p w14:paraId="6F7B3051" w14:textId="77777777" w:rsidR="00146ED8" w:rsidRPr="00001100" w:rsidRDefault="00146ED8" w:rsidP="00146ED8">
            <w:pPr>
              <w:jc w:val="right"/>
              <w:rPr>
                <w:color w:val="000000"/>
              </w:rPr>
            </w:pPr>
            <w:r w:rsidRPr="00001100">
              <w:rPr>
                <w:color w:val="000000"/>
              </w:rPr>
              <w:t>757,329</w:t>
            </w:r>
          </w:p>
        </w:tc>
        <w:tc>
          <w:tcPr>
            <w:tcW w:w="1350" w:type="dxa"/>
            <w:tcBorders>
              <w:top w:val="nil"/>
              <w:left w:val="nil"/>
              <w:bottom w:val="single" w:sz="4" w:space="0" w:color="auto"/>
              <w:right w:val="single" w:sz="4" w:space="0" w:color="auto"/>
            </w:tcBorders>
            <w:shd w:val="clear" w:color="auto" w:fill="auto"/>
            <w:noWrap/>
            <w:vAlign w:val="bottom"/>
            <w:hideMark/>
          </w:tcPr>
          <w:p w14:paraId="63F976A1" w14:textId="77777777" w:rsidR="00146ED8" w:rsidRPr="00001100" w:rsidRDefault="00146ED8" w:rsidP="00146ED8">
            <w:pPr>
              <w:ind w:right="339"/>
              <w:jc w:val="right"/>
              <w:rPr>
                <w:color w:val="000000"/>
              </w:rPr>
            </w:pPr>
            <w:r w:rsidRPr="00001100">
              <w:rPr>
                <w:color w:val="000000"/>
              </w:rPr>
              <w:t>76.64</w:t>
            </w:r>
          </w:p>
        </w:tc>
      </w:tr>
      <w:tr w:rsidR="00146ED8" w:rsidRPr="00001100" w14:paraId="68787219" w14:textId="77777777" w:rsidTr="004A53F0">
        <w:trPr>
          <w:trHeight w:val="315"/>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43F99" w14:textId="77777777" w:rsidR="00146ED8" w:rsidRPr="00001100" w:rsidRDefault="00146ED8" w:rsidP="00146ED8">
            <w:pPr>
              <w:rPr>
                <w:color w:val="000000"/>
              </w:rPr>
            </w:pPr>
            <w:r w:rsidRPr="00001100">
              <w:rPr>
                <w:color w:val="000000"/>
              </w:rPr>
              <w:t>Mortgage Payables Long-term</w:t>
            </w:r>
          </w:p>
        </w:tc>
        <w:tc>
          <w:tcPr>
            <w:tcW w:w="1350" w:type="dxa"/>
            <w:tcBorders>
              <w:top w:val="single" w:sz="4" w:space="0" w:color="auto"/>
              <w:left w:val="single" w:sz="4" w:space="0" w:color="auto"/>
              <w:bottom w:val="single" w:sz="4" w:space="0" w:color="auto"/>
              <w:right w:val="single" w:sz="4" w:space="0" w:color="auto"/>
            </w:tcBorders>
          </w:tcPr>
          <w:p w14:paraId="02B8A76E" w14:textId="77777777" w:rsidR="00146ED8" w:rsidRPr="00001100" w:rsidRDefault="00146ED8" w:rsidP="00146ED8">
            <w:pPr>
              <w:rPr>
                <w:color w:val="000000"/>
              </w:rPr>
            </w:pPr>
          </w:p>
          <w:p w14:paraId="00FBC815" w14:textId="77777777" w:rsidR="00146ED8" w:rsidRDefault="00146ED8" w:rsidP="00146ED8">
            <w:pPr>
              <w:jc w:val="right"/>
              <w:rPr>
                <w:color w:val="000000"/>
              </w:rPr>
            </w:pPr>
          </w:p>
          <w:p w14:paraId="56378C0C" w14:textId="77777777" w:rsidR="00146ED8" w:rsidRPr="00001100" w:rsidRDefault="00146ED8" w:rsidP="00146ED8">
            <w:pPr>
              <w:jc w:val="right"/>
              <w:rPr>
                <w:color w:val="000000"/>
              </w:rPr>
            </w:pPr>
            <w:r w:rsidRPr="00001100">
              <w:rPr>
                <w:color w:val="000000"/>
              </w:rPr>
              <w:t>3,030,724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47E99" w14:textId="77777777" w:rsidR="00146ED8" w:rsidRPr="00001100" w:rsidRDefault="00146ED8" w:rsidP="00146ED8">
            <w:pPr>
              <w:jc w:val="right"/>
              <w:rPr>
                <w:color w:val="000000"/>
              </w:rPr>
            </w:pPr>
            <w:r w:rsidRPr="00001100">
              <w:rPr>
                <w:color w:val="000000"/>
              </w:rPr>
              <w:t>3,370,442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97CF0" w14:textId="77777777" w:rsidR="00146ED8" w:rsidRPr="00001100" w:rsidRDefault="00146ED8" w:rsidP="00146ED8">
            <w:pPr>
              <w:jc w:val="right"/>
              <w:rPr>
                <w:color w:val="000000"/>
              </w:rPr>
            </w:pPr>
            <w:r w:rsidRPr="00001100">
              <w:rPr>
                <w:color w:val="000000"/>
              </w:rPr>
              <w:t>859,810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AD65C" w14:textId="77777777" w:rsidR="00146ED8" w:rsidRPr="00001100" w:rsidRDefault="00146ED8" w:rsidP="00146ED8">
            <w:pPr>
              <w:jc w:val="right"/>
              <w:rPr>
                <w:color w:val="000000"/>
              </w:rPr>
            </w:pPr>
            <w:r w:rsidRPr="00001100">
              <w:rPr>
                <w:color w:val="FF0000"/>
              </w:rPr>
              <w:t>(2,510,632)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E52B9" w14:textId="77777777" w:rsidR="00146ED8" w:rsidRPr="00001100" w:rsidRDefault="00146ED8" w:rsidP="00146ED8">
            <w:pPr>
              <w:ind w:right="339"/>
              <w:jc w:val="right"/>
              <w:rPr>
                <w:color w:val="000000"/>
              </w:rPr>
            </w:pPr>
            <w:r w:rsidRPr="00001100">
              <w:rPr>
                <w:color w:val="000000"/>
              </w:rPr>
              <w:t>-74.49</w:t>
            </w:r>
          </w:p>
        </w:tc>
      </w:tr>
      <w:tr w:rsidR="00146ED8" w:rsidRPr="00001100" w14:paraId="52D10358" w14:textId="77777777" w:rsidTr="004A53F0">
        <w:trPr>
          <w:trHeight w:val="315"/>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E22B0" w14:textId="77777777" w:rsidR="00146ED8" w:rsidRPr="00001100" w:rsidRDefault="00146ED8" w:rsidP="00146ED8">
            <w:pPr>
              <w:rPr>
                <w:color w:val="000000"/>
              </w:rPr>
            </w:pPr>
            <w:r>
              <w:rPr>
                <w:color w:val="000000"/>
              </w:rPr>
              <w:t>Total</w:t>
            </w:r>
            <w:r w:rsidRPr="00001100">
              <w:rPr>
                <w:color w:val="000000"/>
              </w:rPr>
              <w:t xml:space="preserve"> Liabilities</w:t>
            </w:r>
          </w:p>
        </w:tc>
        <w:tc>
          <w:tcPr>
            <w:tcW w:w="1350" w:type="dxa"/>
            <w:tcBorders>
              <w:top w:val="single" w:sz="4" w:space="0" w:color="auto"/>
              <w:left w:val="nil"/>
              <w:bottom w:val="single" w:sz="4" w:space="0" w:color="auto"/>
              <w:right w:val="single" w:sz="4" w:space="0" w:color="auto"/>
            </w:tcBorders>
          </w:tcPr>
          <w:p w14:paraId="6C45B292" w14:textId="77777777" w:rsidR="00146ED8" w:rsidRPr="00001100" w:rsidRDefault="00146ED8" w:rsidP="00146ED8">
            <w:pPr>
              <w:jc w:val="right"/>
              <w:rPr>
                <w:color w:val="000000"/>
              </w:rPr>
            </w:pPr>
          </w:p>
          <w:p w14:paraId="48E075F6" w14:textId="77777777" w:rsidR="00146ED8" w:rsidRPr="00001100" w:rsidRDefault="00146ED8" w:rsidP="00146ED8">
            <w:pPr>
              <w:jc w:val="right"/>
              <w:rPr>
                <w:color w:val="000000"/>
              </w:rPr>
            </w:pPr>
            <w:r w:rsidRPr="00001100">
              <w:rPr>
                <w:color w:val="000000"/>
              </w:rPr>
              <w:t>3,917,984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A3FFF" w14:textId="77777777" w:rsidR="00146ED8" w:rsidRPr="00001100" w:rsidRDefault="00146ED8" w:rsidP="00146ED8">
            <w:pPr>
              <w:jc w:val="right"/>
              <w:rPr>
                <w:color w:val="000000"/>
              </w:rPr>
            </w:pPr>
            <w:r w:rsidRPr="00001100">
              <w:rPr>
                <w:color w:val="000000"/>
              </w:rPr>
              <w:t>2,440,296</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8160D7B" w14:textId="77777777" w:rsidR="00146ED8" w:rsidRPr="00001100" w:rsidRDefault="00146ED8" w:rsidP="00146ED8">
            <w:pPr>
              <w:jc w:val="right"/>
              <w:rPr>
                <w:color w:val="000000"/>
              </w:rPr>
            </w:pPr>
            <w:r w:rsidRPr="00001100">
              <w:rPr>
                <w:color w:val="000000"/>
              </w:rPr>
              <w:t>3,068,148</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10FD41E" w14:textId="77777777" w:rsidR="00146ED8" w:rsidRPr="00001100" w:rsidRDefault="00146ED8" w:rsidP="00146ED8">
            <w:pPr>
              <w:jc w:val="right"/>
              <w:rPr>
                <w:color w:val="000000"/>
              </w:rPr>
            </w:pPr>
            <w:r w:rsidRPr="00001100">
              <w:rPr>
                <w:color w:val="000000"/>
              </w:rPr>
              <w:t>627,852</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74951B8" w14:textId="77777777" w:rsidR="00146ED8" w:rsidRPr="00001100" w:rsidRDefault="00146ED8" w:rsidP="00146ED8">
            <w:pPr>
              <w:ind w:right="339"/>
              <w:jc w:val="right"/>
              <w:rPr>
                <w:color w:val="000000"/>
              </w:rPr>
            </w:pPr>
            <w:r w:rsidRPr="00001100">
              <w:rPr>
                <w:color w:val="000000"/>
              </w:rPr>
              <w:t>25.73</w:t>
            </w:r>
          </w:p>
        </w:tc>
      </w:tr>
      <w:tr w:rsidR="00146ED8" w:rsidRPr="00001100" w14:paraId="2DDA8541" w14:textId="77777777" w:rsidTr="00146ED8">
        <w:trPr>
          <w:trHeight w:val="315"/>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377A186B" w14:textId="77777777" w:rsidR="00146ED8" w:rsidRPr="00001100" w:rsidRDefault="00146ED8" w:rsidP="00146ED8">
            <w:pPr>
              <w:rPr>
                <w:color w:val="000000"/>
              </w:rPr>
            </w:pPr>
            <w:r w:rsidRPr="00001100">
              <w:rPr>
                <w:color w:val="000000"/>
              </w:rPr>
              <w:t>Total Members’ Equity</w:t>
            </w:r>
          </w:p>
        </w:tc>
        <w:tc>
          <w:tcPr>
            <w:tcW w:w="1350" w:type="dxa"/>
            <w:tcBorders>
              <w:top w:val="single" w:sz="4" w:space="0" w:color="auto"/>
              <w:left w:val="nil"/>
              <w:bottom w:val="single" w:sz="4" w:space="0" w:color="auto"/>
              <w:right w:val="single" w:sz="4" w:space="0" w:color="auto"/>
            </w:tcBorders>
          </w:tcPr>
          <w:p w14:paraId="6207855B" w14:textId="77777777" w:rsidR="00146ED8" w:rsidRPr="00001100" w:rsidRDefault="00146ED8" w:rsidP="00146ED8">
            <w:pPr>
              <w:jc w:val="right"/>
              <w:rPr>
                <w:color w:val="000000"/>
              </w:rPr>
            </w:pPr>
          </w:p>
          <w:p w14:paraId="5593CEA5" w14:textId="77777777" w:rsidR="00146ED8" w:rsidRDefault="00146ED8" w:rsidP="00146ED8">
            <w:pPr>
              <w:jc w:val="right"/>
              <w:rPr>
                <w:color w:val="000000"/>
              </w:rPr>
            </w:pPr>
          </w:p>
          <w:p w14:paraId="226B80EF" w14:textId="77777777" w:rsidR="00146ED8" w:rsidRPr="00001100" w:rsidRDefault="00146ED8" w:rsidP="00146ED8">
            <w:pPr>
              <w:jc w:val="right"/>
              <w:rPr>
                <w:color w:val="000000"/>
              </w:rPr>
            </w:pPr>
            <w:r w:rsidRPr="00001100">
              <w:rPr>
                <w:color w:val="000000"/>
              </w:rPr>
              <w:t>11,787,947</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13E275F" w14:textId="77777777" w:rsidR="00146ED8" w:rsidRPr="00001100" w:rsidRDefault="00146ED8" w:rsidP="00146ED8">
            <w:pPr>
              <w:jc w:val="right"/>
              <w:rPr>
                <w:color w:val="000000"/>
              </w:rPr>
            </w:pPr>
            <w:r w:rsidRPr="00001100">
              <w:rPr>
                <w:color w:val="000000"/>
              </w:rPr>
              <w:t>8,171,854</w:t>
            </w:r>
          </w:p>
        </w:tc>
        <w:tc>
          <w:tcPr>
            <w:tcW w:w="1440" w:type="dxa"/>
            <w:tcBorders>
              <w:top w:val="nil"/>
              <w:left w:val="nil"/>
              <w:bottom w:val="single" w:sz="4" w:space="0" w:color="auto"/>
              <w:right w:val="single" w:sz="4" w:space="0" w:color="auto"/>
            </w:tcBorders>
            <w:shd w:val="clear" w:color="auto" w:fill="auto"/>
            <w:noWrap/>
            <w:vAlign w:val="bottom"/>
            <w:hideMark/>
          </w:tcPr>
          <w:p w14:paraId="1879131F" w14:textId="77777777" w:rsidR="00146ED8" w:rsidRPr="00001100" w:rsidRDefault="00146ED8" w:rsidP="00146ED8">
            <w:pPr>
              <w:jc w:val="right"/>
              <w:rPr>
                <w:color w:val="000000"/>
              </w:rPr>
            </w:pPr>
            <w:r w:rsidRPr="00001100">
              <w:rPr>
                <w:color w:val="000000"/>
              </w:rPr>
              <w:t>11,214,687</w:t>
            </w:r>
          </w:p>
        </w:tc>
        <w:tc>
          <w:tcPr>
            <w:tcW w:w="1350" w:type="dxa"/>
            <w:tcBorders>
              <w:top w:val="nil"/>
              <w:left w:val="nil"/>
              <w:bottom w:val="single" w:sz="4" w:space="0" w:color="auto"/>
              <w:right w:val="single" w:sz="4" w:space="0" w:color="auto"/>
            </w:tcBorders>
            <w:shd w:val="clear" w:color="auto" w:fill="auto"/>
            <w:noWrap/>
            <w:vAlign w:val="bottom"/>
            <w:hideMark/>
          </w:tcPr>
          <w:p w14:paraId="77DF5B28" w14:textId="77777777" w:rsidR="00146ED8" w:rsidRPr="00001100" w:rsidRDefault="00146ED8" w:rsidP="00146ED8">
            <w:pPr>
              <w:jc w:val="right"/>
              <w:rPr>
                <w:color w:val="000000"/>
              </w:rPr>
            </w:pPr>
            <w:r w:rsidRPr="00001100">
              <w:rPr>
                <w:color w:val="000000"/>
              </w:rPr>
              <w:t>3,042,833</w:t>
            </w:r>
          </w:p>
        </w:tc>
        <w:tc>
          <w:tcPr>
            <w:tcW w:w="1350" w:type="dxa"/>
            <w:tcBorders>
              <w:top w:val="nil"/>
              <w:left w:val="nil"/>
              <w:bottom w:val="single" w:sz="4" w:space="0" w:color="auto"/>
              <w:right w:val="single" w:sz="4" w:space="0" w:color="auto"/>
            </w:tcBorders>
            <w:shd w:val="clear" w:color="auto" w:fill="auto"/>
            <w:noWrap/>
            <w:vAlign w:val="bottom"/>
            <w:hideMark/>
          </w:tcPr>
          <w:p w14:paraId="4EB91800" w14:textId="77777777" w:rsidR="00146ED8" w:rsidRPr="00001100" w:rsidRDefault="00146ED8" w:rsidP="00146ED8">
            <w:pPr>
              <w:ind w:right="339"/>
              <w:jc w:val="right"/>
              <w:rPr>
                <w:color w:val="000000"/>
              </w:rPr>
            </w:pPr>
            <w:r w:rsidRPr="00001100">
              <w:rPr>
                <w:color w:val="000000"/>
              </w:rPr>
              <w:t>37.24</w:t>
            </w:r>
          </w:p>
        </w:tc>
      </w:tr>
    </w:tbl>
    <w:p w14:paraId="73707A91" w14:textId="77777777" w:rsidR="00EE137F" w:rsidRDefault="00EE137F" w:rsidP="00833589">
      <w:pPr>
        <w:tabs>
          <w:tab w:val="left" w:pos="0"/>
        </w:tabs>
        <w:jc w:val="both"/>
      </w:pPr>
    </w:p>
    <w:p w14:paraId="75458A3B" w14:textId="3D1AFCFE" w:rsidR="006404DD" w:rsidRPr="00001100" w:rsidRDefault="00EE137F" w:rsidP="00833589">
      <w:pPr>
        <w:tabs>
          <w:tab w:val="left" w:pos="0"/>
        </w:tabs>
        <w:jc w:val="both"/>
      </w:pPr>
      <w:r>
        <w:tab/>
      </w:r>
      <w:r w:rsidR="00592602" w:rsidRPr="00001100">
        <w:t xml:space="preserve">But overall, current assets of the most profitable clubs </w:t>
      </w:r>
      <w:r w:rsidR="008C2A69" w:rsidRPr="00001100">
        <w:t xml:space="preserve">are </w:t>
      </w:r>
      <w:r w:rsidR="00592602" w:rsidRPr="00001100">
        <w:t>159% greater th</w:t>
      </w:r>
      <w:r w:rsidR="005106AF" w:rsidRPr="00001100">
        <w:t>an the least profitable clubs.  As expected the net fixed ass</w:t>
      </w:r>
      <w:r w:rsidR="001440E8" w:rsidRPr="00001100">
        <w:t xml:space="preserve">ets of the top performers are </w:t>
      </w:r>
      <w:r w:rsidR="007A0603" w:rsidRPr="00001100">
        <w:t xml:space="preserve">almost </w:t>
      </w:r>
      <w:r w:rsidR="001440E8" w:rsidRPr="00001100">
        <w:t xml:space="preserve">40% greater than the least profitable clubs.  This is no surprise as the average club for the top performers is larger than the average club for the bottom performers.   </w:t>
      </w:r>
      <w:r w:rsidR="003B2623" w:rsidRPr="00001100">
        <w:t xml:space="preserve"> </w:t>
      </w:r>
    </w:p>
    <w:p w14:paraId="07D4F4C5" w14:textId="77777777" w:rsidR="004A53F0" w:rsidRDefault="004A53F0" w:rsidP="00146ED8"/>
    <w:p w14:paraId="4F6880E7" w14:textId="77777777" w:rsidR="00EE137F" w:rsidRDefault="00EE137F" w:rsidP="00146ED8">
      <w:pPr>
        <w:rPr>
          <w:u w:val="single"/>
        </w:rPr>
      </w:pPr>
    </w:p>
    <w:p w14:paraId="10524F71" w14:textId="77777777" w:rsidR="00EE137F" w:rsidRDefault="00EE137F" w:rsidP="00EE137F">
      <w:pPr>
        <w:tabs>
          <w:tab w:val="left" w:pos="0"/>
        </w:tabs>
        <w:jc w:val="both"/>
      </w:pPr>
      <w:r w:rsidRPr="00001100">
        <w:lastRenderedPageBreak/>
        <w:t xml:space="preserve">A major point of concern is the debt level of the low performers.  This was already revealed in the ratio analysis. However, looking at the raw data in dollar amounts, the low performers were carrying over $3.3 million in mortgage payables while the top performers were carrying just over $850 thousand.  The difference is huge.  These mortgages do not only mean more debt but also translate into higher interest payments.   </w:t>
      </w:r>
    </w:p>
    <w:p w14:paraId="0CE6ED16" w14:textId="13388F15" w:rsidR="00EE137F" w:rsidRPr="00001100" w:rsidRDefault="00EE137F" w:rsidP="00EE137F">
      <w:pPr>
        <w:tabs>
          <w:tab w:val="left" w:pos="0"/>
        </w:tabs>
        <w:jc w:val="both"/>
      </w:pPr>
      <w:r w:rsidRPr="00001100">
        <w:tab/>
        <w:t xml:space="preserve">The Statement of Activities data can be found in Table 4.  As expected, the top performers generate almost $3.40 million more in annual revenues than the low performers with the majority of such coming from dues ($1.86 million).  In general, the top performers received 71% more in dues, generated 120% more in beverage and almost 160% more in golf pro shop sales.  However, the top performers also have greater costs than the low performers.  The top performing clubs have 33.8% more in payroll ($3.87M versus $2.89M). </w:t>
      </w:r>
    </w:p>
    <w:p w14:paraId="05078787" w14:textId="77777777" w:rsidR="00EE137F" w:rsidRDefault="00EE137F" w:rsidP="00EE137F">
      <w:pPr>
        <w:tabs>
          <w:tab w:val="left" w:pos="0"/>
        </w:tabs>
        <w:jc w:val="both"/>
      </w:pPr>
    </w:p>
    <w:p w14:paraId="7BD5E6A0" w14:textId="77777777" w:rsidR="00F74AC2" w:rsidRDefault="00F74AC2" w:rsidP="00EE137F">
      <w:pPr>
        <w:tabs>
          <w:tab w:val="left" w:pos="0"/>
        </w:tabs>
        <w:jc w:val="both"/>
      </w:pPr>
    </w:p>
    <w:p w14:paraId="0FBEDC72" w14:textId="77777777" w:rsidR="00146ED8" w:rsidRDefault="00146ED8" w:rsidP="00146ED8">
      <w:pPr>
        <w:rPr>
          <w:u w:val="single"/>
        </w:rPr>
      </w:pPr>
      <w:r w:rsidRPr="00001100">
        <w:rPr>
          <w:u w:val="single"/>
        </w:rPr>
        <w:t>Table 4.  Key Statement of Activities Financial Data Differences in 2011 (Medians)</w:t>
      </w:r>
    </w:p>
    <w:p w14:paraId="281BC1B4" w14:textId="77777777" w:rsidR="004A53F0" w:rsidRPr="00DF0F9E" w:rsidRDefault="004A53F0" w:rsidP="00146ED8">
      <w:pPr>
        <w:rPr>
          <w:u w:val="single"/>
        </w:rPr>
      </w:pPr>
    </w:p>
    <w:tbl>
      <w:tblPr>
        <w:tblW w:w="8025" w:type="dxa"/>
        <w:tblInd w:w="93" w:type="dxa"/>
        <w:tblLayout w:type="fixed"/>
        <w:tblLook w:val="04A0" w:firstRow="1" w:lastRow="0" w:firstColumn="1" w:lastColumn="0" w:noHBand="0" w:noVBand="1"/>
      </w:tblPr>
      <w:tblGrid>
        <w:gridCol w:w="1275"/>
        <w:gridCol w:w="1350"/>
        <w:gridCol w:w="1350"/>
        <w:gridCol w:w="1350"/>
        <w:gridCol w:w="1350"/>
        <w:gridCol w:w="1350"/>
      </w:tblGrid>
      <w:tr w:rsidR="00146ED8" w:rsidRPr="00001100" w14:paraId="45A4822A" w14:textId="77777777" w:rsidTr="00146ED8">
        <w:trPr>
          <w:trHeight w:val="64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2EA63" w14:textId="77777777" w:rsidR="00146ED8" w:rsidRPr="00001100" w:rsidRDefault="00146ED8" w:rsidP="00146ED8">
            <w:pPr>
              <w:rPr>
                <w:color w:val="000000"/>
              </w:rPr>
            </w:pPr>
            <w:r w:rsidRPr="00001100">
              <w:rPr>
                <w:color w:val="000000"/>
              </w:rPr>
              <w:t> </w:t>
            </w:r>
          </w:p>
        </w:tc>
        <w:tc>
          <w:tcPr>
            <w:tcW w:w="1350" w:type="dxa"/>
            <w:tcBorders>
              <w:top w:val="single" w:sz="4" w:space="0" w:color="auto"/>
              <w:left w:val="single" w:sz="4" w:space="0" w:color="auto"/>
              <w:bottom w:val="single" w:sz="4" w:space="0" w:color="auto"/>
              <w:right w:val="single" w:sz="4" w:space="0" w:color="auto"/>
            </w:tcBorders>
            <w:vAlign w:val="bottom"/>
          </w:tcPr>
          <w:p w14:paraId="5B46A331" w14:textId="77777777" w:rsidR="00146ED8" w:rsidRDefault="00146ED8" w:rsidP="00146ED8">
            <w:pPr>
              <w:jc w:val="center"/>
              <w:rPr>
                <w:b/>
                <w:bCs/>
                <w:color w:val="000000"/>
              </w:rPr>
            </w:pPr>
            <w:r w:rsidRPr="00001100">
              <w:rPr>
                <w:b/>
                <w:bCs/>
                <w:color w:val="000000"/>
              </w:rPr>
              <w:t>Median</w:t>
            </w:r>
          </w:p>
          <w:p w14:paraId="3FEF76BA" w14:textId="77777777" w:rsidR="004A53F0" w:rsidRPr="00001100" w:rsidRDefault="004A53F0" w:rsidP="00146ED8">
            <w:pPr>
              <w:jc w:val="center"/>
              <w:rPr>
                <w:b/>
                <w:bC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AA94EF" w14:textId="77777777" w:rsidR="004A53F0" w:rsidRDefault="004A53F0" w:rsidP="00146ED8">
            <w:pPr>
              <w:jc w:val="center"/>
              <w:rPr>
                <w:b/>
                <w:bCs/>
                <w:color w:val="000000"/>
              </w:rPr>
            </w:pPr>
          </w:p>
          <w:p w14:paraId="0B208D16" w14:textId="77777777" w:rsidR="00146ED8" w:rsidRDefault="00146ED8" w:rsidP="00146ED8">
            <w:pPr>
              <w:jc w:val="center"/>
              <w:rPr>
                <w:b/>
                <w:bCs/>
                <w:color w:val="000000"/>
              </w:rPr>
            </w:pPr>
            <w:r w:rsidRPr="00001100">
              <w:rPr>
                <w:b/>
                <w:bCs/>
                <w:color w:val="000000"/>
              </w:rPr>
              <w:t xml:space="preserve">Low </w:t>
            </w:r>
            <w:proofErr w:type="spellStart"/>
            <w:r w:rsidRPr="00001100">
              <w:rPr>
                <w:b/>
                <w:bCs/>
                <w:color w:val="000000"/>
              </w:rPr>
              <w:t>Perfor</w:t>
            </w:r>
            <w:r>
              <w:rPr>
                <w:b/>
                <w:bCs/>
                <w:color w:val="000000"/>
              </w:rPr>
              <w:t>-</w:t>
            </w:r>
            <w:r w:rsidRPr="00001100">
              <w:rPr>
                <w:b/>
                <w:bCs/>
                <w:color w:val="000000"/>
              </w:rPr>
              <w:t>mers</w:t>
            </w:r>
            <w:proofErr w:type="spellEnd"/>
          </w:p>
          <w:p w14:paraId="7AD14CEC" w14:textId="77777777" w:rsidR="004A53F0" w:rsidRPr="00001100" w:rsidRDefault="004A53F0" w:rsidP="00146ED8">
            <w:pPr>
              <w:jc w:val="center"/>
              <w:rPr>
                <w:b/>
                <w:bCs/>
                <w:color w:val="000000"/>
              </w:rPr>
            </w:pPr>
          </w:p>
        </w:tc>
        <w:tc>
          <w:tcPr>
            <w:tcW w:w="1350" w:type="dxa"/>
            <w:tcBorders>
              <w:top w:val="single" w:sz="4" w:space="0" w:color="auto"/>
              <w:left w:val="single" w:sz="4" w:space="0" w:color="auto"/>
              <w:bottom w:val="single" w:sz="4" w:space="0" w:color="000000"/>
              <w:right w:val="single" w:sz="4" w:space="0" w:color="auto"/>
            </w:tcBorders>
            <w:shd w:val="clear" w:color="auto" w:fill="auto"/>
            <w:vAlign w:val="bottom"/>
            <w:hideMark/>
          </w:tcPr>
          <w:p w14:paraId="4A80E1F6" w14:textId="77777777" w:rsidR="00146ED8" w:rsidRDefault="00146ED8" w:rsidP="00146ED8">
            <w:pPr>
              <w:jc w:val="center"/>
              <w:rPr>
                <w:b/>
                <w:bCs/>
                <w:color w:val="000000"/>
              </w:rPr>
            </w:pPr>
            <w:r w:rsidRPr="00001100">
              <w:rPr>
                <w:b/>
                <w:bCs/>
                <w:color w:val="000000"/>
              </w:rPr>
              <w:t xml:space="preserve">Top </w:t>
            </w:r>
            <w:proofErr w:type="spellStart"/>
            <w:r w:rsidRPr="00001100">
              <w:rPr>
                <w:b/>
                <w:bCs/>
                <w:color w:val="000000"/>
              </w:rPr>
              <w:t>Perfor</w:t>
            </w:r>
            <w:r>
              <w:rPr>
                <w:b/>
                <w:bCs/>
                <w:color w:val="000000"/>
              </w:rPr>
              <w:t>-</w:t>
            </w:r>
            <w:r w:rsidRPr="00001100">
              <w:rPr>
                <w:b/>
                <w:bCs/>
                <w:color w:val="000000"/>
              </w:rPr>
              <w:t>mers</w:t>
            </w:r>
            <w:proofErr w:type="spellEnd"/>
          </w:p>
          <w:p w14:paraId="4D696751" w14:textId="77777777" w:rsidR="004A53F0" w:rsidRPr="00001100" w:rsidRDefault="004A53F0" w:rsidP="00146ED8">
            <w:pPr>
              <w:jc w:val="center"/>
              <w:rPr>
                <w:b/>
                <w:bC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AD7D2B" w14:textId="77777777" w:rsidR="00146ED8" w:rsidRDefault="00146ED8" w:rsidP="00146ED8">
            <w:pPr>
              <w:jc w:val="center"/>
              <w:rPr>
                <w:b/>
                <w:bCs/>
                <w:color w:val="000000"/>
              </w:rPr>
            </w:pPr>
            <w:r w:rsidRPr="00001100">
              <w:rPr>
                <w:b/>
                <w:bCs/>
                <w:color w:val="000000"/>
              </w:rPr>
              <w:t>$    Difference</w:t>
            </w:r>
          </w:p>
          <w:p w14:paraId="1DA7C64C" w14:textId="77777777" w:rsidR="004A53F0" w:rsidRPr="00001100" w:rsidRDefault="004A53F0" w:rsidP="00146ED8">
            <w:pPr>
              <w:jc w:val="center"/>
              <w:rPr>
                <w:b/>
                <w:bCs/>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6F05C2" w14:textId="77777777" w:rsidR="00146ED8" w:rsidRDefault="00146ED8" w:rsidP="00146ED8">
            <w:pPr>
              <w:jc w:val="center"/>
              <w:rPr>
                <w:b/>
                <w:bCs/>
                <w:color w:val="000000"/>
              </w:rPr>
            </w:pPr>
            <w:r w:rsidRPr="00001100">
              <w:rPr>
                <w:b/>
                <w:bCs/>
                <w:color w:val="000000"/>
              </w:rPr>
              <w:t>%    Difference</w:t>
            </w:r>
          </w:p>
          <w:p w14:paraId="663CCD80" w14:textId="77777777" w:rsidR="004A53F0" w:rsidRPr="00001100" w:rsidRDefault="004A53F0" w:rsidP="00146ED8">
            <w:pPr>
              <w:jc w:val="center"/>
              <w:rPr>
                <w:b/>
                <w:bCs/>
                <w:color w:val="000000"/>
              </w:rPr>
            </w:pPr>
          </w:p>
        </w:tc>
      </w:tr>
      <w:tr w:rsidR="00146ED8" w:rsidRPr="00001100" w14:paraId="465F96F5" w14:textId="77777777" w:rsidTr="00C547CB">
        <w:trPr>
          <w:trHeight w:val="315"/>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32256DB" w14:textId="77777777" w:rsidR="004A53F0" w:rsidRDefault="004A53F0" w:rsidP="00146ED8">
            <w:pPr>
              <w:rPr>
                <w:color w:val="000000"/>
              </w:rPr>
            </w:pPr>
          </w:p>
          <w:p w14:paraId="676AE1FA" w14:textId="77777777" w:rsidR="00146ED8" w:rsidRPr="00001100" w:rsidRDefault="00146ED8" w:rsidP="00146ED8">
            <w:pPr>
              <w:rPr>
                <w:color w:val="000000"/>
              </w:rPr>
            </w:pPr>
            <w:r w:rsidRPr="00001100">
              <w:rPr>
                <w:color w:val="000000"/>
              </w:rPr>
              <w:t>Total Dues</w:t>
            </w:r>
          </w:p>
        </w:tc>
        <w:tc>
          <w:tcPr>
            <w:tcW w:w="1350" w:type="dxa"/>
            <w:tcBorders>
              <w:top w:val="single" w:sz="4" w:space="0" w:color="auto"/>
              <w:left w:val="nil"/>
              <w:bottom w:val="single" w:sz="4" w:space="0" w:color="auto"/>
              <w:right w:val="single" w:sz="4" w:space="0" w:color="auto"/>
            </w:tcBorders>
          </w:tcPr>
          <w:p w14:paraId="0A6C2C89" w14:textId="77777777" w:rsidR="00146ED8" w:rsidRDefault="00146ED8" w:rsidP="004A53F0">
            <w:pPr>
              <w:rPr>
                <w:color w:val="000000"/>
              </w:rPr>
            </w:pPr>
          </w:p>
          <w:p w14:paraId="72F528C8" w14:textId="77777777" w:rsidR="004A53F0" w:rsidRDefault="004A53F0" w:rsidP="00146ED8">
            <w:pPr>
              <w:jc w:val="right"/>
              <w:rPr>
                <w:color w:val="000000"/>
              </w:rPr>
            </w:pPr>
          </w:p>
          <w:p w14:paraId="422A7685" w14:textId="77777777" w:rsidR="00146ED8" w:rsidRPr="00001100" w:rsidRDefault="00146ED8" w:rsidP="00146ED8">
            <w:pPr>
              <w:jc w:val="right"/>
              <w:rPr>
                <w:color w:val="000000"/>
              </w:rPr>
            </w:pPr>
            <w:r w:rsidRPr="00001100">
              <w:rPr>
                <w:color w:val="000000"/>
              </w:rPr>
              <w:t>$3,728,204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2119B83" w14:textId="77777777" w:rsidR="00146ED8" w:rsidRPr="00001100" w:rsidRDefault="00146ED8" w:rsidP="00146ED8">
            <w:pPr>
              <w:jc w:val="right"/>
              <w:rPr>
                <w:color w:val="000000"/>
              </w:rPr>
            </w:pPr>
            <w:r w:rsidRPr="00001100">
              <w:rPr>
                <w:color w:val="000000"/>
              </w:rPr>
              <w:t xml:space="preserve">$2,628,721 </w:t>
            </w:r>
          </w:p>
        </w:tc>
        <w:tc>
          <w:tcPr>
            <w:tcW w:w="1350" w:type="dxa"/>
            <w:tcBorders>
              <w:top w:val="nil"/>
              <w:left w:val="nil"/>
              <w:bottom w:val="single" w:sz="4" w:space="0" w:color="auto"/>
              <w:right w:val="single" w:sz="4" w:space="0" w:color="auto"/>
            </w:tcBorders>
            <w:shd w:val="clear" w:color="auto" w:fill="auto"/>
            <w:noWrap/>
            <w:vAlign w:val="bottom"/>
            <w:hideMark/>
          </w:tcPr>
          <w:p w14:paraId="2887F092" w14:textId="77777777" w:rsidR="00146ED8" w:rsidRPr="00001100" w:rsidRDefault="00146ED8" w:rsidP="00146ED8">
            <w:pPr>
              <w:jc w:val="right"/>
              <w:rPr>
                <w:color w:val="000000"/>
              </w:rPr>
            </w:pPr>
            <w:r w:rsidRPr="00001100">
              <w:rPr>
                <w:color w:val="000000"/>
              </w:rPr>
              <w:t xml:space="preserve">$4,490,374 </w:t>
            </w:r>
          </w:p>
        </w:tc>
        <w:tc>
          <w:tcPr>
            <w:tcW w:w="1350" w:type="dxa"/>
            <w:tcBorders>
              <w:top w:val="nil"/>
              <w:left w:val="nil"/>
              <w:bottom w:val="single" w:sz="4" w:space="0" w:color="auto"/>
              <w:right w:val="single" w:sz="4" w:space="0" w:color="auto"/>
            </w:tcBorders>
            <w:shd w:val="clear" w:color="auto" w:fill="auto"/>
            <w:noWrap/>
            <w:vAlign w:val="bottom"/>
            <w:hideMark/>
          </w:tcPr>
          <w:p w14:paraId="0224CDCF" w14:textId="77777777" w:rsidR="00146ED8" w:rsidRPr="00001100" w:rsidRDefault="00146ED8" w:rsidP="00146ED8">
            <w:pPr>
              <w:jc w:val="right"/>
              <w:rPr>
                <w:color w:val="000000"/>
              </w:rPr>
            </w:pPr>
            <w:r w:rsidRPr="00001100">
              <w:rPr>
                <w:color w:val="000000"/>
              </w:rPr>
              <w:t xml:space="preserve">$1,861,653 </w:t>
            </w:r>
          </w:p>
        </w:tc>
        <w:tc>
          <w:tcPr>
            <w:tcW w:w="1350" w:type="dxa"/>
            <w:tcBorders>
              <w:top w:val="nil"/>
              <w:left w:val="nil"/>
              <w:bottom w:val="single" w:sz="4" w:space="0" w:color="auto"/>
              <w:right w:val="single" w:sz="4" w:space="0" w:color="auto"/>
            </w:tcBorders>
            <w:shd w:val="clear" w:color="auto" w:fill="auto"/>
            <w:noWrap/>
            <w:vAlign w:val="bottom"/>
            <w:hideMark/>
          </w:tcPr>
          <w:p w14:paraId="58F83D96" w14:textId="77777777" w:rsidR="00146ED8" w:rsidRPr="00001100" w:rsidRDefault="00146ED8" w:rsidP="00146ED8">
            <w:pPr>
              <w:jc w:val="center"/>
              <w:rPr>
                <w:color w:val="000000"/>
              </w:rPr>
            </w:pPr>
            <w:r w:rsidRPr="00001100">
              <w:rPr>
                <w:color w:val="000000"/>
              </w:rPr>
              <w:t>70.82%</w:t>
            </w:r>
          </w:p>
        </w:tc>
      </w:tr>
      <w:tr w:rsidR="00146ED8" w:rsidRPr="00001100" w14:paraId="2B9ABDB4" w14:textId="77777777" w:rsidTr="00C547CB">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F2253" w14:textId="77777777" w:rsidR="00146ED8" w:rsidRPr="00001100" w:rsidRDefault="00146ED8" w:rsidP="00146ED8">
            <w:pPr>
              <w:rPr>
                <w:color w:val="000000"/>
              </w:rPr>
            </w:pPr>
            <w:r w:rsidRPr="00001100">
              <w:rPr>
                <w:color w:val="000000"/>
              </w:rPr>
              <w:t>Total Food Sales</w:t>
            </w:r>
          </w:p>
        </w:tc>
        <w:tc>
          <w:tcPr>
            <w:tcW w:w="1350" w:type="dxa"/>
            <w:tcBorders>
              <w:top w:val="single" w:sz="4" w:space="0" w:color="auto"/>
              <w:left w:val="single" w:sz="4" w:space="0" w:color="auto"/>
              <w:bottom w:val="single" w:sz="4" w:space="0" w:color="auto"/>
              <w:right w:val="single" w:sz="4" w:space="0" w:color="auto"/>
            </w:tcBorders>
          </w:tcPr>
          <w:p w14:paraId="1744A485" w14:textId="77777777" w:rsidR="00146ED8" w:rsidRPr="00001100" w:rsidRDefault="00146ED8" w:rsidP="00146ED8">
            <w:pPr>
              <w:jc w:val="right"/>
              <w:rPr>
                <w:color w:val="000000"/>
              </w:rPr>
            </w:pPr>
          </w:p>
          <w:p w14:paraId="3F68380A" w14:textId="77777777" w:rsidR="00146ED8" w:rsidRDefault="00146ED8" w:rsidP="00146ED8">
            <w:pPr>
              <w:jc w:val="right"/>
              <w:rPr>
                <w:color w:val="000000"/>
              </w:rPr>
            </w:pPr>
          </w:p>
          <w:p w14:paraId="1C3ABA8A" w14:textId="77777777" w:rsidR="00146ED8" w:rsidRPr="00001100" w:rsidRDefault="00146ED8" w:rsidP="00146ED8">
            <w:pPr>
              <w:jc w:val="right"/>
              <w:rPr>
                <w:color w:val="000000"/>
              </w:rPr>
            </w:pPr>
            <w:r w:rsidRPr="00001100">
              <w:rPr>
                <w:color w:val="000000"/>
              </w:rPr>
              <w:t>1,403,647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310FC" w14:textId="77777777" w:rsidR="00146ED8" w:rsidRPr="00001100" w:rsidRDefault="00146ED8" w:rsidP="00146ED8">
            <w:pPr>
              <w:jc w:val="right"/>
              <w:rPr>
                <w:color w:val="000000"/>
              </w:rPr>
            </w:pPr>
            <w:r w:rsidRPr="00001100">
              <w:rPr>
                <w:color w:val="000000"/>
              </w:rPr>
              <w:t xml:space="preserve">1,260,345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F46A6" w14:textId="77777777" w:rsidR="00146ED8" w:rsidRPr="00001100" w:rsidRDefault="00146ED8" w:rsidP="00146ED8">
            <w:pPr>
              <w:jc w:val="right"/>
              <w:rPr>
                <w:color w:val="000000"/>
              </w:rPr>
            </w:pPr>
            <w:r w:rsidRPr="00001100">
              <w:rPr>
                <w:color w:val="000000"/>
              </w:rPr>
              <w:t xml:space="preserve">1,689,650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2380" w14:textId="77777777" w:rsidR="00146ED8" w:rsidRPr="00001100" w:rsidRDefault="00146ED8" w:rsidP="00146ED8">
            <w:pPr>
              <w:jc w:val="right"/>
              <w:rPr>
                <w:color w:val="000000"/>
              </w:rPr>
            </w:pPr>
            <w:r w:rsidRPr="00001100">
              <w:rPr>
                <w:color w:val="000000"/>
              </w:rPr>
              <w:t xml:space="preserve">429,305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AD22" w14:textId="77777777" w:rsidR="00146ED8" w:rsidRPr="00001100" w:rsidRDefault="00146ED8" w:rsidP="00146ED8">
            <w:pPr>
              <w:jc w:val="center"/>
              <w:rPr>
                <w:color w:val="000000"/>
              </w:rPr>
            </w:pPr>
            <w:r w:rsidRPr="00001100">
              <w:rPr>
                <w:color w:val="000000"/>
              </w:rPr>
              <w:t>34.06</w:t>
            </w:r>
          </w:p>
        </w:tc>
      </w:tr>
      <w:tr w:rsidR="00146ED8" w:rsidRPr="00001100" w14:paraId="3A407E6F" w14:textId="77777777" w:rsidTr="00EE137F">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C7FC0" w14:textId="77777777" w:rsidR="00146ED8" w:rsidRPr="00001100" w:rsidRDefault="00146ED8" w:rsidP="00146ED8">
            <w:pPr>
              <w:rPr>
                <w:color w:val="000000"/>
              </w:rPr>
            </w:pPr>
            <w:r w:rsidRPr="00001100">
              <w:rPr>
                <w:color w:val="000000"/>
              </w:rPr>
              <w:t>Total Beverage Sales</w:t>
            </w:r>
          </w:p>
        </w:tc>
        <w:tc>
          <w:tcPr>
            <w:tcW w:w="1350" w:type="dxa"/>
            <w:tcBorders>
              <w:top w:val="single" w:sz="4" w:space="0" w:color="auto"/>
              <w:left w:val="nil"/>
              <w:bottom w:val="single" w:sz="4" w:space="0" w:color="auto"/>
              <w:right w:val="single" w:sz="4" w:space="0" w:color="auto"/>
            </w:tcBorders>
          </w:tcPr>
          <w:p w14:paraId="5F6DCF07" w14:textId="77777777" w:rsidR="00146ED8" w:rsidRPr="00001100" w:rsidRDefault="00146ED8" w:rsidP="00146ED8">
            <w:pPr>
              <w:jc w:val="right"/>
              <w:rPr>
                <w:color w:val="000000"/>
              </w:rPr>
            </w:pPr>
          </w:p>
          <w:p w14:paraId="12AC1710" w14:textId="77777777" w:rsidR="00146ED8" w:rsidRDefault="00146ED8" w:rsidP="00146ED8">
            <w:pPr>
              <w:jc w:val="right"/>
              <w:rPr>
                <w:color w:val="000000"/>
              </w:rPr>
            </w:pPr>
          </w:p>
          <w:p w14:paraId="6EFD7A48" w14:textId="77777777" w:rsidR="00146ED8" w:rsidRPr="00001100" w:rsidRDefault="00146ED8" w:rsidP="00146ED8">
            <w:pPr>
              <w:jc w:val="right"/>
              <w:rPr>
                <w:color w:val="000000"/>
              </w:rPr>
            </w:pPr>
            <w:r w:rsidRPr="00001100">
              <w:rPr>
                <w:color w:val="000000"/>
              </w:rPr>
              <w:t>556,662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90236" w14:textId="77777777" w:rsidR="00146ED8" w:rsidRPr="00001100" w:rsidRDefault="00146ED8" w:rsidP="00146ED8">
            <w:pPr>
              <w:jc w:val="right"/>
              <w:rPr>
                <w:color w:val="000000"/>
              </w:rPr>
            </w:pPr>
            <w:r w:rsidRPr="00001100">
              <w:rPr>
                <w:color w:val="000000"/>
              </w:rPr>
              <w:t xml:space="preserve">354,691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4E69461" w14:textId="77777777" w:rsidR="00146ED8" w:rsidRPr="00001100" w:rsidRDefault="00146ED8" w:rsidP="00146ED8">
            <w:pPr>
              <w:jc w:val="right"/>
              <w:rPr>
                <w:color w:val="000000"/>
              </w:rPr>
            </w:pPr>
            <w:r w:rsidRPr="00001100">
              <w:rPr>
                <w:color w:val="000000"/>
              </w:rPr>
              <w:t xml:space="preserve">779,107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CD72102" w14:textId="77777777" w:rsidR="00146ED8" w:rsidRPr="00001100" w:rsidRDefault="00146ED8" w:rsidP="00146ED8">
            <w:pPr>
              <w:jc w:val="right"/>
              <w:rPr>
                <w:color w:val="000000"/>
              </w:rPr>
            </w:pPr>
            <w:r w:rsidRPr="00001100">
              <w:rPr>
                <w:color w:val="000000"/>
              </w:rPr>
              <w:t xml:space="preserve">424,416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41A266A" w14:textId="77777777" w:rsidR="00146ED8" w:rsidRPr="00001100" w:rsidRDefault="00146ED8" w:rsidP="00146ED8">
            <w:pPr>
              <w:jc w:val="center"/>
              <w:rPr>
                <w:color w:val="000000"/>
              </w:rPr>
            </w:pPr>
            <w:r w:rsidRPr="00001100">
              <w:rPr>
                <w:color w:val="000000"/>
              </w:rPr>
              <w:t>119.66</w:t>
            </w:r>
          </w:p>
        </w:tc>
      </w:tr>
      <w:tr w:rsidR="00146ED8" w:rsidRPr="00001100" w14:paraId="31D5BA8B" w14:textId="77777777" w:rsidTr="00EE137F">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F3E91" w14:textId="77777777" w:rsidR="00146ED8" w:rsidRPr="00001100" w:rsidRDefault="00146ED8" w:rsidP="00146ED8">
            <w:pPr>
              <w:rPr>
                <w:color w:val="000000"/>
              </w:rPr>
            </w:pPr>
            <w:r w:rsidRPr="00001100">
              <w:rPr>
                <w:color w:val="000000"/>
              </w:rPr>
              <w:t>Total Golf Pro Shop Revenues</w:t>
            </w:r>
          </w:p>
        </w:tc>
        <w:tc>
          <w:tcPr>
            <w:tcW w:w="1350" w:type="dxa"/>
            <w:tcBorders>
              <w:top w:val="single" w:sz="4" w:space="0" w:color="auto"/>
              <w:left w:val="single" w:sz="4" w:space="0" w:color="auto"/>
              <w:bottom w:val="single" w:sz="4" w:space="0" w:color="auto"/>
              <w:right w:val="single" w:sz="4" w:space="0" w:color="auto"/>
            </w:tcBorders>
          </w:tcPr>
          <w:p w14:paraId="30501D23" w14:textId="77777777" w:rsidR="00146ED8" w:rsidRPr="00001100" w:rsidRDefault="00146ED8" w:rsidP="00146ED8">
            <w:pPr>
              <w:jc w:val="right"/>
              <w:rPr>
                <w:color w:val="000000"/>
              </w:rPr>
            </w:pPr>
          </w:p>
          <w:p w14:paraId="0C7AA71A" w14:textId="77777777" w:rsidR="00146ED8" w:rsidRDefault="00146ED8" w:rsidP="00146ED8">
            <w:pPr>
              <w:jc w:val="right"/>
              <w:rPr>
                <w:color w:val="000000"/>
              </w:rPr>
            </w:pPr>
          </w:p>
          <w:p w14:paraId="58694CB0" w14:textId="77777777" w:rsidR="00146ED8" w:rsidRPr="00001100" w:rsidRDefault="00146ED8" w:rsidP="00146ED8">
            <w:pPr>
              <w:jc w:val="right"/>
              <w:rPr>
                <w:color w:val="000000"/>
              </w:rPr>
            </w:pPr>
            <w:r w:rsidRPr="00001100">
              <w:rPr>
                <w:color w:val="000000"/>
              </w:rPr>
              <w:t>580,803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FD746" w14:textId="77777777" w:rsidR="00146ED8" w:rsidRPr="00001100" w:rsidRDefault="00146ED8" w:rsidP="00146ED8">
            <w:pPr>
              <w:jc w:val="right"/>
              <w:rPr>
                <w:color w:val="000000"/>
              </w:rPr>
            </w:pPr>
            <w:r w:rsidRPr="00001100">
              <w:rPr>
                <w:color w:val="000000"/>
              </w:rPr>
              <w:t xml:space="preserve">336,261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28261" w14:textId="77777777" w:rsidR="00146ED8" w:rsidRPr="00001100" w:rsidRDefault="00146ED8" w:rsidP="00146ED8">
            <w:pPr>
              <w:jc w:val="right"/>
              <w:rPr>
                <w:color w:val="000000"/>
              </w:rPr>
            </w:pPr>
            <w:r w:rsidRPr="00001100">
              <w:rPr>
                <w:color w:val="000000"/>
              </w:rPr>
              <w:t xml:space="preserve">870,412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096EF" w14:textId="77777777" w:rsidR="00146ED8" w:rsidRPr="00001100" w:rsidRDefault="00146ED8" w:rsidP="00146ED8">
            <w:pPr>
              <w:jc w:val="right"/>
              <w:rPr>
                <w:color w:val="000000"/>
              </w:rPr>
            </w:pPr>
            <w:r w:rsidRPr="00001100">
              <w:rPr>
                <w:color w:val="000000"/>
              </w:rPr>
              <w:t xml:space="preserve">534,151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B248B" w14:textId="77777777" w:rsidR="00146ED8" w:rsidRPr="00001100" w:rsidRDefault="00146ED8" w:rsidP="00146ED8">
            <w:pPr>
              <w:jc w:val="center"/>
              <w:rPr>
                <w:color w:val="000000"/>
              </w:rPr>
            </w:pPr>
            <w:r w:rsidRPr="00001100">
              <w:rPr>
                <w:color w:val="000000"/>
              </w:rPr>
              <w:t>158.85</w:t>
            </w:r>
          </w:p>
        </w:tc>
      </w:tr>
      <w:tr w:rsidR="00146ED8" w:rsidRPr="00001100" w14:paraId="7569CB28" w14:textId="77777777" w:rsidTr="00EE137F">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23C5D" w14:textId="77777777" w:rsidR="00146ED8" w:rsidRPr="00001100" w:rsidRDefault="00146ED8" w:rsidP="00146ED8">
            <w:pPr>
              <w:rPr>
                <w:color w:val="000000"/>
              </w:rPr>
            </w:pPr>
            <w:r w:rsidRPr="00001100">
              <w:rPr>
                <w:color w:val="000000"/>
              </w:rPr>
              <w:t>Total Initiation Fees</w:t>
            </w:r>
          </w:p>
        </w:tc>
        <w:tc>
          <w:tcPr>
            <w:tcW w:w="1350" w:type="dxa"/>
            <w:tcBorders>
              <w:top w:val="single" w:sz="4" w:space="0" w:color="auto"/>
              <w:left w:val="nil"/>
              <w:bottom w:val="single" w:sz="4" w:space="0" w:color="auto"/>
              <w:right w:val="single" w:sz="4" w:space="0" w:color="auto"/>
            </w:tcBorders>
          </w:tcPr>
          <w:p w14:paraId="26B29BC5" w14:textId="77777777" w:rsidR="00146ED8" w:rsidRPr="00001100" w:rsidRDefault="00146ED8" w:rsidP="00146ED8">
            <w:pPr>
              <w:jc w:val="right"/>
              <w:rPr>
                <w:color w:val="000000"/>
              </w:rPr>
            </w:pPr>
          </w:p>
          <w:p w14:paraId="2D0EA245" w14:textId="77777777" w:rsidR="00146ED8" w:rsidRDefault="00146ED8" w:rsidP="00146ED8">
            <w:pPr>
              <w:jc w:val="right"/>
              <w:rPr>
                <w:color w:val="000000"/>
              </w:rPr>
            </w:pPr>
          </w:p>
          <w:p w14:paraId="2573F268" w14:textId="77777777" w:rsidR="00146ED8" w:rsidRPr="00001100" w:rsidRDefault="00146ED8" w:rsidP="00146ED8">
            <w:pPr>
              <w:jc w:val="right"/>
              <w:rPr>
                <w:color w:val="000000"/>
              </w:rPr>
            </w:pPr>
            <w:r w:rsidRPr="00001100">
              <w:rPr>
                <w:color w:val="000000"/>
              </w:rPr>
              <w:t>490,000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7423E" w14:textId="77777777" w:rsidR="00146ED8" w:rsidRPr="00001100" w:rsidRDefault="00146ED8" w:rsidP="00146ED8">
            <w:pPr>
              <w:jc w:val="right"/>
              <w:rPr>
                <w:color w:val="000000"/>
              </w:rPr>
            </w:pPr>
            <w:r w:rsidRPr="00001100">
              <w:rPr>
                <w:color w:val="000000"/>
              </w:rPr>
              <w:t xml:space="preserve">286,034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92522C9" w14:textId="77777777" w:rsidR="00146ED8" w:rsidRPr="00001100" w:rsidRDefault="00146ED8" w:rsidP="00146ED8">
            <w:pPr>
              <w:jc w:val="right"/>
              <w:rPr>
                <w:color w:val="000000"/>
              </w:rPr>
            </w:pPr>
            <w:r w:rsidRPr="00001100">
              <w:rPr>
                <w:color w:val="000000"/>
              </w:rPr>
              <w:t xml:space="preserve">674,717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0B43FFA" w14:textId="77777777" w:rsidR="00146ED8" w:rsidRPr="00001100" w:rsidRDefault="00146ED8" w:rsidP="00146ED8">
            <w:pPr>
              <w:jc w:val="right"/>
              <w:rPr>
                <w:color w:val="000000"/>
              </w:rPr>
            </w:pPr>
            <w:r w:rsidRPr="00001100">
              <w:rPr>
                <w:color w:val="000000"/>
              </w:rPr>
              <w:t xml:space="preserve">388,683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E07342E" w14:textId="77777777" w:rsidR="00146ED8" w:rsidRPr="00001100" w:rsidRDefault="00146ED8" w:rsidP="00146ED8">
            <w:pPr>
              <w:jc w:val="center"/>
              <w:rPr>
                <w:color w:val="000000"/>
              </w:rPr>
            </w:pPr>
            <w:r w:rsidRPr="00001100">
              <w:rPr>
                <w:color w:val="000000"/>
              </w:rPr>
              <w:t>135.89</w:t>
            </w:r>
          </w:p>
        </w:tc>
      </w:tr>
      <w:tr w:rsidR="00146ED8" w:rsidRPr="00001100" w14:paraId="1EF99E32" w14:textId="77777777" w:rsidTr="00F74AC2">
        <w:trPr>
          <w:trHeight w:val="330"/>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6A3C6DF" w14:textId="77777777" w:rsidR="00146ED8" w:rsidRDefault="00146ED8" w:rsidP="00146ED8">
            <w:pPr>
              <w:rPr>
                <w:color w:val="000000"/>
              </w:rPr>
            </w:pPr>
          </w:p>
          <w:p w14:paraId="04115745" w14:textId="77777777" w:rsidR="00146ED8" w:rsidRPr="00001100" w:rsidRDefault="00146ED8" w:rsidP="00146ED8">
            <w:pPr>
              <w:rPr>
                <w:color w:val="000000"/>
              </w:rPr>
            </w:pPr>
            <w:r w:rsidRPr="00001100">
              <w:rPr>
                <w:color w:val="000000"/>
              </w:rPr>
              <w:t>Total Revenues</w:t>
            </w:r>
          </w:p>
        </w:tc>
        <w:tc>
          <w:tcPr>
            <w:tcW w:w="1350" w:type="dxa"/>
            <w:tcBorders>
              <w:top w:val="single" w:sz="4" w:space="0" w:color="auto"/>
              <w:left w:val="nil"/>
              <w:bottom w:val="single" w:sz="4" w:space="0" w:color="auto"/>
              <w:right w:val="single" w:sz="4" w:space="0" w:color="auto"/>
            </w:tcBorders>
          </w:tcPr>
          <w:p w14:paraId="284DA817" w14:textId="77777777" w:rsidR="00146ED8" w:rsidRPr="00001100" w:rsidRDefault="00146ED8" w:rsidP="00146ED8">
            <w:pPr>
              <w:jc w:val="right"/>
              <w:rPr>
                <w:color w:val="000000"/>
              </w:rPr>
            </w:pPr>
          </w:p>
          <w:p w14:paraId="463652C5" w14:textId="77777777" w:rsidR="00146ED8" w:rsidRDefault="00146ED8" w:rsidP="00146ED8">
            <w:pPr>
              <w:jc w:val="right"/>
              <w:rPr>
                <w:color w:val="000000"/>
              </w:rPr>
            </w:pPr>
          </w:p>
          <w:p w14:paraId="2D12364B" w14:textId="77777777" w:rsidR="00146ED8" w:rsidRPr="00001100" w:rsidRDefault="00146ED8" w:rsidP="00146ED8">
            <w:pPr>
              <w:jc w:val="right"/>
              <w:rPr>
                <w:color w:val="000000"/>
              </w:rPr>
            </w:pPr>
            <w:r w:rsidRPr="00001100">
              <w:rPr>
                <w:color w:val="000000"/>
              </w:rPr>
              <w:t>7,587,519</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EB9B636" w14:textId="77777777" w:rsidR="00146ED8" w:rsidRPr="00001100" w:rsidRDefault="00146ED8" w:rsidP="00146ED8">
            <w:pPr>
              <w:jc w:val="right"/>
              <w:rPr>
                <w:color w:val="000000"/>
              </w:rPr>
            </w:pPr>
            <w:r w:rsidRPr="00001100">
              <w:rPr>
                <w:color w:val="000000"/>
              </w:rPr>
              <w:t xml:space="preserve">6,001,063 </w:t>
            </w:r>
          </w:p>
        </w:tc>
        <w:tc>
          <w:tcPr>
            <w:tcW w:w="1350" w:type="dxa"/>
            <w:tcBorders>
              <w:top w:val="nil"/>
              <w:left w:val="nil"/>
              <w:bottom w:val="single" w:sz="4" w:space="0" w:color="auto"/>
              <w:right w:val="single" w:sz="4" w:space="0" w:color="auto"/>
            </w:tcBorders>
            <w:shd w:val="clear" w:color="auto" w:fill="auto"/>
            <w:noWrap/>
            <w:vAlign w:val="bottom"/>
            <w:hideMark/>
          </w:tcPr>
          <w:p w14:paraId="258FFCBA" w14:textId="77777777" w:rsidR="00146ED8" w:rsidRPr="00001100" w:rsidRDefault="00146ED8" w:rsidP="00146ED8">
            <w:pPr>
              <w:jc w:val="right"/>
              <w:rPr>
                <w:color w:val="000000"/>
              </w:rPr>
            </w:pPr>
            <w:r w:rsidRPr="00001100">
              <w:rPr>
                <w:color w:val="000000"/>
              </w:rPr>
              <w:t xml:space="preserve">9,397,209 </w:t>
            </w:r>
          </w:p>
        </w:tc>
        <w:tc>
          <w:tcPr>
            <w:tcW w:w="1350" w:type="dxa"/>
            <w:tcBorders>
              <w:top w:val="nil"/>
              <w:left w:val="nil"/>
              <w:bottom w:val="single" w:sz="4" w:space="0" w:color="auto"/>
              <w:right w:val="single" w:sz="4" w:space="0" w:color="auto"/>
            </w:tcBorders>
            <w:shd w:val="clear" w:color="auto" w:fill="auto"/>
            <w:noWrap/>
            <w:vAlign w:val="bottom"/>
            <w:hideMark/>
          </w:tcPr>
          <w:p w14:paraId="1FDF2D82" w14:textId="77777777" w:rsidR="00146ED8" w:rsidRPr="00001100" w:rsidRDefault="00146ED8" w:rsidP="00146ED8">
            <w:pPr>
              <w:jc w:val="right"/>
              <w:rPr>
                <w:color w:val="000000"/>
              </w:rPr>
            </w:pPr>
            <w:r w:rsidRPr="00001100">
              <w:rPr>
                <w:color w:val="000000"/>
              </w:rPr>
              <w:t xml:space="preserve">3,396,146 </w:t>
            </w:r>
          </w:p>
        </w:tc>
        <w:tc>
          <w:tcPr>
            <w:tcW w:w="1350" w:type="dxa"/>
            <w:tcBorders>
              <w:top w:val="nil"/>
              <w:left w:val="nil"/>
              <w:bottom w:val="single" w:sz="4" w:space="0" w:color="auto"/>
              <w:right w:val="single" w:sz="4" w:space="0" w:color="auto"/>
            </w:tcBorders>
            <w:shd w:val="clear" w:color="auto" w:fill="auto"/>
            <w:noWrap/>
            <w:vAlign w:val="bottom"/>
            <w:hideMark/>
          </w:tcPr>
          <w:p w14:paraId="4FE1A812" w14:textId="77777777" w:rsidR="00146ED8" w:rsidRPr="00001100" w:rsidRDefault="00146ED8" w:rsidP="00146ED8">
            <w:pPr>
              <w:jc w:val="center"/>
              <w:rPr>
                <w:color w:val="000000"/>
              </w:rPr>
            </w:pPr>
            <w:r w:rsidRPr="00001100">
              <w:rPr>
                <w:color w:val="000000"/>
              </w:rPr>
              <w:t>56.59</w:t>
            </w:r>
          </w:p>
        </w:tc>
      </w:tr>
      <w:tr w:rsidR="00146ED8" w:rsidRPr="00001100" w14:paraId="3C32C87D" w14:textId="77777777" w:rsidTr="00F74AC2">
        <w:trPr>
          <w:trHeight w:val="89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6ADF7" w14:textId="77777777" w:rsidR="00146ED8" w:rsidRDefault="00146ED8" w:rsidP="00146ED8">
            <w:pPr>
              <w:rPr>
                <w:color w:val="000000"/>
              </w:rPr>
            </w:pPr>
          </w:p>
          <w:p w14:paraId="71BCD9B5" w14:textId="77777777" w:rsidR="00146ED8" w:rsidRPr="00001100" w:rsidRDefault="00146ED8" w:rsidP="00146ED8">
            <w:pPr>
              <w:rPr>
                <w:color w:val="000000"/>
              </w:rPr>
            </w:pPr>
            <w:r w:rsidRPr="00001100">
              <w:rPr>
                <w:color w:val="000000"/>
              </w:rPr>
              <w:t>Cost of Food Sold</w:t>
            </w:r>
          </w:p>
        </w:tc>
        <w:tc>
          <w:tcPr>
            <w:tcW w:w="1350" w:type="dxa"/>
            <w:tcBorders>
              <w:top w:val="single" w:sz="4" w:space="0" w:color="auto"/>
              <w:left w:val="single" w:sz="4" w:space="0" w:color="auto"/>
              <w:bottom w:val="single" w:sz="4" w:space="0" w:color="auto"/>
              <w:right w:val="single" w:sz="4" w:space="0" w:color="auto"/>
            </w:tcBorders>
          </w:tcPr>
          <w:p w14:paraId="74F8F40E" w14:textId="77777777" w:rsidR="00146ED8" w:rsidRPr="00001100" w:rsidRDefault="00146ED8" w:rsidP="00146ED8">
            <w:pPr>
              <w:jc w:val="right"/>
              <w:rPr>
                <w:color w:val="000000"/>
              </w:rPr>
            </w:pPr>
          </w:p>
          <w:p w14:paraId="0DB7AE4E" w14:textId="77777777" w:rsidR="00146ED8" w:rsidRDefault="00146ED8" w:rsidP="00146ED8">
            <w:pPr>
              <w:jc w:val="right"/>
              <w:rPr>
                <w:color w:val="000000"/>
              </w:rPr>
            </w:pPr>
          </w:p>
          <w:p w14:paraId="5AA6AB7E" w14:textId="77777777" w:rsidR="00146ED8" w:rsidRPr="00001100" w:rsidRDefault="00146ED8" w:rsidP="00146ED8">
            <w:pPr>
              <w:jc w:val="right"/>
              <w:rPr>
                <w:color w:val="000000"/>
              </w:rPr>
            </w:pPr>
            <w:r w:rsidRPr="00001100">
              <w:rPr>
                <w:color w:val="000000"/>
              </w:rPr>
              <w:t>548,336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DF3B7" w14:textId="77777777" w:rsidR="00146ED8" w:rsidRPr="00001100" w:rsidRDefault="00146ED8" w:rsidP="00146ED8">
            <w:pPr>
              <w:jc w:val="right"/>
              <w:rPr>
                <w:color w:val="000000"/>
              </w:rPr>
            </w:pPr>
            <w:r w:rsidRPr="00001100">
              <w:rPr>
                <w:color w:val="000000"/>
              </w:rPr>
              <w:t xml:space="preserve">483,427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B7F61" w14:textId="77777777" w:rsidR="00146ED8" w:rsidRPr="00001100" w:rsidRDefault="00146ED8" w:rsidP="00146ED8">
            <w:pPr>
              <w:jc w:val="right"/>
              <w:rPr>
                <w:color w:val="000000"/>
              </w:rPr>
            </w:pPr>
            <w:r w:rsidRPr="00001100">
              <w:rPr>
                <w:color w:val="000000"/>
              </w:rPr>
              <w:t xml:space="preserve">557,812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2AC84" w14:textId="77777777" w:rsidR="00146ED8" w:rsidRPr="00001100" w:rsidRDefault="00146ED8" w:rsidP="00146ED8">
            <w:pPr>
              <w:jc w:val="right"/>
              <w:rPr>
                <w:color w:val="000000"/>
              </w:rPr>
            </w:pPr>
            <w:r w:rsidRPr="00001100">
              <w:rPr>
                <w:color w:val="000000"/>
              </w:rPr>
              <w:t xml:space="preserve">74,385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11C97" w14:textId="77777777" w:rsidR="00146ED8" w:rsidRPr="00001100" w:rsidRDefault="00146ED8" w:rsidP="00146ED8">
            <w:pPr>
              <w:jc w:val="center"/>
              <w:rPr>
                <w:color w:val="000000"/>
              </w:rPr>
            </w:pPr>
            <w:r w:rsidRPr="00001100">
              <w:rPr>
                <w:color w:val="000000"/>
              </w:rPr>
              <w:t>15.39</w:t>
            </w:r>
          </w:p>
        </w:tc>
      </w:tr>
      <w:tr w:rsidR="00146ED8" w:rsidRPr="00001100" w14:paraId="2AEECC73" w14:textId="77777777" w:rsidTr="00F74AC2">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56553" w14:textId="77777777" w:rsidR="00146ED8" w:rsidRPr="00001100" w:rsidRDefault="00146ED8" w:rsidP="00146ED8">
            <w:pPr>
              <w:rPr>
                <w:color w:val="000000"/>
              </w:rPr>
            </w:pPr>
            <w:r w:rsidRPr="00001100">
              <w:rPr>
                <w:color w:val="000000"/>
              </w:rPr>
              <w:t>Cost of Beverage Sold</w:t>
            </w:r>
          </w:p>
        </w:tc>
        <w:tc>
          <w:tcPr>
            <w:tcW w:w="1350" w:type="dxa"/>
            <w:tcBorders>
              <w:top w:val="single" w:sz="4" w:space="0" w:color="auto"/>
              <w:left w:val="nil"/>
              <w:bottom w:val="single" w:sz="4" w:space="0" w:color="auto"/>
              <w:right w:val="single" w:sz="4" w:space="0" w:color="auto"/>
            </w:tcBorders>
          </w:tcPr>
          <w:p w14:paraId="335B8670" w14:textId="77777777" w:rsidR="00146ED8" w:rsidRDefault="00146ED8" w:rsidP="00F74AC2">
            <w:pPr>
              <w:rPr>
                <w:color w:val="000000"/>
              </w:rPr>
            </w:pPr>
          </w:p>
          <w:p w14:paraId="594156E5" w14:textId="77777777" w:rsidR="004A53F0" w:rsidRDefault="004A53F0" w:rsidP="00146ED8">
            <w:pPr>
              <w:jc w:val="right"/>
              <w:rPr>
                <w:color w:val="000000"/>
              </w:rPr>
            </w:pPr>
          </w:p>
          <w:p w14:paraId="3AAF71B9" w14:textId="77777777" w:rsidR="00146ED8" w:rsidRPr="00001100" w:rsidRDefault="00146ED8" w:rsidP="00146ED8">
            <w:pPr>
              <w:jc w:val="right"/>
              <w:rPr>
                <w:color w:val="000000"/>
              </w:rPr>
            </w:pPr>
            <w:r w:rsidRPr="00001100">
              <w:rPr>
                <w:color w:val="000000"/>
              </w:rPr>
              <w:t>117,207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A9A93" w14:textId="77777777" w:rsidR="00146ED8" w:rsidRPr="00001100" w:rsidRDefault="00146ED8" w:rsidP="00146ED8">
            <w:pPr>
              <w:jc w:val="right"/>
              <w:rPr>
                <w:color w:val="000000"/>
              </w:rPr>
            </w:pPr>
            <w:r w:rsidRPr="00001100">
              <w:rPr>
                <w:color w:val="000000"/>
              </w:rPr>
              <w:t xml:space="preserve">100,531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6F8E778" w14:textId="77777777" w:rsidR="00146ED8" w:rsidRPr="00001100" w:rsidRDefault="00146ED8" w:rsidP="00146ED8">
            <w:pPr>
              <w:jc w:val="right"/>
              <w:rPr>
                <w:color w:val="000000"/>
              </w:rPr>
            </w:pPr>
            <w:r w:rsidRPr="00001100">
              <w:rPr>
                <w:color w:val="000000"/>
              </w:rPr>
              <w:t xml:space="preserve">226,851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5D4E059" w14:textId="77777777" w:rsidR="00146ED8" w:rsidRPr="00001100" w:rsidRDefault="00146ED8" w:rsidP="00146ED8">
            <w:pPr>
              <w:jc w:val="right"/>
              <w:rPr>
                <w:color w:val="000000"/>
              </w:rPr>
            </w:pPr>
            <w:r w:rsidRPr="00001100">
              <w:rPr>
                <w:color w:val="000000"/>
              </w:rPr>
              <w:t xml:space="preserve">126,320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2AFBCE8" w14:textId="77777777" w:rsidR="00146ED8" w:rsidRPr="00001100" w:rsidRDefault="00146ED8" w:rsidP="00146ED8">
            <w:pPr>
              <w:jc w:val="center"/>
              <w:rPr>
                <w:color w:val="000000"/>
              </w:rPr>
            </w:pPr>
            <w:r w:rsidRPr="00001100">
              <w:rPr>
                <w:color w:val="000000"/>
              </w:rPr>
              <w:t>125.65</w:t>
            </w:r>
          </w:p>
        </w:tc>
      </w:tr>
      <w:tr w:rsidR="00146ED8" w:rsidRPr="00001100" w14:paraId="632D37F1" w14:textId="77777777" w:rsidTr="004A53F0">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62C27" w14:textId="77777777" w:rsidR="00146ED8" w:rsidRPr="00001100" w:rsidRDefault="00146ED8" w:rsidP="00146ED8">
            <w:pPr>
              <w:rPr>
                <w:color w:val="000000"/>
              </w:rPr>
            </w:pPr>
            <w:r w:rsidRPr="00001100">
              <w:rPr>
                <w:color w:val="000000"/>
              </w:rPr>
              <w:t xml:space="preserve">Cost of Golf </w:t>
            </w:r>
            <w:proofErr w:type="spellStart"/>
            <w:r w:rsidRPr="00001100">
              <w:rPr>
                <w:color w:val="000000"/>
              </w:rPr>
              <w:t>Merchan</w:t>
            </w:r>
            <w:r>
              <w:rPr>
                <w:color w:val="000000"/>
              </w:rPr>
              <w:t>-</w:t>
            </w:r>
            <w:r w:rsidRPr="00001100">
              <w:rPr>
                <w:color w:val="000000"/>
              </w:rPr>
              <w:t>dise</w:t>
            </w:r>
            <w:proofErr w:type="spellEnd"/>
            <w:r w:rsidRPr="00001100">
              <w:rPr>
                <w:color w:val="000000"/>
              </w:rPr>
              <w:t xml:space="preserve"> Sold</w:t>
            </w:r>
          </w:p>
        </w:tc>
        <w:tc>
          <w:tcPr>
            <w:tcW w:w="1350" w:type="dxa"/>
            <w:tcBorders>
              <w:top w:val="single" w:sz="4" w:space="0" w:color="auto"/>
              <w:left w:val="single" w:sz="4" w:space="0" w:color="auto"/>
              <w:bottom w:val="single" w:sz="4" w:space="0" w:color="auto"/>
              <w:right w:val="single" w:sz="4" w:space="0" w:color="auto"/>
            </w:tcBorders>
          </w:tcPr>
          <w:p w14:paraId="21788C84" w14:textId="77777777" w:rsidR="00146ED8" w:rsidRPr="00001100" w:rsidRDefault="00146ED8" w:rsidP="00146ED8">
            <w:pPr>
              <w:jc w:val="right"/>
              <w:rPr>
                <w:color w:val="000000"/>
              </w:rPr>
            </w:pPr>
          </w:p>
          <w:p w14:paraId="28B36E35" w14:textId="77777777" w:rsidR="00146ED8" w:rsidRPr="00001100" w:rsidRDefault="00146ED8" w:rsidP="00146ED8">
            <w:pPr>
              <w:jc w:val="right"/>
              <w:rPr>
                <w:color w:val="000000"/>
              </w:rPr>
            </w:pPr>
          </w:p>
          <w:p w14:paraId="0697C152" w14:textId="77777777" w:rsidR="00146ED8" w:rsidRDefault="00146ED8" w:rsidP="00146ED8">
            <w:pPr>
              <w:jc w:val="right"/>
              <w:rPr>
                <w:color w:val="000000"/>
              </w:rPr>
            </w:pPr>
          </w:p>
          <w:p w14:paraId="06E02702" w14:textId="77777777" w:rsidR="00146ED8" w:rsidRPr="00001100" w:rsidRDefault="00146ED8" w:rsidP="00146ED8">
            <w:pPr>
              <w:jc w:val="right"/>
              <w:rPr>
                <w:color w:val="000000"/>
              </w:rPr>
            </w:pPr>
            <w:r w:rsidRPr="00001100">
              <w:rPr>
                <w:color w:val="000000"/>
              </w:rPr>
              <w:t>219,711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51E63" w14:textId="77777777" w:rsidR="004A53F0" w:rsidRDefault="004A53F0" w:rsidP="00146ED8">
            <w:pPr>
              <w:jc w:val="right"/>
              <w:rPr>
                <w:color w:val="000000"/>
              </w:rPr>
            </w:pPr>
          </w:p>
          <w:p w14:paraId="56ABB1AD" w14:textId="77777777" w:rsidR="00146ED8" w:rsidRPr="00001100" w:rsidRDefault="00146ED8" w:rsidP="00146ED8">
            <w:pPr>
              <w:jc w:val="right"/>
              <w:rPr>
                <w:color w:val="000000"/>
              </w:rPr>
            </w:pPr>
            <w:r w:rsidRPr="00001100">
              <w:rPr>
                <w:color w:val="000000"/>
              </w:rPr>
              <w:t xml:space="preserve">204,671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C2167" w14:textId="77777777" w:rsidR="004A53F0" w:rsidRDefault="004A53F0" w:rsidP="00146ED8">
            <w:pPr>
              <w:jc w:val="right"/>
              <w:rPr>
                <w:color w:val="000000"/>
              </w:rPr>
            </w:pPr>
          </w:p>
          <w:p w14:paraId="192A20F2" w14:textId="77777777" w:rsidR="00146ED8" w:rsidRPr="00001100" w:rsidRDefault="00146ED8" w:rsidP="00146ED8">
            <w:pPr>
              <w:jc w:val="right"/>
              <w:rPr>
                <w:color w:val="000000"/>
              </w:rPr>
            </w:pPr>
            <w:r w:rsidRPr="00001100">
              <w:rPr>
                <w:color w:val="000000"/>
              </w:rPr>
              <w:t xml:space="preserve">436,894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EA40F" w14:textId="77777777" w:rsidR="004A53F0" w:rsidRDefault="004A53F0" w:rsidP="00146ED8">
            <w:pPr>
              <w:jc w:val="right"/>
              <w:rPr>
                <w:color w:val="000000"/>
              </w:rPr>
            </w:pPr>
          </w:p>
          <w:p w14:paraId="7E287324" w14:textId="77777777" w:rsidR="00146ED8" w:rsidRPr="00001100" w:rsidRDefault="00146ED8" w:rsidP="00146ED8">
            <w:pPr>
              <w:jc w:val="right"/>
              <w:rPr>
                <w:color w:val="000000"/>
              </w:rPr>
            </w:pPr>
            <w:r w:rsidRPr="00001100">
              <w:rPr>
                <w:color w:val="000000"/>
              </w:rPr>
              <w:t xml:space="preserve">232,223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625E9" w14:textId="77777777" w:rsidR="004A53F0" w:rsidRDefault="004A53F0" w:rsidP="00146ED8">
            <w:pPr>
              <w:jc w:val="center"/>
              <w:rPr>
                <w:color w:val="000000"/>
              </w:rPr>
            </w:pPr>
          </w:p>
          <w:p w14:paraId="62795135" w14:textId="77777777" w:rsidR="00146ED8" w:rsidRPr="00001100" w:rsidRDefault="00146ED8" w:rsidP="00146ED8">
            <w:pPr>
              <w:jc w:val="center"/>
              <w:rPr>
                <w:color w:val="000000"/>
              </w:rPr>
            </w:pPr>
            <w:r w:rsidRPr="00001100">
              <w:rPr>
                <w:color w:val="000000"/>
              </w:rPr>
              <w:t>113.46</w:t>
            </w:r>
          </w:p>
        </w:tc>
      </w:tr>
      <w:tr w:rsidR="00146ED8" w:rsidRPr="00001100" w14:paraId="067236D1" w14:textId="77777777" w:rsidTr="004A53F0">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802A6" w14:textId="77777777" w:rsidR="00146ED8" w:rsidRPr="00001100" w:rsidRDefault="00146ED8" w:rsidP="00146ED8">
            <w:pPr>
              <w:rPr>
                <w:color w:val="000000"/>
              </w:rPr>
            </w:pPr>
            <w:r w:rsidRPr="00001100">
              <w:rPr>
                <w:color w:val="000000"/>
              </w:rPr>
              <w:t>Total Payroll Expenses</w:t>
            </w:r>
          </w:p>
        </w:tc>
        <w:tc>
          <w:tcPr>
            <w:tcW w:w="1350" w:type="dxa"/>
            <w:tcBorders>
              <w:top w:val="single" w:sz="4" w:space="0" w:color="auto"/>
              <w:left w:val="single" w:sz="4" w:space="0" w:color="auto"/>
              <w:bottom w:val="single" w:sz="4" w:space="0" w:color="auto"/>
              <w:right w:val="single" w:sz="4" w:space="0" w:color="auto"/>
            </w:tcBorders>
          </w:tcPr>
          <w:p w14:paraId="0C1A7BF1" w14:textId="77777777" w:rsidR="00146ED8" w:rsidRDefault="00146ED8" w:rsidP="004A53F0">
            <w:pPr>
              <w:rPr>
                <w:color w:val="000000"/>
              </w:rPr>
            </w:pPr>
          </w:p>
          <w:p w14:paraId="6F1173A9" w14:textId="77777777" w:rsidR="00146ED8" w:rsidRDefault="00146ED8" w:rsidP="00146ED8">
            <w:pPr>
              <w:jc w:val="right"/>
              <w:rPr>
                <w:color w:val="000000"/>
              </w:rPr>
            </w:pPr>
          </w:p>
          <w:p w14:paraId="0B8F138F" w14:textId="77777777" w:rsidR="00146ED8" w:rsidRPr="00001100" w:rsidRDefault="00146ED8" w:rsidP="00146ED8">
            <w:pPr>
              <w:jc w:val="right"/>
              <w:rPr>
                <w:color w:val="000000"/>
              </w:rPr>
            </w:pPr>
            <w:r w:rsidRPr="00001100">
              <w:rPr>
                <w:color w:val="000000"/>
              </w:rPr>
              <w:t>3,536,646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DFD7D" w14:textId="77777777" w:rsidR="00146ED8" w:rsidRPr="00001100" w:rsidRDefault="00146ED8" w:rsidP="00146ED8">
            <w:pPr>
              <w:jc w:val="right"/>
              <w:rPr>
                <w:color w:val="000000"/>
              </w:rPr>
            </w:pPr>
            <w:r w:rsidRPr="00001100">
              <w:rPr>
                <w:color w:val="000000"/>
              </w:rPr>
              <w:t xml:space="preserve">2,888,102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26226" w14:textId="77777777" w:rsidR="00146ED8" w:rsidRPr="00001100" w:rsidRDefault="00146ED8" w:rsidP="00146ED8">
            <w:pPr>
              <w:jc w:val="right"/>
              <w:rPr>
                <w:color w:val="000000"/>
              </w:rPr>
            </w:pPr>
            <w:r w:rsidRPr="00001100">
              <w:rPr>
                <w:color w:val="000000"/>
              </w:rPr>
              <w:t xml:space="preserve">3,865,169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C3F6C" w14:textId="77777777" w:rsidR="00146ED8" w:rsidRPr="00001100" w:rsidRDefault="00146ED8" w:rsidP="00146ED8">
            <w:pPr>
              <w:jc w:val="right"/>
              <w:rPr>
                <w:color w:val="000000"/>
              </w:rPr>
            </w:pPr>
            <w:r w:rsidRPr="00001100">
              <w:rPr>
                <w:color w:val="000000"/>
              </w:rPr>
              <w:t xml:space="preserve">977,067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9D020" w14:textId="77777777" w:rsidR="00146ED8" w:rsidRPr="00001100" w:rsidRDefault="00146ED8" w:rsidP="00146ED8">
            <w:pPr>
              <w:jc w:val="center"/>
              <w:rPr>
                <w:color w:val="000000"/>
              </w:rPr>
            </w:pPr>
            <w:r w:rsidRPr="00001100">
              <w:rPr>
                <w:color w:val="000000"/>
              </w:rPr>
              <w:t>33.83</w:t>
            </w:r>
          </w:p>
        </w:tc>
      </w:tr>
      <w:tr w:rsidR="00146ED8" w:rsidRPr="00001100" w14:paraId="7B7F6FC1" w14:textId="77777777" w:rsidTr="004A53F0">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DA593" w14:textId="77777777" w:rsidR="00146ED8" w:rsidRDefault="00146ED8" w:rsidP="00146ED8">
            <w:pPr>
              <w:rPr>
                <w:color w:val="000000"/>
              </w:rPr>
            </w:pPr>
          </w:p>
          <w:p w14:paraId="2EB5D457" w14:textId="77777777" w:rsidR="00146ED8" w:rsidRPr="00001100" w:rsidRDefault="00146ED8" w:rsidP="00146ED8">
            <w:pPr>
              <w:rPr>
                <w:color w:val="000000"/>
              </w:rPr>
            </w:pPr>
            <w:r w:rsidRPr="00001100">
              <w:rPr>
                <w:color w:val="000000"/>
              </w:rPr>
              <w:t>Interest Expense</w:t>
            </w:r>
          </w:p>
        </w:tc>
        <w:tc>
          <w:tcPr>
            <w:tcW w:w="1350" w:type="dxa"/>
            <w:tcBorders>
              <w:top w:val="single" w:sz="4" w:space="0" w:color="auto"/>
              <w:left w:val="nil"/>
              <w:bottom w:val="single" w:sz="4" w:space="0" w:color="auto"/>
              <w:right w:val="single" w:sz="4" w:space="0" w:color="auto"/>
            </w:tcBorders>
          </w:tcPr>
          <w:p w14:paraId="109FE294" w14:textId="77777777" w:rsidR="00146ED8" w:rsidRPr="00001100" w:rsidRDefault="00146ED8" w:rsidP="00146ED8">
            <w:pPr>
              <w:jc w:val="right"/>
              <w:rPr>
                <w:color w:val="000000"/>
              </w:rPr>
            </w:pPr>
          </w:p>
          <w:p w14:paraId="60C3FA7E" w14:textId="77777777" w:rsidR="00146ED8" w:rsidRDefault="00146ED8" w:rsidP="00146ED8">
            <w:pPr>
              <w:jc w:val="right"/>
              <w:rPr>
                <w:color w:val="000000"/>
              </w:rPr>
            </w:pPr>
          </w:p>
          <w:p w14:paraId="596D8C7D" w14:textId="77777777" w:rsidR="00146ED8" w:rsidRPr="00001100" w:rsidRDefault="00146ED8" w:rsidP="00146ED8">
            <w:pPr>
              <w:jc w:val="right"/>
              <w:rPr>
                <w:color w:val="000000"/>
              </w:rPr>
            </w:pPr>
            <w:r w:rsidRPr="00001100">
              <w:rPr>
                <w:color w:val="000000"/>
              </w:rPr>
              <w:t>87,255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373A5" w14:textId="77777777" w:rsidR="00146ED8" w:rsidRPr="00001100" w:rsidRDefault="00146ED8" w:rsidP="00146ED8">
            <w:pPr>
              <w:jc w:val="right"/>
              <w:rPr>
                <w:color w:val="000000"/>
              </w:rPr>
            </w:pPr>
            <w:r w:rsidRPr="00001100">
              <w:rPr>
                <w:color w:val="000000"/>
              </w:rPr>
              <w:t xml:space="preserve">111,748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16871C9" w14:textId="77777777" w:rsidR="00146ED8" w:rsidRPr="00001100" w:rsidRDefault="00146ED8" w:rsidP="00146ED8">
            <w:pPr>
              <w:jc w:val="right"/>
              <w:rPr>
                <w:color w:val="000000"/>
              </w:rPr>
            </w:pPr>
            <w:r w:rsidRPr="00001100">
              <w:rPr>
                <w:color w:val="000000"/>
              </w:rPr>
              <w:t xml:space="preserve">18,776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EE1F4A1" w14:textId="77777777" w:rsidR="00146ED8" w:rsidRPr="00001100" w:rsidRDefault="00146ED8" w:rsidP="00146ED8">
            <w:pPr>
              <w:jc w:val="right"/>
              <w:rPr>
                <w:color w:val="000000"/>
              </w:rPr>
            </w:pPr>
            <w:r w:rsidRPr="00001100">
              <w:rPr>
                <w:color w:val="FF0000"/>
              </w:rPr>
              <w:t>(92,972)</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D727858" w14:textId="77777777" w:rsidR="00146ED8" w:rsidRPr="00001100" w:rsidRDefault="00146ED8" w:rsidP="00146ED8">
            <w:pPr>
              <w:jc w:val="center"/>
              <w:rPr>
                <w:color w:val="000000"/>
              </w:rPr>
            </w:pPr>
            <w:r w:rsidRPr="00001100">
              <w:rPr>
                <w:color w:val="000000"/>
              </w:rPr>
              <w:t>-83.20</w:t>
            </w:r>
          </w:p>
        </w:tc>
      </w:tr>
      <w:tr w:rsidR="00146ED8" w:rsidRPr="00001100" w14:paraId="34DEE264" w14:textId="77777777" w:rsidTr="00146ED8">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F2A42" w14:textId="77777777" w:rsidR="00146ED8" w:rsidRPr="00001100" w:rsidRDefault="00146ED8" w:rsidP="00146ED8">
            <w:pPr>
              <w:rPr>
                <w:color w:val="000000"/>
              </w:rPr>
            </w:pPr>
            <w:proofErr w:type="spellStart"/>
            <w:r w:rsidRPr="00001100">
              <w:rPr>
                <w:color w:val="000000"/>
              </w:rPr>
              <w:t>Deprecia</w:t>
            </w:r>
            <w:r>
              <w:rPr>
                <w:color w:val="000000"/>
              </w:rPr>
              <w:t>-</w:t>
            </w:r>
            <w:r w:rsidRPr="00001100">
              <w:rPr>
                <w:color w:val="000000"/>
              </w:rPr>
              <w:t>tion</w:t>
            </w:r>
            <w:proofErr w:type="spellEnd"/>
            <w:r w:rsidRPr="00001100">
              <w:rPr>
                <w:color w:val="000000"/>
              </w:rPr>
              <w:t xml:space="preserve"> Expense</w:t>
            </w:r>
          </w:p>
        </w:tc>
        <w:tc>
          <w:tcPr>
            <w:tcW w:w="1350" w:type="dxa"/>
            <w:tcBorders>
              <w:top w:val="single" w:sz="4" w:space="0" w:color="auto"/>
              <w:left w:val="single" w:sz="4" w:space="0" w:color="auto"/>
              <w:bottom w:val="single" w:sz="4" w:space="0" w:color="auto"/>
              <w:right w:val="single" w:sz="4" w:space="0" w:color="auto"/>
            </w:tcBorders>
          </w:tcPr>
          <w:p w14:paraId="0C351C97" w14:textId="77777777" w:rsidR="00146ED8" w:rsidRDefault="00146ED8" w:rsidP="00146ED8">
            <w:pPr>
              <w:jc w:val="right"/>
              <w:rPr>
                <w:color w:val="000000"/>
              </w:rPr>
            </w:pPr>
          </w:p>
          <w:p w14:paraId="6C9694EF" w14:textId="77777777" w:rsidR="00146ED8" w:rsidRDefault="00146ED8" w:rsidP="00146ED8">
            <w:pPr>
              <w:jc w:val="right"/>
              <w:rPr>
                <w:color w:val="000000"/>
              </w:rPr>
            </w:pPr>
          </w:p>
          <w:p w14:paraId="67DC8AFC" w14:textId="77777777" w:rsidR="00146ED8" w:rsidRPr="00001100" w:rsidRDefault="00146ED8" w:rsidP="00146ED8">
            <w:pPr>
              <w:jc w:val="right"/>
              <w:rPr>
                <w:color w:val="000000"/>
              </w:rPr>
            </w:pPr>
            <w:r w:rsidRPr="00001100">
              <w:rPr>
                <w:color w:val="000000"/>
              </w:rPr>
              <w:t>781,744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CD09F" w14:textId="77777777" w:rsidR="00146ED8" w:rsidRPr="00001100" w:rsidRDefault="00146ED8" w:rsidP="00146ED8">
            <w:pPr>
              <w:jc w:val="right"/>
              <w:rPr>
                <w:color w:val="000000"/>
              </w:rPr>
            </w:pPr>
            <w:r w:rsidRPr="00001100">
              <w:rPr>
                <w:color w:val="000000"/>
              </w:rPr>
              <w:t xml:space="preserve">762,139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C2CE4" w14:textId="77777777" w:rsidR="00146ED8" w:rsidRPr="00001100" w:rsidRDefault="00146ED8" w:rsidP="00146ED8">
            <w:pPr>
              <w:jc w:val="right"/>
              <w:rPr>
                <w:color w:val="000000"/>
              </w:rPr>
            </w:pPr>
            <w:r w:rsidRPr="00001100">
              <w:rPr>
                <w:color w:val="000000"/>
              </w:rPr>
              <w:t xml:space="preserve">1,152,000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30B76" w14:textId="77777777" w:rsidR="00146ED8" w:rsidRPr="00001100" w:rsidRDefault="00146ED8" w:rsidP="00146ED8">
            <w:pPr>
              <w:jc w:val="right"/>
              <w:rPr>
                <w:color w:val="000000"/>
              </w:rPr>
            </w:pPr>
            <w:r w:rsidRPr="00001100">
              <w:rPr>
                <w:color w:val="000000"/>
              </w:rPr>
              <w:t xml:space="preserve">389,861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B5F2D" w14:textId="77777777" w:rsidR="00146ED8" w:rsidRPr="00001100" w:rsidRDefault="00146ED8" w:rsidP="00146ED8">
            <w:pPr>
              <w:jc w:val="center"/>
              <w:rPr>
                <w:color w:val="000000"/>
              </w:rPr>
            </w:pPr>
            <w:r w:rsidRPr="00001100">
              <w:rPr>
                <w:color w:val="000000"/>
              </w:rPr>
              <w:t>51.15</w:t>
            </w:r>
          </w:p>
        </w:tc>
      </w:tr>
      <w:tr w:rsidR="00146ED8" w:rsidRPr="00001100" w14:paraId="5B1874B1" w14:textId="77777777" w:rsidTr="00146ED8">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FF424" w14:textId="77777777" w:rsidR="00146ED8" w:rsidRDefault="00146ED8" w:rsidP="00146ED8">
            <w:pPr>
              <w:rPr>
                <w:color w:val="000000"/>
              </w:rPr>
            </w:pPr>
            <w:r w:rsidRPr="00001100">
              <w:rPr>
                <w:color w:val="000000"/>
              </w:rPr>
              <w:t>Rent/</w:t>
            </w:r>
          </w:p>
          <w:p w14:paraId="4465E371" w14:textId="77777777" w:rsidR="00146ED8" w:rsidRPr="00001100" w:rsidRDefault="00146ED8" w:rsidP="00146ED8">
            <w:pPr>
              <w:rPr>
                <w:color w:val="000000"/>
              </w:rPr>
            </w:pPr>
            <w:r w:rsidRPr="00001100">
              <w:rPr>
                <w:color w:val="000000"/>
              </w:rPr>
              <w:t>Lease Expense</w:t>
            </w:r>
          </w:p>
        </w:tc>
        <w:tc>
          <w:tcPr>
            <w:tcW w:w="1350" w:type="dxa"/>
            <w:tcBorders>
              <w:top w:val="single" w:sz="4" w:space="0" w:color="auto"/>
              <w:left w:val="nil"/>
              <w:bottom w:val="single" w:sz="4" w:space="0" w:color="auto"/>
              <w:right w:val="single" w:sz="4" w:space="0" w:color="auto"/>
            </w:tcBorders>
          </w:tcPr>
          <w:p w14:paraId="13D34224" w14:textId="77777777" w:rsidR="00146ED8" w:rsidRPr="00001100" w:rsidRDefault="00146ED8" w:rsidP="00146ED8">
            <w:pPr>
              <w:jc w:val="right"/>
              <w:rPr>
                <w:color w:val="000000"/>
              </w:rPr>
            </w:pPr>
          </w:p>
          <w:p w14:paraId="2A9D1B9F" w14:textId="77777777" w:rsidR="00146ED8" w:rsidRDefault="00146ED8" w:rsidP="00146ED8">
            <w:pPr>
              <w:jc w:val="right"/>
              <w:rPr>
                <w:color w:val="000000"/>
              </w:rPr>
            </w:pPr>
          </w:p>
          <w:p w14:paraId="6839739B" w14:textId="77777777" w:rsidR="00146ED8" w:rsidRPr="00001100" w:rsidRDefault="00146ED8" w:rsidP="00146ED8">
            <w:pPr>
              <w:jc w:val="right"/>
              <w:rPr>
                <w:color w:val="000000"/>
              </w:rPr>
            </w:pPr>
            <w:r w:rsidRPr="00001100">
              <w:rPr>
                <w:color w:val="000000"/>
              </w:rPr>
              <w:t>149,346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50122" w14:textId="77777777" w:rsidR="00146ED8" w:rsidRPr="00001100" w:rsidRDefault="00146ED8" w:rsidP="00146ED8">
            <w:pPr>
              <w:jc w:val="right"/>
              <w:rPr>
                <w:color w:val="000000"/>
              </w:rPr>
            </w:pPr>
            <w:r w:rsidRPr="00001100">
              <w:rPr>
                <w:color w:val="000000"/>
              </w:rPr>
              <w:t xml:space="preserve">314,327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3D970E8" w14:textId="77777777" w:rsidR="00146ED8" w:rsidRPr="00001100" w:rsidRDefault="00146ED8" w:rsidP="00146ED8">
            <w:pPr>
              <w:jc w:val="right"/>
              <w:rPr>
                <w:color w:val="000000"/>
              </w:rPr>
            </w:pPr>
            <w:r w:rsidRPr="00001100">
              <w:rPr>
                <w:color w:val="000000"/>
              </w:rPr>
              <w:t xml:space="preserve">154,469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7CD625A" w14:textId="77777777" w:rsidR="00146ED8" w:rsidRPr="00001100" w:rsidRDefault="00146ED8" w:rsidP="00146ED8">
            <w:pPr>
              <w:jc w:val="right"/>
              <w:rPr>
                <w:color w:val="000000"/>
              </w:rPr>
            </w:pPr>
            <w:r w:rsidRPr="00001100">
              <w:rPr>
                <w:color w:val="FF0000"/>
              </w:rPr>
              <w:t>(159,858)</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D42EA05" w14:textId="77777777" w:rsidR="00146ED8" w:rsidRPr="00001100" w:rsidRDefault="00146ED8" w:rsidP="00146ED8">
            <w:pPr>
              <w:jc w:val="center"/>
              <w:rPr>
                <w:color w:val="000000"/>
              </w:rPr>
            </w:pPr>
            <w:r w:rsidRPr="00001100">
              <w:rPr>
                <w:color w:val="000000"/>
              </w:rPr>
              <w:t>-50.86</w:t>
            </w:r>
          </w:p>
        </w:tc>
      </w:tr>
      <w:tr w:rsidR="00146ED8" w:rsidRPr="00001100" w14:paraId="4BE75EE6" w14:textId="77777777" w:rsidTr="00C547CB">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190F4" w14:textId="77777777" w:rsidR="00146ED8" w:rsidRPr="00001100" w:rsidRDefault="00146ED8" w:rsidP="00146ED8">
            <w:pPr>
              <w:rPr>
                <w:color w:val="000000"/>
              </w:rPr>
            </w:pPr>
            <w:r w:rsidRPr="00001100">
              <w:rPr>
                <w:color w:val="000000"/>
              </w:rPr>
              <w:t>Property Insurance Expense</w:t>
            </w:r>
          </w:p>
        </w:tc>
        <w:tc>
          <w:tcPr>
            <w:tcW w:w="1350" w:type="dxa"/>
            <w:tcBorders>
              <w:top w:val="single" w:sz="4" w:space="0" w:color="auto"/>
              <w:left w:val="nil"/>
              <w:bottom w:val="single" w:sz="4" w:space="0" w:color="auto"/>
              <w:right w:val="single" w:sz="4" w:space="0" w:color="auto"/>
            </w:tcBorders>
          </w:tcPr>
          <w:p w14:paraId="7262B4A2" w14:textId="77777777" w:rsidR="00146ED8" w:rsidRPr="00001100" w:rsidRDefault="00146ED8" w:rsidP="00146ED8">
            <w:pPr>
              <w:jc w:val="right"/>
              <w:rPr>
                <w:color w:val="000000"/>
              </w:rPr>
            </w:pPr>
          </w:p>
          <w:p w14:paraId="4FB89C71" w14:textId="77777777" w:rsidR="00146ED8" w:rsidRPr="00001100" w:rsidRDefault="00146ED8" w:rsidP="00146ED8">
            <w:pPr>
              <w:jc w:val="right"/>
              <w:rPr>
                <w:color w:val="000000"/>
              </w:rPr>
            </w:pPr>
          </w:p>
          <w:p w14:paraId="785682F9" w14:textId="77777777" w:rsidR="00146ED8" w:rsidRPr="00001100" w:rsidRDefault="00146ED8" w:rsidP="00146ED8">
            <w:pPr>
              <w:jc w:val="right"/>
              <w:rPr>
                <w:color w:val="000000"/>
              </w:rPr>
            </w:pPr>
            <w:r w:rsidRPr="00001100">
              <w:rPr>
                <w:color w:val="000000"/>
              </w:rPr>
              <w:t>112,000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B8830" w14:textId="77777777" w:rsidR="00146ED8" w:rsidRPr="00001100" w:rsidRDefault="00146ED8" w:rsidP="00146ED8">
            <w:pPr>
              <w:jc w:val="right"/>
              <w:rPr>
                <w:color w:val="000000"/>
              </w:rPr>
            </w:pPr>
            <w:r w:rsidRPr="00001100">
              <w:rPr>
                <w:color w:val="000000"/>
              </w:rPr>
              <w:t xml:space="preserve">90,974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BD46B7C" w14:textId="77777777" w:rsidR="00146ED8" w:rsidRPr="00001100" w:rsidRDefault="00146ED8" w:rsidP="00146ED8">
            <w:pPr>
              <w:jc w:val="right"/>
              <w:rPr>
                <w:color w:val="000000"/>
              </w:rPr>
            </w:pPr>
            <w:r w:rsidRPr="00001100">
              <w:rPr>
                <w:color w:val="000000"/>
              </w:rPr>
              <w:t xml:space="preserve">173,127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F2C49EB" w14:textId="77777777" w:rsidR="00146ED8" w:rsidRPr="00001100" w:rsidRDefault="00146ED8" w:rsidP="00146ED8">
            <w:pPr>
              <w:jc w:val="right"/>
              <w:rPr>
                <w:color w:val="000000"/>
              </w:rPr>
            </w:pPr>
            <w:r w:rsidRPr="00001100">
              <w:rPr>
                <w:color w:val="000000"/>
              </w:rPr>
              <w:t xml:space="preserve">82,153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11C75FE" w14:textId="77777777" w:rsidR="00146ED8" w:rsidRPr="00001100" w:rsidRDefault="00146ED8" w:rsidP="00146ED8">
            <w:pPr>
              <w:jc w:val="center"/>
              <w:rPr>
                <w:color w:val="000000"/>
              </w:rPr>
            </w:pPr>
            <w:r w:rsidRPr="00001100">
              <w:rPr>
                <w:color w:val="000000"/>
              </w:rPr>
              <w:t>90.30</w:t>
            </w:r>
          </w:p>
        </w:tc>
      </w:tr>
      <w:tr w:rsidR="00146ED8" w:rsidRPr="00001100" w14:paraId="09E8FBE7" w14:textId="77777777" w:rsidTr="00C547CB">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07E4A" w14:textId="77777777" w:rsidR="00146ED8" w:rsidRPr="00001100" w:rsidRDefault="00146ED8" w:rsidP="00146ED8">
            <w:pPr>
              <w:rPr>
                <w:color w:val="000000"/>
              </w:rPr>
            </w:pPr>
            <w:r w:rsidRPr="00001100">
              <w:rPr>
                <w:color w:val="000000"/>
              </w:rPr>
              <w:t>Real Property Tax Expense</w:t>
            </w:r>
          </w:p>
        </w:tc>
        <w:tc>
          <w:tcPr>
            <w:tcW w:w="1350" w:type="dxa"/>
            <w:tcBorders>
              <w:top w:val="single" w:sz="4" w:space="0" w:color="auto"/>
              <w:left w:val="single" w:sz="4" w:space="0" w:color="auto"/>
              <w:bottom w:val="single" w:sz="4" w:space="0" w:color="auto"/>
              <w:right w:val="single" w:sz="4" w:space="0" w:color="auto"/>
            </w:tcBorders>
          </w:tcPr>
          <w:p w14:paraId="0D69A378" w14:textId="77777777" w:rsidR="00146ED8" w:rsidRPr="00001100" w:rsidRDefault="00146ED8" w:rsidP="00146ED8">
            <w:pPr>
              <w:jc w:val="right"/>
              <w:rPr>
                <w:color w:val="000000"/>
              </w:rPr>
            </w:pPr>
          </w:p>
          <w:p w14:paraId="28B0EA1E" w14:textId="77777777" w:rsidR="00146ED8" w:rsidRDefault="00146ED8" w:rsidP="00146ED8">
            <w:pPr>
              <w:jc w:val="right"/>
              <w:rPr>
                <w:color w:val="000000"/>
              </w:rPr>
            </w:pPr>
          </w:p>
          <w:p w14:paraId="26124B3B" w14:textId="77777777" w:rsidR="00146ED8" w:rsidRDefault="00146ED8" w:rsidP="00146ED8">
            <w:pPr>
              <w:jc w:val="right"/>
              <w:rPr>
                <w:color w:val="000000"/>
              </w:rPr>
            </w:pPr>
          </w:p>
          <w:p w14:paraId="26DCD11B" w14:textId="77777777" w:rsidR="00146ED8" w:rsidRPr="00001100" w:rsidRDefault="00146ED8" w:rsidP="00146ED8">
            <w:pPr>
              <w:jc w:val="right"/>
              <w:rPr>
                <w:color w:val="000000"/>
              </w:rPr>
            </w:pPr>
            <w:r w:rsidRPr="00001100">
              <w:rPr>
                <w:color w:val="000000"/>
              </w:rPr>
              <w:t>175,533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EB4E8" w14:textId="77777777" w:rsidR="00146ED8" w:rsidRPr="00001100" w:rsidRDefault="00146ED8" w:rsidP="00146ED8">
            <w:pPr>
              <w:jc w:val="right"/>
              <w:rPr>
                <w:color w:val="000000"/>
              </w:rPr>
            </w:pPr>
            <w:r w:rsidRPr="00001100">
              <w:rPr>
                <w:color w:val="000000"/>
              </w:rPr>
              <w:t xml:space="preserve">163,057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ECF51" w14:textId="77777777" w:rsidR="00146ED8" w:rsidRPr="00001100" w:rsidRDefault="00146ED8" w:rsidP="00146ED8">
            <w:pPr>
              <w:jc w:val="right"/>
              <w:rPr>
                <w:color w:val="000000"/>
              </w:rPr>
            </w:pPr>
            <w:r w:rsidRPr="00001100">
              <w:rPr>
                <w:color w:val="000000"/>
              </w:rPr>
              <w:t xml:space="preserve">311,425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4489F" w14:textId="77777777" w:rsidR="00146ED8" w:rsidRPr="00001100" w:rsidRDefault="00146ED8" w:rsidP="00146ED8">
            <w:pPr>
              <w:jc w:val="right"/>
              <w:rPr>
                <w:color w:val="000000"/>
              </w:rPr>
            </w:pPr>
            <w:r w:rsidRPr="00001100">
              <w:rPr>
                <w:color w:val="000000"/>
              </w:rPr>
              <w:t xml:space="preserve">148,368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2B6BB" w14:textId="77777777" w:rsidR="00146ED8" w:rsidRPr="00001100" w:rsidRDefault="00146ED8" w:rsidP="00146ED8">
            <w:pPr>
              <w:jc w:val="center"/>
              <w:rPr>
                <w:color w:val="000000"/>
              </w:rPr>
            </w:pPr>
            <w:r w:rsidRPr="00001100">
              <w:rPr>
                <w:color w:val="000000"/>
              </w:rPr>
              <w:t>90.99</w:t>
            </w:r>
          </w:p>
        </w:tc>
      </w:tr>
      <w:tr w:rsidR="00146ED8" w:rsidRPr="00001100" w14:paraId="00BB66E6" w14:textId="77777777" w:rsidTr="00C547CB">
        <w:trPr>
          <w:trHeight w:val="31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489D6" w14:textId="77777777" w:rsidR="00146ED8" w:rsidRDefault="00146ED8" w:rsidP="00146ED8">
            <w:pPr>
              <w:rPr>
                <w:color w:val="000000"/>
              </w:rPr>
            </w:pPr>
          </w:p>
          <w:p w14:paraId="10F8A412" w14:textId="77777777" w:rsidR="00146ED8" w:rsidRPr="00001100" w:rsidRDefault="00146ED8" w:rsidP="00146ED8">
            <w:pPr>
              <w:rPr>
                <w:color w:val="000000"/>
              </w:rPr>
            </w:pPr>
            <w:r w:rsidRPr="00001100">
              <w:rPr>
                <w:color w:val="000000"/>
              </w:rPr>
              <w:t>Utilities Expenses</w:t>
            </w:r>
          </w:p>
        </w:tc>
        <w:tc>
          <w:tcPr>
            <w:tcW w:w="1350" w:type="dxa"/>
            <w:tcBorders>
              <w:top w:val="single" w:sz="4" w:space="0" w:color="auto"/>
              <w:left w:val="nil"/>
              <w:bottom w:val="single" w:sz="4" w:space="0" w:color="auto"/>
              <w:right w:val="single" w:sz="4" w:space="0" w:color="auto"/>
            </w:tcBorders>
            <w:vAlign w:val="bottom"/>
          </w:tcPr>
          <w:p w14:paraId="2DBB0B66" w14:textId="77777777" w:rsidR="00146ED8" w:rsidRPr="00001100" w:rsidRDefault="00146ED8" w:rsidP="00146ED8">
            <w:pPr>
              <w:jc w:val="right"/>
              <w:rPr>
                <w:color w:val="000000"/>
              </w:rPr>
            </w:pPr>
            <w:r w:rsidRPr="00001100">
              <w:rPr>
                <w:color w:val="000000"/>
              </w:rPr>
              <w:t xml:space="preserve">306,994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11F1E" w14:textId="77777777" w:rsidR="00146ED8" w:rsidRPr="00001100" w:rsidRDefault="00146ED8" w:rsidP="00146ED8">
            <w:pPr>
              <w:jc w:val="right"/>
              <w:rPr>
                <w:color w:val="000000"/>
              </w:rPr>
            </w:pPr>
            <w:r w:rsidRPr="00001100">
              <w:rPr>
                <w:color w:val="000000"/>
              </w:rPr>
              <w:t xml:space="preserve">231,174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503C4A6" w14:textId="77777777" w:rsidR="00146ED8" w:rsidRPr="00001100" w:rsidRDefault="00146ED8" w:rsidP="00146ED8">
            <w:pPr>
              <w:jc w:val="right"/>
              <w:rPr>
                <w:color w:val="000000"/>
              </w:rPr>
            </w:pPr>
            <w:r w:rsidRPr="00001100">
              <w:rPr>
                <w:color w:val="000000"/>
              </w:rPr>
              <w:t xml:space="preserve">260,928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C9BECCC" w14:textId="77777777" w:rsidR="00146ED8" w:rsidRPr="00001100" w:rsidRDefault="00146ED8" w:rsidP="00146ED8">
            <w:pPr>
              <w:jc w:val="right"/>
              <w:rPr>
                <w:color w:val="000000"/>
              </w:rPr>
            </w:pPr>
            <w:r w:rsidRPr="00001100">
              <w:rPr>
                <w:color w:val="000000"/>
              </w:rPr>
              <w:t xml:space="preserve">29,754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4D81571" w14:textId="77777777" w:rsidR="00146ED8" w:rsidRPr="00001100" w:rsidRDefault="00146ED8" w:rsidP="00146ED8">
            <w:pPr>
              <w:jc w:val="center"/>
              <w:rPr>
                <w:color w:val="000000"/>
              </w:rPr>
            </w:pPr>
            <w:r w:rsidRPr="00001100">
              <w:rPr>
                <w:color w:val="000000"/>
              </w:rPr>
              <w:t>12.87</w:t>
            </w:r>
          </w:p>
        </w:tc>
      </w:tr>
      <w:tr w:rsidR="00146ED8" w:rsidRPr="00001100" w14:paraId="43E7F1DF" w14:textId="77777777" w:rsidTr="00146ED8">
        <w:trPr>
          <w:trHeight w:val="315"/>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06726AD" w14:textId="77777777" w:rsidR="00146ED8" w:rsidRDefault="00146ED8" w:rsidP="00146ED8">
            <w:pPr>
              <w:rPr>
                <w:color w:val="000000"/>
              </w:rPr>
            </w:pPr>
          </w:p>
          <w:p w14:paraId="00437945" w14:textId="77777777" w:rsidR="00146ED8" w:rsidRPr="00001100" w:rsidRDefault="00146ED8" w:rsidP="00146ED8">
            <w:pPr>
              <w:rPr>
                <w:color w:val="000000"/>
              </w:rPr>
            </w:pPr>
            <w:r w:rsidRPr="00001100">
              <w:rPr>
                <w:color w:val="000000"/>
              </w:rPr>
              <w:t xml:space="preserve">Total Net Income </w:t>
            </w:r>
          </w:p>
        </w:tc>
        <w:tc>
          <w:tcPr>
            <w:tcW w:w="1350" w:type="dxa"/>
            <w:tcBorders>
              <w:top w:val="single" w:sz="4" w:space="0" w:color="auto"/>
              <w:left w:val="nil"/>
              <w:bottom w:val="single" w:sz="4" w:space="0" w:color="auto"/>
              <w:right w:val="single" w:sz="4" w:space="0" w:color="auto"/>
            </w:tcBorders>
            <w:vAlign w:val="bottom"/>
          </w:tcPr>
          <w:p w14:paraId="378FF072" w14:textId="77777777" w:rsidR="00146ED8" w:rsidRPr="00001100" w:rsidRDefault="00146ED8" w:rsidP="00146ED8">
            <w:pPr>
              <w:jc w:val="right"/>
            </w:pPr>
            <w:r w:rsidRPr="00001100">
              <w:t>35,874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808133B" w14:textId="77777777" w:rsidR="00146ED8" w:rsidRPr="00001100" w:rsidRDefault="00146ED8" w:rsidP="00146ED8">
            <w:pPr>
              <w:jc w:val="right"/>
              <w:rPr>
                <w:color w:val="000000"/>
              </w:rPr>
            </w:pPr>
            <w:r w:rsidRPr="00001100">
              <w:rPr>
                <w:color w:val="FF0000"/>
              </w:rPr>
              <w:t>(529,694)</w:t>
            </w:r>
          </w:p>
        </w:tc>
        <w:tc>
          <w:tcPr>
            <w:tcW w:w="1350" w:type="dxa"/>
            <w:tcBorders>
              <w:top w:val="nil"/>
              <w:left w:val="nil"/>
              <w:bottom w:val="single" w:sz="4" w:space="0" w:color="auto"/>
              <w:right w:val="single" w:sz="4" w:space="0" w:color="auto"/>
            </w:tcBorders>
            <w:shd w:val="clear" w:color="auto" w:fill="auto"/>
            <w:noWrap/>
            <w:vAlign w:val="bottom"/>
            <w:hideMark/>
          </w:tcPr>
          <w:p w14:paraId="58D68564" w14:textId="77777777" w:rsidR="00146ED8" w:rsidRPr="00001100" w:rsidRDefault="00146ED8" w:rsidP="00146ED8">
            <w:pPr>
              <w:jc w:val="right"/>
              <w:rPr>
                <w:color w:val="000000"/>
              </w:rPr>
            </w:pPr>
            <w:r w:rsidRPr="00001100">
              <w:rPr>
                <w:color w:val="000000"/>
              </w:rPr>
              <w:t xml:space="preserve">1,183,998 </w:t>
            </w:r>
          </w:p>
        </w:tc>
        <w:tc>
          <w:tcPr>
            <w:tcW w:w="1350" w:type="dxa"/>
            <w:tcBorders>
              <w:top w:val="nil"/>
              <w:left w:val="nil"/>
              <w:bottom w:val="single" w:sz="4" w:space="0" w:color="auto"/>
              <w:right w:val="single" w:sz="4" w:space="0" w:color="auto"/>
            </w:tcBorders>
            <w:shd w:val="clear" w:color="auto" w:fill="auto"/>
            <w:noWrap/>
            <w:vAlign w:val="bottom"/>
            <w:hideMark/>
          </w:tcPr>
          <w:p w14:paraId="38C827B1" w14:textId="77777777" w:rsidR="00146ED8" w:rsidRPr="00001100" w:rsidRDefault="00146ED8" w:rsidP="00146ED8">
            <w:pPr>
              <w:jc w:val="right"/>
              <w:rPr>
                <w:color w:val="000000"/>
              </w:rPr>
            </w:pPr>
            <w:r w:rsidRPr="00001100">
              <w:rPr>
                <w:color w:val="000000"/>
              </w:rPr>
              <w:t xml:space="preserve">1,713,692 </w:t>
            </w:r>
          </w:p>
        </w:tc>
        <w:tc>
          <w:tcPr>
            <w:tcW w:w="1350" w:type="dxa"/>
            <w:tcBorders>
              <w:top w:val="nil"/>
              <w:left w:val="nil"/>
              <w:bottom w:val="single" w:sz="4" w:space="0" w:color="auto"/>
              <w:right w:val="single" w:sz="4" w:space="0" w:color="auto"/>
            </w:tcBorders>
            <w:shd w:val="clear" w:color="auto" w:fill="auto"/>
            <w:noWrap/>
            <w:vAlign w:val="bottom"/>
            <w:hideMark/>
          </w:tcPr>
          <w:p w14:paraId="71A78D63" w14:textId="77777777" w:rsidR="00146ED8" w:rsidRPr="00001100" w:rsidRDefault="00146ED8" w:rsidP="00146ED8">
            <w:pPr>
              <w:jc w:val="center"/>
              <w:rPr>
                <w:color w:val="000000"/>
              </w:rPr>
            </w:pPr>
            <w:r w:rsidRPr="00001100">
              <w:rPr>
                <w:color w:val="000000"/>
              </w:rPr>
              <w:t>323.52</w:t>
            </w:r>
          </w:p>
        </w:tc>
      </w:tr>
      <w:tr w:rsidR="00146ED8" w:rsidRPr="00001100" w14:paraId="5FC4DB5E" w14:textId="77777777" w:rsidTr="00146ED8">
        <w:trPr>
          <w:trHeight w:val="315"/>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3436C8DC" w14:textId="77777777" w:rsidR="00146ED8" w:rsidRPr="00001100" w:rsidRDefault="00146ED8" w:rsidP="00146ED8">
            <w:pPr>
              <w:rPr>
                <w:color w:val="000000"/>
              </w:rPr>
            </w:pPr>
            <w:r w:rsidRPr="00001100">
              <w:rPr>
                <w:color w:val="000000"/>
              </w:rPr>
              <w:t>Total Operating Cash Flows</w:t>
            </w:r>
          </w:p>
        </w:tc>
        <w:tc>
          <w:tcPr>
            <w:tcW w:w="1350" w:type="dxa"/>
            <w:tcBorders>
              <w:top w:val="single" w:sz="4" w:space="0" w:color="auto"/>
              <w:left w:val="nil"/>
              <w:bottom w:val="single" w:sz="4" w:space="0" w:color="auto"/>
              <w:right w:val="single" w:sz="4" w:space="0" w:color="auto"/>
            </w:tcBorders>
          </w:tcPr>
          <w:p w14:paraId="34C47963" w14:textId="77777777" w:rsidR="00146ED8" w:rsidRPr="00001100" w:rsidRDefault="00146ED8" w:rsidP="00146ED8">
            <w:pPr>
              <w:jc w:val="right"/>
              <w:rPr>
                <w:color w:val="000000"/>
              </w:rPr>
            </w:pPr>
          </w:p>
          <w:p w14:paraId="7071A028" w14:textId="77777777" w:rsidR="00146ED8" w:rsidRDefault="00146ED8" w:rsidP="00146ED8">
            <w:pPr>
              <w:jc w:val="right"/>
              <w:rPr>
                <w:color w:val="000000"/>
              </w:rPr>
            </w:pPr>
          </w:p>
          <w:p w14:paraId="521A0C86" w14:textId="77777777" w:rsidR="00146ED8" w:rsidRDefault="00146ED8" w:rsidP="00146ED8">
            <w:pPr>
              <w:jc w:val="right"/>
              <w:rPr>
                <w:color w:val="000000"/>
              </w:rPr>
            </w:pPr>
          </w:p>
          <w:p w14:paraId="4C5F6365" w14:textId="77777777" w:rsidR="00146ED8" w:rsidRPr="00001100" w:rsidRDefault="00146ED8" w:rsidP="00146ED8">
            <w:pPr>
              <w:jc w:val="right"/>
              <w:rPr>
                <w:color w:val="000000"/>
              </w:rPr>
            </w:pPr>
            <w:r w:rsidRPr="00001100">
              <w:rPr>
                <w:color w:val="000000"/>
              </w:rPr>
              <w:t>368,452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4F70E" w14:textId="77777777" w:rsidR="00146ED8" w:rsidRPr="00001100" w:rsidRDefault="00146ED8" w:rsidP="00146ED8">
            <w:pPr>
              <w:jc w:val="right"/>
              <w:rPr>
                <w:color w:val="000000"/>
              </w:rPr>
            </w:pPr>
            <w:r w:rsidRPr="00001100">
              <w:rPr>
                <w:color w:val="000000"/>
              </w:rPr>
              <w:t xml:space="preserve">103,919 </w:t>
            </w:r>
          </w:p>
        </w:tc>
        <w:tc>
          <w:tcPr>
            <w:tcW w:w="1350" w:type="dxa"/>
            <w:tcBorders>
              <w:top w:val="nil"/>
              <w:left w:val="nil"/>
              <w:bottom w:val="single" w:sz="4" w:space="0" w:color="auto"/>
              <w:right w:val="single" w:sz="4" w:space="0" w:color="auto"/>
            </w:tcBorders>
            <w:shd w:val="clear" w:color="auto" w:fill="auto"/>
            <w:noWrap/>
            <w:vAlign w:val="bottom"/>
            <w:hideMark/>
          </w:tcPr>
          <w:p w14:paraId="5C369400" w14:textId="77777777" w:rsidR="00146ED8" w:rsidRPr="00001100" w:rsidRDefault="00146ED8" w:rsidP="00146ED8">
            <w:pPr>
              <w:jc w:val="right"/>
              <w:rPr>
                <w:color w:val="000000"/>
              </w:rPr>
            </w:pPr>
            <w:r w:rsidRPr="00001100">
              <w:rPr>
                <w:color w:val="000000"/>
              </w:rPr>
              <w:t xml:space="preserve">752,000 </w:t>
            </w:r>
          </w:p>
        </w:tc>
        <w:tc>
          <w:tcPr>
            <w:tcW w:w="1350" w:type="dxa"/>
            <w:tcBorders>
              <w:top w:val="nil"/>
              <w:left w:val="nil"/>
              <w:bottom w:val="single" w:sz="4" w:space="0" w:color="auto"/>
              <w:right w:val="single" w:sz="4" w:space="0" w:color="auto"/>
            </w:tcBorders>
            <w:shd w:val="clear" w:color="auto" w:fill="auto"/>
            <w:noWrap/>
            <w:vAlign w:val="bottom"/>
            <w:hideMark/>
          </w:tcPr>
          <w:p w14:paraId="34D89B85" w14:textId="77777777" w:rsidR="00146ED8" w:rsidRPr="00001100" w:rsidRDefault="00146ED8" w:rsidP="00146ED8">
            <w:pPr>
              <w:jc w:val="right"/>
              <w:rPr>
                <w:color w:val="000000"/>
              </w:rPr>
            </w:pPr>
            <w:r w:rsidRPr="00001100">
              <w:rPr>
                <w:color w:val="000000"/>
              </w:rPr>
              <w:t xml:space="preserve">648,081 </w:t>
            </w:r>
          </w:p>
        </w:tc>
        <w:tc>
          <w:tcPr>
            <w:tcW w:w="1350" w:type="dxa"/>
            <w:tcBorders>
              <w:top w:val="nil"/>
              <w:left w:val="nil"/>
              <w:bottom w:val="single" w:sz="4" w:space="0" w:color="auto"/>
              <w:right w:val="single" w:sz="4" w:space="0" w:color="auto"/>
            </w:tcBorders>
            <w:shd w:val="clear" w:color="auto" w:fill="auto"/>
            <w:noWrap/>
            <w:vAlign w:val="bottom"/>
            <w:hideMark/>
          </w:tcPr>
          <w:p w14:paraId="74D30DC9" w14:textId="77777777" w:rsidR="00146ED8" w:rsidRPr="00001100" w:rsidRDefault="00146ED8" w:rsidP="00146ED8">
            <w:pPr>
              <w:jc w:val="center"/>
              <w:rPr>
                <w:color w:val="000000"/>
              </w:rPr>
            </w:pPr>
            <w:r w:rsidRPr="00001100">
              <w:rPr>
                <w:color w:val="000000"/>
              </w:rPr>
              <w:t>623.64</w:t>
            </w:r>
          </w:p>
        </w:tc>
      </w:tr>
    </w:tbl>
    <w:p w14:paraId="5EF30C91" w14:textId="77777777" w:rsidR="00833589" w:rsidRDefault="00833589" w:rsidP="00833589">
      <w:pPr>
        <w:tabs>
          <w:tab w:val="left" w:pos="0"/>
        </w:tabs>
        <w:jc w:val="both"/>
      </w:pPr>
    </w:p>
    <w:p w14:paraId="1A2DFECE" w14:textId="67C1DC98" w:rsidR="00833589" w:rsidRPr="00001100" w:rsidRDefault="00833589" w:rsidP="00F74AC2">
      <w:pPr>
        <w:tabs>
          <w:tab w:val="left" w:pos="0"/>
        </w:tabs>
        <w:ind w:firstLine="720"/>
        <w:jc w:val="both"/>
      </w:pPr>
      <w:r w:rsidRPr="00001100">
        <w:lastRenderedPageBreak/>
        <w:t xml:space="preserve">When one looks at the interest and rent expenses, the top performers have much lower interest expense ($18,776 versus $111,748) and also much less in rent/lease ($154,469 versus $314,327).  The low performing clubs were clubs with fewer members so these clubs do not have the membership base to be able to generate the corresponding desired level of revenues.  In addition, these clubs had higher fixed costs of interest and rent/lease expenses.  It is therefore not surprising that the low performers logged in a loss of almost $530,000 as opposed to the top performers earning an income of over $1.18 million and the top performing clubs generated over six times the operating cash flows of the low performers. </w:t>
      </w:r>
    </w:p>
    <w:p w14:paraId="1E208F06" w14:textId="77777777" w:rsidR="008F54E3" w:rsidRPr="00001100" w:rsidRDefault="008F54E3" w:rsidP="001D22D0">
      <w:pPr>
        <w:tabs>
          <w:tab w:val="left" w:pos="0"/>
        </w:tabs>
        <w:jc w:val="both"/>
      </w:pPr>
    </w:p>
    <w:p w14:paraId="621BA5E8" w14:textId="77777777" w:rsidR="004A53F0" w:rsidRDefault="006404DD" w:rsidP="004A53F0">
      <w:pPr>
        <w:tabs>
          <w:tab w:val="left" w:pos="0"/>
        </w:tabs>
        <w:jc w:val="both"/>
        <w:outlineLvl w:val="0"/>
      </w:pPr>
      <w:r w:rsidRPr="00001100">
        <w:rPr>
          <w:b/>
        </w:rPr>
        <w:t>Lessons Learned to Move Forward</w:t>
      </w:r>
    </w:p>
    <w:p w14:paraId="59B88F1E" w14:textId="77777777" w:rsidR="004A53F0" w:rsidRDefault="004A53F0" w:rsidP="004A53F0">
      <w:pPr>
        <w:tabs>
          <w:tab w:val="left" w:pos="0"/>
        </w:tabs>
        <w:jc w:val="both"/>
        <w:outlineLvl w:val="0"/>
      </w:pPr>
    </w:p>
    <w:p w14:paraId="185769F0" w14:textId="77777777" w:rsidR="004A53F0" w:rsidRDefault="006404DD" w:rsidP="00C547CB">
      <w:pPr>
        <w:tabs>
          <w:tab w:val="left" w:pos="0"/>
        </w:tabs>
        <w:jc w:val="both"/>
        <w:outlineLvl w:val="0"/>
      </w:pPr>
      <w:r w:rsidRPr="00001100">
        <w:tab/>
        <w:t>Ratios by themselves are a good tool.  Statement analyses by themselves also provide interesting information.  Putting the two together, certain assumptions can be confirmed as the numbers start</w:t>
      </w:r>
      <w:r w:rsidR="00C20AD4" w:rsidRPr="00001100">
        <w:t xml:space="preserve"> </w:t>
      </w:r>
      <w:r w:rsidRPr="00001100">
        <w:t xml:space="preserve">to tell a story.  </w:t>
      </w:r>
      <w:r w:rsidR="003B14CC" w:rsidRPr="00001100">
        <w:t>With</w:t>
      </w:r>
      <w:r w:rsidRPr="00001100">
        <w:t xml:space="preserve"> these tools combined, the 2011 </w:t>
      </w:r>
      <w:r w:rsidR="003B14CC" w:rsidRPr="00001100">
        <w:t xml:space="preserve">financial picture of the club industry </w:t>
      </w:r>
      <w:r w:rsidRPr="00001100">
        <w:t>is clearer</w:t>
      </w:r>
      <w:r w:rsidR="003B14CC" w:rsidRPr="00001100">
        <w:t xml:space="preserve">.  </w:t>
      </w:r>
      <w:r w:rsidR="000D00B9" w:rsidRPr="00001100">
        <w:t xml:space="preserve">The industry as a whole is holding its ground but many </w:t>
      </w:r>
      <w:r w:rsidR="00C874BD" w:rsidRPr="00001100">
        <w:t xml:space="preserve">clubs </w:t>
      </w:r>
      <w:r w:rsidR="000D00B9" w:rsidRPr="00001100">
        <w:t xml:space="preserve">are still struggling.  The general state </w:t>
      </w:r>
      <w:r w:rsidR="00C874BD" w:rsidRPr="00001100">
        <w:t>of</w:t>
      </w:r>
      <w:r w:rsidR="000D00B9" w:rsidRPr="00001100">
        <w:t xml:space="preserve"> the economy is not showing very strong signs.  Unemployment rates, if </w:t>
      </w:r>
      <w:r w:rsidR="00C874BD" w:rsidRPr="00001100">
        <w:t xml:space="preserve">they </w:t>
      </w:r>
      <w:r w:rsidR="000D00B9" w:rsidRPr="00001100">
        <w:t xml:space="preserve">are to improve, will only drop to the 7% </w:t>
      </w:r>
      <w:proofErr w:type="gramStart"/>
      <w:r w:rsidR="000D00B9" w:rsidRPr="00001100">
        <w:t>range which</w:t>
      </w:r>
      <w:proofErr w:type="gramEnd"/>
      <w:r w:rsidR="000D00B9" w:rsidRPr="00001100">
        <w:t xml:space="preserve"> is </w:t>
      </w:r>
      <w:r w:rsidR="00653A63" w:rsidRPr="00001100">
        <w:t>still n</w:t>
      </w:r>
      <w:r w:rsidR="000D00B9" w:rsidRPr="00001100">
        <w:t>ot the 4</w:t>
      </w:r>
      <w:r w:rsidR="00653A63" w:rsidRPr="00001100">
        <w:t>%</w:t>
      </w:r>
      <w:r w:rsidR="00C874BD" w:rsidRPr="00001100">
        <w:t xml:space="preserve">-5% in </w:t>
      </w:r>
      <w:r w:rsidR="000D00B9" w:rsidRPr="00001100">
        <w:t>early 2000</w:t>
      </w:r>
      <w:r w:rsidR="00C874BD" w:rsidRPr="00001100">
        <w:t>s</w:t>
      </w:r>
      <w:r w:rsidR="000D00B9" w:rsidRPr="00001100">
        <w:t xml:space="preserve">. </w:t>
      </w:r>
      <w:r w:rsidR="00653A63" w:rsidRPr="00001100">
        <w:t xml:space="preserve"> There is still a long way to go.</w:t>
      </w:r>
      <w:r w:rsidR="000D00B9" w:rsidRPr="00001100">
        <w:t xml:space="preserve"> </w:t>
      </w:r>
    </w:p>
    <w:p w14:paraId="6C87CF36" w14:textId="77777777" w:rsidR="000D00B9" w:rsidRPr="00001100" w:rsidRDefault="004A53F0" w:rsidP="001D22D0">
      <w:pPr>
        <w:tabs>
          <w:tab w:val="left" w:pos="0"/>
        </w:tabs>
        <w:jc w:val="both"/>
      </w:pPr>
      <w:r>
        <w:tab/>
      </w:r>
      <w:r w:rsidR="00866DB3" w:rsidRPr="00001100">
        <w:t xml:space="preserve">Nothing in business in today’s world comes easy.  Every penny saved is a penny earned.  The top performers should not sit on their laurels and be content with their status.  The business picture can change very </w:t>
      </w:r>
      <w:r w:rsidR="00C874BD" w:rsidRPr="00001100">
        <w:t xml:space="preserve">quickly.  For clubs that are tied to </w:t>
      </w:r>
      <w:r w:rsidR="00866DB3" w:rsidRPr="00001100">
        <w:t>community development, as residents move</w:t>
      </w:r>
      <w:r w:rsidR="00C874BD" w:rsidRPr="00001100">
        <w:t xml:space="preserve"> </w:t>
      </w:r>
      <w:r w:rsidR="00866DB3" w:rsidRPr="00001100">
        <w:t>in and out, the level of revenues will change.  For city clubs that may be tied more to business memberships, as the economy changes, so will the membership.  Even for regular country clubs, when the middle class members lo</w:t>
      </w:r>
      <w:r w:rsidR="00C874BD" w:rsidRPr="00001100">
        <w:t xml:space="preserve">se </w:t>
      </w:r>
      <w:r w:rsidR="00866DB3" w:rsidRPr="00001100">
        <w:t>their jobs, their s</w:t>
      </w:r>
      <w:r w:rsidR="00C874BD" w:rsidRPr="00001100">
        <w:t xml:space="preserve">pending will need to be cut and </w:t>
      </w:r>
      <w:r w:rsidR="00866DB3" w:rsidRPr="00001100">
        <w:t xml:space="preserve">$500 to $1000 per month membership dues suddenly </w:t>
      </w:r>
      <w:proofErr w:type="gramStart"/>
      <w:r w:rsidR="00866DB3" w:rsidRPr="00001100">
        <w:t>become</w:t>
      </w:r>
      <w:proofErr w:type="gramEnd"/>
      <w:r w:rsidR="00C874BD" w:rsidRPr="00001100">
        <w:t xml:space="preserve"> </w:t>
      </w:r>
      <w:r w:rsidR="00866DB3" w:rsidRPr="00001100">
        <w:t xml:space="preserve">a burden.  </w:t>
      </w:r>
      <w:r w:rsidR="000D00B9" w:rsidRPr="00001100">
        <w:t>So, what can clubs do in the next several year</w:t>
      </w:r>
      <w:r w:rsidR="00C874BD" w:rsidRPr="00001100">
        <w:t xml:space="preserve">s to stay competitive and serve their </w:t>
      </w:r>
      <w:r w:rsidR="000D00B9" w:rsidRPr="00001100">
        <w:t>membership well?</w:t>
      </w:r>
    </w:p>
    <w:p w14:paraId="2848F21C" w14:textId="77777777" w:rsidR="00833589" w:rsidRDefault="00833589" w:rsidP="001D22D0">
      <w:pPr>
        <w:tabs>
          <w:tab w:val="left" w:pos="0"/>
        </w:tabs>
        <w:jc w:val="both"/>
      </w:pPr>
    </w:p>
    <w:p w14:paraId="7CF6A001" w14:textId="1B4FA1FA" w:rsidR="00866DB3" w:rsidRPr="00001100" w:rsidRDefault="003F5323" w:rsidP="001D22D0">
      <w:pPr>
        <w:tabs>
          <w:tab w:val="left" w:pos="0"/>
        </w:tabs>
        <w:jc w:val="both"/>
        <w:rPr>
          <w:b/>
          <w:i/>
        </w:rPr>
      </w:pPr>
      <w:r w:rsidRPr="00001100">
        <w:rPr>
          <w:b/>
          <w:i/>
        </w:rPr>
        <w:t>Takeaways</w:t>
      </w:r>
    </w:p>
    <w:p w14:paraId="1C6538B5" w14:textId="77777777" w:rsidR="004A53F0" w:rsidRDefault="004A53F0" w:rsidP="001D22D0">
      <w:pPr>
        <w:tabs>
          <w:tab w:val="left" w:pos="0"/>
        </w:tabs>
        <w:jc w:val="both"/>
      </w:pPr>
    </w:p>
    <w:p w14:paraId="723D326C" w14:textId="77777777" w:rsidR="004A53F0" w:rsidRDefault="00866DB3" w:rsidP="001D22D0">
      <w:pPr>
        <w:tabs>
          <w:tab w:val="left" w:pos="0"/>
        </w:tabs>
        <w:jc w:val="both"/>
      </w:pPr>
      <w:r w:rsidRPr="00001100">
        <w:tab/>
      </w:r>
      <w:r w:rsidR="000D00B9" w:rsidRPr="00001100">
        <w:t xml:space="preserve">First, </w:t>
      </w:r>
      <w:r w:rsidR="00C874BD" w:rsidRPr="00001100">
        <w:t xml:space="preserve">the top performers need to stay their </w:t>
      </w:r>
      <w:r w:rsidRPr="00001100">
        <w:t>course.</w:t>
      </w:r>
      <w:r w:rsidR="00286013" w:rsidRPr="00001100">
        <w:t xml:space="preserve">  Whatever they did in 2011 se</w:t>
      </w:r>
      <w:r w:rsidR="00E1682D" w:rsidRPr="00001100">
        <w:t>emed to be working well</w:t>
      </w:r>
      <w:r w:rsidR="00286013" w:rsidRPr="00001100">
        <w:t xml:space="preserve">.  So, before making any rush judgment, it is prudent for clubs whose ratios and statement information bear good resemblance to this group to continue to do business the way they did.  This does not mean that no change is ever needed.  This simply means thinking before acting – and use the financial data as “reasons and justifications” to take or not to take actions.  </w:t>
      </w:r>
    </w:p>
    <w:p w14:paraId="30C43BB1" w14:textId="77777777" w:rsidR="004A53F0" w:rsidRDefault="00EE3A8A" w:rsidP="001D22D0">
      <w:pPr>
        <w:tabs>
          <w:tab w:val="left" w:pos="0"/>
        </w:tabs>
        <w:jc w:val="both"/>
      </w:pPr>
      <w:r w:rsidRPr="00001100">
        <w:tab/>
        <w:t>Second, the low performers did beat the high performers in a couple of areas.  They</w:t>
      </w:r>
      <w:r w:rsidR="00824476" w:rsidRPr="00001100">
        <w:t xml:space="preserve"> have significantly less beverage inventory (just over one-third) of the </w:t>
      </w:r>
      <w:r w:rsidR="00824476" w:rsidRPr="00001100">
        <w:lastRenderedPageBreak/>
        <w:t xml:space="preserve">top performing clubs.  Further, the less profitable clubs have a slightly lower cost of beverage percent than the most profitable clubs.  </w:t>
      </w:r>
    </w:p>
    <w:p w14:paraId="7332C2D9" w14:textId="77777777" w:rsidR="004A53F0" w:rsidRDefault="00286013" w:rsidP="001D22D0">
      <w:pPr>
        <w:tabs>
          <w:tab w:val="left" w:pos="0"/>
        </w:tabs>
        <w:jc w:val="both"/>
      </w:pPr>
      <w:r w:rsidRPr="00001100">
        <w:tab/>
      </w:r>
      <w:r w:rsidR="00AE1445" w:rsidRPr="00001100">
        <w:t xml:space="preserve">Third, the </w:t>
      </w:r>
      <w:r w:rsidR="00EE3A8A" w:rsidRPr="00001100">
        <w:t xml:space="preserve">fixed charges </w:t>
      </w:r>
      <w:r w:rsidR="00AE1445" w:rsidRPr="00001100">
        <w:t xml:space="preserve">are really posing many challenges to club managers in the low performing group. Therefore, if you believe that your fixed charges are higher than the majority </w:t>
      </w:r>
      <w:r w:rsidR="00EE3A8A" w:rsidRPr="00001100">
        <w:t xml:space="preserve">and </w:t>
      </w:r>
      <w:r w:rsidR="00AE1445" w:rsidRPr="00001100">
        <w:t xml:space="preserve">are hurting your ratios and profitability, you may want to investigate to see if loans can be refinanced or leases can be negotiated and take the alternatives to the board for consideration.  </w:t>
      </w:r>
    </w:p>
    <w:p w14:paraId="7D69FEF5" w14:textId="77777777" w:rsidR="004A53F0" w:rsidRDefault="00AE1445" w:rsidP="001D22D0">
      <w:pPr>
        <w:tabs>
          <w:tab w:val="left" w:pos="0"/>
        </w:tabs>
        <w:jc w:val="both"/>
      </w:pPr>
      <w:r w:rsidRPr="00001100">
        <w:tab/>
      </w:r>
      <w:r w:rsidR="00866DB3" w:rsidRPr="00001100">
        <w:t xml:space="preserve">Fourth, if </w:t>
      </w:r>
      <w:r w:rsidRPr="00001100">
        <w:t>your club is</w:t>
      </w:r>
      <w:r w:rsidR="00866DB3" w:rsidRPr="00001100">
        <w:t xml:space="preserve"> losing membership, try new membership drives.  Many clubs </w:t>
      </w:r>
      <w:proofErr w:type="gramStart"/>
      <w:r w:rsidR="00866DB3" w:rsidRPr="00001100">
        <w:t>who</w:t>
      </w:r>
      <w:proofErr w:type="gramEnd"/>
      <w:r w:rsidR="00866DB3" w:rsidRPr="00001100">
        <w:t xml:space="preserve"> have lost members can contact such members to welcome them back without a reinstatement fee.</w:t>
      </w:r>
      <w:r w:rsidRPr="00001100">
        <w:t xml:space="preserve">  Giving up a short-term fee may bring the club more long-term gains.</w:t>
      </w:r>
      <w:r w:rsidR="00866DB3" w:rsidRPr="00001100">
        <w:t xml:space="preserve">  Th</w:t>
      </w:r>
      <w:r w:rsidRPr="00001100">
        <w:t xml:space="preserve">is is especially good </w:t>
      </w:r>
      <w:r w:rsidR="00866DB3" w:rsidRPr="00001100">
        <w:t>for members who might have left the club due to their los</w:t>
      </w:r>
      <w:r w:rsidR="00565B64" w:rsidRPr="00001100">
        <w:t xml:space="preserve">s </w:t>
      </w:r>
      <w:r w:rsidR="00866DB3" w:rsidRPr="00001100">
        <w:t>of employment</w:t>
      </w:r>
      <w:r w:rsidRPr="00001100">
        <w:t xml:space="preserve">.  When </w:t>
      </w:r>
      <w:r w:rsidR="00866DB3" w:rsidRPr="00001100">
        <w:t>the</w:t>
      </w:r>
      <w:r w:rsidRPr="00001100">
        <w:t>y are once again</w:t>
      </w:r>
      <w:r w:rsidR="00866DB3" w:rsidRPr="00001100">
        <w:t xml:space="preserve"> emplo</w:t>
      </w:r>
      <w:r w:rsidR="00565B64" w:rsidRPr="00001100">
        <w:t xml:space="preserve">yed, the re-joining of the club may </w:t>
      </w:r>
      <w:r w:rsidR="00866DB3" w:rsidRPr="00001100">
        <w:t>not be too much of a financial burden</w:t>
      </w:r>
      <w:r w:rsidRPr="00001100">
        <w:t>.</w:t>
      </w:r>
    </w:p>
    <w:p w14:paraId="6666EE38" w14:textId="77777777" w:rsidR="004A53F0" w:rsidRDefault="00AE1445" w:rsidP="001D22D0">
      <w:pPr>
        <w:tabs>
          <w:tab w:val="left" w:pos="0"/>
        </w:tabs>
        <w:jc w:val="both"/>
      </w:pPr>
      <w:r w:rsidRPr="00001100">
        <w:tab/>
      </w:r>
      <w:r w:rsidR="003F5323" w:rsidRPr="00001100">
        <w:t>F</w:t>
      </w:r>
      <w:r w:rsidR="00A02AD6" w:rsidRPr="00001100">
        <w:t xml:space="preserve">ifth, many clubs are trying out </w:t>
      </w:r>
      <w:r w:rsidR="003F5323" w:rsidRPr="00001100">
        <w:t>new forms of revenue generati</w:t>
      </w:r>
      <w:r w:rsidRPr="00001100">
        <w:t>ng ideas</w:t>
      </w:r>
      <w:r w:rsidR="003F5323" w:rsidRPr="00001100">
        <w:t xml:space="preserve"> which may lead to new membership.  For instance, some clubs are sponsoring more fitness classes</w:t>
      </w:r>
      <w:r w:rsidRPr="00001100">
        <w:t>, dance classes, yoga classes, spin classes</w:t>
      </w:r>
      <w:r w:rsidR="00E1682D" w:rsidRPr="00001100">
        <w:t xml:space="preserve">, and open enrollment in these classes </w:t>
      </w:r>
      <w:r w:rsidR="003F5323" w:rsidRPr="00001100">
        <w:t xml:space="preserve">to non-members at a higher rate, hoping to then sign up new members perhaps first </w:t>
      </w:r>
      <w:r w:rsidR="00A02AD6" w:rsidRPr="00001100">
        <w:t xml:space="preserve">for athletic membership, then a social </w:t>
      </w:r>
      <w:r w:rsidR="003F5323" w:rsidRPr="00001100">
        <w:t>membership, and finally a full membership.</w:t>
      </w:r>
    </w:p>
    <w:p w14:paraId="15CDC5DE" w14:textId="77777777" w:rsidR="004A53F0" w:rsidRDefault="003F5323" w:rsidP="001D22D0">
      <w:pPr>
        <w:tabs>
          <w:tab w:val="left" w:pos="0"/>
        </w:tabs>
        <w:jc w:val="both"/>
      </w:pPr>
      <w:r w:rsidRPr="00001100">
        <w:tab/>
        <w:t xml:space="preserve">Sixth, communication with all staff members is still an important key to success.   These ratios and numbers can be intimidating to many outside the accounting office. Thus, it behooves the </w:t>
      </w:r>
      <w:r w:rsidR="003B14CC" w:rsidRPr="00001100">
        <w:t>chief financial officer</w:t>
      </w:r>
      <w:r w:rsidRPr="00001100">
        <w:t xml:space="preserve">, director of finance, </w:t>
      </w:r>
      <w:r w:rsidR="003B14CC" w:rsidRPr="00001100">
        <w:t xml:space="preserve">or </w:t>
      </w:r>
      <w:r w:rsidRPr="00001100">
        <w:t xml:space="preserve">the </w:t>
      </w:r>
      <w:r w:rsidR="003B14CC" w:rsidRPr="00001100">
        <w:t xml:space="preserve">controller </w:t>
      </w:r>
      <w:r w:rsidRPr="00001100">
        <w:t xml:space="preserve">to </w:t>
      </w:r>
      <w:r w:rsidR="003B14CC" w:rsidRPr="00001100">
        <w:t>prepare a dashboard report with some</w:t>
      </w:r>
      <w:r w:rsidRPr="00001100">
        <w:t xml:space="preserve">, if not all, </w:t>
      </w:r>
      <w:r w:rsidR="003B14CC" w:rsidRPr="00001100">
        <w:t>of these 24 key ratios on a monthly basis.</w:t>
      </w:r>
      <w:r w:rsidR="00AE1445" w:rsidRPr="00001100">
        <w:t xml:space="preserve">  Communicate these numbers in the form of charts and tables rather than in statement forms.  Post those charts in the employee break area or in places where employees often congregate.</w:t>
      </w:r>
    </w:p>
    <w:p w14:paraId="122CA23A" w14:textId="77777777" w:rsidR="004A53F0" w:rsidRDefault="00AE1445" w:rsidP="001D22D0">
      <w:pPr>
        <w:tabs>
          <w:tab w:val="left" w:pos="0"/>
        </w:tabs>
        <w:jc w:val="both"/>
      </w:pPr>
      <w:r w:rsidRPr="00001100">
        <w:tab/>
        <w:t xml:space="preserve">Seventh, be vigilant in comparing budgeted to actual numbers.  </w:t>
      </w:r>
      <w:r w:rsidR="003F5323" w:rsidRPr="00001100">
        <w:t>A selected group of ratios, such as cost percentages, can even be compiled on a weekly basis so that results can be</w:t>
      </w:r>
      <w:r w:rsidRPr="00001100">
        <w:t xml:space="preserve"> compared to the budget and then </w:t>
      </w:r>
      <w:r w:rsidR="003F5323" w:rsidRPr="00001100">
        <w:t xml:space="preserve">communicated </w:t>
      </w:r>
      <w:r w:rsidR="004A53F0">
        <w:t>to all so that</w:t>
      </w:r>
      <w:r w:rsidR="003F5323" w:rsidRPr="00001100">
        <w:t xml:space="preserve"> corrective actions can be taken before it </w:t>
      </w:r>
      <w:r w:rsidR="0018234E" w:rsidRPr="00001100">
        <w:t xml:space="preserve">is </w:t>
      </w:r>
      <w:r w:rsidR="003F5323" w:rsidRPr="00001100">
        <w:t xml:space="preserve">too late.  </w:t>
      </w:r>
    </w:p>
    <w:p w14:paraId="555856F9" w14:textId="77777777" w:rsidR="003B14CC" w:rsidRPr="00001100" w:rsidRDefault="00AE1445" w:rsidP="001D22D0">
      <w:pPr>
        <w:tabs>
          <w:tab w:val="left" w:pos="0"/>
        </w:tabs>
        <w:jc w:val="both"/>
        <w:rPr>
          <w:noProof/>
        </w:rPr>
      </w:pPr>
      <w:r w:rsidRPr="00001100">
        <w:tab/>
        <w:t xml:space="preserve">Eighth, don’t just share – involve!  </w:t>
      </w:r>
      <w:r w:rsidR="003F5323" w:rsidRPr="00001100">
        <w:t xml:space="preserve">It is also wise to post key indicators of the budget and again monitor those indicators and share with all employees.  </w:t>
      </w:r>
      <w:r w:rsidRPr="00001100">
        <w:t xml:space="preserve">However, </w:t>
      </w:r>
      <w:r w:rsidR="004E1640" w:rsidRPr="00001100">
        <w:t>get the employee</w:t>
      </w:r>
      <w:r w:rsidR="0018234E" w:rsidRPr="00001100">
        <w:t>s</w:t>
      </w:r>
      <w:r w:rsidR="004E1640" w:rsidRPr="00001100">
        <w:t xml:space="preserve"> involve</w:t>
      </w:r>
      <w:r w:rsidR="0018234E" w:rsidRPr="00001100">
        <w:t>d</w:t>
      </w:r>
      <w:r w:rsidR="00995794" w:rsidRPr="00001100">
        <w:t xml:space="preserve">, </w:t>
      </w:r>
      <w:proofErr w:type="gramStart"/>
      <w:r w:rsidR="004E1640" w:rsidRPr="00001100">
        <w:t>too.</w:t>
      </w:r>
      <w:proofErr w:type="gramEnd"/>
      <w:r w:rsidR="004E1640" w:rsidRPr="00001100">
        <w:t xml:space="preserve">  Ask them for revenue generating ideas or cost savings ideas and set those goals with them.  If an idea from an employee is chose</w:t>
      </w:r>
      <w:r w:rsidR="00995794" w:rsidRPr="00001100">
        <w:t>n</w:t>
      </w:r>
      <w:r w:rsidR="004E1640" w:rsidRPr="00001100">
        <w:t>, award the employee with a small token of appreciation. When that same idea hits the goal of revenue enhancement or cost reduction, award that employee with a bigger recognition.  All these help to build team spirit as well.</w:t>
      </w:r>
      <w:r w:rsidR="003B14CC" w:rsidRPr="00001100">
        <w:t xml:space="preserve"> </w:t>
      </w:r>
    </w:p>
    <w:p w14:paraId="390D685F" w14:textId="77777777" w:rsidR="004A53F0" w:rsidRDefault="004A53F0" w:rsidP="001D22D0">
      <w:pPr>
        <w:tabs>
          <w:tab w:val="left" w:pos="0"/>
          <w:tab w:val="left" w:pos="720"/>
          <w:tab w:val="left" w:pos="1800"/>
        </w:tabs>
        <w:jc w:val="both"/>
        <w:rPr>
          <w:b/>
          <w:i/>
        </w:rPr>
      </w:pPr>
    </w:p>
    <w:p w14:paraId="34E52A5E" w14:textId="77777777" w:rsidR="00F74AC2" w:rsidRDefault="00F74AC2" w:rsidP="001D22D0">
      <w:pPr>
        <w:tabs>
          <w:tab w:val="left" w:pos="0"/>
          <w:tab w:val="left" w:pos="720"/>
          <w:tab w:val="left" w:pos="1800"/>
        </w:tabs>
        <w:jc w:val="both"/>
        <w:rPr>
          <w:b/>
          <w:i/>
        </w:rPr>
      </w:pPr>
    </w:p>
    <w:p w14:paraId="569737E8" w14:textId="77777777" w:rsidR="00F74AC2" w:rsidRDefault="00F74AC2" w:rsidP="001D22D0">
      <w:pPr>
        <w:tabs>
          <w:tab w:val="left" w:pos="0"/>
          <w:tab w:val="left" w:pos="720"/>
          <w:tab w:val="left" w:pos="1800"/>
        </w:tabs>
        <w:jc w:val="both"/>
        <w:rPr>
          <w:b/>
          <w:i/>
        </w:rPr>
      </w:pPr>
    </w:p>
    <w:p w14:paraId="5269DD27" w14:textId="5905ADF7" w:rsidR="003B14CC" w:rsidRPr="00001100" w:rsidRDefault="004E1640" w:rsidP="001D22D0">
      <w:pPr>
        <w:tabs>
          <w:tab w:val="left" w:pos="0"/>
          <w:tab w:val="left" w:pos="720"/>
          <w:tab w:val="left" w:pos="1800"/>
        </w:tabs>
        <w:jc w:val="both"/>
        <w:rPr>
          <w:b/>
          <w:i/>
        </w:rPr>
      </w:pPr>
      <w:bookmarkStart w:id="2" w:name="_GoBack"/>
      <w:bookmarkEnd w:id="2"/>
      <w:r w:rsidRPr="00001100">
        <w:rPr>
          <w:b/>
          <w:i/>
        </w:rPr>
        <w:lastRenderedPageBreak/>
        <w:t>From Industry to Education</w:t>
      </w:r>
    </w:p>
    <w:p w14:paraId="4255F670" w14:textId="77777777" w:rsidR="004A53F0" w:rsidRDefault="004A53F0" w:rsidP="001D22D0">
      <w:pPr>
        <w:tabs>
          <w:tab w:val="left" w:pos="0"/>
          <w:tab w:val="left" w:pos="720"/>
          <w:tab w:val="left" w:pos="1800"/>
        </w:tabs>
        <w:jc w:val="both"/>
      </w:pPr>
    </w:p>
    <w:p w14:paraId="76DBF549" w14:textId="77777777" w:rsidR="00982B19" w:rsidRPr="00001100" w:rsidRDefault="003B14CC" w:rsidP="001D22D0">
      <w:pPr>
        <w:tabs>
          <w:tab w:val="left" w:pos="0"/>
          <w:tab w:val="left" w:pos="720"/>
          <w:tab w:val="left" w:pos="1800"/>
        </w:tabs>
        <w:jc w:val="both"/>
      </w:pPr>
      <w:r w:rsidRPr="00001100">
        <w:tab/>
      </w:r>
      <w:r w:rsidR="004E1640" w:rsidRPr="00001100">
        <w:t xml:space="preserve">All the above points can be reinforced and taught in hospitality accounting and club management courses.  Educators are engaging students more in active learning.  Perhaps professors can incorporate some of the above takeaways as projects in class.  Ask a club in your area to share a set of their financial statements.  Obviously, names can be deleted or changed in case the clubs are sensitive about sharing financial information.  Nothing makes the students more willing to learn if they see an actual set of financial statements rather than one from a textbook.  It is through continuously challenging our students that we are able to produce the next generation of hospitality leaders. </w:t>
      </w:r>
      <w:r w:rsidRPr="00001100">
        <w:t xml:space="preserve">   </w:t>
      </w:r>
    </w:p>
    <w:p w14:paraId="6F5DE01C" w14:textId="77777777" w:rsidR="004A53F0" w:rsidRDefault="004A53F0" w:rsidP="001D22D0">
      <w:pPr>
        <w:tabs>
          <w:tab w:val="left" w:pos="0"/>
          <w:tab w:val="left" w:pos="720"/>
          <w:tab w:val="left" w:pos="1800"/>
        </w:tabs>
        <w:jc w:val="both"/>
        <w:rPr>
          <w:b/>
        </w:rPr>
      </w:pPr>
    </w:p>
    <w:p w14:paraId="7F6B9644" w14:textId="77777777" w:rsidR="00982B19" w:rsidRPr="00001100" w:rsidRDefault="00982B19" w:rsidP="001D22D0">
      <w:pPr>
        <w:tabs>
          <w:tab w:val="left" w:pos="0"/>
          <w:tab w:val="left" w:pos="720"/>
          <w:tab w:val="left" w:pos="1800"/>
        </w:tabs>
        <w:jc w:val="both"/>
        <w:rPr>
          <w:b/>
        </w:rPr>
      </w:pPr>
      <w:r w:rsidRPr="00001100">
        <w:rPr>
          <w:b/>
        </w:rPr>
        <w:t>Limitations</w:t>
      </w:r>
    </w:p>
    <w:p w14:paraId="5D70B7E5" w14:textId="77777777" w:rsidR="004A53F0" w:rsidRDefault="004A53F0" w:rsidP="001D22D0">
      <w:pPr>
        <w:tabs>
          <w:tab w:val="left" w:pos="720"/>
          <w:tab w:val="left" w:pos="1800"/>
        </w:tabs>
        <w:ind w:firstLine="720"/>
        <w:jc w:val="both"/>
      </w:pPr>
    </w:p>
    <w:p w14:paraId="484BBC82" w14:textId="77777777" w:rsidR="00982B19" w:rsidRDefault="006707E5" w:rsidP="001D22D0">
      <w:pPr>
        <w:tabs>
          <w:tab w:val="left" w:pos="720"/>
          <w:tab w:val="left" w:pos="1800"/>
        </w:tabs>
        <w:ind w:firstLine="720"/>
        <w:jc w:val="both"/>
      </w:pPr>
      <w:r w:rsidRPr="00001100">
        <w:t xml:space="preserve">Like many survey studies, this study reflects the results of the </w:t>
      </w:r>
      <w:proofErr w:type="gramStart"/>
      <w:r w:rsidRPr="00001100">
        <w:t>respondents which</w:t>
      </w:r>
      <w:proofErr w:type="gramEnd"/>
      <w:r w:rsidRPr="00001100">
        <w:t xml:space="preserve"> was only 8.3% of the clubs surveyed.  The questionnaire requests numerous actually financial figures and as in the past several years many club financial executives appear to be reluctant to provide their results.  Still 80 clubs results are provided which yields some very interesting and useful financial information.  A greater response could possibly enable the calculation of ratios by type of club.  </w:t>
      </w:r>
    </w:p>
    <w:p w14:paraId="1C8BABC8" w14:textId="77777777" w:rsidR="004A53F0" w:rsidRPr="00001100" w:rsidRDefault="004A53F0" w:rsidP="001D22D0">
      <w:pPr>
        <w:tabs>
          <w:tab w:val="left" w:pos="720"/>
          <w:tab w:val="left" w:pos="1800"/>
        </w:tabs>
        <w:ind w:firstLine="720"/>
        <w:jc w:val="both"/>
      </w:pPr>
    </w:p>
    <w:p w14:paraId="3549E85B" w14:textId="77777777" w:rsidR="00982B19" w:rsidRPr="00001100" w:rsidRDefault="00982B19" w:rsidP="001D22D0">
      <w:pPr>
        <w:tabs>
          <w:tab w:val="left" w:pos="0"/>
          <w:tab w:val="left" w:pos="720"/>
          <w:tab w:val="left" w:pos="1800"/>
        </w:tabs>
        <w:jc w:val="both"/>
        <w:rPr>
          <w:b/>
        </w:rPr>
      </w:pPr>
      <w:r w:rsidRPr="00001100">
        <w:rPr>
          <w:b/>
        </w:rPr>
        <w:t>Future Research</w:t>
      </w:r>
    </w:p>
    <w:p w14:paraId="6F63B695" w14:textId="77777777" w:rsidR="004A53F0" w:rsidRDefault="004A53F0" w:rsidP="00DF0F9E">
      <w:pPr>
        <w:tabs>
          <w:tab w:val="left" w:pos="0"/>
          <w:tab w:val="left" w:pos="720"/>
          <w:tab w:val="left" w:pos="1800"/>
        </w:tabs>
        <w:ind w:firstLine="720"/>
        <w:jc w:val="both"/>
      </w:pPr>
    </w:p>
    <w:p w14:paraId="5F6075ED" w14:textId="77777777" w:rsidR="00DF0F9E" w:rsidRDefault="00F4245C" w:rsidP="00DF0F9E">
      <w:pPr>
        <w:tabs>
          <w:tab w:val="left" w:pos="0"/>
          <w:tab w:val="left" w:pos="720"/>
          <w:tab w:val="left" w:pos="1800"/>
        </w:tabs>
        <w:ind w:firstLine="720"/>
        <w:jc w:val="both"/>
      </w:pPr>
      <w:r w:rsidRPr="00001100">
        <w:t xml:space="preserve">Future research could be focused on other ratios especially operating ratios.  In addition businesses in other industry segments such as lodging, spas, and foodservice could be surveyed to determine similar ratios focusing primarily on balance sheet numbers.  The results would be useful for </w:t>
      </w:r>
      <w:proofErr w:type="gramStart"/>
      <w:r w:rsidRPr="00001100">
        <w:t>managers</w:t>
      </w:r>
      <w:proofErr w:type="gramEnd"/>
      <w:r w:rsidRPr="00001100">
        <w:t xml:space="preserve"> as few studies have focused on balance sheet ratios especially at the property level.</w:t>
      </w:r>
    </w:p>
    <w:p w14:paraId="01754896" w14:textId="77777777" w:rsidR="00833589" w:rsidRDefault="00833589" w:rsidP="00DF0F9E">
      <w:pPr>
        <w:tabs>
          <w:tab w:val="left" w:pos="0"/>
          <w:tab w:val="left" w:pos="720"/>
          <w:tab w:val="left" w:pos="1800"/>
        </w:tabs>
        <w:jc w:val="both"/>
        <w:rPr>
          <w:b/>
          <w:u w:val="single"/>
        </w:rPr>
      </w:pPr>
    </w:p>
    <w:p w14:paraId="1098CD3D" w14:textId="77777777" w:rsidR="003B14CC" w:rsidRDefault="003B14CC" w:rsidP="00DF0F9E">
      <w:pPr>
        <w:tabs>
          <w:tab w:val="left" w:pos="0"/>
          <w:tab w:val="left" w:pos="720"/>
          <w:tab w:val="left" w:pos="1800"/>
        </w:tabs>
        <w:jc w:val="both"/>
        <w:rPr>
          <w:b/>
          <w:u w:val="single"/>
        </w:rPr>
      </w:pPr>
      <w:r w:rsidRPr="00001100">
        <w:rPr>
          <w:b/>
          <w:u w:val="single"/>
        </w:rPr>
        <w:t>References</w:t>
      </w:r>
    </w:p>
    <w:p w14:paraId="02489E5F" w14:textId="77777777" w:rsidR="00F74AC2" w:rsidRPr="00001100" w:rsidRDefault="00F74AC2" w:rsidP="00DF0F9E">
      <w:pPr>
        <w:tabs>
          <w:tab w:val="left" w:pos="0"/>
          <w:tab w:val="left" w:pos="720"/>
          <w:tab w:val="left" w:pos="1800"/>
        </w:tabs>
        <w:jc w:val="both"/>
      </w:pPr>
    </w:p>
    <w:p w14:paraId="34B028D8" w14:textId="77777777" w:rsidR="00C467BB" w:rsidRDefault="003B14CC" w:rsidP="004A53F0">
      <w:pPr>
        <w:jc w:val="both"/>
        <w:outlineLvl w:val="0"/>
        <w:rPr>
          <w:i/>
        </w:rPr>
      </w:pPr>
      <w:r w:rsidRPr="00001100">
        <w:t xml:space="preserve">Camp, R.  (1989).  </w:t>
      </w:r>
      <w:r w:rsidRPr="00C467BB">
        <w:rPr>
          <w:i/>
        </w:rPr>
        <w:t xml:space="preserve">Benchmarking: The search for industry best practices that </w:t>
      </w:r>
    </w:p>
    <w:p w14:paraId="7AA68B01" w14:textId="78CEA4E9" w:rsidR="003B14CC" w:rsidRPr="00C467BB" w:rsidRDefault="00C467BB" w:rsidP="00C467BB">
      <w:pPr>
        <w:jc w:val="both"/>
        <w:outlineLvl w:val="0"/>
        <w:rPr>
          <w:i/>
        </w:rPr>
      </w:pPr>
      <w:r>
        <w:rPr>
          <w:i/>
        </w:rPr>
        <w:tab/>
      </w:r>
      <w:proofErr w:type="gramStart"/>
      <w:r w:rsidR="003B14CC" w:rsidRPr="00C467BB">
        <w:rPr>
          <w:i/>
        </w:rPr>
        <w:t>lead</w:t>
      </w:r>
      <w:proofErr w:type="gramEnd"/>
      <w:r w:rsidR="003B14CC" w:rsidRPr="00C467BB">
        <w:rPr>
          <w:i/>
        </w:rPr>
        <w:t xml:space="preserve"> to superior performance</w:t>
      </w:r>
      <w:r w:rsidR="003B14CC" w:rsidRPr="00001100">
        <w:t xml:space="preserve">. ASQC, Quality Press: Milwaukee.  </w:t>
      </w:r>
    </w:p>
    <w:p w14:paraId="622F9C93" w14:textId="77777777" w:rsidR="004A53F0" w:rsidRDefault="003B14CC" w:rsidP="001D22D0">
      <w:pPr>
        <w:jc w:val="both"/>
      </w:pPr>
      <w:r w:rsidRPr="00001100">
        <w:t>DeFranco, A. L., &amp; Lattin, T. W.  (2007)</w:t>
      </w:r>
      <w:proofErr w:type="gramStart"/>
      <w:r w:rsidRPr="00001100">
        <w:t xml:space="preserve">.  </w:t>
      </w:r>
      <w:r w:rsidRPr="00C467BB">
        <w:rPr>
          <w:i/>
        </w:rPr>
        <w:t>Hospitality Financial Management.</w:t>
      </w:r>
      <w:proofErr w:type="gramEnd"/>
      <w:r w:rsidRPr="00001100">
        <w:t xml:space="preserve"> </w:t>
      </w:r>
    </w:p>
    <w:p w14:paraId="57968CF1" w14:textId="77777777" w:rsidR="003B14CC" w:rsidRPr="00001100" w:rsidRDefault="003B14CC" w:rsidP="004A53F0">
      <w:pPr>
        <w:ind w:firstLine="720"/>
        <w:jc w:val="both"/>
      </w:pPr>
      <w:r w:rsidRPr="00001100">
        <w:t xml:space="preserve">Hoboken, New Jersey:  John Wiley &amp; Sons, Inc.  </w:t>
      </w:r>
    </w:p>
    <w:p w14:paraId="2A996D2A" w14:textId="77777777" w:rsidR="00C467BB" w:rsidRDefault="003B14CC" w:rsidP="001D22D0">
      <w:pPr>
        <w:jc w:val="both"/>
      </w:pPr>
      <w:r w:rsidRPr="00001100">
        <w:t>DeFranco, A</w:t>
      </w:r>
      <w:proofErr w:type="gramStart"/>
      <w:r w:rsidRPr="00001100">
        <w:t>,L</w:t>
      </w:r>
      <w:proofErr w:type="gramEnd"/>
      <w:r w:rsidRPr="00001100">
        <w:t xml:space="preserve">., &amp; Schmidgall, R.S. (2010).  USFRC – Time to revise.  </w:t>
      </w:r>
    </w:p>
    <w:p w14:paraId="1F7890FE" w14:textId="3053F1FB" w:rsidR="003B14CC" w:rsidRPr="00001100" w:rsidRDefault="00C467BB" w:rsidP="001D22D0">
      <w:pPr>
        <w:jc w:val="both"/>
        <w:rPr>
          <w:noProof/>
        </w:rPr>
      </w:pPr>
      <w:r>
        <w:tab/>
      </w:r>
      <w:proofErr w:type="spellStart"/>
      <w:proofErr w:type="gramStart"/>
      <w:r w:rsidR="003B14CC" w:rsidRPr="00C467BB">
        <w:rPr>
          <w:i/>
        </w:rPr>
        <w:t>Bottomline</w:t>
      </w:r>
      <w:proofErr w:type="spellEnd"/>
      <w:r w:rsidR="003B14CC" w:rsidRPr="00C467BB">
        <w:rPr>
          <w:i/>
        </w:rPr>
        <w:t>, 25</w:t>
      </w:r>
      <w:r w:rsidR="003B14CC" w:rsidRPr="00001100">
        <w:t>(7), 24-26.</w:t>
      </w:r>
      <w:proofErr w:type="gramEnd"/>
      <w:r w:rsidR="003B14CC" w:rsidRPr="00001100">
        <w:t xml:space="preserve"> </w:t>
      </w:r>
    </w:p>
    <w:p w14:paraId="03A55EFC" w14:textId="77777777" w:rsidR="00C467BB" w:rsidRDefault="003B14CC" w:rsidP="00C467BB">
      <w:pPr>
        <w:jc w:val="both"/>
      </w:pPr>
      <w:r w:rsidRPr="00001100">
        <w:t>DeFranco, A</w:t>
      </w:r>
      <w:proofErr w:type="gramStart"/>
      <w:r w:rsidRPr="00001100">
        <w:t>,L</w:t>
      </w:r>
      <w:proofErr w:type="gramEnd"/>
      <w:r w:rsidRPr="00001100">
        <w:t>., &amp; Schmidgall, R.S. (2009</w:t>
      </w:r>
      <w:r w:rsidR="002A0457" w:rsidRPr="00001100">
        <w:t>a</w:t>
      </w:r>
      <w:r w:rsidRPr="00001100">
        <w:t xml:space="preserve">).  </w:t>
      </w:r>
      <w:proofErr w:type="gramStart"/>
      <w:r w:rsidRPr="00001100">
        <w:t>Club inventories – ready to serve.</w:t>
      </w:r>
      <w:proofErr w:type="gramEnd"/>
      <w:r w:rsidRPr="00001100">
        <w:t xml:space="preserve"> </w:t>
      </w:r>
    </w:p>
    <w:p w14:paraId="314E32D7" w14:textId="3F194153" w:rsidR="003B14CC" w:rsidRPr="00C467BB" w:rsidRDefault="003B14CC" w:rsidP="00C467BB">
      <w:pPr>
        <w:ind w:firstLine="720"/>
        <w:jc w:val="both"/>
        <w:rPr>
          <w:u w:val="single"/>
        </w:rPr>
      </w:pPr>
      <w:proofErr w:type="spellStart"/>
      <w:proofErr w:type="gramStart"/>
      <w:r w:rsidRPr="00C467BB">
        <w:rPr>
          <w:i/>
        </w:rPr>
        <w:t>Bottomline</w:t>
      </w:r>
      <w:proofErr w:type="spellEnd"/>
      <w:r w:rsidRPr="00C467BB">
        <w:rPr>
          <w:i/>
        </w:rPr>
        <w:t>, 24</w:t>
      </w:r>
      <w:r w:rsidRPr="00001100">
        <w:t>(2), 26-30.</w:t>
      </w:r>
      <w:proofErr w:type="gramEnd"/>
      <w:r w:rsidRPr="00001100">
        <w:t xml:space="preserve"> </w:t>
      </w:r>
    </w:p>
    <w:p w14:paraId="423B63E8" w14:textId="77777777" w:rsidR="00C467BB" w:rsidRDefault="003B14CC" w:rsidP="001D22D0">
      <w:pPr>
        <w:jc w:val="both"/>
      </w:pPr>
      <w:r w:rsidRPr="00001100">
        <w:t>DeFranco, A, L., &amp; Schmidgall, R.S. (2009</w:t>
      </w:r>
      <w:r w:rsidR="002A0457" w:rsidRPr="00001100">
        <w:t>b</w:t>
      </w:r>
      <w:r w:rsidRPr="00001100">
        <w:t xml:space="preserve">).  The club industry: The </w:t>
      </w:r>
    </w:p>
    <w:p w14:paraId="4369CDD9" w14:textId="77777777" w:rsidR="00C467BB" w:rsidRPr="00C467BB" w:rsidRDefault="003B14CC" w:rsidP="00C467BB">
      <w:pPr>
        <w:ind w:firstLine="720"/>
        <w:jc w:val="both"/>
        <w:rPr>
          <w:i/>
        </w:rPr>
      </w:pPr>
      <w:proofErr w:type="gramStart"/>
      <w:r w:rsidRPr="00001100">
        <w:lastRenderedPageBreak/>
        <w:t>challenging</w:t>
      </w:r>
      <w:proofErr w:type="gramEnd"/>
      <w:r w:rsidRPr="00001100">
        <w:t xml:space="preserve"> years of 2003 through 2008.  </w:t>
      </w:r>
      <w:r w:rsidRPr="00C467BB">
        <w:rPr>
          <w:i/>
        </w:rPr>
        <w:t xml:space="preserve">Journal of Hospitality Financial </w:t>
      </w:r>
    </w:p>
    <w:p w14:paraId="0F072969" w14:textId="77777777" w:rsidR="00C467BB" w:rsidRDefault="003B14CC" w:rsidP="00C467BB">
      <w:pPr>
        <w:ind w:firstLine="720"/>
        <w:jc w:val="both"/>
      </w:pPr>
      <w:proofErr w:type="gramStart"/>
      <w:r w:rsidRPr="00C467BB">
        <w:rPr>
          <w:i/>
        </w:rPr>
        <w:t>Management, 17</w:t>
      </w:r>
      <w:r w:rsidRPr="00001100">
        <w:t>(2).</w:t>
      </w:r>
      <w:proofErr w:type="gramEnd"/>
      <w:r w:rsidRPr="00001100">
        <w:t xml:space="preserve">  Retrieved from </w:t>
      </w:r>
    </w:p>
    <w:p w14:paraId="4DE79BB1" w14:textId="57978279" w:rsidR="003B14CC" w:rsidRPr="00001605" w:rsidRDefault="00D3671E" w:rsidP="00C467BB">
      <w:pPr>
        <w:ind w:firstLine="720"/>
        <w:jc w:val="both"/>
      </w:pPr>
      <w:hyperlink r:id="rId9" w:history="1">
        <w:r w:rsidR="00C467BB" w:rsidRPr="00001605">
          <w:rPr>
            <w:rStyle w:val="Hyperlink"/>
          </w:rPr>
          <w:t>http://scholarworks.umass.edu/jhfm/vol17/iss2/2/</w:t>
        </w:r>
      </w:hyperlink>
      <w:r w:rsidR="00C467BB" w:rsidRPr="00001605">
        <w:t xml:space="preserve"> </w:t>
      </w:r>
    </w:p>
    <w:p w14:paraId="6A753651" w14:textId="77777777" w:rsidR="00C467BB" w:rsidRPr="00001605" w:rsidRDefault="003B14CC" w:rsidP="001D22D0">
      <w:pPr>
        <w:jc w:val="both"/>
      </w:pPr>
      <w:r w:rsidRPr="00001605">
        <w:t xml:space="preserve">DeFranco, A. L., &amp; Schmidgall, R. S. (2008).  Club ratios: A four-year trend </w:t>
      </w:r>
    </w:p>
    <w:p w14:paraId="56D4675C" w14:textId="77777777" w:rsidR="00C467BB" w:rsidRPr="00001605" w:rsidRDefault="00C467BB" w:rsidP="001D22D0">
      <w:pPr>
        <w:jc w:val="both"/>
      </w:pPr>
      <w:r w:rsidRPr="00001605">
        <w:tab/>
      </w:r>
      <w:proofErr w:type="gramStart"/>
      <w:r w:rsidR="003B14CC" w:rsidRPr="00001605">
        <w:t>analysis</w:t>
      </w:r>
      <w:proofErr w:type="gramEnd"/>
      <w:r w:rsidR="003B14CC" w:rsidRPr="00001605">
        <w:t xml:space="preserve">.  </w:t>
      </w:r>
      <w:r w:rsidR="003B14CC" w:rsidRPr="00001605">
        <w:rPr>
          <w:i/>
        </w:rPr>
        <w:t>Florida International University Hospitality Review, 26</w:t>
      </w:r>
      <w:r w:rsidR="003B14CC" w:rsidRPr="00001605">
        <w:t xml:space="preserve">(2), </w:t>
      </w:r>
    </w:p>
    <w:p w14:paraId="1BD9C16B" w14:textId="2D8E09FE" w:rsidR="003B14CC" w:rsidRPr="00C467BB" w:rsidRDefault="003B14CC" w:rsidP="00C467BB">
      <w:pPr>
        <w:ind w:firstLine="720"/>
        <w:jc w:val="both"/>
        <w:rPr>
          <w:u w:val="single"/>
        </w:rPr>
      </w:pPr>
      <w:r w:rsidRPr="00001605">
        <w:t>43-55.</w:t>
      </w:r>
    </w:p>
    <w:p w14:paraId="3D221962" w14:textId="77777777" w:rsidR="00C467BB" w:rsidRDefault="003B14CC" w:rsidP="001D22D0">
      <w:pPr>
        <w:jc w:val="both"/>
      </w:pPr>
      <w:r w:rsidRPr="00001100">
        <w:t xml:space="preserve">DeFranco, A.L., &amp; Schmidgall, R.S.  (2007).  Club ratios: A </w:t>
      </w:r>
      <w:proofErr w:type="gramStart"/>
      <w:r w:rsidRPr="00001100">
        <w:t>three year</w:t>
      </w:r>
      <w:proofErr w:type="gramEnd"/>
      <w:r w:rsidRPr="00001100">
        <w:t xml:space="preserve"> </w:t>
      </w:r>
    </w:p>
    <w:p w14:paraId="5C9F7232" w14:textId="721D775D" w:rsidR="003B14CC" w:rsidRPr="00C467BB" w:rsidRDefault="00C467BB" w:rsidP="001D22D0">
      <w:pPr>
        <w:jc w:val="both"/>
        <w:rPr>
          <w:u w:val="single"/>
        </w:rPr>
      </w:pPr>
      <w:r>
        <w:tab/>
      </w:r>
      <w:proofErr w:type="gramStart"/>
      <w:r w:rsidR="003B14CC" w:rsidRPr="00001100">
        <w:t>comparison</w:t>
      </w:r>
      <w:proofErr w:type="gramEnd"/>
      <w:r w:rsidR="003B14CC" w:rsidRPr="00001100">
        <w:t xml:space="preserve">.  </w:t>
      </w:r>
      <w:proofErr w:type="gramStart"/>
      <w:r w:rsidR="003B14CC" w:rsidRPr="00001605">
        <w:rPr>
          <w:i/>
        </w:rPr>
        <w:t>Bottomline, 22(</w:t>
      </w:r>
      <w:r w:rsidR="003B14CC" w:rsidRPr="00001100">
        <w:t>2), 23-29.</w:t>
      </w:r>
      <w:proofErr w:type="gramEnd"/>
    </w:p>
    <w:p w14:paraId="7756B573" w14:textId="741055DB" w:rsidR="003B14CC" w:rsidRPr="00001605" w:rsidRDefault="003B14CC" w:rsidP="00001605">
      <w:pPr>
        <w:ind w:left="720" w:hanging="720"/>
        <w:jc w:val="both"/>
        <w:rPr>
          <w:u w:val="single"/>
        </w:rPr>
      </w:pPr>
      <w:proofErr w:type="gramStart"/>
      <w:r w:rsidRPr="00001100">
        <w:t>Geller, N. A., &amp; Schmidgall, R. S. (1984).</w:t>
      </w:r>
      <w:proofErr w:type="gramEnd"/>
      <w:r w:rsidRPr="00001100">
        <w:t xml:space="preserve">  The hotel controller: More than a bookkeeper. </w:t>
      </w:r>
      <w:proofErr w:type="gramStart"/>
      <w:r w:rsidRPr="00001605">
        <w:rPr>
          <w:i/>
        </w:rPr>
        <w:t>Cornell</w:t>
      </w:r>
      <w:r w:rsidR="00001605" w:rsidRPr="00001605">
        <w:rPr>
          <w:i/>
        </w:rPr>
        <w:t xml:space="preserve"> </w:t>
      </w:r>
      <w:r w:rsidRPr="00001605">
        <w:rPr>
          <w:i/>
        </w:rPr>
        <w:t>Hotel and Restaurant Administration Quarterly, 25</w:t>
      </w:r>
      <w:r w:rsidRPr="00001100">
        <w:t>(2), 16-22.</w:t>
      </w:r>
      <w:proofErr w:type="gramEnd"/>
    </w:p>
    <w:p w14:paraId="547C0692" w14:textId="31BAA128" w:rsidR="003B14CC" w:rsidRPr="00001100" w:rsidRDefault="003B14CC" w:rsidP="001D22D0">
      <w:pPr>
        <w:ind w:left="720" w:hanging="720"/>
        <w:jc w:val="both"/>
        <w:rPr>
          <w:i/>
        </w:rPr>
      </w:pPr>
      <w:proofErr w:type="gramStart"/>
      <w:r w:rsidRPr="00001100">
        <w:t>Schmidgall, R. S.</w:t>
      </w:r>
      <w:proofErr w:type="gramEnd"/>
      <w:r w:rsidRPr="00001100">
        <w:t xml:space="preserve">  (1988).  How useful are financial ratios? </w:t>
      </w:r>
      <w:proofErr w:type="gramStart"/>
      <w:r w:rsidRPr="00001605">
        <w:rPr>
          <w:i/>
        </w:rPr>
        <w:t xml:space="preserve">The </w:t>
      </w:r>
      <w:proofErr w:type="spellStart"/>
      <w:r w:rsidRPr="00001605">
        <w:rPr>
          <w:i/>
        </w:rPr>
        <w:t>Bottomline</w:t>
      </w:r>
      <w:proofErr w:type="spellEnd"/>
      <w:r w:rsidRPr="00001605">
        <w:rPr>
          <w:i/>
        </w:rPr>
        <w:t>,</w:t>
      </w:r>
      <w:r w:rsidR="00001605">
        <w:rPr>
          <w:i/>
        </w:rPr>
        <w:t xml:space="preserve"> </w:t>
      </w:r>
      <w:r w:rsidRPr="00001605">
        <w:rPr>
          <w:i/>
        </w:rPr>
        <w:t>3</w:t>
      </w:r>
      <w:r w:rsidRPr="00001100">
        <w:t>(3), 24-27.</w:t>
      </w:r>
      <w:proofErr w:type="gramEnd"/>
    </w:p>
    <w:p w14:paraId="7E704ED2" w14:textId="5FC549FB" w:rsidR="003B14CC" w:rsidRPr="00001100" w:rsidRDefault="003B14CC" w:rsidP="00001605">
      <w:pPr>
        <w:ind w:left="720" w:hanging="720"/>
        <w:jc w:val="both"/>
      </w:pPr>
      <w:r w:rsidRPr="00001100">
        <w:t xml:space="preserve">Schmidgall, R. S., &amp; Damitio, J. W.  (2001). </w:t>
      </w:r>
      <w:r w:rsidRPr="00001100">
        <w:rPr>
          <w:i/>
        </w:rPr>
        <w:t xml:space="preserve"> </w:t>
      </w:r>
      <w:r w:rsidRPr="00001605">
        <w:rPr>
          <w:i/>
        </w:rPr>
        <w:t>Accounting for Club Operations.</w:t>
      </w:r>
      <w:r w:rsidRPr="00001100">
        <w:t xml:space="preserve">  Educational Institute</w:t>
      </w:r>
      <w:r w:rsidR="001A67C2" w:rsidRPr="00001100">
        <w:t xml:space="preserve"> </w:t>
      </w:r>
      <w:r w:rsidRPr="00001100">
        <w:t xml:space="preserve">of the American Hotel &amp; Lodging Association: Lansing, Michigan. </w:t>
      </w:r>
    </w:p>
    <w:p w14:paraId="2AFD03E0" w14:textId="77777777" w:rsidR="00001605" w:rsidRDefault="003B14CC" w:rsidP="001D22D0">
      <w:pPr>
        <w:jc w:val="both"/>
      </w:pPr>
      <w:proofErr w:type="spellStart"/>
      <w:r w:rsidRPr="00001100">
        <w:t>Schmidgall</w:t>
      </w:r>
      <w:proofErr w:type="spellEnd"/>
      <w:r w:rsidRPr="00001100">
        <w:t xml:space="preserve">, R. S., &amp; DeFranco, A. L. (2004).   Ratio Analysis: Financial </w:t>
      </w:r>
    </w:p>
    <w:p w14:paraId="7B92A22F" w14:textId="77777777" w:rsidR="00001605" w:rsidRPr="00001605" w:rsidRDefault="00001605" w:rsidP="001D22D0">
      <w:pPr>
        <w:jc w:val="both"/>
        <w:rPr>
          <w:i/>
        </w:rPr>
      </w:pPr>
      <w:r>
        <w:tab/>
      </w:r>
      <w:proofErr w:type="gramStart"/>
      <w:r w:rsidR="003B14CC" w:rsidRPr="00001100">
        <w:t>Benchmarks for the Club Industry.</w:t>
      </w:r>
      <w:proofErr w:type="gramEnd"/>
      <w:r w:rsidR="003B14CC" w:rsidRPr="00001100">
        <w:t xml:space="preserve">  </w:t>
      </w:r>
      <w:r w:rsidR="003B14CC" w:rsidRPr="00001605">
        <w:rPr>
          <w:i/>
        </w:rPr>
        <w:t xml:space="preserve">The Journal of Hospitality Financial </w:t>
      </w:r>
    </w:p>
    <w:p w14:paraId="5CEE6D53" w14:textId="0DC008F2" w:rsidR="003B14CC" w:rsidRPr="00001100" w:rsidRDefault="00001605" w:rsidP="001D22D0">
      <w:pPr>
        <w:jc w:val="both"/>
      </w:pPr>
      <w:r w:rsidRPr="00001605">
        <w:rPr>
          <w:i/>
        </w:rPr>
        <w:tab/>
      </w:r>
      <w:proofErr w:type="gramStart"/>
      <w:r w:rsidR="003B14CC" w:rsidRPr="00001605">
        <w:rPr>
          <w:i/>
        </w:rPr>
        <w:t>Management, 12</w:t>
      </w:r>
      <w:r w:rsidR="003B14CC" w:rsidRPr="00001100">
        <w:t>(1), 1-14.</w:t>
      </w:r>
      <w:proofErr w:type="gramEnd"/>
      <w:r w:rsidR="003B14CC" w:rsidRPr="00001100">
        <w:t xml:space="preserve"> </w:t>
      </w:r>
    </w:p>
    <w:p w14:paraId="1B23D594" w14:textId="77777777" w:rsidR="00001605" w:rsidRDefault="003B14CC" w:rsidP="001D22D0">
      <w:pPr>
        <w:jc w:val="both"/>
      </w:pPr>
      <w:r w:rsidRPr="00001100">
        <w:t xml:space="preserve">Schmidgall, R. S., &amp; Singh, A. J.  (2007).  Operating budget practice is the US </w:t>
      </w:r>
    </w:p>
    <w:p w14:paraId="0342F7D8" w14:textId="77777777" w:rsidR="00001605" w:rsidRPr="00001605" w:rsidRDefault="00001605" w:rsidP="00001605">
      <w:pPr>
        <w:jc w:val="both"/>
        <w:rPr>
          <w:i/>
        </w:rPr>
      </w:pPr>
      <w:r>
        <w:tab/>
      </w:r>
      <w:proofErr w:type="gramStart"/>
      <w:r w:rsidR="003B14CC" w:rsidRPr="00001100">
        <w:t>club</w:t>
      </w:r>
      <w:proofErr w:type="gramEnd"/>
      <w:r w:rsidR="003B14CC" w:rsidRPr="00001100">
        <w:t xml:space="preserve"> industry: A</w:t>
      </w:r>
      <w:r>
        <w:t xml:space="preserve"> </w:t>
      </w:r>
      <w:r w:rsidR="003B14CC" w:rsidRPr="00001100">
        <w:t xml:space="preserve">comparative study, 1986-2006.  </w:t>
      </w:r>
      <w:r w:rsidR="003B14CC" w:rsidRPr="00001605">
        <w:rPr>
          <w:i/>
        </w:rPr>
        <w:t xml:space="preserve">Journal of Retail and </w:t>
      </w:r>
    </w:p>
    <w:p w14:paraId="05DF10B3" w14:textId="72CBDFAF" w:rsidR="003B14CC" w:rsidRPr="00001100" w:rsidRDefault="00001605" w:rsidP="00001605">
      <w:pPr>
        <w:jc w:val="both"/>
      </w:pPr>
      <w:r w:rsidRPr="00001605">
        <w:rPr>
          <w:i/>
        </w:rPr>
        <w:tab/>
      </w:r>
      <w:proofErr w:type="gramStart"/>
      <w:r w:rsidR="003B14CC" w:rsidRPr="00001605">
        <w:rPr>
          <w:i/>
        </w:rPr>
        <w:t>Leisure Property, 6</w:t>
      </w:r>
      <w:r w:rsidR="003B14CC" w:rsidRPr="00001100">
        <w:t>(3), 231-8.</w:t>
      </w:r>
      <w:proofErr w:type="gramEnd"/>
    </w:p>
    <w:p w14:paraId="0F455C34" w14:textId="125121CE" w:rsidR="003B14CC" w:rsidRPr="00001100" w:rsidRDefault="003B14CC" w:rsidP="00001605">
      <w:pPr>
        <w:ind w:left="720" w:hanging="720"/>
        <w:jc w:val="both"/>
      </w:pPr>
      <w:r w:rsidRPr="00001100">
        <w:t>Singh, A. J., &amp; Schmidgall, R. S.  (2002)</w:t>
      </w:r>
      <w:proofErr w:type="gramStart"/>
      <w:r w:rsidRPr="00001100">
        <w:t>.  Analysis of financial ratios commonly used by U.S. lodging financial executives.</w:t>
      </w:r>
      <w:proofErr w:type="gramEnd"/>
      <w:r w:rsidRPr="00001100">
        <w:t xml:space="preserve">  </w:t>
      </w:r>
      <w:proofErr w:type="gramStart"/>
      <w:r w:rsidRPr="00001605">
        <w:rPr>
          <w:i/>
        </w:rPr>
        <w:t>Journal of Leisure Property, 2</w:t>
      </w:r>
      <w:r w:rsidRPr="00001100">
        <w:t>(3), 201-213.</w:t>
      </w:r>
      <w:proofErr w:type="gramEnd"/>
    </w:p>
    <w:p w14:paraId="4D8A9E99" w14:textId="77777777" w:rsidR="00001605" w:rsidRDefault="003B14CC" w:rsidP="001D22D0">
      <w:pPr>
        <w:jc w:val="both"/>
        <w:outlineLvl w:val="0"/>
      </w:pPr>
      <w:r w:rsidRPr="00001100">
        <w:t xml:space="preserve">Swanson, G.  (1991).  How near the edge? Gauging lodging firms’ liquidity.  </w:t>
      </w:r>
    </w:p>
    <w:p w14:paraId="56595F03" w14:textId="19987188" w:rsidR="003B14CC" w:rsidRPr="00001605" w:rsidRDefault="00001605" w:rsidP="00001605">
      <w:pPr>
        <w:jc w:val="both"/>
        <w:outlineLvl w:val="0"/>
        <w:rPr>
          <w:u w:val="single"/>
        </w:rPr>
      </w:pPr>
      <w:r>
        <w:tab/>
      </w:r>
      <w:proofErr w:type="gramStart"/>
      <w:r w:rsidR="003B14CC" w:rsidRPr="00001605">
        <w:rPr>
          <w:i/>
        </w:rPr>
        <w:t>Cornell Hotel and Restaurant Administration Quarterly, 32</w:t>
      </w:r>
      <w:r w:rsidR="003B14CC" w:rsidRPr="00001100">
        <w:t>(4), 67-71.</w:t>
      </w:r>
      <w:proofErr w:type="gramEnd"/>
    </w:p>
    <w:p w14:paraId="08481E4A" w14:textId="77777777" w:rsidR="00001605" w:rsidRDefault="003B14CC" w:rsidP="001D22D0">
      <w:pPr>
        <w:jc w:val="both"/>
        <w:outlineLvl w:val="0"/>
      </w:pPr>
      <w:proofErr w:type="spellStart"/>
      <w:r w:rsidRPr="00001100">
        <w:t>Temling</w:t>
      </w:r>
      <w:proofErr w:type="spellEnd"/>
      <w:r w:rsidRPr="00001100">
        <w:t xml:space="preserve">, W. (1985).  Financial ratios analysis: Get the true measure of </w:t>
      </w:r>
      <w:proofErr w:type="gramStart"/>
      <w:r w:rsidRPr="00001100">
        <w:t>your</w:t>
      </w:r>
      <w:proofErr w:type="gramEnd"/>
      <w:r w:rsidRPr="00001100">
        <w:t xml:space="preserve"> </w:t>
      </w:r>
    </w:p>
    <w:p w14:paraId="1319D26D" w14:textId="07F1847F" w:rsidR="003B14CC" w:rsidRPr="00001100" w:rsidRDefault="00001605" w:rsidP="001D22D0">
      <w:pPr>
        <w:jc w:val="both"/>
        <w:outlineLvl w:val="0"/>
      </w:pPr>
      <w:r>
        <w:tab/>
      </w:r>
      <w:proofErr w:type="gramStart"/>
      <w:r w:rsidR="003B14CC" w:rsidRPr="00001100">
        <w:t>operation’s</w:t>
      </w:r>
      <w:proofErr w:type="gramEnd"/>
      <w:r w:rsidR="003B14CC" w:rsidRPr="00001100">
        <w:t xml:space="preserve"> profitability.  </w:t>
      </w:r>
      <w:proofErr w:type="gramStart"/>
      <w:r w:rsidR="003B14CC" w:rsidRPr="00001605">
        <w:rPr>
          <w:i/>
        </w:rPr>
        <w:t>Lodging, 10</w:t>
      </w:r>
      <w:r w:rsidR="003B14CC" w:rsidRPr="00001100">
        <w:t>(5), 27-30.</w:t>
      </w:r>
      <w:proofErr w:type="gramEnd"/>
      <w:r w:rsidR="003B14CC" w:rsidRPr="00001100">
        <w:t xml:space="preserve"> </w:t>
      </w:r>
    </w:p>
    <w:p w14:paraId="5774BFB9" w14:textId="77777777" w:rsidR="00001605" w:rsidRDefault="003B14CC" w:rsidP="001D22D0">
      <w:pPr>
        <w:jc w:val="both"/>
      </w:pPr>
      <w:proofErr w:type="gramStart"/>
      <w:r w:rsidRPr="00001605">
        <w:rPr>
          <w:bCs/>
          <w:i/>
        </w:rPr>
        <w:t>Uniform System of Financial Reporting for Clubs</w:t>
      </w:r>
      <w:r w:rsidRPr="00001100">
        <w:rPr>
          <w:bCs/>
        </w:rPr>
        <w:t xml:space="preserve"> (2003).</w:t>
      </w:r>
      <w:proofErr w:type="gramEnd"/>
      <w:r w:rsidRPr="00001100">
        <w:rPr>
          <w:bCs/>
        </w:rPr>
        <w:t xml:space="preserve">  </w:t>
      </w:r>
      <w:r w:rsidRPr="00001100">
        <w:t xml:space="preserve">Educational Institute of </w:t>
      </w:r>
    </w:p>
    <w:p w14:paraId="0210C844" w14:textId="0474B936" w:rsidR="009A6E83" w:rsidRPr="00001100" w:rsidRDefault="00001605" w:rsidP="00001605">
      <w:pPr>
        <w:jc w:val="both"/>
      </w:pPr>
      <w:r>
        <w:tab/>
      </w:r>
      <w:proofErr w:type="gramStart"/>
      <w:r w:rsidR="003B14CC" w:rsidRPr="00001100">
        <w:t>the</w:t>
      </w:r>
      <w:proofErr w:type="gramEnd"/>
      <w:r w:rsidR="003B14CC" w:rsidRPr="00001100">
        <w:t xml:space="preserve"> American</w:t>
      </w:r>
      <w:r>
        <w:t xml:space="preserve"> </w:t>
      </w:r>
      <w:r w:rsidR="003B14CC" w:rsidRPr="00001100">
        <w:t>Hotel and Lodging Association: Lansing, Michigan.</w:t>
      </w:r>
    </w:p>
    <w:p w14:paraId="3BE61FC9" w14:textId="77777777" w:rsidR="00001605" w:rsidRDefault="004445AB" w:rsidP="001D22D0">
      <w:pPr>
        <w:jc w:val="both"/>
        <w:outlineLvl w:val="0"/>
        <w:rPr>
          <w:bCs/>
        </w:rPr>
      </w:pPr>
      <w:r w:rsidRPr="00001100">
        <w:rPr>
          <w:bCs/>
        </w:rPr>
        <w:t xml:space="preserve">United States Department of Labor: Bureau of Labor Statistics.  </w:t>
      </w:r>
      <w:r w:rsidR="000F45FD" w:rsidRPr="00001100">
        <w:rPr>
          <w:bCs/>
        </w:rPr>
        <w:t xml:space="preserve">Labor Force </w:t>
      </w:r>
    </w:p>
    <w:p w14:paraId="7E75068C" w14:textId="77777777" w:rsidR="00001605" w:rsidRDefault="00001605" w:rsidP="001D22D0">
      <w:pPr>
        <w:jc w:val="both"/>
        <w:outlineLvl w:val="0"/>
      </w:pPr>
      <w:r>
        <w:rPr>
          <w:bCs/>
        </w:rPr>
        <w:tab/>
      </w:r>
      <w:proofErr w:type="gramStart"/>
      <w:r w:rsidR="000F45FD" w:rsidRPr="00001100">
        <w:rPr>
          <w:bCs/>
        </w:rPr>
        <w:t>Statistics from the Current Population Survey</w:t>
      </w:r>
      <w:r w:rsidR="004445AB" w:rsidRPr="00001100">
        <w:rPr>
          <w:bCs/>
        </w:rPr>
        <w:t>.</w:t>
      </w:r>
      <w:proofErr w:type="gramEnd"/>
      <w:r w:rsidR="004445AB" w:rsidRPr="00001100">
        <w:rPr>
          <w:bCs/>
        </w:rPr>
        <w:t xml:space="preserve">  </w:t>
      </w:r>
      <w:r w:rsidR="000F45FD" w:rsidRPr="00001100">
        <w:t xml:space="preserve">Retrieved from </w:t>
      </w:r>
    </w:p>
    <w:p w14:paraId="58DF95EB" w14:textId="6A89198D" w:rsidR="009A6E83" w:rsidRPr="00001100" w:rsidRDefault="00D3671E" w:rsidP="00001605">
      <w:pPr>
        <w:ind w:firstLine="720"/>
        <w:jc w:val="both"/>
        <w:outlineLvl w:val="0"/>
      </w:pPr>
      <w:hyperlink r:id="rId10" w:history="1">
        <w:r w:rsidR="000F45FD" w:rsidRPr="00001100">
          <w:rPr>
            <w:rStyle w:val="Hyperlink"/>
          </w:rPr>
          <w:t>http://data.bls.gov/timeseries/LNS14000000</w:t>
        </w:r>
      </w:hyperlink>
      <w:r w:rsidR="000F45FD" w:rsidRPr="00001100">
        <w:t>.</w:t>
      </w:r>
    </w:p>
    <w:p w14:paraId="28A61742" w14:textId="77777777" w:rsidR="00001605" w:rsidRDefault="001D2CA7" w:rsidP="001D22D0">
      <w:pPr>
        <w:jc w:val="both"/>
        <w:outlineLvl w:val="0"/>
        <w:rPr>
          <w:bCs/>
        </w:rPr>
      </w:pPr>
      <w:r w:rsidRPr="00001100">
        <w:rPr>
          <w:bCs/>
        </w:rPr>
        <w:t xml:space="preserve">United States Department of Labor: Bureau of Labor Statistics.  Consumer Price </w:t>
      </w:r>
    </w:p>
    <w:p w14:paraId="1A2C1B28" w14:textId="141DB657" w:rsidR="008F4918" w:rsidRPr="00001605" w:rsidRDefault="00001605" w:rsidP="00001605">
      <w:pPr>
        <w:jc w:val="both"/>
        <w:outlineLvl w:val="0"/>
        <w:rPr>
          <w:bCs/>
        </w:rPr>
      </w:pPr>
      <w:r>
        <w:rPr>
          <w:bCs/>
        </w:rPr>
        <w:tab/>
      </w:r>
      <w:r w:rsidR="001D2CA7" w:rsidRPr="00001100">
        <w:rPr>
          <w:bCs/>
        </w:rPr>
        <w:t xml:space="preserve">Index.  Retrieved </w:t>
      </w:r>
      <w:proofErr w:type="gramStart"/>
      <w:r w:rsidR="001D2CA7" w:rsidRPr="00001100">
        <w:rPr>
          <w:bCs/>
        </w:rPr>
        <w:t xml:space="preserve">from  </w:t>
      </w:r>
      <w:proofErr w:type="gramEnd"/>
      <w:hyperlink r:id="rId11" w:history="1">
        <w:r w:rsidR="001D2CA7" w:rsidRPr="00001100">
          <w:rPr>
            <w:rStyle w:val="Hyperlink"/>
          </w:rPr>
          <w:t>ftp://ftp.bls.gov/pub/special.requests/cpi/cpiai.txt</w:t>
        </w:r>
      </w:hyperlink>
    </w:p>
    <w:sectPr w:rsidR="008F4918" w:rsidRPr="00001605" w:rsidSect="00EC69A2">
      <w:footerReference w:type="default" r:id="rId12"/>
      <w:pgSz w:w="12240" w:h="15840"/>
      <w:pgMar w:top="2160" w:right="2160" w:bottom="2160" w:left="216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B9E4F" w14:textId="77777777" w:rsidR="00EE137F" w:rsidRDefault="00EE137F" w:rsidP="00BC49FB">
      <w:r>
        <w:separator/>
      </w:r>
    </w:p>
  </w:endnote>
  <w:endnote w:type="continuationSeparator" w:id="0">
    <w:p w14:paraId="340D44BC" w14:textId="77777777" w:rsidR="00EE137F" w:rsidRDefault="00EE137F" w:rsidP="00BC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62F43" w14:textId="77777777" w:rsidR="00EE137F" w:rsidRDefault="00EE137F">
    <w:pPr>
      <w:pStyle w:val="Footer"/>
      <w:jc w:val="center"/>
    </w:pPr>
  </w:p>
  <w:p w14:paraId="29A0015F" w14:textId="77777777" w:rsidR="00EE137F" w:rsidRDefault="00EE13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A9CA8" w14:textId="77777777" w:rsidR="00EE137F" w:rsidRDefault="00EE137F" w:rsidP="00BC49FB">
      <w:r>
        <w:separator/>
      </w:r>
    </w:p>
  </w:footnote>
  <w:footnote w:type="continuationSeparator" w:id="0">
    <w:p w14:paraId="6ADEF319" w14:textId="77777777" w:rsidR="00EE137F" w:rsidRDefault="00EE137F" w:rsidP="00BC49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A65"/>
    <w:multiLevelType w:val="hybridMultilevel"/>
    <w:tmpl w:val="4A203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3F26A5"/>
    <w:multiLevelType w:val="hybridMultilevel"/>
    <w:tmpl w:val="90FA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F6C44"/>
    <w:multiLevelType w:val="hybridMultilevel"/>
    <w:tmpl w:val="720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1D61FD"/>
    <w:multiLevelType w:val="hybridMultilevel"/>
    <w:tmpl w:val="C6DA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71B34D0"/>
    <w:multiLevelType w:val="hybridMultilevel"/>
    <w:tmpl w:val="12AA6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69A3D3C"/>
    <w:multiLevelType w:val="hybridMultilevel"/>
    <w:tmpl w:val="EDF42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75968DF"/>
    <w:multiLevelType w:val="hybridMultilevel"/>
    <w:tmpl w:val="F9A2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54"/>
    <w:rsid w:val="00001100"/>
    <w:rsid w:val="00001605"/>
    <w:rsid w:val="000074C1"/>
    <w:rsid w:val="00024077"/>
    <w:rsid w:val="00030A18"/>
    <w:rsid w:val="00053F49"/>
    <w:rsid w:val="00057921"/>
    <w:rsid w:val="00066B83"/>
    <w:rsid w:val="000676D7"/>
    <w:rsid w:val="00067F25"/>
    <w:rsid w:val="00075D82"/>
    <w:rsid w:val="00075EB2"/>
    <w:rsid w:val="000821CA"/>
    <w:rsid w:val="00082D90"/>
    <w:rsid w:val="00087F56"/>
    <w:rsid w:val="00090FA5"/>
    <w:rsid w:val="0009391A"/>
    <w:rsid w:val="000A1CFF"/>
    <w:rsid w:val="000C0501"/>
    <w:rsid w:val="000D00B9"/>
    <w:rsid w:val="000D1281"/>
    <w:rsid w:val="000D766D"/>
    <w:rsid w:val="000D7A32"/>
    <w:rsid w:val="000F24DD"/>
    <w:rsid w:val="000F45FD"/>
    <w:rsid w:val="000F47AD"/>
    <w:rsid w:val="000F7B16"/>
    <w:rsid w:val="00104889"/>
    <w:rsid w:val="00105D9C"/>
    <w:rsid w:val="00132E7C"/>
    <w:rsid w:val="001440E8"/>
    <w:rsid w:val="00146ED8"/>
    <w:rsid w:val="00154796"/>
    <w:rsid w:val="001666B8"/>
    <w:rsid w:val="001674F4"/>
    <w:rsid w:val="0018234E"/>
    <w:rsid w:val="00184703"/>
    <w:rsid w:val="00186F1B"/>
    <w:rsid w:val="00195F43"/>
    <w:rsid w:val="00197910"/>
    <w:rsid w:val="001A41DE"/>
    <w:rsid w:val="001A67C2"/>
    <w:rsid w:val="001A7533"/>
    <w:rsid w:val="001C45DA"/>
    <w:rsid w:val="001C56B0"/>
    <w:rsid w:val="001D22D0"/>
    <w:rsid w:val="001D2CA7"/>
    <w:rsid w:val="001E2395"/>
    <w:rsid w:val="001E4DBA"/>
    <w:rsid w:val="001F0018"/>
    <w:rsid w:val="001F0C38"/>
    <w:rsid w:val="00201557"/>
    <w:rsid w:val="00207ACD"/>
    <w:rsid w:val="002158A7"/>
    <w:rsid w:val="00215AAE"/>
    <w:rsid w:val="00224A3F"/>
    <w:rsid w:val="0022721D"/>
    <w:rsid w:val="002503B0"/>
    <w:rsid w:val="00252855"/>
    <w:rsid w:val="002547A8"/>
    <w:rsid w:val="0026023B"/>
    <w:rsid w:val="002632BB"/>
    <w:rsid w:val="00270EDF"/>
    <w:rsid w:val="00286013"/>
    <w:rsid w:val="002868B1"/>
    <w:rsid w:val="0029182D"/>
    <w:rsid w:val="002958A9"/>
    <w:rsid w:val="00296E75"/>
    <w:rsid w:val="00297EE6"/>
    <w:rsid w:val="002A0457"/>
    <w:rsid w:val="002B71E7"/>
    <w:rsid w:val="002C6014"/>
    <w:rsid w:val="002D000C"/>
    <w:rsid w:val="002D1A3C"/>
    <w:rsid w:val="002D4B69"/>
    <w:rsid w:val="002F1675"/>
    <w:rsid w:val="00313076"/>
    <w:rsid w:val="00330FBE"/>
    <w:rsid w:val="00340F22"/>
    <w:rsid w:val="00341AC6"/>
    <w:rsid w:val="003753C9"/>
    <w:rsid w:val="00383287"/>
    <w:rsid w:val="003928B3"/>
    <w:rsid w:val="003938BE"/>
    <w:rsid w:val="003B14CC"/>
    <w:rsid w:val="003B2623"/>
    <w:rsid w:val="003D4BFA"/>
    <w:rsid w:val="003D7A42"/>
    <w:rsid w:val="003E5AA6"/>
    <w:rsid w:val="003F3122"/>
    <w:rsid w:val="003F4C0F"/>
    <w:rsid w:val="003F5323"/>
    <w:rsid w:val="003F7BF0"/>
    <w:rsid w:val="004129D9"/>
    <w:rsid w:val="004255AB"/>
    <w:rsid w:val="004361E0"/>
    <w:rsid w:val="00437505"/>
    <w:rsid w:val="004445AB"/>
    <w:rsid w:val="00454A43"/>
    <w:rsid w:val="00457B54"/>
    <w:rsid w:val="00470710"/>
    <w:rsid w:val="004841D4"/>
    <w:rsid w:val="00486454"/>
    <w:rsid w:val="004A0631"/>
    <w:rsid w:val="004A281C"/>
    <w:rsid w:val="004A53F0"/>
    <w:rsid w:val="004B0387"/>
    <w:rsid w:val="004C39EE"/>
    <w:rsid w:val="004C6AD4"/>
    <w:rsid w:val="004D546F"/>
    <w:rsid w:val="004D79C2"/>
    <w:rsid w:val="004E1640"/>
    <w:rsid w:val="004E7D9E"/>
    <w:rsid w:val="004F1129"/>
    <w:rsid w:val="004F5290"/>
    <w:rsid w:val="005106AF"/>
    <w:rsid w:val="0051528E"/>
    <w:rsid w:val="005215D6"/>
    <w:rsid w:val="00527FC1"/>
    <w:rsid w:val="00531539"/>
    <w:rsid w:val="005425E4"/>
    <w:rsid w:val="00565B64"/>
    <w:rsid w:val="00567B86"/>
    <w:rsid w:val="00592602"/>
    <w:rsid w:val="005A573B"/>
    <w:rsid w:val="005A5C5A"/>
    <w:rsid w:val="005A719D"/>
    <w:rsid w:val="005B1FD9"/>
    <w:rsid w:val="005B76CC"/>
    <w:rsid w:val="005D560D"/>
    <w:rsid w:val="005E2CE6"/>
    <w:rsid w:val="005E47BF"/>
    <w:rsid w:val="005F532F"/>
    <w:rsid w:val="006404DD"/>
    <w:rsid w:val="00641A3D"/>
    <w:rsid w:val="00644342"/>
    <w:rsid w:val="00652EEE"/>
    <w:rsid w:val="00653A63"/>
    <w:rsid w:val="006655F6"/>
    <w:rsid w:val="006707E5"/>
    <w:rsid w:val="006858CF"/>
    <w:rsid w:val="00693286"/>
    <w:rsid w:val="00697AB1"/>
    <w:rsid w:val="006A1C7D"/>
    <w:rsid w:val="006B01B3"/>
    <w:rsid w:val="006B4D55"/>
    <w:rsid w:val="006C4C59"/>
    <w:rsid w:val="006D2A16"/>
    <w:rsid w:val="006D5797"/>
    <w:rsid w:val="006F3E7F"/>
    <w:rsid w:val="006F5269"/>
    <w:rsid w:val="006F66F8"/>
    <w:rsid w:val="00710714"/>
    <w:rsid w:val="007207CC"/>
    <w:rsid w:val="00731C94"/>
    <w:rsid w:val="0074437C"/>
    <w:rsid w:val="007606CD"/>
    <w:rsid w:val="00771E83"/>
    <w:rsid w:val="007754DB"/>
    <w:rsid w:val="00776D74"/>
    <w:rsid w:val="00780477"/>
    <w:rsid w:val="00787E18"/>
    <w:rsid w:val="0079584F"/>
    <w:rsid w:val="007A0603"/>
    <w:rsid w:val="007A3D83"/>
    <w:rsid w:val="007B7D92"/>
    <w:rsid w:val="007C6C7E"/>
    <w:rsid w:val="007C7B17"/>
    <w:rsid w:val="007E3766"/>
    <w:rsid w:val="007F163A"/>
    <w:rsid w:val="007F58CD"/>
    <w:rsid w:val="00802C74"/>
    <w:rsid w:val="00813853"/>
    <w:rsid w:val="0082127D"/>
    <w:rsid w:val="00824476"/>
    <w:rsid w:val="0083016D"/>
    <w:rsid w:val="00833589"/>
    <w:rsid w:val="00843265"/>
    <w:rsid w:val="0084552F"/>
    <w:rsid w:val="00853CA7"/>
    <w:rsid w:val="00866DB3"/>
    <w:rsid w:val="008758BC"/>
    <w:rsid w:val="00882299"/>
    <w:rsid w:val="0088490E"/>
    <w:rsid w:val="00895CC6"/>
    <w:rsid w:val="008B6940"/>
    <w:rsid w:val="008C2A69"/>
    <w:rsid w:val="008C41FE"/>
    <w:rsid w:val="008D0FB4"/>
    <w:rsid w:val="008D1766"/>
    <w:rsid w:val="008D2DE5"/>
    <w:rsid w:val="008D318B"/>
    <w:rsid w:val="008E3656"/>
    <w:rsid w:val="008F4918"/>
    <w:rsid w:val="008F54E3"/>
    <w:rsid w:val="008F6D51"/>
    <w:rsid w:val="0090603D"/>
    <w:rsid w:val="00906EC8"/>
    <w:rsid w:val="00912A29"/>
    <w:rsid w:val="00915B26"/>
    <w:rsid w:val="00933EAB"/>
    <w:rsid w:val="0094183E"/>
    <w:rsid w:val="00965EF7"/>
    <w:rsid w:val="009710A2"/>
    <w:rsid w:val="00972E96"/>
    <w:rsid w:val="009748EF"/>
    <w:rsid w:val="00982B19"/>
    <w:rsid w:val="009850A8"/>
    <w:rsid w:val="00990B7E"/>
    <w:rsid w:val="00995794"/>
    <w:rsid w:val="009A18C0"/>
    <w:rsid w:val="009A6E83"/>
    <w:rsid w:val="009A71A9"/>
    <w:rsid w:val="009C5596"/>
    <w:rsid w:val="009D04FA"/>
    <w:rsid w:val="009E64B3"/>
    <w:rsid w:val="009F460F"/>
    <w:rsid w:val="009F6E77"/>
    <w:rsid w:val="00A01654"/>
    <w:rsid w:val="00A02AD6"/>
    <w:rsid w:val="00A0543D"/>
    <w:rsid w:val="00A16F52"/>
    <w:rsid w:val="00A20E2D"/>
    <w:rsid w:val="00A2208C"/>
    <w:rsid w:val="00A22E5F"/>
    <w:rsid w:val="00A266EC"/>
    <w:rsid w:val="00A32201"/>
    <w:rsid w:val="00A3283D"/>
    <w:rsid w:val="00A3419A"/>
    <w:rsid w:val="00A3579A"/>
    <w:rsid w:val="00A43D52"/>
    <w:rsid w:val="00A53BF8"/>
    <w:rsid w:val="00A67286"/>
    <w:rsid w:val="00A70957"/>
    <w:rsid w:val="00A76B94"/>
    <w:rsid w:val="00A95730"/>
    <w:rsid w:val="00AA025A"/>
    <w:rsid w:val="00AB732A"/>
    <w:rsid w:val="00AD39A0"/>
    <w:rsid w:val="00AD3C4F"/>
    <w:rsid w:val="00AE1445"/>
    <w:rsid w:val="00AE7997"/>
    <w:rsid w:val="00B0362B"/>
    <w:rsid w:val="00B076BE"/>
    <w:rsid w:val="00B15A66"/>
    <w:rsid w:val="00B20582"/>
    <w:rsid w:val="00B22112"/>
    <w:rsid w:val="00B22D95"/>
    <w:rsid w:val="00B40EE8"/>
    <w:rsid w:val="00B5244A"/>
    <w:rsid w:val="00B62843"/>
    <w:rsid w:val="00B9715E"/>
    <w:rsid w:val="00BA4735"/>
    <w:rsid w:val="00BC49FB"/>
    <w:rsid w:val="00BD4434"/>
    <w:rsid w:val="00BE58A1"/>
    <w:rsid w:val="00C00C7F"/>
    <w:rsid w:val="00C20AD4"/>
    <w:rsid w:val="00C4162B"/>
    <w:rsid w:val="00C467BB"/>
    <w:rsid w:val="00C547CB"/>
    <w:rsid w:val="00C707F9"/>
    <w:rsid w:val="00C74A80"/>
    <w:rsid w:val="00C874BD"/>
    <w:rsid w:val="00C91CD4"/>
    <w:rsid w:val="00C953B2"/>
    <w:rsid w:val="00CA6B18"/>
    <w:rsid w:val="00CB159F"/>
    <w:rsid w:val="00CB20AA"/>
    <w:rsid w:val="00CB2DB8"/>
    <w:rsid w:val="00CE202F"/>
    <w:rsid w:val="00D00D6D"/>
    <w:rsid w:val="00D22D13"/>
    <w:rsid w:val="00D25F3D"/>
    <w:rsid w:val="00D346CA"/>
    <w:rsid w:val="00D3671E"/>
    <w:rsid w:val="00D37C12"/>
    <w:rsid w:val="00D427ED"/>
    <w:rsid w:val="00D42A4A"/>
    <w:rsid w:val="00D84F2D"/>
    <w:rsid w:val="00DA1AE3"/>
    <w:rsid w:val="00DC2649"/>
    <w:rsid w:val="00DD002A"/>
    <w:rsid w:val="00DD2F77"/>
    <w:rsid w:val="00DE4499"/>
    <w:rsid w:val="00DF0F9E"/>
    <w:rsid w:val="00DF62F4"/>
    <w:rsid w:val="00DF6C92"/>
    <w:rsid w:val="00E01AF4"/>
    <w:rsid w:val="00E1682D"/>
    <w:rsid w:val="00E325CD"/>
    <w:rsid w:val="00E43864"/>
    <w:rsid w:val="00E45C6D"/>
    <w:rsid w:val="00E5076D"/>
    <w:rsid w:val="00E51129"/>
    <w:rsid w:val="00E630FB"/>
    <w:rsid w:val="00E7306F"/>
    <w:rsid w:val="00E74FA8"/>
    <w:rsid w:val="00E841D9"/>
    <w:rsid w:val="00E868A1"/>
    <w:rsid w:val="00E94AEA"/>
    <w:rsid w:val="00EA41FE"/>
    <w:rsid w:val="00EA5096"/>
    <w:rsid w:val="00EA5E29"/>
    <w:rsid w:val="00EB323D"/>
    <w:rsid w:val="00EC1C71"/>
    <w:rsid w:val="00EC228B"/>
    <w:rsid w:val="00EC29C4"/>
    <w:rsid w:val="00EC69A2"/>
    <w:rsid w:val="00EE0064"/>
    <w:rsid w:val="00EE137F"/>
    <w:rsid w:val="00EE398D"/>
    <w:rsid w:val="00EE3A8A"/>
    <w:rsid w:val="00EE7A1D"/>
    <w:rsid w:val="00EF79B1"/>
    <w:rsid w:val="00F025B2"/>
    <w:rsid w:val="00F04BD0"/>
    <w:rsid w:val="00F062DA"/>
    <w:rsid w:val="00F11AF2"/>
    <w:rsid w:val="00F14143"/>
    <w:rsid w:val="00F208B3"/>
    <w:rsid w:val="00F241CB"/>
    <w:rsid w:val="00F249B1"/>
    <w:rsid w:val="00F34848"/>
    <w:rsid w:val="00F4091A"/>
    <w:rsid w:val="00F41286"/>
    <w:rsid w:val="00F4245C"/>
    <w:rsid w:val="00F4451C"/>
    <w:rsid w:val="00F52382"/>
    <w:rsid w:val="00F5639E"/>
    <w:rsid w:val="00F577A3"/>
    <w:rsid w:val="00F747CA"/>
    <w:rsid w:val="00F74AC2"/>
    <w:rsid w:val="00F8751F"/>
    <w:rsid w:val="00FB64EE"/>
    <w:rsid w:val="00FB71C8"/>
    <w:rsid w:val="00FD4323"/>
    <w:rsid w:val="00FD7A59"/>
    <w:rsid w:val="00FE3C4B"/>
    <w:rsid w:val="00FF5A7E"/>
    <w:rsid w:val="00FF6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E5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B54"/>
    <w:rPr>
      <w:sz w:val="24"/>
      <w:szCs w:val="24"/>
    </w:rPr>
  </w:style>
  <w:style w:type="paragraph" w:styleId="Heading4">
    <w:name w:val="heading 4"/>
    <w:basedOn w:val="Normal"/>
    <w:link w:val="Heading4Char"/>
    <w:uiPriority w:val="9"/>
    <w:qFormat/>
    <w:rsid w:val="000F45F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A025A"/>
    <w:rPr>
      <w:rFonts w:ascii="Tahoma" w:hAnsi="Tahoma" w:cs="Tahoma"/>
      <w:sz w:val="16"/>
      <w:szCs w:val="16"/>
    </w:rPr>
  </w:style>
  <w:style w:type="character" w:styleId="Hyperlink">
    <w:name w:val="Hyperlink"/>
    <w:uiPriority w:val="99"/>
    <w:unhideWhenUsed/>
    <w:rsid w:val="003B14CC"/>
    <w:rPr>
      <w:rFonts w:ascii="Times New Roman" w:hAnsi="Times New Roman" w:cs="Times New Roman" w:hint="default"/>
      <w:color w:val="0000FF"/>
      <w:u w:val="single"/>
    </w:rPr>
  </w:style>
  <w:style w:type="paragraph" w:styleId="Subtitle">
    <w:name w:val="Subtitle"/>
    <w:basedOn w:val="Normal"/>
    <w:link w:val="SubtitleChar"/>
    <w:uiPriority w:val="99"/>
    <w:qFormat/>
    <w:rsid w:val="003B14CC"/>
    <w:rPr>
      <w:sz w:val="20"/>
      <w:szCs w:val="20"/>
      <w:u w:val="single"/>
    </w:rPr>
  </w:style>
  <w:style w:type="character" w:customStyle="1" w:styleId="SubtitleChar">
    <w:name w:val="Subtitle Char"/>
    <w:basedOn w:val="DefaultParagraphFont"/>
    <w:link w:val="Subtitle"/>
    <w:uiPriority w:val="99"/>
    <w:rsid w:val="003B14CC"/>
    <w:rPr>
      <w:u w:val="single"/>
    </w:rPr>
  </w:style>
  <w:style w:type="paragraph" w:styleId="ListParagraph">
    <w:name w:val="List Paragraph"/>
    <w:basedOn w:val="Normal"/>
    <w:uiPriority w:val="34"/>
    <w:qFormat/>
    <w:rsid w:val="003B14CC"/>
    <w:pPr>
      <w:widowControl w:val="0"/>
      <w:ind w:left="720"/>
      <w:contextualSpacing/>
    </w:pPr>
    <w:rPr>
      <w:noProof/>
      <w:color w:val="000000"/>
      <w:sz w:val="20"/>
      <w:szCs w:val="20"/>
    </w:rPr>
  </w:style>
  <w:style w:type="character" w:customStyle="1" w:styleId="Heading4Char">
    <w:name w:val="Heading 4 Char"/>
    <w:basedOn w:val="DefaultParagraphFont"/>
    <w:link w:val="Heading4"/>
    <w:uiPriority w:val="9"/>
    <w:rsid w:val="000F45FD"/>
    <w:rPr>
      <w:b/>
      <w:bCs/>
      <w:sz w:val="24"/>
      <w:szCs w:val="24"/>
    </w:rPr>
  </w:style>
  <w:style w:type="paragraph" w:styleId="Header">
    <w:name w:val="header"/>
    <w:basedOn w:val="Normal"/>
    <w:link w:val="HeaderChar"/>
    <w:rsid w:val="00BC49FB"/>
    <w:pPr>
      <w:tabs>
        <w:tab w:val="center" w:pos="4680"/>
        <w:tab w:val="right" w:pos="9360"/>
      </w:tabs>
    </w:pPr>
  </w:style>
  <w:style w:type="character" w:customStyle="1" w:styleId="HeaderChar">
    <w:name w:val="Header Char"/>
    <w:basedOn w:val="DefaultParagraphFont"/>
    <w:link w:val="Header"/>
    <w:rsid w:val="00BC49FB"/>
    <w:rPr>
      <w:sz w:val="24"/>
      <w:szCs w:val="24"/>
    </w:rPr>
  </w:style>
  <w:style w:type="paragraph" w:styleId="Footer">
    <w:name w:val="footer"/>
    <w:basedOn w:val="Normal"/>
    <w:link w:val="FooterChar"/>
    <w:uiPriority w:val="99"/>
    <w:rsid w:val="00BC49FB"/>
    <w:pPr>
      <w:tabs>
        <w:tab w:val="center" w:pos="4680"/>
        <w:tab w:val="right" w:pos="9360"/>
      </w:tabs>
    </w:pPr>
  </w:style>
  <w:style w:type="character" w:customStyle="1" w:styleId="FooterChar">
    <w:name w:val="Footer Char"/>
    <w:basedOn w:val="DefaultParagraphFont"/>
    <w:link w:val="Footer"/>
    <w:uiPriority w:val="99"/>
    <w:rsid w:val="00BC49FB"/>
    <w:rPr>
      <w:sz w:val="24"/>
      <w:szCs w:val="24"/>
    </w:rPr>
  </w:style>
  <w:style w:type="character" w:styleId="FollowedHyperlink">
    <w:name w:val="FollowedHyperlink"/>
    <w:basedOn w:val="DefaultParagraphFont"/>
    <w:rsid w:val="0000160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B54"/>
    <w:rPr>
      <w:sz w:val="24"/>
      <w:szCs w:val="24"/>
    </w:rPr>
  </w:style>
  <w:style w:type="paragraph" w:styleId="Heading4">
    <w:name w:val="heading 4"/>
    <w:basedOn w:val="Normal"/>
    <w:link w:val="Heading4Char"/>
    <w:uiPriority w:val="9"/>
    <w:qFormat/>
    <w:rsid w:val="000F45F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A025A"/>
    <w:rPr>
      <w:rFonts w:ascii="Tahoma" w:hAnsi="Tahoma" w:cs="Tahoma"/>
      <w:sz w:val="16"/>
      <w:szCs w:val="16"/>
    </w:rPr>
  </w:style>
  <w:style w:type="character" w:styleId="Hyperlink">
    <w:name w:val="Hyperlink"/>
    <w:uiPriority w:val="99"/>
    <w:unhideWhenUsed/>
    <w:rsid w:val="003B14CC"/>
    <w:rPr>
      <w:rFonts w:ascii="Times New Roman" w:hAnsi="Times New Roman" w:cs="Times New Roman" w:hint="default"/>
      <w:color w:val="0000FF"/>
      <w:u w:val="single"/>
    </w:rPr>
  </w:style>
  <w:style w:type="paragraph" w:styleId="Subtitle">
    <w:name w:val="Subtitle"/>
    <w:basedOn w:val="Normal"/>
    <w:link w:val="SubtitleChar"/>
    <w:uiPriority w:val="99"/>
    <w:qFormat/>
    <w:rsid w:val="003B14CC"/>
    <w:rPr>
      <w:sz w:val="20"/>
      <w:szCs w:val="20"/>
      <w:u w:val="single"/>
    </w:rPr>
  </w:style>
  <w:style w:type="character" w:customStyle="1" w:styleId="SubtitleChar">
    <w:name w:val="Subtitle Char"/>
    <w:basedOn w:val="DefaultParagraphFont"/>
    <w:link w:val="Subtitle"/>
    <w:uiPriority w:val="99"/>
    <w:rsid w:val="003B14CC"/>
    <w:rPr>
      <w:u w:val="single"/>
    </w:rPr>
  </w:style>
  <w:style w:type="paragraph" w:styleId="ListParagraph">
    <w:name w:val="List Paragraph"/>
    <w:basedOn w:val="Normal"/>
    <w:uiPriority w:val="34"/>
    <w:qFormat/>
    <w:rsid w:val="003B14CC"/>
    <w:pPr>
      <w:widowControl w:val="0"/>
      <w:ind w:left="720"/>
      <w:contextualSpacing/>
    </w:pPr>
    <w:rPr>
      <w:noProof/>
      <w:color w:val="000000"/>
      <w:sz w:val="20"/>
      <w:szCs w:val="20"/>
    </w:rPr>
  </w:style>
  <w:style w:type="character" w:customStyle="1" w:styleId="Heading4Char">
    <w:name w:val="Heading 4 Char"/>
    <w:basedOn w:val="DefaultParagraphFont"/>
    <w:link w:val="Heading4"/>
    <w:uiPriority w:val="9"/>
    <w:rsid w:val="000F45FD"/>
    <w:rPr>
      <w:b/>
      <w:bCs/>
      <w:sz w:val="24"/>
      <w:szCs w:val="24"/>
    </w:rPr>
  </w:style>
  <w:style w:type="paragraph" w:styleId="Header">
    <w:name w:val="header"/>
    <w:basedOn w:val="Normal"/>
    <w:link w:val="HeaderChar"/>
    <w:rsid w:val="00BC49FB"/>
    <w:pPr>
      <w:tabs>
        <w:tab w:val="center" w:pos="4680"/>
        <w:tab w:val="right" w:pos="9360"/>
      </w:tabs>
    </w:pPr>
  </w:style>
  <w:style w:type="character" w:customStyle="1" w:styleId="HeaderChar">
    <w:name w:val="Header Char"/>
    <w:basedOn w:val="DefaultParagraphFont"/>
    <w:link w:val="Header"/>
    <w:rsid w:val="00BC49FB"/>
    <w:rPr>
      <w:sz w:val="24"/>
      <w:szCs w:val="24"/>
    </w:rPr>
  </w:style>
  <w:style w:type="paragraph" w:styleId="Footer">
    <w:name w:val="footer"/>
    <w:basedOn w:val="Normal"/>
    <w:link w:val="FooterChar"/>
    <w:uiPriority w:val="99"/>
    <w:rsid w:val="00BC49FB"/>
    <w:pPr>
      <w:tabs>
        <w:tab w:val="center" w:pos="4680"/>
        <w:tab w:val="right" w:pos="9360"/>
      </w:tabs>
    </w:pPr>
  </w:style>
  <w:style w:type="character" w:customStyle="1" w:styleId="FooterChar">
    <w:name w:val="Footer Char"/>
    <w:basedOn w:val="DefaultParagraphFont"/>
    <w:link w:val="Footer"/>
    <w:uiPriority w:val="99"/>
    <w:rsid w:val="00BC49FB"/>
    <w:rPr>
      <w:sz w:val="24"/>
      <w:szCs w:val="24"/>
    </w:rPr>
  </w:style>
  <w:style w:type="character" w:styleId="FollowedHyperlink">
    <w:name w:val="FollowedHyperlink"/>
    <w:basedOn w:val="DefaultParagraphFont"/>
    <w:rsid w:val="000016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041308">
      <w:bodyDiv w:val="1"/>
      <w:marLeft w:val="0"/>
      <w:marRight w:val="0"/>
      <w:marTop w:val="0"/>
      <w:marBottom w:val="0"/>
      <w:divBdr>
        <w:top w:val="none" w:sz="0" w:space="0" w:color="auto"/>
        <w:left w:val="none" w:sz="0" w:space="0" w:color="auto"/>
        <w:bottom w:val="none" w:sz="0" w:space="0" w:color="auto"/>
        <w:right w:val="none" w:sz="0" w:space="0" w:color="auto"/>
      </w:divBdr>
    </w:div>
    <w:div w:id="1167985305">
      <w:bodyDiv w:val="1"/>
      <w:marLeft w:val="0"/>
      <w:marRight w:val="0"/>
      <w:marTop w:val="0"/>
      <w:marBottom w:val="0"/>
      <w:divBdr>
        <w:top w:val="none" w:sz="0" w:space="0" w:color="auto"/>
        <w:left w:val="none" w:sz="0" w:space="0" w:color="auto"/>
        <w:bottom w:val="none" w:sz="0" w:space="0" w:color="auto"/>
        <w:right w:val="none" w:sz="0" w:space="0" w:color="auto"/>
      </w:divBdr>
    </w:div>
    <w:div w:id="1585720138">
      <w:bodyDiv w:val="1"/>
      <w:marLeft w:val="0"/>
      <w:marRight w:val="0"/>
      <w:marTop w:val="0"/>
      <w:marBottom w:val="0"/>
      <w:divBdr>
        <w:top w:val="none" w:sz="0" w:space="0" w:color="auto"/>
        <w:left w:val="none" w:sz="0" w:space="0" w:color="auto"/>
        <w:bottom w:val="none" w:sz="0" w:space="0" w:color="auto"/>
        <w:right w:val="none" w:sz="0" w:space="0" w:color="auto"/>
      </w:divBdr>
    </w:div>
    <w:div w:id="1646230951">
      <w:bodyDiv w:val="1"/>
      <w:marLeft w:val="0"/>
      <w:marRight w:val="0"/>
      <w:marTop w:val="0"/>
      <w:marBottom w:val="0"/>
      <w:divBdr>
        <w:top w:val="none" w:sz="0" w:space="0" w:color="auto"/>
        <w:left w:val="none" w:sz="0" w:space="0" w:color="auto"/>
        <w:bottom w:val="none" w:sz="0" w:space="0" w:color="auto"/>
        <w:right w:val="none" w:sz="0" w:space="0" w:color="auto"/>
      </w:divBdr>
    </w:div>
    <w:div w:id="1709180805">
      <w:bodyDiv w:val="1"/>
      <w:marLeft w:val="0"/>
      <w:marRight w:val="0"/>
      <w:marTop w:val="0"/>
      <w:marBottom w:val="0"/>
      <w:divBdr>
        <w:top w:val="none" w:sz="0" w:space="0" w:color="auto"/>
        <w:left w:val="none" w:sz="0" w:space="0" w:color="auto"/>
        <w:bottom w:val="none" w:sz="0" w:space="0" w:color="auto"/>
        <w:right w:val="none" w:sz="0" w:space="0" w:color="auto"/>
      </w:divBdr>
    </w:div>
    <w:div w:id="1840073461">
      <w:bodyDiv w:val="1"/>
      <w:marLeft w:val="0"/>
      <w:marRight w:val="0"/>
      <w:marTop w:val="0"/>
      <w:marBottom w:val="0"/>
      <w:divBdr>
        <w:top w:val="none" w:sz="0" w:space="0" w:color="auto"/>
        <w:left w:val="none" w:sz="0" w:space="0" w:color="auto"/>
        <w:bottom w:val="none" w:sz="0" w:space="0" w:color="auto"/>
        <w:right w:val="none" w:sz="0" w:space="0" w:color="auto"/>
      </w:divBdr>
    </w:div>
    <w:div w:id="199892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tp://ftp.bls.gov/pub/special.requests/cpi/cpiai.txt"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holarworks.umass.edu/jhfm/vol17/iss2/2/" TargetMode="External"/><Relationship Id="rId10" Type="http://schemas.openxmlformats.org/officeDocument/2006/relationships/hyperlink" Target="http://data.bls.gov/timeseries/LNS14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17F7-3DD1-684A-8C33-5C768865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21</Pages>
  <Words>6852</Words>
  <Characters>39059</Characters>
  <Application>Microsoft Macintosh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Table 1</vt:lpstr>
    </vt:vector>
  </TitlesOfParts>
  <Company>University of Houston</Company>
  <LinksUpToDate>false</LinksUpToDate>
  <CharactersWithSpaces>45820</CharactersWithSpaces>
  <SharedDoc>false</SharedDoc>
  <HLinks>
    <vt:vector size="18" baseType="variant">
      <vt:variant>
        <vt:i4>6815783</vt:i4>
      </vt:variant>
      <vt:variant>
        <vt:i4>6</vt:i4>
      </vt:variant>
      <vt:variant>
        <vt:i4>0</vt:i4>
      </vt:variant>
      <vt:variant>
        <vt:i4>5</vt:i4>
      </vt:variant>
      <vt:variant>
        <vt:lpwstr>http://www/nytimes.com/2010/04/23/business/global/</vt:lpwstr>
      </vt:variant>
      <vt:variant>
        <vt:lpwstr/>
      </vt:variant>
      <vt:variant>
        <vt:i4>2162795</vt:i4>
      </vt:variant>
      <vt:variant>
        <vt:i4>3</vt:i4>
      </vt:variant>
      <vt:variant>
        <vt:i4>0</vt:i4>
      </vt:variant>
      <vt:variant>
        <vt:i4>5</vt:i4>
      </vt:variant>
      <vt:variant>
        <vt:lpwstr>http://www.nytimes.com/2008/12/31/business/economy/ 31lend.html</vt:lpwstr>
      </vt:variant>
      <vt:variant>
        <vt:lpwstr/>
      </vt:variant>
      <vt:variant>
        <vt:i4>3342441</vt:i4>
      </vt:variant>
      <vt:variant>
        <vt:i4>0</vt:i4>
      </vt:variant>
      <vt:variant>
        <vt:i4>0</vt:i4>
      </vt:variant>
      <vt:variant>
        <vt:i4>5</vt:i4>
      </vt:variant>
      <vt:variant>
        <vt:lpwstr>http://online.wsj.com/article/NA_WSJ_PUB:SB123267029592108287.html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dc:title>
  <dc:creator>defranco</dc:creator>
  <cp:lastModifiedBy>Agnes DeFranco</cp:lastModifiedBy>
  <cp:revision>11</cp:revision>
  <cp:lastPrinted>2013-03-04T20:01:00Z</cp:lastPrinted>
  <dcterms:created xsi:type="dcterms:W3CDTF">2013-09-30T20:44:00Z</dcterms:created>
  <dcterms:modified xsi:type="dcterms:W3CDTF">2013-10-01T12:33:00Z</dcterms:modified>
</cp:coreProperties>
</file>