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90" w:rsidRDefault="00935197" w:rsidP="0083302C">
      <w:pPr>
        <w:jc w:val="center"/>
      </w:pPr>
      <w:bookmarkStart w:id="0" w:name="_GoBack"/>
      <w:bookmarkEnd w:id="0"/>
      <w:r>
        <w:t xml:space="preserve"> </w:t>
      </w:r>
    </w:p>
    <w:p w:rsidR="00E10B90" w:rsidRDefault="00E10B90" w:rsidP="0083302C">
      <w:pPr>
        <w:contextualSpacing/>
        <w:jc w:val="center"/>
      </w:pPr>
      <w:r>
        <w:t>To CHAE or Not to CHAE</w:t>
      </w:r>
    </w:p>
    <w:p w:rsidR="00E10B90" w:rsidRDefault="00E10B90" w:rsidP="0083302C">
      <w:pPr>
        <w:contextualSpacing/>
        <w:jc w:val="center"/>
      </w:pPr>
    </w:p>
    <w:p w:rsidR="00E10B90" w:rsidRDefault="00E10B90" w:rsidP="0083302C">
      <w:pPr>
        <w:contextualSpacing/>
        <w:jc w:val="center"/>
      </w:pPr>
    </w:p>
    <w:p w:rsidR="00E10B90" w:rsidRDefault="00E10B90" w:rsidP="0083302C">
      <w:pPr>
        <w:contextualSpacing/>
        <w:jc w:val="center"/>
      </w:pPr>
    </w:p>
    <w:p w:rsidR="00E10B90" w:rsidRDefault="00E10B90" w:rsidP="0083302C">
      <w:pPr>
        <w:contextualSpacing/>
        <w:jc w:val="center"/>
      </w:pPr>
      <w:r>
        <w:t>Raymond S. Schmidgall, Ph.D., CPA</w:t>
      </w:r>
    </w:p>
    <w:p w:rsidR="00E10B90" w:rsidRDefault="00E10B90" w:rsidP="0083302C">
      <w:pPr>
        <w:contextualSpacing/>
        <w:jc w:val="center"/>
      </w:pPr>
      <w:r>
        <w:t>Hilton Hotels Professor</w:t>
      </w:r>
    </w:p>
    <w:p w:rsidR="00E10B90" w:rsidRDefault="00E10B90" w:rsidP="0083302C">
      <w:pPr>
        <w:contextualSpacing/>
        <w:jc w:val="center"/>
      </w:pPr>
      <w:r w:rsidRPr="001A0D9C">
        <w:rPr>
          <w:i/>
        </w:rPr>
        <w:t>The</w:t>
      </w:r>
      <w:r>
        <w:t xml:space="preserve"> School of Hospitality Business</w:t>
      </w:r>
    </w:p>
    <w:p w:rsidR="00E10B90" w:rsidRDefault="00E10B90" w:rsidP="0083302C">
      <w:pPr>
        <w:contextualSpacing/>
        <w:jc w:val="center"/>
      </w:pPr>
      <w:r>
        <w:t>Michigan State University</w:t>
      </w:r>
    </w:p>
    <w:p w:rsidR="00E10B90" w:rsidRDefault="00E10B90" w:rsidP="0083302C">
      <w:pPr>
        <w:contextualSpacing/>
        <w:jc w:val="center"/>
      </w:pPr>
      <w:r>
        <w:t>East Lansing, MI</w:t>
      </w:r>
    </w:p>
    <w:p w:rsidR="00E10B90" w:rsidRDefault="00E10B90" w:rsidP="0083302C">
      <w:pPr>
        <w:contextualSpacing/>
        <w:jc w:val="center"/>
      </w:pPr>
    </w:p>
    <w:p w:rsidR="00E10B90" w:rsidRDefault="00E10B90" w:rsidP="0083302C">
      <w:pPr>
        <w:contextualSpacing/>
        <w:jc w:val="center"/>
      </w:pPr>
      <w:r>
        <w:t>James W. Damitio, Ph.D. CMA</w:t>
      </w:r>
    </w:p>
    <w:p w:rsidR="00E10B90" w:rsidRDefault="00E10B90" w:rsidP="0083302C">
      <w:pPr>
        <w:contextualSpacing/>
        <w:jc w:val="center"/>
      </w:pPr>
      <w:r>
        <w:t>Professor, Accounting</w:t>
      </w:r>
    </w:p>
    <w:p w:rsidR="00E10B90" w:rsidRDefault="00E10B90" w:rsidP="0083302C">
      <w:pPr>
        <w:contextualSpacing/>
        <w:jc w:val="center"/>
      </w:pPr>
      <w:r>
        <w:t>Central Michigan University</w:t>
      </w:r>
    </w:p>
    <w:p w:rsidR="00E10B90" w:rsidRDefault="00E10B90" w:rsidP="0083302C">
      <w:pPr>
        <w:contextualSpacing/>
        <w:jc w:val="center"/>
      </w:pPr>
      <w:r>
        <w:t>Mt. Pleasant, MI</w:t>
      </w:r>
    </w:p>
    <w:p w:rsidR="00E10B90" w:rsidRDefault="00E10B90" w:rsidP="0083302C">
      <w:pPr>
        <w:contextualSpacing/>
        <w:jc w:val="center"/>
      </w:pPr>
    </w:p>
    <w:p w:rsidR="00E10B90" w:rsidRDefault="00E10B90" w:rsidP="0083302C">
      <w:pPr>
        <w:contextualSpacing/>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E10B90" w:rsidRDefault="00E10B90" w:rsidP="0083302C">
      <w:pPr>
        <w:jc w:val="center"/>
      </w:pPr>
    </w:p>
    <w:p w:rsidR="00CB3905" w:rsidRDefault="00CB3905">
      <w:r>
        <w:br w:type="page"/>
      </w:r>
    </w:p>
    <w:p w:rsidR="00776464" w:rsidRDefault="00E10B90" w:rsidP="0083302C">
      <w:pPr>
        <w:jc w:val="center"/>
      </w:pPr>
      <w:r>
        <w:lastRenderedPageBreak/>
        <w:t xml:space="preserve"> To CHAE or N</w:t>
      </w:r>
      <w:r w:rsidR="00776464">
        <w:t>ot to CHAE</w:t>
      </w:r>
    </w:p>
    <w:p w:rsidR="0083302C" w:rsidRDefault="0083302C"/>
    <w:p w:rsidR="00C960AD" w:rsidRDefault="00C960AD" w:rsidP="00185451">
      <w:pPr>
        <w:spacing w:line="480" w:lineRule="auto"/>
        <w:contextualSpacing/>
        <w:jc w:val="center"/>
      </w:pPr>
      <w:r>
        <w:t>Introduction</w:t>
      </w:r>
    </w:p>
    <w:p w:rsidR="00C960AD" w:rsidRDefault="00C960AD" w:rsidP="00C960AD">
      <w:pPr>
        <w:spacing w:line="480" w:lineRule="auto"/>
        <w:contextualSpacing/>
      </w:pPr>
    </w:p>
    <w:p w:rsidR="0083302C" w:rsidRDefault="00C960AD" w:rsidP="00C960AD">
      <w:pPr>
        <w:spacing w:line="480" w:lineRule="auto"/>
        <w:contextualSpacing/>
      </w:pPr>
      <w:r>
        <w:t xml:space="preserve">     </w:t>
      </w:r>
      <w:r w:rsidR="0083302C">
        <w:t xml:space="preserve"> Professional certifications are available in many professions.  They represent a level of achievement and </w:t>
      </w:r>
      <w:r>
        <w:t>provide</w:t>
      </w:r>
      <w:r w:rsidR="0083302C">
        <w:t xml:space="preserve"> a dimension of professionalism to a resume. This </w:t>
      </w:r>
      <w:r w:rsidR="00CB3905">
        <w:t xml:space="preserve">is </w:t>
      </w:r>
      <w:r w:rsidR="0083302C">
        <w:t xml:space="preserve">certainly true in the field of accounting where a plethora certifications abound.  The most common certifications for accountants include the </w:t>
      </w:r>
      <w:r w:rsidR="00E5460F">
        <w:t>CPA</w:t>
      </w:r>
      <w:r w:rsidR="0083302C">
        <w:t xml:space="preserve"> </w:t>
      </w:r>
      <w:r>
        <w:t>(Certified</w:t>
      </w:r>
      <w:r w:rsidR="0083302C">
        <w:t xml:space="preserve"> Public Accountant),</w:t>
      </w:r>
      <w:r w:rsidR="00E5460F">
        <w:t xml:space="preserve"> CMA</w:t>
      </w:r>
      <w:r w:rsidR="0083302C">
        <w:t xml:space="preserve"> </w:t>
      </w:r>
      <w:r>
        <w:t>(Certified</w:t>
      </w:r>
      <w:r w:rsidR="0083302C">
        <w:t xml:space="preserve"> Management Accountant), and the C</w:t>
      </w:r>
      <w:r w:rsidR="00CB3905">
        <w:t>I</w:t>
      </w:r>
      <w:r w:rsidR="00E5460F">
        <w:t>A (Certified Internal A</w:t>
      </w:r>
      <w:r w:rsidR="0083302C">
        <w:t xml:space="preserve">uditor).  To </w:t>
      </w:r>
      <w:r w:rsidR="00CB3905">
        <w:t>earn</w:t>
      </w:r>
      <w:r w:rsidR="0083302C">
        <w:t xml:space="preserve"> these valued certifications an individual has </w:t>
      </w:r>
      <w:r>
        <w:t>to pass</w:t>
      </w:r>
      <w:r w:rsidR="0083302C">
        <w:t xml:space="preserve"> a </w:t>
      </w:r>
      <w:r>
        <w:t>rigorous</w:t>
      </w:r>
      <w:r w:rsidR="0083302C">
        <w:t xml:space="preserve"> </w:t>
      </w:r>
      <w:r>
        <w:t>examination</w:t>
      </w:r>
      <w:r w:rsidR="0083302C">
        <w:t xml:space="preserve"> as well as demonstrate a sufficient record of </w:t>
      </w:r>
      <w:r w:rsidR="0074760A">
        <w:t xml:space="preserve">related </w:t>
      </w:r>
      <w:r w:rsidR="00CB3905">
        <w:t xml:space="preserve">professional </w:t>
      </w:r>
      <w:r w:rsidR="0074760A">
        <w:t>experience.</w:t>
      </w:r>
    </w:p>
    <w:p w:rsidR="00603262" w:rsidRDefault="0074760A" w:rsidP="00C960AD">
      <w:pPr>
        <w:spacing w:line="480" w:lineRule="auto"/>
        <w:contextualSpacing/>
      </w:pPr>
      <w:r>
        <w:t xml:space="preserve">     A </w:t>
      </w:r>
      <w:r w:rsidR="00EF3508">
        <w:t>less</w:t>
      </w:r>
      <w:r>
        <w:t xml:space="preserve"> well known certification for </w:t>
      </w:r>
      <w:r w:rsidR="00CB3905">
        <w:t xml:space="preserve">financial executives </w:t>
      </w:r>
      <w:r w:rsidR="00C960AD">
        <w:t>in</w:t>
      </w:r>
      <w:r>
        <w:t xml:space="preserve"> </w:t>
      </w:r>
      <w:r w:rsidR="00E5460F">
        <w:t>the hospitality sector is the CHAE</w:t>
      </w:r>
      <w:r>
        <w:t xml:space="preserve"> (Certified Hospitality Accountant Executive). </w:t>
      </w:r>
      <w:r w:rsidR="00EF3508">
        <w:t xml:space="preserve">This </w:t>
      </w:r>
      <w:r w:rsidR="00CB3905">
        <w:t xml:space="preserve">certification </w:t>
      </w:r>
      <w:r w:rsidR="00EF3508">
        <w:t xml:space="preserve">also requires passing an exam </w:t>
      </w:r>
      <w:r w:rsidR="00E5460F">
        <w:t xml:space="preserve">which covers the following areas: basic accounting, managerial accounting, asset management, tax and law, and operations. In addition, there is </w:t>
      </w:r>
      <w:r w:rsidR="00CB3905">
        <w:t>a</w:t>
      </w:r>
      <w:r w:rsidR="00E5460F">
        <w:t xml:space="preserve"> </w:t>
      </w:r>
      <w:r w:rsidR="00CB3905">
        <w:t xml:space="preserve">professional </w:t>
      </w:r>
      <w:r w:rsidR="00E5460F">
        <w:t xml:space="preserve">experience requirement to achieve certification. The CHAE is sponsored by the </w:t>
      </w:r>
      <w:r w:rsidR="00E5460F" w:rsidRPr="00017456">
        <w:t xml:space="preserve">HFTP </w:t>
      </w:r>
      <w:r w:rsidR="004D5209" w:rsidRPr="00017456">
        <w:t xml:space="preserve">(2012) </w:t>
      </w:r>
      <w:r w:rsidR="00C960AD">
        <w:t>(Hospitality</w:t>
      </w:r>
      <w:r w:rsidR="00E5460F">
        <w:t xml:space="preserve"> Financial and Technology Professionals). According to the HFTP, “The CHAE program is recognized as THE symbol of achievement in the profession of hospitality accounting.  Acknowledged </w:t>
      </w:r>
      <w:r w:rsidR="00C960AD">
        <w:t>worldwide</w:t>
      </w:r>
      <w:r w:rsidR="00E5460F">
        <w:t>, CHAE certification elevates the professionalism of both the recipient and the industry by helping set standards for the field.  Those who earn the CHAE designation demonstrate a high level of dedication to their profession</w:t>
      </w:r>
      <w:r w:rsidR="00603262">
        <w:t>.</w:t>
      </w:r>
      <w:r w:rsidR="002F4B8B">
        <w:t>”</w:t>
      </w:r>
    </w:p>
    <w:p w:rsidR="00C960AD" w:rsidRDefault="00C960AD" w:rsidP="00C960AD">
      <w:pPr>
        <w:spacing w:line="480" w:lineRule="auto"/>
        <w:contextualSpacing/>
      </w:pPr>
      <w:r>
        <w:t xml:space="preserve">       </w:t>
      </w:r>
      <w:r w:rsidR="00935197">
        <w:t xml:space="preserve">According to Bryan Wood, Director of Certification of the HFTP, there are currently 4,200 members of HFTP and 535 are active CHAEs which is only 12.7% of the membership.  </w:t>
      </w:r>
      <w:r w:rsidR="00387D85">
        <w:t xml:space="preserve">Is that because of lack of awareness of the certification, lack of awareness of study guides available for exam preparation, lack of interest in the certification or other obstacles to taking the certification exam?  </w:t>
      </w:r>
      <w:r w:rsidR="00FD6BA1">
        <w:t xml:space="preserve">What studies have been </w:t>
      </w:r>
      <w:r w:rsidR="00886ECC">
        <w:t xml:space="preserve">conducted </w:t>
      </w:r>
      <w:r w:rsidR="00FD6BA1">
        <w:t xml:space="preserve">on the value of certifications </w:t>
      </w:r>
      <w:r w:rsidR="00935197">
        <w:t xml:space="preserve">in </w:t>
      </w:r>
      <w:r w:rsidR="00FD6BA1">
        <w:t>accounting certifications?</w:t>
      </w:r>
    </w:p>
    <w:p w:rsidR="00FD6BA1" w:rsidRDefault="00FD6BA1" w:rsidP="00C960AD">
      <w:pPr>
        <w:spacing w:line="480" w:lineRule="auto"/>
        <w:contextualSpacing/>
      </w:pPr>
    </w:p>
    <w:p w:rsidR="00E37C07" w:rsidRDefault="00E37C07" w:rsidP="00E37C07">
      <w:pPr>
        <w:spacing w:line="480" w:lineRule="auto"/>
        <w:contextualSpacing/>
        <w:jc w:val="center"/>
      </w:pPr>
      <w:r>
        <w:t>Review of Literature</w:t>
      </w:r>
    </w:p>
    <w:p w:rsidR="00E37C07" w:rsidRDefault="00E37C07" w:rsidP="00AF2F59">
      <w:pPr>
        <w:tabs>
          <w:tab w:val="left" w:pos="360"/>
        </w:tabs>
        <w:spacing w:line="480" w:lineRule="auto"/>
        <w:contextualSpacing/>
      </w:pPr>
      <w:r>
        <w:t xml:space="preserve">       There are many benefits for professionals as a result of </w:t>
      </w:r>
      <w:r w:rsidR="00886ECC">
        <w:t>earning</w:t>
      </w:r>
      <w:r>
        <w:t xml:space="preserve"> </w:t>
      </w:r>
      <w:r w:rsidR="00886ECC">
        <w:t>professional</w:t>
      </w:r>
      <w:r>
        <w:t xml:space="preserve"> certification</w:t>
      </w:r>
      <w:r w:rsidR="00886ECC">
        <w:t xml:space="preserve"> in their specialized fields</w:t>
      </w:r>
      <w:r>
        <w:t>.  The major benefit is generally considered to be increased compensation. However, besides increased compensation, many other benefits accrue from certification.  Hutchison and Fleischman (2003) cite the following additional benefits</w:t>
      </w:r>
      <w:r w:rsidR="00AF2F59">
        <w:t xml:space="preserve">: </w:t>
      </w:r>
      <w:r>
        <w:t xml:space="preserve"> 1) since certification indicates competence,  achievement of  certification enhances one’s reputation among colleagues and clients, 2)  it can be a marketing tool  to differentiate oneself from others in the hiring and promotion process, 3) certification can allow one to introduce new revenue sources or to charge higher consulting fees, </w:t>
      </w:r>
      <w:r w:rsidR="00AF2F59">
        <w:t xml:space="preserve">and </w:t>
      </w:r>
      <w:r>
        <w:t>4) accountant</w:t>
      </w:r>
      <w:r w:rsidR="00776464">
        <w:t>s</w:t>
      </w:r>
      <w:r>
        <w:t xml:space="preserve"> seek certification to provide market-driven services to clients and customers.</w:t>
      </w:r>
    </w:p>
    <w:p w:rsidR="0016367A" w:rsidRDefault="00E37C07" w:rsidP="0016367A">
      <w:pPr>
        <w:spacing w:line="480" w:lineRule="auto"/>
        <w:contextualSpacing/>
      </w:pPr>
      <w:r>
        <w:t xml:space="preserve">       According to Allen &amp; Riemer </w:t>
      </w:r>
      <w:r w:rsidR="0006307E">
        <w:t>(</w:t>
      </w:r>
      <w:r>
        <w:t>2008</w:t>
      </w:r>
      <w:r w:rsidR="0006307E">
        <w:t>)</w:t>
      </w:r>
      <w:r>
        <w:t xml:space="preserve">, large companies use the CMA certification to develop, motivate, and drive future financial leaders. </w:t>
      </w:r>
      <w:r w:rsidR="0006307E">
        <w:t>T</w:t>
      </w:r>
      <w:r>
        <w:t>hey report that Johnson &amp; Johnson encourage</w:t>
      </w:r>
      <w:r w:rsidR="00776464">
        <w:t xml:space="preserve">s </w:t>
      </w:r>
      <w:r>
        <w:t>all of their finance professionals to pursue certification. They also indicate that Rolls-Royce supports and encourages professional certification through what they call their Professional</w:t>
      </w:r>
      <w:r w:rsidR="0006307E">
        <w:t xml:space="preserve"> Development Framework</w:t>
      </w:r>
      <w:r>
        <w:t xml:space="preserve"> System.</w:t>
      </w:r>
      <w:r w:rsidR="0016367A">
        <w:t xml:space="preserve">   </w:t>
      </w:r>
    </w:p>
    <w:p w:rsidR="0016367A" w:rsidRDefault="0016367A" w:rsidP="0016367A">
      <w:pPr>
        <w:spacing w:line="480" w:lineRule="auto"/>
        <w:contextualSpacing/>
      </w:pPr>
      <w:r>
        <w:t xml:space="preserve">      The results of a study (A</w:t>
      </w:r>
      <w:r w:rsidR="00E33B77" w:rsidRPr="00017456">
        <w:t>z</w:t>
      </w:r>
      <w:r>
        <w:t xml:space="preserve">id &amp; Skelel, 1989) </w:t>
      </w:r>
      <w:r w:rsidR="000303A8">
        <w:t xml:space="preserve">conducted </w:t>
      </w:r>
      <w:r>
        <w:t xml:space="preserve">on the importance of the CIA certification suggests that this certification is highly regarded by certified professionals. Respondents to their study indicated that </w:t>
      </w:r>
      <w:r w:rsidR="000303A8">
        <w:t xml:space="preserve">the </w:t>
      </w:r>
      <w:r>
        <w:t xml:space="preserve">CIA certification  should not be a condition of employment, however, internal auditors felt strongly that  that the CIA certification should be sought by college and university auditors once they were employed.   </w:t>
      </w:r>
    </w:p>
    <w:p w:rsidR="00E37C07" w:rsidRDefault="00B23D50" w:rsidP="00E37C07">
      <w:pPr>
        <w:spacing w:line="480" w:lineRule="auto"/>
        <w:contextualSpacing/>
      </w:pPr>
      <w:r>
        <w:t xml:space="preserve">     </w:t>
      </w:r>
      <w:r w:rsidR="0016367A">
        <w:t xml:space="preserve">Guinn, Bhamomsiri, &amp; Blanthorme, </w:t>
      </w:r>
      <w:r>
        <w:t>(</w:t>
      </w:r>
      <w:r w:rsidR="0016367A">
        <w:t xml:space="preserve">2004) </w:t>
      </w:r>
      <w:r>
        <w:t xml:space="preserve">investigated the importance of </w:t>
      </w:r>
      <w:r w:rsidR="0016367A">
        <w:t xml:space="preserve">CPA certification </w:t>
      </w:r>
      <w:r>
        <w:t xml:space="preserve">for </w:t>
      </w:r>
      <w:r w:rsidR="0016367A">
        <w:t>making partner in large CPA firms.  They concluded that the certification was absolutely essential in making partner.  Although tax partners were somewhat less likely to be CPA’s, the average was still very high at 89%.</w:t>
      </w:r>
      <w:r w:rsidR="00603262">
        <w:t xml:space="preserve">  Thus, for upward mobility the CPA certification is key.</w:t>
      </w:r>
    </w:p>
    <w:p w:rsidR="0006307E" w:rsidRPr="00017456" w:rsidRDefault="0006307E" w:rsidP="0006307E">
      <w:pPr>
        <w:spacing w:line="480" w:lineRule="auto"/>
        <w:contextualSpacing/>
      </w:pPr>
      <w:r>
        <w:lastRenderedPageBreak/>
        <w:t xml:space="preserve">     Since additional compensation is usually a major reason why professionals seek certification, several studies have been </w:t>
      </w:r>
      <w:r w:rsidR="00E371FC">
        <w:t xml:space="preserve">conducted </w:t>
      </w:r>
      <w:r>
        <w:t xml:space="preserve">to determine the </w:t>
      </w:r>
      <w:r w:rsidR="00E371FC">
        <w:t>impact</w:t>
      </w:r>
      <w:r>
        <w:t xml:space="preserve"> of certification on </w:t>
      </w:r>
      <w:r w:rsidR="00E371FC">
        <w:t xml:space="preserve">the salaries of </w:t>
      </w:r>
      <w:r>
        <w:t>accounting and financial professionals. The Institute of Management Accountants (IMA) 2009 Salary Survey (Schroeder, Schiffel, &amp; Smith, 2010) found that certified individuals earned 23% more salary ($12,498) and 22% more total compensation ($12,788) than their non-certified peers.</w:t>
      </w:r>
      <w:r w:rsidR="004D5209">
        <w:t xml:space="preserve"> </w:t>
      </w:r>
      <w:r w:rsidR="004D5209" w:rsidRPr="00017456">
        <w:t xml:space="preserve">They also reported that women earn more than men in entry level management when they have earned a baccalaureate degree and either a CMA or a CPA certificate.  In addition, they reported that women earn more than men in senior-level management when they </w:t>
      </w:r>
      <w:r w:rsidR="0062086B" w:rsidRPr="00017456">
        <w:t xml:space="preserve">possess </w:t>
      </w:r>
      <w:r w:rsidR="004D5209" w:rsidRPr="00017456">
        <w:t>a master’s degree and a CPA certificate.</w:t>
      </w:r>
    </w:p>
    <w:p w:rsidR="0016367A" w:rsidRDefault="0006307E" w:rsidP="0016367A">
      <w:pPr>
        <w:spacing w:line="480" w:lineRule="auto"/>
        <w:contextualSpacing/>
      </w:pPr>
      <w:r>
        <w:t xml:space="preserve">     Schiffel, Smith and Schroeder (2011) surveyed a sample membership of the </w:t>
      </w:r>
      <w:r w:rsidR="00E371FC">
        <w:t xml:space="preserve">IMA </w:t>
      </w:r>
      <w:r>
        <w:t xml:space="preserve">to determine how the members were fairing economically following the economic recovery.  </w:t>
      </w:r>
      <w:r w:rsidR="00E371FC">
        <w:t xml:space="preserve">Their research revealed that </w:t>
      </w:r>
      <w:r>
        <w:t xml:space="preserve">the benefits of </w:t>
      </w:r>
      <w:r w:rsidR="00E371FC">
        <w:t xml:space="preserve">obtaining the CMA </w:t>
      </w:r>
      <w:r>
        <w:t>designation appeared to provi</w:t>
      </w:r>
      <w:r w:rsidR="0062086B">
        <w:t>de an almost immediate increase</w:t>
      </w:r>
      <w:r>
        <w:t xml:space="preserve"> in salary of about $10,000, and that </w:t>
      </w:r>
      <w:r w:rsidR="0062086B">
        <w:t xml:space="preserve">a </w:t>
      </w:r>
      <w:r>
        <w:t>“certification bonus” seemed to exist each and every year throughout their careers.  In addition, they found that the average total compensation for those holding the CMA certification</w:t>
      </w:r>
      <w:r w:rsidR="00681859">
        <w:t xml:space="preserve"> was $27,000</w:t>
      </w:r>
      <w:r w:rsidR="00E371FC">
        <w:t xml:space="preserve"> higher, </w:t>
      </w:r>
      <w:r>
        <w:t>which was more than 20% higher than those without certification.</w:t>
      </w:r>
      <w:r w:rsidR="0016367A" w:rsidRPr="0016367A">
        <w:t xml:space="preserve"> </w:t>
      </w:r>
    </w:p>
    <w:p w:rsidR="00387D85" w:rsidRDefault="0016367A" w:rsidP="00C960AD">
      <w:pPr>
        <w:spacing w:line="480" w:lineRule="auto"/>
        <w:contextualSpacing/>
      </w:pPr>
      <w:r>
        <w:t xml:space="preserve">     In the financial planning industry, Arman &amp; Shackman (2011) studied the impact of financial planning designations on financial planner income.  Their study showed a statistically significant association between certification and income.     </w:t>
      </w:r>
      <w:r w:rsidR="00387D85">
        <w:t xml:space="preserve"> </w:t>
      </w:r>
    </w:p>
    <w:p w:rsidR="00F103DA" w:rsidRDefault="0016367A" w:rsidP="00C960AD">
      <w:pPr>
        <w:spacing w:line="480" w:lineRule="auto"/>
        <w:contextualSpacing/>
      </w:pPr>
      <w:r>
        <w:t xml:space="preserve">     Certification of financial </w:t>
      </w:r>
      <w:r w:rsidR="00976368">
        <w:t>professional</w:t>
      </w:r>
      <w:r w:rsidR="00E371FC">
        <w:t>s</w:t>
      </w:r>
      <w:r w:rsidR="00976368">
        <w:t xml:space="preserve"> is</w:t>
      </w:r>
      <w:r>
        <w:t xml:space="preserve"> enhanced in the public sector as well.</w:t>
      </w:r>
      <w:r w:rsidR="00B74B25">
        <w:t xml:space="preserve"> </w:t>
      </w:r>
      <w:r w:rsidR="00185451">
        <w:t>Johnson &amp;</w:t>
      </w:r>
      <w:r w:rsidR="00B74B25">
        <w:t xml:space="preserve"> Brooks, </w:t>
      </w:r>
      <w:r>
        <w:t>(</w:t>
      </w:r>
      <w:r w:rsidR="00B74B25">
        <w:t>2001</w:t>
      </w:r>
      <w:r>
        <w:t>)</w:t>
      </w:r>
      <w:r w:rsidR="00B74B25">
        <w:t xml:space="preserve"> found that the Certified Government Financial Manager designation was associated with higher </w:t>
      </w:r>
      <w:r w:rsidR="00185451">
        <w:t>earnings</w:t>
      </w:r>
      <w:r w:rsidR="00B74B25">
        <w:t xml:space="preserve"> among public sector chief financial officers.</w:t>
      </w:r>
    </w:p>
    <w:p w:rsidR="00F103DA" w:rsidRDefault="00F103DA" w:rsidP="00C960AD">
      <w:pPr>
        <w:spacing w:line="480" w:lineRule="auto"/>
        <w:contextualSpacing/>
      </w:pPr>
      <w:r>
        <w:t xml:space="preserve">     Damitio &amp; Schmidgall (2001) </w:t>
      </w:r>
      <w:r w:rsidR="00185451">
        <w:t xml:space="preserve">surveyed </w:t>
      </w:r>
      <w:r w:rsidR="00E371FC">
        <w:t xml:space="preserve">members of the </w:t>
      </w:r>
      <w:r>
        <w:t xml:space="preserve">HFTP to </w:t>
      </w:r>
      <w:r w:rsidR="00E371FC">
        <w:t>determine</w:t>
      </w:r>
      <w:r>
        <w:t xml:space="preserve"> the value of the </w:t>
      </w:r>
      <w:r w:rsidR="00185451">
        <w:t>CHAE</w:t>
      </w:r>
      <w:r>
        <w:t xml:space="preserve">.  The </w:t>
      </w:r>
      <w:r w:rsidR="00185451">
        <w:t>results</w:t>
      </w:r>
      <w:r>
        <w:t xml:space="preserve"> of the survey indicated that HFTP </w:t>
      </w:r>
      <w:r w:rsidR="00185451">
        <w:t>members holding</w:t>
      </w:r>
      <w:r>
        <w:t xml:space="preserve"> the CHAE credential had an average salary of $74,760 compared to $67,247 for members with</w:t>
      </w:r>
      <w:r w:rsidR="000962A4">
        <w:t>out the CHAE for a</w:t>
      </w:r>
      <w:r w:rsidR="00D90B81">
        <w:t xml:space="preserve">n annual </w:t>
      </w:r>
      <w:r w:rsidR="000962A4">
        <w:t>difference o</w:t>
      </w:r>
      <w:r>
        <w:t>f $7</w:t>
      </w:r>
      <w:r w:rsidR="000962A4">
        <w:t>,</w:t>
      </w:r>
      <w:r>
        <w:t>513.</w:t>
      </w:r>
    </w:p>
    <w:p w:rsidR="004A40F2" w:rsidRDefault="00B94166" w:rsidP="00C960AD">
      <w:pPr>
        <w:spacing w:line="480" w:lineRule="auto"/>
        <w:contextualSpacing/>
      </w:pPr>
      <w:r>
        <w:lastRenderedPageBreak/>
        <w:t xml:space="preserve">     In the </w:t>
      </w:r>
      <w:r w:rsidRPr="00AA74A1">
        <w:rPr>
          <w:i/>
        </w:rPr>
        <w:t xml:space="preserve">2011 </w:t>
      </w:r>
      <w:r w:rsidR="00AA74A1" w:rsidRPr="00AA74A1">
        <w:rPr>
          <w:i/>
        </w:rPr>
        <w:t>Robert Half Salary Guide for Accounting  &amp; Finance</w:t>
      </w:r>
      <w:r w:rsidR="00AA74A1">
        <w:t>, it is noted that across the board for these professionals,  5-10% additional compensation is added for professional certification.</w:t>
      </w:r>
    </w:p>
    <w:p w:rsidR="0027748D" w:rsidRPr="0027748D" w:rsidRDefault="0027748D" w:rsidP="00C960AD">
      <w:pPr>
        <w:spacing w:line="480" w:lineRule="auto"/>
        <w:contextualSpacing/>
      </w:pPr>
      <w:r>
        <w:t xml:space="preserve">     DeVeau and Downey</w:t>
      </w:r>
      <w:r w:rsidR="009806FA">
        <w:t xml:space="preserve"> (2011) surveyed CHAEs in 2009 and found that (1) 51% held the title of controller, (2) 70% were between the ages of 40 a</w:t>
      </w:r>
      <w:r w:rsidR="004555DD">
        <w:t xml:space="preserve">nd 59 years old, (3) 61% were </w:t>
      </w:r>
      <w:r w:rsidR="009806FA">
        <w:t>male, (4) 60% held bachelor’s degrees and 26% held graduate degrees, (5) 60% had earned the CPA</w:t>
      </w:r>
      <w:r w:rsidR="004555DD">
        <w:t>,</w:t>
      </w:r>
      <w:r w:rsidR="009806FA">
        <w:t xml:space="preserve"> and (6) over 80% earned over $60,000</w:t>
      </w:r>
      <w:r w:rsidR="007D7B89">
        <w:t xml:space="preserve"> </w:t>
      </w:r>
      <w:r w:rsidR="009806FA">
        <w:t xml:space="preserve">annually and 20% earned over $130,000.  </w:t>
      </w:r>
    </w:p>
    <w:p w:rsidR="000D2C42" w:rsidRPr="00542639" w:rsidRDefault="00542639" w:rsidP="00804287">
      <w:pPr>
        <w:spacing w:line="480" w:lineRule="auto"/>
        <w:contextualSpacing/>
        <w:jc w:val="center"/>
        <w:rPr>
          <w:u w:val="single"/>
        </w:rPr>
      </w:pPr>
      <w:r>
        <w:rPr>
          <w:u w:val="single"/>
        </w:rPr>
        <w:t>Research Instrument Design</w:t>
      </w:r>
    </w:p>
    <w:p w:rsidR="00542639" w:rsidRDefault="00804287" w:rsidP="00C960AD">
      <w:pPr>
        <w:spacing w:line="480" w:lineRule="auto"/>
        <w:contextualSpacing/>
      </w:pPr>
      <w:r>
        <w:t xml:space="preserve">     </w:t>
      </w:r>
      <w:r w:rsidR="00681859">
        <w:t>In order to study the many facets of the CHAE certification</w:t>
      </w:r>
      <w:r w:rsidR="00171635">
        <w:t>, a</w:t>
      </w:r>
      <w:r w:rsidR="00681859">
        <w:t xml:space="preserve"> comprehensive survey was </w:t>
      </w:r>
      <w:r w:rsidR="00542639">
        <w:t>prepared to gather demographic information on HFTP members.</w:t>
      </w:r>
      <w:r w:rsidR="00681859">
        <w:t xml:space="preserve"> </w:t>
      </w:r>
      <w:r w:rsidR="00542639">
        <w:t xml:space="preserve"> Members who had earned the CHAE were asked the benefits of having the CHAE.  Members who have not earned the CHAE were asked the following questions:</w:t>
      </w:r>
    </w:p>
    <w:p w:rsidR="00542639" w:rsidRDefault="005B202E" w:rsidP="005B202E">
      <w:pPr>
        <w:pStyle w:val="ListParagraph"/>
        <w:numPr>
          <w:ilvl w:val="0"/>
          <w:numId w:val="8"/>
        </w:numPr>
        <w:spacing w:line="480" w:lineRule="auto"/>
      </w:pPr>
      <w:r>
        <w:t>Their awareness of the CHAE certification.</w:t>
      </w:r>
    </w:p>
    <w:p w:rsidR="005B202E" w:rsidRDefault="005B202E" w:rsidP="005B202E">
      <w:pPr>
        <w:pStyle w:val="ListParagraph"/>
        <w:numPr>
          <w:ilvl w:val="0"/>
          <w:numId w:val="8"/>
        </w:numPr>
        <w:spacing w:line="480" w:lineRule="auto"/>
      </w:pPr>
      <w:r>
        <w:t>Their awareness of the two volume study guide useful for preparing to take the CHAE examination.</w:t>
      </w:r>
    </w:p>
    <w:p w:rsidR="005B202E" w:rsidRDefault="005B202E" w:rsidP="005B202E">
      <w:pPr>
        <w:pStyle w:val="ListParagraph"/>
        <w:numPr>
          <w:ilvl w:val="0"/>
          <w:numId w:val="8"/>
        </w:numPr>
        <w:spacing w:line="480" w:lineRule="auto"/>
      </w:pPr>
      <w:r>
        <w:t>Whether their HFTP chapter had discussed the CHAE certification at one of its meetings during the past two years.</w:t>
      </w:r>
    </w:p>
    <w:p w:rsidR="005B202E" w:rsidRDefault="007B2D64" w:rsidP="005B202E">
      <w:pPr>
        <w:pStyle w:val="ListParagraph"/>
        <w:numPr>
          <w:ilvl w:val="0"/>
          <w:numId w:val="8"/>
        </w:numPr>
        <w:spacing w:line="480" w:lineRule="auto"/>
      </w:pPr>
      <w:r>
        <w:t>Whether the chapter has hosted a CHAE certification review session in the past two years.</w:t>
      </w:r>
    </w:p>
    <w:p w:rsidR="007B2D64" w:rsidRDefault="007B2D64" w:rsidP="005B202E">
      <w:pPr>
        <w:pStyle w:val="ListParagraph"/>
        <w:numPr>
          <w:ilvl w:val="0"/>
          <w:numId w:val="8"/>
        </w:numPr>
        <w:spacing w:line="480" w:lineRule="auto"/>
      </w:pPr>
      <w:r>
        <w:t>Whether they had taken the CHAE exam and if so how many times.</w:t>
      </w:r>
    </w:p>
    <w:p w:rsidR="007B2D64" w:rsidRDefault="007B2D64" w:rsidP="005B202E">
      <w:pPr>
        <w:pStyle w:val="ListParagraph"/>
        <w:numPr>
          <w:ilvl w:val="0"/>
          <w:numId w:val="8"/>
        </w:numPr>
        <w:spacing w:line="480" w:lineRule="auto"/>
      </w:pPr>
      <w:r>
        <w:t>Their interest in earning the CHAE.</w:t>
      </w:r>
    </w:p>
    <w:p w:rsidR="007B2D64" w:rsidRDefault="007B2D64" w:rsidP="005B202E">
      <w:pPr>
        <w:pStyle w:val="ListParagraph"/>
        <w:numPr>
          <w:ilvl w:val="0"/>
          <w:numId w:val="8"/>
        </w:numPr>
        <w:spacing w:line="480" w:lineRule="auto"/>
      </w:pPr>
      <w:r>
        <w:t>The biggest obstacles to taking the CHAE examination.</w:t>
      </w:r>
    </w:p>
    <w:p w:rsidR="007B2D64" w:rsidRDefault="007B2D64" w:rsidP="005B202E">
      <w:pPr>
        <w:pStyle w:val="ListParagraph"/>
        <w:numPr>
          <w:ilvl w:val="0"/>
          <w:numId w:val="8"/>
        </w:numPr>
        <w:spacing w:line="480" w:lineRule="auto"/>
      </w:pPr>
      <w:r>
        <w:t>The biggest assists in preparing for the examination.</w:t>
      </w:r>
    </w:p>
    <w:p w:rsidR="007B2D64" w:rsidRDefault="007B2D64" w:rsidP="005B202E">
      <w:pPr>
        <w:pStyle w:val="ListParagraph"/>
        <w:numPr>
          <w:ilvl w:val="0"/>
          <w:numId w:val="8"/>
        </w:numPr>
        <w:spacing w:line="480" w:lineRule="auto"/>
      </w:pPr>
      <w:r>
        <w:t>Their plans to sit for the examination in the future.</w:t>
      </w:r>
    </w:p>
    <w:p w:rsidR="00542639" w:rsidRPr="007B2D64" w:rsidRDefault="007B2D64" w:rsidP="007B2D64">
      <w:pPr>
        <w:spacing w:line="480" w:lineRule="auto"/>
        <w:contextualSpacing/>
        <w:jc w:val="center"/>
        <w:rPr>
          <w:u w:val="single"/>
        </w:rPr>
      </w:pPr>
      <w:r>
        <w:rPr>
          <w:u w:val="single"/>
        </w:rPr>
        <w:t>Demographics</w:t>
      </w:r>
    </w:p>
    <w:p w:rsidR="00804287" w:rsidRDefault="007B2D64" w:rsidP="00C960AD">
      <w:pPr>
        <w:spacing w:line="480" w:lineRule="auto"/>
        <w:contextualSpacing/>
      </w:pPr>
      <w:r>
        <w:lastRenderedPageBreak/>
        <w:t>One thousand</w:t>
      </w:r>
      <w:r w:rsidR="00681859">
        <w:t xml:space="preserve"> members of the HFTP</w:t>
      </w:r>
      <w:r w:rsidR="006E6237">
        <w:t xml:space="preserve"> </w:t>
      </w:r>
      <w:r>
        <w:t xml:space="preserve">were mailed the questionnaire and </w:t>
      </w:r>
      <w:r w:rsidR="006E6237">
        <w:t xml:space="preserve">50 were returned as undeliverable.  </w:t>
      </w:r>
      <w:r w:rsidR="00804287">
        <w:t xml:space="preserve">Three hundred </w:t>
      </w:r>
      <w:r w:rsidR="00976368">
        <w:t>and</w:t>
      </w:r>
      <w:r w:rsidR="00804287">
        <w:t xml:space="preserve"> eighty five </w:t>
      </w:r>
      <w:r w:rsidR="004C27EE">
        <w:t xml:space="preserve">completed </w:t>
      </w:r>
      <w:r w:rsidR="00804287">
        <w:t xml:space="preserve">surveys were </w:t>
      </w:r>
      <w:r w:rsidR="004C27EE">
        <w:t xml:space="preserve">received </w:t>
      </w:r>
      <w:r w:rsidR="00804287">
        <w:t xml:space="preserve">for a response rate of almost </w:t>
      </w:r>
      <w:r w:rsidR="004C27EE">
        <w:t>43</w:t>
      </w:r>
      <w:r w:rsidR="00804287">
        <w:t xml:space="preserve">%. </w:t>
      </w:r>
      <w:r w:rsidR="002C280C">
        <w:t xml:space="preserve"> </w:t>
      </w:r>
      <w:r w:rsidR="00804287">
        <w:t xml:space="preserve">Just over 37 % of the respondents held the CHAE </w:t>
      </w:r>
      <w:r w:rsidR="00976368">
        <w:t>certification while</w:t>
      </w:r>
      <w:r w:rsidR="00804287">
        <w:t xml:space="preserve"> almost 23 % were CPAs.   When queried about the highest level of education attained, 67% had a Bachelors degree while 245 held a Masters or higher.  As expected, the percent of respondents with the CHAE greatly increased with the level of education.  Almost 95% of the CHAE </w:t>
      </w:r>
      <w:r w:rsidR="00976368">
        <w:t>holders earned</w:t>
      </w:r>
      <w:r w:rsidR="00804287">
        <w:t xml:space="preserve"> a Bachelors or higher.</w:t>
      </w:r>
    </w:p>
    <w:p w:rsidR="00804287" w:rsidRDefault="00804287" w:rsidP="00C960AD">
      <w:pPr>
        <w:spacing w:line="480" w:lineRule="auto"/>
        <w:contextualSpacing/>
      </w:pPr>
      <w:r>
        <w:t xml:space="preserve">     The majority </w:t>
      </w:r>
      <w:r w:rsidR="006D6022">
        <w:t xml:space="preserve">(57%) </w:t>
      </w:r>
      <w:r>
        <w:t xml:space="preserve">of the respondents </w:t>
      </w:r>
      <w:r w:rsidR="004C27EE">
        <w:t xml:space="preserve">had earned their </w:t>
      </w:r>
      <w:r w:rsidR="006D6022">
        <w:t>undergraduate degree</w:t>
      </w:r>
      <w:r w:rsidR="004C27EE">
        <w:t>s</w:t>
      </w:r>
      <w:r w:rsidR="006D6022">
        <w:t xml:space="preserve"> in accounting while 11% held </w:t>
      </w:r>
      <w:r w:rsidR="004C27EE">
        <w:t>hospitality undergraduate</w:t>
      </w:r>
      <w:r w:rsidR="006D6022">
        <w:t xml:space="preserve"> degree</w:t>
      </w:r>
      <w:r w:rsidR="004C27EE">
        <w:t>s</w:t>
      </w:r>
      <w:r w:rsidR="006D6022">
        <w:t xml:space="preserve">.  While 56% of those with accounting degrees had the CHAE, only 14% of those with hospitality management </w:t>
      </w:r>
      <w:r w:rsidR="00976368">
        <w:t>degrees had</w:t>
      </w:r>
      <w:r w:rsidR="006D6022">
        <w:t xml:space="preserve"> the CHAE.  Of the 21% who reported to have earned a graduate degree, almost 40% of them held the CHAE.</w:t>
      </w:r>
      <w:r w:rsidR="007B2D64">
        <w:t xml:space="preserve">  </w:t>
      </w:r>
    </w:p>
    <w:p w:rsidR="006D6022" w:rsidRDefault="006D6022" w:rsidP="00C960AD">
      <w:pPr>
        <w:spacing w:line="480" w:lineRule="auto"/>
        <w:contextualSpacing/>
      </w:pPr>
      <w:r>
        <w:t xml:space="preserve">     Gender-wise, the breakdown of respondents was 54% male and 46% female. It is interesting to note </w:t>
      </w:r>
      <w:r w:rsidR="00976368">
        <w:t>that percent</w:t>
      </w:r>
      <w:r>
        <w:t xml:space="preserve"> of respondents without the CHAE was almost exactly 50% male and 50% female.  However, almost </w:t>
      </w:r>
      <w:r w:rsidR="005C160E">
        <w:t>42</w:t>
      </w:r>
      <w:r>
        <w:t>% of the male respondents held the CHAE while only 3</w:t>
      </w:r>
      <w:r w:rsidR="005C160E">
        <w:t>2</w:t>
      </w:r>
      <w:r>
        <w:t xml:space="preserve">% of the </w:t>
      </w:r>
      <w:r w:rsidR="00976368">
        <w:t>female</w:t>
      </w:r>
      <w:r>
        <w:t xml:space="preserve"> respondents held the certification.  As expected, the percent holding the CHAE increased with age.  For example, 42% aged 40-50 </w:t>
      </w:r>
      <w:r w:rsidR="005C160E">
        <w:t xml:space="preserve">and 35% aged 51-60 </w:t>
      </w:r>
      <w:r>
        <w:t>held the CHAE while just over 10% of those aged 30-40 held the CHAE.</w:t>
      </w:r>
      <w:r w:rsidR="005C160E">
        <w:t xml:space="preserve">  Further, no respondents less than 30 years of age have earned the CHAE.  </w:t>
      </w:r>
      <w:r w:rsidR="00383D00">
        <w:t>See Table 1 for more details.</w:t>
      </w:r>
    </w:p>
    <w:p w:rsidR="00E80F70" w:rsidRDefault="00E80F70" w:rsidP="00E80F70">
      <w:pPr>
        <w:tabs>
          <w:tab w:val="left" w:pos="360"/>
        </w:tabs>
        <w:spacing w:line="480" w:lineRule="auto"/>
        <w:contextualSpacing/>
        <w:rPr>
          <w:b/>
        </w:rPr>
      </w:pPr>
      <w:r>
        <w:tab/>
      </w:r>
      <w:r>
        <w:rPr>
          <w:b/>
        </w:rPr>
        <w:t>Table 1 – Characteristics of Respondents</w:t>
      </w:r>
    </w:p>
    <w:p w:rsidR="00E80F70" w:rsidRDefault="00E80F70" w:rsidP="00E80F70">
      <w:pPr>
        <w:pStyle w:val="ListParagraph"/>
        <w:numPr>
          <w:ilvl w:val="0"/>
          <w:numId w:val="1"/>
        </w:numPr>
        <w:spacing w:line="480" w:lineRule="auto"/>
      </w:pPr>
      <w:r>
        <w:t>Accounting Certifications Earned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18"/>
        <w:gridCol w:w="1206"/>
        <w:gridCol w:w="1206"/>
      </w:tblGrid>
      <w:tr w:rsidR="00E80F70" w:rsidTr="0054494D">
        <w:trPr>
          <w:trHeight w:val="20"/>
        </w:trPr>
        <w:tc>
          <w:tcPr>
            <w:tcW w:w="1818" w:type="dxa"/>
            <w:vAlign w:val="center"/>
          </w:tcPr>
          <w:p w:rsidR="00E80F70" w:rsidRDefault="00E80F70" w:rsidP="0054494D">
            <w:pPr>
              <w:pStyle w:val="ListParagraph"/>
              <w:ind w:left="0"/>
            </w:pPr>
          </w:p>
        </w:tc>
        <w:tc>
          <w:tcPr>
            <w:tcW w:w="1206" w:type="dxa"/>
            <w:vAlign w:val="center"/>
          </w:tcPr>
          <w:p w:rsidR="00E80F70" w:rsidRDefault="00E80F70" w:rsidP="0054494D">
            <w:pPr>
              <w:pStyle w:val="ListParagraph"/>
              <w:ind w:left="0" w:right="4"/>
              <w:jc w:val="center"/>
            </w:pPr>
            <w:r w:rsidRPr="00C83B87">
              <w:rPr>
                <w:b/>
                <w:u w:val="single"/>
              </w:rPr>
              <w:t>n</w:t>
            </w:r>
          </w:p>
        </w:tc>
        <w:tc>
          <w:tcPr>
            <w:tcW w:w="1206" w:type="dxa"/>
            <w:vAlign w:val="center"/>
          </w:tcPr>
          <w:p w:rsidR="00E80F70" w:rsidRDefault="00E80F70" w:rsidP="0054494D">
            <w:pPr>
              <w:pStyle w:val="ListParagraph"/>
              <w:ind w:left="0" w:right="4"/>
              <w:jc w:val="center"/>
            </w:pPr>
            <w:r w:rsidRPr="00A31025">
              <w:rPr>
                <w:b/>
                <w:u w:val="single"/>
              </w:rPr>
              <w:t>%</w:t>
            </w:r>
          </w:p>
        </w:tc>
      </w:tr>
      <w:tr w:rsidR="00E80F70" w:rsidTr="0054494D">
        <w:trPr>
          <w:trHeight w:val="20"/>
        </w:trPr>
        <w:tc>
          <w:tcPr>
            <w:tcW w:w="1818" w:type="dxa"/>
            <w:vAlign w:val="center"/>
          </w:tcPr>
          <w:p w:rsidR="00E80F70" w:rsidRDefault="00E80F70" w:rsidP="0054494D">
            <w:pPr>
              <w:pStyle w:val="ListParagraph"/>
              <w:ind w:left="0"/>
            </w:pPr>
            <w:r>
              <w:t>CHAE</w:t>
            </w:r>
          </w:p>
        </w:tc>
        <w:tc>
          <w:tcPr>
            <w:tcW w:w="1206" w:type="dxa"/>
            <w:vAlign w:val="center"/>
          </w:tcPr>
          <w:p w:rsidR="00E80F70" w:rsidRDefault="00E80F70" w:rsidP="0054494D">
            <w:pPr>
              <w:pStyle w:val="ListParagraph"/>
              <w:ind w:left="0" w:right="331"/>
              <w:jc w:val="right"/>
            </w:pPr>
            <w:r>
              <w:t>144</w:t>
            </w:r>
          </w:p>
        </w:tc>
        <w:tc>
          <w:tcPr>
            <w:tcW w:w="1206" w:type="dxa"/>
            <w:vAlign w:val="center"/>
          </w:tcPr>
          <w:p w:rsidR="00E80F70" w:rsidRDefault="00E80F70" w:rsidP="0054494D">
            <w:pPr>
              <w:pStyle w:val="ListParagraph"/>
              <w:tabs>
                <w:tab w:val="decimal" w:pos="486"/>
              </w:tabs>
              <w:ind w:left="0" w:right="130"/>
            </w:pPr>
            <w:r>
              <w:t>37.4%</w:t>
            </w:r>
          </w:p>
        </w:tc>
      </w:tr>
      <w:tr w:rsidR="00E80F70" w:rsidTr="0054494D">
        <w:trPr>
          <w:trHeight w:val="20"/>
        </w:trPr>
        <w:tc>
          <w:tcPr>
            <w:tcW w:w="1818" w:type="dxa"/>
            <w:vAlign w:val="center"/>
          </w:tcPr>
          <w:p w:rsidR="00E80F70" w:rsidRDefault="00E80F70" w:rsidP="0054494D">
            <w:pPr>
              <w:pStyle w:val="ListParagraph"/>
              <w:ind w:left="0"/>
            </w:pPr>
            <w:r>
              <w:t>CPA</w:t>
            </w:r>
          </w:p>
        </w:tc>
        <w:tc>
          <w:tcPr>
            <w:tcW w:w="1206" w:type="dxa"/>
            <w:vAlign w:val="center"/>
          </w:tcPr>
          <w:p w:rsidR="00E80F70" w:rsidRDefault="00E80F70" w:rsidP="0054494D">
            <w:pPr>
              <w:pStyle w:val="ListParagraph"/>
              <w:ind w:left="0" w:right="331"/>
              <w:jc w:val="right"/>
            </w:pPr>
            <w:r>
              <w:t>87</w:t>
            </w:r>
          </w:p>
        </w:tc>
        <w:tc>
          <w:tcPr>
            <w:tcW w:w="1206" w:type="dxa"/>
            <w:vAlign w:val="center"/>
          </w:tcPr>
          <w:p w:rsidR="00E80F70" w:rsidRDefault="00E80F70" w:rsidP="0054494D">
            <w:pPr>
              <w:pStyle w:val="ListParagraph"/>
              <w:tabs>
                <w:tab w:val="decimal" w:pos="486"/>
                <w:tab w:val="left" w:pos="702"/>
              </w:tabs>
              <w:ind w:left="0" w:right="288"/>
            </w:pPr>
            <w:r>
              <w:tab/>
              <w:t>22.6</w:t>
            </w:r>
          </w:p>
        </w:tc>
      </w:tr>
      <w:tr w:rsidR="00E80F70" w:rsidTr="0054494D">
        <w:trPr>
          <w:trHeight w:val="20"/>
        </w:trPr>
        <w:tc>
          <w:tcPr>
            <w:tcW w:w="1818" w:type="dxa"/>
            <w:vAlign w:val="center"/>
          </w:tcPr>
          <w:p w:rsidR="00E80F70" w:rsidRDefault="00E80F70" w:rsidP="0054494D">
            <w:pPr>
              <w:pStyle w:val="ListParagraph"/>
              <w:ind w:left="0"/>
            </w:pPr>
            <w:r>
              <w:t>CIA</w:t>
            </w:r>
          </w:p>
        </w:tc>
        <w:tc>
          <w:tcPr>
            <w:tcW w:w="1206" w:type="dxa"/>
            <w:vAlign w:val="center"/>
          </w:tcPr>
          <w:p w:rsidR="00E80F70" w:rsidRDefault="00E80F70" w:rsidP="0054494D">
            <w:pPr>
              <w:pStyle w:val="ListParagraph"/>
              <w:ind w:left="0" w:right="331"/>
              <w:jc w:val="right"/>
            </w:pPr>
            <w:r>
              <w:t>3</w:t>
            </w:r>
          </w:p>
        </w:tc>
        <w:tc>
          <w:tcPr>
            <w:tcW w:w="1206" w:type="dxa"/>
            <w:vAlign w:val="center"/>
          </w:tcPr>
          <w:p w:rsidR="00E80F70" w:rsidRDefault="00E80F70" w:rsidP="0054494D">
            <w:pPr>
              <w:pStyle w:val="ListParagraph"/>
              <w:tabs>
                <w:tab w:val="decimal" w:pos="486"/>
                <w:tab w:val="left" w:pos="702"/>
              </w:tabs>
              <w:ind w:left="0" w:right="288"/>
            </w:pPr>
            <w:r>
              <w:tab/>
              <w:t>0.8</w:t>
            </w:r>
          </w:p>
        </w:tc>
      </w:tr>
      <w:tr w:rsidR="00E80F70" w:rsidTr="0054494D">
        <w:trPr>
          <w:trHeight w:val="20"/>
        </w:trPr>
        <w:tc>
          <w:tcPr>
            <w:tcW w:w="1818" w:type="dxa"/>
            <w:vAlign w:val="center"/>
          </w:tcPr>
          <w:p w:rsidR="00E80F70" w:rsidRDefault="00E80F70" w:rsidP="0054494D">
            <w:pPr>
              <w:pStyle w:val="ListParagraph"/>
              <w:ind w:left="0"/>
            </w:pPr>
            <w:r>
              <w:t>CMA</w:t>
            </w:r>
          </w:p>
        </w:tc>
        <w:tc>
          <w:tcPr>
            <w:tcW w:w="1206" w:type="dxa"/>
            <w:vAlign w:val="center"/>
          </w:tcPr>
          <w:p w:rsidR="00E80F70" w:rsidRDefault="00E80F70" w:rsidP="0054494D">
            <w:pPr>
              <w:pStyle w:val="ListParagraph"/>
              <w:ind w:left="0" w:right="331"/>
              <w:jc w:val="right"/>
            </w:pPr>
            <w:r>
              <w:t>8</w:t>
            </w:r>
          </w:p>
        </w:tc>
        <w:tc>
          <w:tcPr>
            <w:tcW w:w="1206" w:type="dxa"/>
            <w:vAlign w:val="center"/>
          </w:tcPr>
          <w:p w:rsidR="00E80F70" w:rsidRDefault="00E80F70" w:rsidP="0054494D">
            <w:pPr>
              <w:pStyle w:val="ListParagraph"/>
              <w:tabs>
                <w:tab w:val="decimal" w:pos="486"/>
                <w:tab w:val="left" w:pos="702"/>
              </w:tabs>
              <w:ind w:left="0" w:right="288"/>
            </w:pPr>
            <w:r>
              <w:tab/>
              <w:t>2.1</w:t>
            </w:r>
          </w:p>
        </w:tc>
      </w:tr>
      <w:tr w:rsidR="00E80F70" w:rsidTr="0054494D">
        <w:trPr>
          <w:trHeight w:val="20"/>
        </w:trPr>
        <w:tc>
          <w:tcPr>
            <w:tcW w:w="1818" w:type="dxa"/>
            <w:vAlign w:val="center"/>
          </w:tcPr>
          <w:p w:rsidR="00E80F70" w:rsidRDefault="00E80F70" w:rsidP="0054494D">
            <w:pPr>
              <w:pStyle w:val="ListParagraph"/>
              <w:ind w:left="0"/>
            </w:pPr>
            <w:r>
              <w:t>CHTP</w:t>
            </w:r>
          </w:p>
        </w:tc>
        <w:tc>
          <w:tcPr>
            <w:tcW w:w="1206" w:type="dxa"/>
            <w:vAlign w:val="center"/>
          </w:tcPr>
          <w:p w:rsidR="00E80F70" w:rsidRDefault="00E80F70" w:rsidP="0054494D">
            <w:pPr>
              <w:pStyle w:val="ListParagraph"/>
              <w:ind w:left="0" w:right="331"/>
              <w:jc w:val="right"/>
            </w:pPr>
            <w:r>
              <w:t>11</w:t>
            </w:r>
          </w:p>
        </w:tc>
        <w:tc>
          <w:tcPr>
            <w:tcW w:w="1206" w:type="dxa"/>
            <w:vAlign w:val="center"/>
          </w:tcPr>
          <w:p w:rsidR="00E80F70" w:rsidRDefault="00E80F70" w:rsidP="0054494D">
            <w:pPr>
              <w:pStyle w:val="ListParagraph"/>
              <w:tabs>
                <w:tab w:val="decimal" w:pos="486"/>
                <w:tab w:val="left" w:pos="702"/>
              </w:tabs>
              <w:ind w:left="0" w:right="288"/>
            </w:pPr>
            <w:r>
              <w:tab/>
              <w:t>2.9</w:t>
            </w:r>
          </w:p>
        </w:tc>
      </w:tr>
      <w:tr w:rsidR="00E80F70" w:rsidTr="0054494D">
        <w:trPr>
          <w:trHeight w:val="20"/>
        </w:trPr>
        <w:tc>
          <w:tcPr>
            <w:tcW w:w="1818" w:type="dxa"/>
            <w:vAlign w:val="center"/>
          </w:tcPr>
          <w:p w:rsidR="00E80F70" w:rsidRDefault="00E80F70" w:rsidP="0054494D">
            <w:pPr>
              <w:pStyle w:val="ListParagraph"/>
              <w:ind w:left="0"/>
            </w:pPr>
            <w:r>
              <w:t>Other</w:t>
            </w:r>
          </w:p>
        </w:tc>
        <w:tc>
          <w:tcPr>
            <w:tcW w:w="1206" w:type="dxa"/>
            <w:vAlign w:val="center"/>
          </w:tcPr>
          <w:p w:rsidR="00E80F70" w:rsidRDefault="00E80F70" w:rsidP="0054494D">
            <w:pPr>
              <w:pStyle w:val="ListParagraph"/>
              <w:ind w:left="0" w:right="331"/>
              <w:jc w:val="right"/>
            </w:pPr>
            <w:r>
              <w:t>27</w:t>
            </w:r>
          </w:p>
        </w:tc>
        <w:tc>
          <w:tcPr>
            <w:tcW w:w="1206" w:type="dxa"/>
            <w:vAlign w:val="center"/>
          </w:tcPr>
          <w:p w:rsidR="00E80F70" w:rsidRDefault="00E80F70" w:rsidP="0054494D">
            <w:pPr>
              <w:pStyle w:val="ListParagraph"/>
              <w:tabs>
                <w:tab w:val="decimal" w:pos="486"/>
                <w:tab w:val="left" w:pos="702"/>
              </w:tabs>
              <w:ind w:left="0" w:right="288"/>
            </w:pPr>
            <w:r>
              <w:tab/>
              <w:t>7.0</w:t>
            </w:r>
          </w:p>
        </w:tc>
      </w:tr>
    </w:tbl>
    <w:p w:rsidR="00E80F70" w:rsidRDefault="00E80F70" w:rsidP="00E80F70">
      <w:pPr>
        <w:pStyle w:val="ListParagraph"/>
        <w:spacing w:line="480" w:lineRule="auto"/>
      </w:pPr>
    </w:p>
    <w:p w:rsidR="00E80F70" w:rsidRDefault="00E80F70" w:rsidP="00E80F70">
      <w:pPr>
        <w:pStyle w:val="ListParagraph"/>
        <w:numPr>
          <w:ilvl w:val="0"/>
          <w:numId w:val="1"/>
        </w:numPr>
        <w:spacing w:line="480" w:lineRule="auto"/>
      </w:pPr>
      <w:r>
        <w:t>Highest level of education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206"/>
        <w:gridCol w:w="1206"/>
      </w:tblGrid>
      <w:tr w:rsidR="00E80F70" w:rsidRPr="00C83B87" w:rsidTr="0054494D">
        <w:tc>
          <w:tcPr>
            <w:tcW w:w="1818" w:type="dxa"/>
            <w:vAlign w:val="center"/>
          </w:tcPr>
          <w:p w:rsidR="00E80F70" w:rsidRPr="00C83B87" w:rsidRDefault="00E80F70" w:rsidP="0054494D">
            <w:pPr>
              <w:pStyle w:val="ListParagraph"/>
              <w:ind w:left="0"/>
              <w:jc w:val="center"/>
              <w:rPr>
                <w:b/>
              </w:rPr>
            </w:pPr>
          </w:p>
        </w:tc>
        <w:tc>
          <w:tcPr>
            <w:tcW w:w="1206" w:type="dxa"/>
            <w:vAlign w:val="center"/>
          </w:tcPr>
          <w:p w:rsidR="00E80F70" w:rsidRPr="00C83B87" w:rsidRDefault="00E80F70" w:rsidP="0054494D">
            <w:pPr>
              <w:pStyle w:val="ListParagraph"/>
              <w:ind w:left="0"/>
              <w:jc w:val="center"/>
              <w:rPr>
                <w:b/>
                <w:u w:val="single"/>
              </w:rPr>
            </w:pPr>
            <w:r w:rsidRPr="00C83B87">
              <w:rPr>
                <w:b/>
                <w:u w:val="single"/>
              </w:rPr>
              <w:t>n</w:t>
            </w:r>
          </w:p>
        </w:tc>
        <w:tc>
          <w:tcPr>
            <w:tcW w:w="1206" w:type="dxa"/>
            <w:vAlign w:val="center"/>
          </w:tcPr>
          <w:p w:rsidR="00E80F70" w:rsidRPr="00A31025" w:rsidRDefault="00E80F70" w:rsidP="0054494D">
            <w:pPr>
              <w:pStyle w:val="ListParagraph"/>
              <w:ind w:left="0"/>
              <w:jc w:val="center"/>
              <w:rPr>
                <w:b/>
                <w:u w:val="single"/>
              </w:rPr>
            </w:pPr>
            <w:r w:rsidRPr="00A31025">
              <w:rPr>
                <w:b/>
                <w:u w:val="single"/>
              </w:rPr>
              <w:t>%</w:t>
            </w:r>
          </w:p>
        </w:tc>
      </w:tr>
      <w:tr w:rsidR="00E80F70" w:rsidTr="0054494D">
        <w:tc>
          <w:tcPr>
            <w:tcW w:w="1818" w:type="dxa"/>
            <w:vAlign w:val="center"/>
          </w:tcPr>
          <w:p w:rsidR="00E80F70" w:rsidRDefault="00E80F70" w:rsidP="0054494D">
            <w:pPr>
              <w:pStyle w:val="ListParagraph"/>
              <w:ind w:left="0"/>
            </w:pPr>
            <w:r>
              <w:t>High school</w:t>
            </w:r>
          </w:p>
        </w:tc>
        <w:tc>
          <w:tcPr>
            <w:tcW w:w="1206" w:type="dxa"/>
            <w:vAlign w:val="center"/>
          </w:tcPr>
          <w:p w:rsidR="00E80F70" w:rsidRDefault="00E80F70" w:rsidP="0054494D">
            <w:pPr>
              <w:pStyle w:val="ListParagraph"/>
              <w:ind w:left="0" w:right="331"/>
              <w:jc w:val="right"/>
            </w:pPr>
            <w:r>
              <w:t>2</w:t>
            </w:r>
          </w:p>
        </w:tc>
        <w:tc>
          <w:tcPr>
            <w:tcW w:w="1206" w:type="dxa"/>
            <w:vAlign w:val="center"/>
          </w:tcPr>
          <w:p w:rsidR="00E80F70" w:rsidRDefault="00E80F70" w:rsidP="0054494D">
            <w:pPr>
              <w:pStyle w:val="ListParagraph"/>
              <w:tabs>
                <w:tab w:val="decimal" w:pos="486"/>
              </w:tabs>
              <w:ind w:left="0" w:right="130"/>
            </w:pPr>
            <w:r>
              <w:t>0.5%</w:t>
            </w:r>
          </w:p>
        </w:tc>
      </w:tr>
      <w:tr w:rsidR="00E80F70" w:rsidTr="0054494D">
        <w:tc>
          <w:tcPr>
            <w:tcW w:w="1818" w:type="dxa"/>
            <w:vAlign w:val="center"/>
          </w:tcPr>
          <w:p w:rsidR="00E80F70" w:rsidRDefault="00E80F70" w:rsidP="0054494D">
            <w:pPr>
              <w:pStyle w:val="ListParagraph"/>
              <w:ind w:left="0"/>
            </w:pPr>
            <w:r>
              <w:t>Some college</w:t>
            </w:r>
          </w:p>
        </w:tc>
        <w:tc>
          <w:tcPr>
            <w:tcW w:w="1206" w:type="dxa"/>
            <w:vAlign w:val="center"/>
          </w:tcPr>
          <w:p w:rsidR="00E80F70" w:rsidRDefault="00E80F70" w:rsidP="0054494D">
            <w:pPr>
              <w:pStyle w:val="ListParagraph"/>
              <w:ind w:left="0" w:right="331"/>
              <w:jc w:val="right"/>
            </w:pPr>
            <w:r>
              <w:t>33</w:t>
            </w:r>
          </w:p>
        </w:tc>
        <w:tc>
          <w:tcPr>
            <w:tcW w:w="1206" w:type="dxa"/>
            <w:vAlign w:val="center"/>
          </w:tcPr>
          <w:p w:rsidR="00E80F70" w:rsidRDefault="00E80F70" w:rsidP="0054494D">
            <w:pPr>
              <w:pStyle w:val="ListParagraph"/>
              <w:tabs>
                <w:tab w:val="decimal" w:pos="486"/>
                <w:tab w:val="left" w:pos="702"/>
              </w:tabs>
              <w:ind w:left="0" w:right="288"/>
            </w:pPr>
            <w:r>
              <w:tab/>
              <w:t>8.6</w:t>
            </w:r>
          </w:p>
        </w:tc>
      </w:tr>
      <w:tr w:rsidR="00E80F70" w:rsidTr="0054494D">
        <w:tc>
          <w:tcPr>
            <w:tcW w:w="1818" w:type="dxa"/>
            <w:vAlign w:val="center"/>
          </w:tcPr>
          <w:p w:rsidR="00E80F70" w:rsidRDefault="00E80F70" w:rsidP="0054494D">
            <w:pPr>
              <w:pStyle w:val="ListParagraph"/>
              <w:ind w:left="0"/>
            </w:pPr>
            <w:r>
              <w:t>Associates</w:t>
            </w:r>
          </w:p>
        </w:tc>
        <w:tc>
          <w:tcPr>
            <w:tcW w:w="1206" w:type="dxa"/>
            <w:vAlign w:val="center"/>
          </w:tcPr>
          <w:p w:rsidR="00E80F70" w:rsidRDefault="00E80F70" w:rsidP="0054494D">
            <w:pPr>
              <w:pStyle w:val="ListParagraph"/>
              <w:ind w:left="0" w:right="331"/>
              <w:jc w:val="right"/>
            </w:pPr>
            <w:r>
              <w:t>8</w:t>
            </w:r>
          </w:p>
        </w:tc>
        <w:tc>
          <w:tcPr>
            <w:tcW w:w="1206" w:type="dxa"/>
            <w:vAlign w:val="center"/>
          </w:tcPr>
          <w:p w:rsidR="00E80F70" w:rsidRDefault="00E80F70" w:rsidP="0054494D">
            <w:pPr>
              <w:pStyle w:val="ListParagraph"/>
              <w:tabs>
                <w:tab w:val="decimal" w:pos="486"/>
                <w:tab w:val="left" w:pos="702"/>
              </w:tabs>
              <w:ind w:left="0" w:right="288"/>
            </w:pPr>
            <w:r>
              <w:tab/>
              <w:t>2.1</w:t>
            </w:r>
          </w:p>
        </w:tc>
      </w:tr>
      <w:tr w:rsidR="00E80F70" w:rsidTr="0054494D">
        <w:tc>
          <w:tcPr>
            <w:tcW w:w="1818" w:type="dxa"/>
            <w:vAlign w:val="center"/>
          </w:tcPr>
          <w:p w:rsidR="00E80F70" w:rsidRDefault="00E80F70" w:rsidP="0054494D">
            <w:pPr>
              <w:pStyle w:val="ListParagraph"/>
              <w:ind w:left="0"/>
            </w:pPr>
            <w:r>
              <w:t>Bachelors</w:t>
            </w:r>
          </w:p>
        </w:tc>
        <w:tc>
          <w:tcPr>
            <w:tcW w:w="1206" w:type="dxa"/>
            <w:vAlign w:val="center"/>
          </w:tcPr>
          <w:p w:rsidR="00E80F70" w:rsidRDefault="00E80F70" w:rsidP="0054494D">
            <w:pPr>
              <w:pStyle w:val="ListParagraph"/>
              <w:ind w:left="0" w:right="331"/>
              <w:jc w:val="right"/>
            </w:pPr>
            <w:r>
              <w:t>256</w:t>
            </w:r>
          </w:p>
        </w:tc>
        <w:tc>
          <w:tcPr>
            <w:tcW w:w="1206" w:type="dxa"/>
            <w:vAlign w:val="center"/>
          </w:tcPr>
          <w:p w:rsidR="00E80F70" w:rsidRDefault="00E80F70" w:rsidP="0054494D">
            <w:pPr>
              <w:pStyle w:val="ListParagraph"/>
              <w:tabs>
                <w:tab w:val="decimal" w:pos="486"/>
                <w:tab w:val="left" w:pos="702"/>
              </w:tabs>
              <w:ind w:left="0" w:right="288"/>
            </w:pPr>
            <w:r>
              <w:tab/>
              <w:t>66.8</w:t>
            </w:r>
          </w:p>
        </w:tc>
      </w:tr>
      <w:tr w:rsidR="00E80F70" w:rsidTr="0054494D">
        <w:tc>
          <w:tcPr>
            <w:tcW w:w="1818" w:type="dxa"/>
            <w:vAlign w:val="center"/>
          </w:tcPr>
          <w:p w:rsidR="00E80F70" w:rsidRDefault="00E80F70" w:rsidP="0054494D">
            <w:pPr>
              <w:pStyle w:val="ListParagraph"/>
              <w:ind w:left="0"/>
            </w:pPr>
            <w:r>
              <w:t>Masters</w:t>
            </w:r>
          </w:p>
        </w:tc>
        <w:tc>
          <w:tcPr>
            <w:tcW w:w="1206" w:type="dxa"/>
            <w:vAlign w:val="center"/>
          </w:tcPr>
          <w:p w:rsidR="00E80F70" w:rsidRDefault="00E80F70" w:rsidP="0054494D">
            <w:pPr>
              <w:pStyle w:val="ListParagraph"/>
              <w:ind w:left="0" w:right="331"/>
              <w:jc w:val="right"/>
            </w:pPr>
            <w:r>
              <w:t>78</w:t>
            </w:r>
          </w:p>
        </w:tc>
        <w:tc>
          <w:tcPr>
            <w:tcW w:w="1206" w:type="dxa"/>
            <w:vAlign w:val="center"/>
          </w:tcPr>
          <w:p w:rsidR="00E80F70" w:rsidRDefault="00E80F70" w:rsidP="0054494D">
            <w:pPr>
              <w:pStyle w:val="ListParagraph"/>
              <w:tabs>
                <w:tab w:val="decimal" w:pos="486"/>
                <w:tab w:val="left" w:pos="702"/>
              </w:tabs>
              <w:ind w:left="0" w:right="288"/>
            </w:pPr>
            <w:r>
              <w:tab/>
              <w:t>20.4</w:t>
            </w:r>
          </w:p>
        </w:tc>
      </w:tr>
      <w:tr w:rsidR="00E80F70" w:rsidTr="0054494D">
        <w:tc>
          <w:tcPr>
            <w:tcW w:w="1818" w:type="dxa"/>
            <w:vAlign w:val="center"/>
          </w:tcPr>
          <w:p w:rsidR="00E80F70" w:rsidRDefault="00E80F70" w:rsidP="0054494D">
            <w:pPr>
              <w:pStyle w:val="ListParagraph"/>
              <w:ind w:left="0"/>
            </w:pPr>
            <w:r>
              <w:t>Other</w:t>
            </w:r>
          </w:p>
        </w:tc>
        <w:tc>
          <w:tcPr>
            <w:tcW w:w="1206" w:type="dxa"/>
            <w:vAlign w:val="center"/>
          </w:tcPr>
          <w:p w:rsidR="00E80F70" w:rsidRPr="00206F52" w:rsidRDefault="00E80F70" w:rsidP="0054494D">
            <w:pPr>
              <w:pStyle w:val="ListParagraph"/>
              <w:ind w:left="0" w:right="331"/>
              <w:jc w:val="right"/>
              <w:rPr>
                <w:u w:val="single"/>
              </w:rPr>
            </w:pPr>
            <w:r>
              <w:rPr>
                <w:u w:val="single"/>
              </w:rPr>
              <w:t xml:space="preserve">   6</w:t>
            </w:r>
          </w:p>
        </w:tc>
        <w:tc>
          <w:tcPr>
            <w:tcW w:w="1206" w:type="dxa"/>
            <w:vAlign w:val="center"/>
          </w:tcPr>
          <w:p w:rsidR="00E80F70" w:rsidRPr="00206F52" w:rsidRDefault="00E80F70" w:rsidP="0054494D">
            <w:pPr>
              <w:pStyle w:val="ListParagraph"/>
              <w:tabs>
                <w:tab w:val="decimal" w:pos="486"/>
                <w:tab w:val="left" w:pos="702"/>
              </w:tabs>
              <w:ind w:left="0" w:right="288"/>
              <w:rPr>
                <w:u w:val="single"/>
              </w:rPr>
            </w:pPr>
            <w:r w:rsidRPr="0002790A">
              <w:tab/>
            </w:r>
            <w:r>
              <w:rPr>
                <w:u w:val="single"/>
              </w:rPr>
              <w:t xml:space="preserve"> 1.6</w:t>
            </w:r>
          </w:p>
        </w:tc>
      </w:tr>
      <w:tr w:rsidR="00E80F70" w:rsidTr="0054494D">
        <w:tc>
          <w:tcPr>
            <w:tcW w:w="1818" w:type="dxa"/>
            <w:vAlign w:val="center"/>
          </w:tcPr>
          <w:p w:rsidR="00E80F70" w:rsidRDefault="00E80F70" w:rsidP="0054494D">
            <w:pPr>
              <w:pStyle w:val="ListParagraph"/>
              <w:ind w:left="0"/>
              <w:jc w:val="right"/>
            </w:pPr>
            <w:r>
              <w:t>Total</w:t>
            </w:r>
          </w:p>
        </w:tc>
        <w:tc>
          <w:tcPr>
            <w:tcW w:w="1206" w:type="dxa"/>
            <w:vAlign w:val="center"/>
          </w:tcPr>
          <w:p w:rsidR="00E80F70" w:rsidRPr="00206F52" w:rsidRDefault="00381FED" w:rsidP="0054494D">
            <w:pPr>
              <w:pStyle w:val="ListParagraph"/>
              <w:ind w:left="0" w:right="331"/>
              <w:jc w:val="right"/>
              <w:rPr>
                <w:u w:val="double"/>
              </w:rPr>
            </w:pPr>
            <w:r>
              <w:rPr>
                <w:u w:val="double"/>
              </w:rPr>
              <w:t>3</w:t>
            </w:r>
            <w:r w:rsidR="00E80F70" w:rsidRPr="00206F52">
              <w:rPr>
                <w:u w:val="double"/>
              </w:rPr>
              <w:t>83</w:t>
            </w:r>
          </w:p>
        </w:tc>
        <w:tc>
          <w:tcPr>
            <w:tcW w:w="1206" w:type="dxa"/>
            <w:vAlign w:val="center"/>
          </w:tcPr>
          <w:p w:rsidR="00E80F70" w:rsidRPr="00206F52" w:rsidRDefault="00E80F70" w:rsidP="0054494D">
            <w:pPr>
              <w:pStyle w:val="ListParagraph"/>
              <w:tabs>
                <w:tab w:val="left" w:pos="306"/>
              </w:tabs>
              <w:ind w:left="0" w:right="130"/>
            </w:pPr>
            <w:r w:rsidRPr="0002790A">
              <w:tab/>
            </w:r>
            <w:r w:rsidRPr="00206F52">
              <w:rPr>
                <w:u w:val="double"/>
              </w:rPr>
              <w:t>100</w:t>
            </w:r>
            <w:r w:rsidRPr="00206F52">
              <w:t>%</w:t>
            </w:r>
          </w:p>
        </w:tc>
      </w:tr>
    </w:tbl>
    <w:p w:rsidR="00E80F70" w:rsidRDefault="00E80F70" w:rsidP="00E80F70"/>
    <w:p w:rsidR="00E80F70" w:rsidRDefault="00E80F70" w:rsidP="00E80F70">
      <w:pPr>
        <w:pStyle w:val="ListParagraph"/>
        <w:numPr>
          <w:ilvl w:val="0"/>
          <w:numId w:val="1"/>
        </w:numPr>
        <w:spacing w:line="480" w:lineRule="auto"/>
      </w:pPr>
      <w:r>
        <w:t>Years hospitality industry accounting/finance experience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071"/>
        <w:gridCol w:w="1071"/>
      </w:tblGrid>
      <w:tr w:rsidR="00E80F70" w:rsidRPr="00C83B87" w:rsidTr="0054494D">
        <w:tc>
          <w:tcPr>
            <w:tcW w:w="1818" w:type="dxa"/>
            <w:vAlign w:val="center"/>
          </w:tcPr>
          <w:p w:rsidR="00E80F70" w:rsidRPr="00C83B87" w:rsidRDefault="00E80F70" w:rsidP="0054494D">
            <w:pPr>
              <w:pStyle w:val="ListParagraph"/>
              <w:ind w:left="0"/>
              <w:jc w:val="center"/>
              <w:rPr>
                <w:b/>
              </w:rPr>
            </w:pPr>
          </w:p>
        </w:tc>
        <w:tc>
          <w:tcPr>
            <w:tcW w:w="1071" w:type="dxa"/>
            <w:vAlign w:val="center"/>
          </w:tcPr>
          <w:p w:rsidR="00E80F70" w:rsidRPr="00C83B87" w:rsidRDefault="00E80F70" w:rsidP="0054494D">
            <w:pPr>
              <w:pStyle w:val="ListParagraph"/>
              <w:ind w:left="0"/>
              <w:jc w:val="center"/>
              <w:rPr>
                <w:b/>
                <w:u w:val="single"/>
              </w:rPr>
            </w:pPr>
            <w:r w:rsidRPr="00C83B87">
              <w:rPr>
                <w:b/>
                <w:u w:val="single"/>
              </w:rPr>
              <w:t>n</w:t>
            </w:r>
          </w:p>
        </w:tc>
        <w:tc>
          <w:tcPr>
            <w:tcW w:w="1071" w:type="dxa"/>
            <w:vAlign w:val="center"/>
          </w:tcPr>
          <w:p w:rsidR="00E80F70" w:rsidRPr="00A31025" w:rsidRDefault="00E80F70" w:rsidP="0054494D">
            <w:pPr>
              <w:pStyle w:val="ListParagraph"/>
              <w:ind w:left="0"/>
              <w:jc w:val="center"/>
              <w:rPr>
                <w:b/>
                <w:u w:val="single"/>
              </w:rPr>
            </w:pPr>
            <w:r w:rsidRPr="00A31025">
              <w:rPr>
                <w:b/>
                <w:u w:val="single"/>
              </w:rPr>
              <w:t>%</w:t>
            </w:r>
          </w:p>
        </w:tc>
      </w:tr>
      <w:tr w:rsidR="00E80F70" w:rsidTr="0054494D">
        <w:tc>
          <w:tcPr>
            <w:tcW w:w="1818" w:type="dxa"/>
            <w:vAlign w:val="center"/>
          </w:tcPr>
          <w:p w:rsidR="00E80F70" w:rsidRDefault="00E80F70" w:rsidP="0054494D">
            <w:pPr>
              <w:pStyle w:val="ListParagraph"/>
              <w:ind w:left="0"/>
            </w:pPr>
            <w:r>
              <w:t>&lt; 5 years</w:t>
            </w:r>
          </w:p>
        </w:tc>
        <w:tc>
          <w:tcPr>
            <w:tcW w:w="1071" w:type="dxa"/>
            <w:vAlign w:val="center"/>
          </w:tcPr>
          <w:p w:rsidR="00E80F70" w:rsidRDefault="00E80F70" w:rsidP="0054494D">
            <w:pPr>
              <w:pStyle w:val="ListParagraph"/>
              <w:ind w:left="0" w:right="331"/>
              <w:jc w:val="right"/>
            </w:pPr>
            <w:r>
              <w:t>34</w:t>
            </w:r>
          </w:p>
        </w:tc>
        <w:tc>
          <w:tcPr>
            <w:tcW w:w="1071" w:type="dxa"/>
            <w:vAlign w:val="center"/>
          </w:tcPr>
          <w:p w:rsidR="00E80F70" w:rsidRDefault="00E80F70" w:rsidP="0054494D">
            <w:pPr>
              <w:pStyle w:val="ListParagraph"/>
              <w:ind w:left="0" w:right="130"/>
              <w:jc w:val="right"/>
            </w:pPr>
            <w:r>
              <w:t>8.8%</w:t>
            </w:r>
          </w:p>
        </w:tc>
      </w:tr>
      <w:tr w:rsidR="00E80F70" w:rsidTr="0054494D">
        <w:tc>
          <w:tcPr>
            <w:tcW w:w="1818" w:type="dxa"/>
            <w:vAlign w:val="center"/>
          </w:tcPr>
          <w:p w:rsidR="00E80F70" w:rsidRDefault="00E80F70" w:rsidP="0054494D">
            <w:pPr>
              <w:pStyle w:val="ListParagraph"/>
              <w:ind w:left="0"/>
            </w:pPr>
            <w:r>
              <w:t>5-10</w:t>
            </w:r>
          </w:p>
        </w:tc>
        <w:tc>
          <w:tcPr>
            <w:tcW w:w="1071" w:type="dxa"/>
            <w:vAlign w:val="center"/>
          </w:tcPr>
          <w:p w:rsidR="00E80F70" w:rsidRDefault="00E80F70" w:rsidP="0054494D">
            <w:pPr>
              <w:pStyle w:val="ListParagraph"/>
              <w:ind w:left="0" w:right="331"/>
              <w:jc w:val="right"/>
            </w:pPr>
            <w:r>
              <w:t>49</w:t>
            </w:r>
          </w:p>
        </w:tc>
        <w:tc>
          <w:tcPr>
            <w:tcW w:w="1071" w:type="dxa"/>
            <w:vAlign w:val="center"/>
          </w:tcPr>
          <w:p w:rsidR="00E80F70" w:rsidRDefault="00E80F70" w:rsidP="0054494D">
            <w:pPr>
              <w:pStyle w:val="ListParagraph"/>
              <w:tabs>
                <w:tab w:val="left" w:pos="702"/>
              </w:tabs>
              <w:ind w:left="0" w:right="288"/>
              <w:jc w:val="right"/>
            </w:pPr>
            <w:r>
              <w:t>12.7</w:t>
            </w:r>
          </w:p>
        </w:tc>
      </w:tr>
      <w:tr w:rsidR="00E80F70" w:rsidTr="0054494D">
        <w:tc>
          <w:tcPr>
            <w:tcW w:w="1818" w:type="dxa"/>
            <w:vAlign w:val="center"/>
          </w:tcPr>
          <w:p w:rsidR="00E80F70" w:rsidRDefault="00E80F70" w:rsidP="0054494D">
            <w:pPr>
              <w:pStyle w:val="ListParagraph"/>
              <w:ind w:left="0"/>
            </w:pPr>
            <w:r>
              <w:t>10.1-15</w:t>
            </w:r>
          </w:p>
        </w:tc>
        <w:tc>
          <w:tcPr>
            <w:tcW w:w="1071" w:type="dxa"/>
            <w:vAlign w:val="center"/>
          </w:tcPr>
          <w:p w:rsidR="00E80F70" w:rsidRDefault="00E80F70" w:rsidP="0054494D">
            <w:pPr>
              <w:pStyle w:val="ListParagraph"/>
              <w:ind w:left="0" w:right="331"/>
              <w:jc w:val="right"/>
            </w:pPr>
            <w:r>
              <w:t>66</w:t>
            </w:r>
          </w:p>
        </w:tc>
        <w:tc>
          <w:tcPr>
            <w:tcW w:w="1071" w:type="dxa"/>
            <w:vAlign w:val="center"/>
          </w:tcPr>
          <w:p w:rsidR="00E80F70" w:rsidRDefault="00E80F70" w:rsidP="0054494D">
            <w:pPr>
              <w:pStyle w:val="ListParagraph"/>
              <w:tabs>
                <w:tab w:val="left" w:pos="702"/>
              </w:tabs>
              <w:ind w:left="0" w:right="288"/>
              <w:jc w:val="right"/>
            </w:pPr>
            <w:r>
              <w:t>17.1</w:t>
            </w:r>
          </w:p>
        </w:tc>
      </w:tr>
      <w:tr w:rsidR="00E80F70" w:rsidTr="0054494D">
        <w:tc>
          <w:tcPr>
            <w:tcW w:w="1818" w:type="dxa"/>
            <w:vAlign w:val="center"/>
          </w:tcPr>
          <w:p w:rsidR="00E80F70" w:rsidRDefault="00E80F70" w:rsidP="0054494D">
            <w:pPr>
              <w:pStyle w:val="ListParagraph"/>
              <w:ind w:left="0"/>
            </w:pPr>
            <w:r>
              <w:t>15.1-20</w:t>
            </w:r>
          </w:p>
        </w:tc>
        <w:tc>
          <w:tcPr>
            <w:tcW w:w="1071" w:type="dxa"/>
            <w:vAlign w:val="center"/>
          </w:tcPr>
          <w:p w:rsidR="00E80F70" w:rsidRDefault="00E80F70" w:rsidP="0054494D">
            <w:pPr>
              <w:pStyle w:val="ListParagraph"/>
              <w:ind w:left="0" w:right="331"/>
              <w:jc w:val="right"/>
            </w:pPr>
            <w:r>
              <w:t>60</w:t>
            </w:r>
          </w:p>
        </w:tc>
        <w:tc>
          <w:tcPr>
            <w:tcW w:w="1071" w:type="dxa"/>
            <w:vAlign w:val="center"/>
          </w:tcPr>
          <w:p w:rsidR="00E80F70" w:rsidRDefault="00E80F70" w:rsidP="0054494D">
            <w:pPr>
              <w:pStyle w:val="ListParagraph"/>
              <w:tabs>
                <w:tab w:val="left" w:pos="702"/>
              </w:tabs>
              <w:ind w:left="0" w:right="288"/>
              <w:jc w:val="right"/>
            </w:pPr>
            <w:r>
              <w:t>15.6</w:t>
            </w:r>
          </w:p>
        </w:tc>
      </w:tr>
      <w:tr w:rsidR="00E80F70" w:rsidTr="0054494D">
        <w:tc>
          <w:tcPr>
            <w:tcW w:w="1818" w:type="dxa"/>
            <w:vAlign w:val="center"/>
          </w:tcPr>
          <w:p w:rsidR="00E80F70" w:rsidRDefault="00E80F70" w:rsidP="0054494D">
            <w:pPr>
              <w:pStyle w:val="ListParagraph"/>
              <w:ind w:left="0"/>
            </w:pPr>
            <w:r>
              <w:t>20.1-30</w:t>
            </w:r>
          </w:p>
        </w:tc>
        <w:tc>
          <w:tcPr>
            <w:tcW w:w="1071" w:type="dxa"/>
            <w:vAlign w:val="center"/>
          </w:tcPr>
          <w:p w:rsidR="00E80F70" w:rsidRDefault="00E80F70" w:rsidP="0054494D">
            <w:pPr>
              <w:pStyle w:val="ListParagraph"/>
              <w:ind w:left="0" w:right="331"/>
              <w:jc w:val="right"/>
            </w:pPr>
            <w:r>
              <w:t>122</w:t>
            </w:r>
          </w:p>
        </w:tc>
        <w:tc>
          <w:tcPr>
            <w:tcW w:w="1071" w:type="dxa"/>
            <w:vAlign w:val="center"/>
          </w:tcPr>
          <w:p w:rsidR="00E80F70" w:rsidRDefault="00E80F70" w:rsidP="0054494D">
            <w:pPr>
              <w:pStyle w:val="ListParagraph"/>
              <w:tabs>
                <w:tab w:val="left" w:pos="702"/>
              </w:tabs>
              <w:ind w:left="0" w:right="288"/>
              <w:jc w:val="right"/>
            </w:pPr>
            <w:r>
              <w:t>31.8</w:t>
            </w:r>
          </w:p>
        </w:tc>
      </w:tr>
      <w:tr w:rsidR="00E80F70" w:rsidTr="0054494D">
        <w:tc>
          <w:tcPr>
            <w:tcW w:w="1818" w:type="dxa"/>
            <w:vAlign w:val="center"/>
          </w:tcPr>
          <w:p w:rsidR="00E80F70" w:rsidRDefault="00E80F70" w:rsidP="0054494D">
            <w:pPr>
              <w:pStyle w:val="ListParagraph"/>
              <w:ind w:left="0"/>
            </w:pPr>
            <w:r>
              <w:t>&gt; 30</w:t>
            </w:r>
          </w:p>
        </w:tc>
        <w:tc>
          <w:tcPr>
            <w:tcW w:w="1071" w:type="dxa"/>
            <w:vAlign w:val="center"/>
          </w:tcPr>
          <w:p w:rsidR="00E80F70" w:rsidRPr="00206F52" w:rsidRDefault="00E80F70" w:rsidP="0054494D">
            <w:pPr>
              <w:pStyle w:val="ListParagraph"/>
              <w:ind w:left="0" w:right="331"/>
              <w:jc w:val="right"/>
              <w:rPr>
                <w:u w:val="single"/>
              </w:rPr>
            </w:pPr>
            <w:r>
              <w:rPr>
                <w:u w:val="single"/>
              </w:rPr>
              <w:t xml:space="preserve">  54</w:t>
            </w:r>
          </w:p>
        </w:tc>
        <w:tc>
          <w:tcPr>
            <w:tcW w:w="1071" w:type="dxa"/>
            <w:vAlign w:val="center"/>
          </w:tcPr>
          <w:p w:rsidR="00E80F70" w:rsidRPr="00206F52" w:rsidRDefault="00E80F70" w:rsidP="0054494D">
            <w:pPr>
              <w:pStyle w:val="ListParagraph"/>
              <w:tabs>
                <w:tab w:val="left" w:pos="702"/>
              </w:tabs>
              <w:ind w:left="0" w:right="288"/>
              <w:jc w:val="right"/>
              <w:rPr>
                <w:u w:val="single"/>
              </w:rPr>
            </w:pPr>
            <w:r>
              <w:rPr>
                <w:u w:val="single"/>
              </w:rPr>
              <w:t>14.0</w:t>
            </w:r>
          </w:p>
        </w:tc>
      </w:tr>
      <w:tr w:rsidR="00E80F70" w:rsidTr="0054494D">
        <w:tc>
          <w:tcPr>
            <w:tcW w:w="1818" w:type="dxa"/>
            <w:vAlign w:val="center"/>
          </w:tcPr>
          <w:p w:rsidR="00E80F70" w:rsidRDefault="00E80F70" w:rsidP="0054494D">
            <w:pPr>
              <w:pStyle w:val="ListParagraph"/>
              <w:ind w:left="0"/>
              <w:jc w:val="right"/>
            </w:pPr>
            <w:r>
              <w:t>Total</w:t>
            </w:r>
          </w:p>
        </w:tc>
        <w:tc>
          <w:tcPr>
            <w:tcW w:w="1071" w:type="dxa"/>
            <w:vAlign w:val="center"/>
          </w:tcPr>
          <w:p w:rsidR="00E80F70" w:rsidRPr="00206F52" w:rsidRDefault="00E80F70" w:rsidP="0054494D">
            <w:pPr>
              <w:pStyle w:val="ListParagraph"/>
              <w:ind w:left="0" w:right="331"/>
              <w:jc w:val="right"/>
              <w:rPr>
                <w:u w:val="double"/>
              </w:rPr>
            </w:pPr>
            <w:r>
              <w:rPr>
                <w:u w:val="double"/>
              </w:rPr>
              <w:t>3</w:t>
            </w:r>
            <w:r w:rsidRPr="00206F52">
              <w:rPr>
                <w:u w:val="double"/>
              </w:rPr>
              <w:t>8</w:t>
            </w:r>
            <w:r>
              <w:rPr>
                <w:u w:val="double"/>
              </w:rPr>
              <w:t>5</w:t>
            </w:r>
          </w:p>
        </w:tc>
        <w:tc>
          <w:tcPr>
            <w:tcW w:w="1071" w:type="dxa"/>
            <w:vAlign w:val="center"/>
          </w:tcPr>
          <w:p w:rsidR="00E80F70" w:rsidRPr="00206F52" w:rsidRDefault="00E80F70" w:rsidP="0054494D">
            <w:pPr>
              <w:pStyle w:val="ListParagraph"/>
              <w:ind w:left="0" w:right="130"/>
              <w:jc w:val="right"/>
            </w:pPr>
            <w:r w:rsidRPr="00206F52">
              <w:rPr>
                <w:u w:val="double"/>
              </w:rPr>
              <w:t>100</w:t>
            </w:r>
            <w:r w:rsidRPr="00206F52">
              <w:t>%</w:t>
            </w:r>
          </w:p>
        </w:tc>
      </w:tr>
    </w:tbl>
    <w:p w:rsidR="00E80F70" w:rsidRPr="00804E06" w:rsidRDefault="00E80F70" w:rsidP="00E80F70">
      <w:pPr>
        <w:pStyle w:val="ListParagraph"/>
        <w:spacing w:line="480" w:lineRule="auto"/>
      </w:pPr>
    </w:p>
    <w:p w:rsidR="00E80F70" w:rsidRDefault="00E80F70" w:rsidP="00E80F70">
      <w:pPr>
        <w:pStyle w:val="ListParagraph"/>
        <w:numPr>
          <w:ilvl w:val="0"/>
          <w:numId w:val="1"/>
        </w:numPr>
        <w:spacing w:line="480" w:lineRule="auto"/>
      </w:pPr>
      <w:r>
        <w:t>Gender of Respondents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071"/>
        <w:gridCol w:w="1071"/>
      </w:tblGrid>
      <w:tr w:rsidR="00E80F70" w:rsidRPr="00C83B87" w:rsidTr="0054494D">
        <w:tc>
          <w:tcPr>
            <w:tcW w:w="1818" w:type="dxa"/>
            <w:vAlign w:val="center"/>
          </w:tcPr>
          <w:p w:rsidR="00E80F70" w:rsidRPr="00C83B87" w:rsidRDefault="00E80F70" w:rsidP="0054494D">
            <w:pPr>
              <w:pStyle w:val="ListParagraph"/>
              <w:ind w:left="0"/>
              <w:jc w:val="center"/>
              <w:rPr>
                <w:b/>
              </w:rPr>
            </w:pPr>
          </w:p>
        </w:tc>
        <w:tc>
          <w:tcPr>
            <w:tcW w:w="1071" w:type="dxa"/>
            <w:vAlign w:val="center"/>
          </w:tcPr>
          <w:p w:rsidR="00E80F70" w:rsidRPr="00C83B87" w:rsidRDefault="00E80F70" w:rsidP="0054494D">
            <w:pPr>
              <w:pStyle w:val="ListParagraph"/>
              <w:ind w:left="0"/>
              <w:jc w:val="center"/>
              <w:rPr>
                <w:b/>
                <w:u w:val="single"/>
              </w:rPr>
            </w:pPr>
            <w:r>
              <w:rPr>
                <w:b/>
                <w:u w:val="single"/>
              </w:rPr>
              <w:t>n</w:t>
            </w:r>
          </w:p>
        </w:tc>
        <w:tc>
          <w:tcPr>
            <w:tcW w:w="1071" w:type="dxa"/>
            <w:vAlign w:val="center"/>
          </w:tcPr>
          <w:p w:rsidR="00E80F70" w:rsidRPr="00A31025" w:rsidRDefault="00E80F70" w:rsidP="0054494D">
            <w:pPr>
              <w:pStyle w:val="ListParagraph"/>
              <w:ind w:left="0"/>
              <w:jc w:val="center"/>
              <w:rPr>
                <w:b/>
                <w:u w:val="single"/>
              </w:rPr>
            </w:pPr>
            <w:r w:rsidRPr="00A31025">
              <w:rPr>
                <w:b/>
                <w:u w:val="single"/>
              </w:rPr>
              <w:t>%</w:t>
            </w:r>
          </w:p>
        </w:tc>
      </w:tr>
      <w:tr w:rsidR="00E80F70" w:rsidTr="0054494D">
        <w:tc>
          <w:tcPr>
            <w:tcW w:w="1818" w:type="dxa"/>
            <w:vAlign w:val="center"/>
          </w:tcPr>
          <w:p w:rsidR="00E80F70" w:rsidRDefault="00E80F70" w:rsidP="0054494D">
            <w:pPr>
              <w:pStyle w:val="ListParagraph"/>
              <w:ind w:left="0"/>
            </w:pPr>
            <w:r>
              <w:t>Female</w:t>
            </w:r>
          </w:p>
        </w:tc>
        <w:tc>
          <w:tcPr>
            <w:tcW w:w="1071" w:type="dxa"/>
            <w:vAlign w:val="center"/>
          </w:tcPr>
          <w:p w:rsidR="00E80F70" w:rsidRDefault="00E80F70" w:rsidP="0054494D">
            <w:pPr>
              <w:pStyle w:val="ListParagraph"/>
              <w:ind w:left="0" w:right="331"/>
              <w:jc w:val="right"/>
            </w:pPr>
            <w:r>
              <w:t>175</w:t>
            </w:r>
          </w:p>
        </w:tc>
        <w:tc>
          <w:tcPr>
            <w:tcW w:w="1071" w:type="dxa"/>
            <w:vAlign w:val="center"/>
          </w:tcPr>
          <w:p w:rsidR="00E80F70" w:rsidRDefault="00E80F70" w:rsidP="0054494D">
            <w:pPr>
              <w:pStyle w:val="ListParagraph"/>
              <w:ind w:left="0" w:right="130"/>
              <w:jc w:val="right"/>
            </w:pPr>
            <w:r>
              <w:t>45.6%</w:t>
            </w:r>
          </w:p>
        </w:tc>
      </w:tr>
      <w:tr w:rsidR="00E80F70" w:rsidTr="0054494D">
        <w:tc>
          <w:tcPr>
            <w:tcW w:w="1818" w:type="dxa"/>
            <w:vAlign w:val="center"/>
          </w:tcPr>
          <w:p w:rsidR="00E80F70" w:rsidRDefault="00E80F70" w:rsidP="0054494D">
            <w:pPr>
              <w:pStyle w:val="ListParagraph"/>
              <w:ind w:left="0"/>
            </w:pPr>
            <w:r>
              <w:t>Male</w:t>
            </w:r>
          </w:p>
        </w:tc>
        <w:tc>
          <w:tcPr>
            <w:tcW w:w="1071" w:type="dxa"/>
            <w:vAlign w:val="center"/>
          </w:tcPr>
          <w:p w:rsidR="00E80F70" w:rsidRPr="00804E06" w:rsidRDefault="00E80F70" w:rsidP="0054494D">
            <w:pPr>
              <w:pStyle w:val="ListParagraph"/>
              <w:ind w:left="0" w:right="331"/>
              <w:jc w:val="right"/>
              <w:rPr>
                <w:u w:val="single"/>
              </w:rPr>
            </w:pPr>
            <w:r>
              <w:rPr>
                <w:u w:val="single"/>
              </w:rPr>
              <w:t>209</w:t>
            </w:r>
          </w:p>
        </w:tc>
        <w:tc>
          <w:tcPr>
            <w:tcW w:w="1071" w:type="dxa"/>
            <w:vAlign w:val="center"/>
          </w:tcPr>
          <w:p w:rsidR="00E80F70" w:rsidRPr="00804E06" w:rsidRDefault="00E80F70" w:rsidP="0054494D">
            <w:pPr>
              <w:pStyle w:val="ListParagraph"/>
              <w:tabs>
                <w:tab w:val="left" w:pos="702"/>
              </w:tabs>
              <w:ind w:left="0" w:right="288"/>
              <w:jc w:val="right"/>
              <w:rPr>
                <w:u w:val="single"/>
              </w:rPr>
            </w:pPr>
            <w:r>
              <w:rPr>
                <w:u w:val="single"/>
              </w:rPr>
              <w:t>54.4</w:t>
            </w:r>
          </w:p>
        </w:tc>
      </w:tr>
      <w:tr w:rsidR="00E80F70" w:rsidTr="0054494D">
        <w:tc>
          <w:tcPr>
            <w:tcW w:w="1818" w:type="dxa"/>
            <w:vAlign w:val="center"/>
          </w:tcPr>
          <w:p w:rsidR="00E80F70" w:rsidRDefault="00E80F70" w:rsidP="0054494D">
            <w:pPr>
              <w:pStyle w:val="ListParagraph"/>
              <w:ind w:left="0"/>
              <w:jc w:val="right"/>
            </w:pPr>
            <w:r>
              <w:t>Total</w:t>
            </w:r>
          </w:p>
        </w:tc>
        <w:tc>
          <w:tcPr>
            <w:tcW w:w="1071" w:type="dxa"/>
            <w:vAlign w:val="center"/>
          </w:tcPr>
          <w:p w:rsidR="00E80F70" w:rsidRPr="00206F52" w:rsidRDefault="00E80F70" w:rsidP="0054494D">
            <w:pPr>
              <w:pStyle w:val="ListParagraph"/>
              <w:ind w:left="0" w:right="331"/>
              <w:jc w:val="right"/>
              <w:rPr>
                <w:u w:val="double"/>
              </w:rPr>
            </w:pPr>
            <w:r w:rsidRPr="00206F52">
              <w:rPr>
                <w:u w:val="double"/>
              </w:rPr>
              <w:t>38</w:t>
            </w:r>
            <w:r>
              <w:rPr>
                <w:u w:val="double"/>
              </w:rPr>
              <w:t>4</w:t>
            </w:r>
          </w:p>
        </w:tc>
        <w:tc>
          <w:tcPr>
            <w:tcW w:w="1071" w:type="dxa"/>
            <w:vAlign w:val="center"/>
          </w:tcPr>
          <w:p w:rsidR="00E80F70" w:rsidRPr="00206F52" w:rsidRDefault="00E80F70" w:rsidP="0054494D">
            <w:pPr>
              <w:pStyle w:val="ListParagraph"/>
              <w:ind w:left="0" w:right="130"/>
              <w:jc w:val="right"/>
            </w:pPr>
            <w:r w:rsidRPr="00206F52">
              <w:rPr>
                <w:u w:val="double"/>
              </w:rPr>
              <w:t>100</w:t>
            </w:r>
            <w:r w:rsidRPr="00206F52">
              <w:t>%</w:t>
            </w:r>
          </w:p>
        </w:tc>
      </w:tr>
    </w:tbl>
    <w:p w:rsidR="00E80F70" w:rsidRDefault="00E80F70" w:rsidP="00E80F70">
      <w:pPr>
        <w:pStyle w:val="ListParagraph"/>
        <w:spacing w:line="480" w:lineRule="auto"/>
      </w:pPr>
    </w:p>
    <w:p w:rsidR="00E80F70" w:rsidRDefault="00E80F70" w:rsidP="00E80F70">
      <w:pPr>
        <w:pStyle w:val="ListParagraph"/>
        <w:numPr>
          <w:ilvl w:val="0"/>
          <w:numId w:val="1"/>
        </w:numPr>
        <w:spacing w:line="480" w:lineRule="auto"/>
      </w:pPr>
      <w:r>
        <w:t>Age of Respondents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071"/>
        <w:gridCol w:w="1071"/>
      </w:tblGrid>
      <w:tr w:rsidR="00E80F70" w:rsidRPr="00C83B87" w:rsidTr="0054494D">
        <w:tc>
          <w:tcPr>
            <w:tcW w:w="1818" w:type="dxa"/>
            <w:vAlign w:val="center"/>
          </w:tcPr>
          <w:p w:rsidR="00E80F70" w:rsidRPr="00C83B87" w:rsidRDefault="00E80F70" w:rsidP="0054494D">
            <w:pPr>
              <w:pStyle w:val="ListParagraph"/>
              <w:ind w:left="0"/>
              <w:jc w:val="center"/>
              <w:rPr>
                <w:b/>
              </w:rPr>
            </w:pPr>
          </w:p>
        </w:tc>
        <w:tc>
          <w:tcPr>
            <w:tcW w:w="1071" w:type="dxa"/>
            <w:vAlign w:val="center"/>
          </w:tcPr>
          <w:p w:rsidR="00E80F70" w:rsidRPr="00C83B87" w:rsidRDefault="00E80F70" w:rsidP="0054494D">
            <w:pPr>
              <w:pStyle w:val="ListParagraph"/>
              <w:ind w:left="0"/>
              <w:jc w:val="center"/>
              <w:rPr>
                <w:b/>
                <w:u w:val="single"/>
              </w:rPr>
            </w:pPr>
            <w:r>
              <w:rPr>
                <w:b/>
                <w:u w:val="single"/>
              </w:rPr>
              <w:t>n</w:t>
            </w:r>
          </w:p>
        </w:tc>
        <w:tc>
          <w:tcPr>
            <w:tcW w:w="1071" w:type="dxa"/>
            <w:vAlign w:val="center"/>
          </w:tcPr>
          <w:p w:rsidR="00E80F70" w:rsidRPr="00A31025" w:rsidRDefault="00E80F70" w:rsidP="0054494D">
            <w:pPr>
              <w:pStyle w:val="ListParagraph"/>
              <w:ind w:left="0"/>
              <w:jc w:val="center"/>
              <w:rPr>
                <w:b/>
                <w:u w:val="single"/>
              </w:rPr>
            </w:pPr>
            <w:r w:rsidRPr="00A31025">
              <w:rPr>
                <w:b/>
                <w:u w:val="single"/>
              </w:rPr>
              <w:t>%</w:t>
            </w:r>
          </w:p>
        </w:tc>
      </w:tr>
      <w:tr w:rsidR="00E80F70" w:rsidTr="0054494D">
        <w:tc>
          <w:tcPr>
            <w:tcW w:w="1818" w:type="dxa"/>
            <w:vAlign w:val="center"/>
          </w:tcPr>
          <w:p w:rsidR="00E80F70" w:rsidRDefault="00E80F70" w:rsidP="0054494D">
            <w:pPr>
              <w:pStyle w:val="ListParagraph"/>
              <w:ind w:left="0"/>
            </w:pPr>
            <w:r>
              <w:t>&lt; 30</w:t>
            </w:r>
          </w:p>
        </w:tc>
        <w:tc>
          <w:tcPr>
            <w:tcW w:w="1071" w:type="dxa"/>
            <w:vAlign w:val="center"/>
          </w:tcPr>
          <w:p w:rsidR="00E80F70" w:rsidRDefault="00E80F70" w:rsidP="0054494D">
            <w:pPr>
              <w:pStyle w:val="ListParagraph"/>
              <w:ind w:left="0" w:right="331"/>
              <w:jc w:val="right"/>
            </w:pPr>
            <w:r>
              <w:t>8</w:t>
            </w:r>
          </w:p>
        </w:tc>
        <w:tc>
          <w:tcPr>
            <w:tcW w:w="1071" w:type="dxa"/>
            <w:vAlign w:val="center"/>
          </w:tcPr>
          <w:p w:rsidR="00E80F70" w:rsidRDefault="00E80F70" w:rsidP="0054494D">
            <w:pPr>
              <w:pStyle w:val="ListParagraph"/>
              <w:ind w:left="0" w:right="130"/>
              <w:jc w:val="right"/>
            </w:pPr>
            <w:r>
              <w:t>2.1%</w:t>
            </w:r>
          </w:p>
        </w:tc>
      </w:tr>
      <w:tr w:rsidR="00E80F70" w:rsidTr="0054494D">
        <w:tc>
          <w:tcPr>
            <w:tcW w:w="1818" w:type="dxa"/>
            <w:vAlign w:val="center"/>
          </w:tcPr>
          <w:p w:rsidR="00E80F70" w:rsidRDefault="00E80F70" w:rsidP="0054494D">
            <w:pPr>
              <w:pStyle w:val="ListParagraph"/>
              <w:ind w:left="0"/>
            </w:pPr>
            <w:r>
              <w:t>30-40</w:t>
            </w:r>
          </w:p>
        </w:tc>
        <w:tc>
          <w:tcPr>
            <w:tcW w:w="1071" w:type="dxa"/>
            <w:vAlign w:val="center"/>
          </w:tcPr>
          <w:p w:rsidR="00E80F70" w:rsidRDefault="00E80F70" w:rsidP="0054494D">
            <w:pPr>
              <w:pStyle w:val="ListParagraph"/>
              <w:ind w:left="0" w:right="331"/>
              <w:jc w:val="right"/>
            </w:pPr>
            <w:r>
              <w:t>61</w:t>
            </w:r>
          </w:p>
        </w:tc>
        <w:tc>
          <w:tcPr>
            <w:tcW w:w="1071" w:type="dxa"/>
            <w:vAlign w:val="center"/>
          </w:tcPr>
          <w:p w:rsidR="00E80F70" w:rsidRDefault="00E80F70" w:rsidP="0054494D">
            <w:pPr>
              <w:pStyle w:val="ListParagraph"/>
              <w:tabs>
                <w:tab w:val="left" w:pos="702"/>
              </w:tabs>
              <w:ind w:left="0" w:right="288"/>
              <w:jc w:val="right"/>
            </w:pPr>
            <w:r>
              <w:t>15.8</w:t>
            </w:r>
          </w:p>
        </w:tc>
      </w:tr>
      <w:tr w:rsidR="00E80F70" w:rsidTr="0054494D">
        <w:tc>
          <w:tcPr>
            <w:tcW w:w="1818" w:type="dxa"/>
            <w:vAlign w:val="center"/>
          </w:tcPr>
          <w:p w:rsidR="00E80F70" w:rsidRDefault="00E80F70" w:rsidP="0054494D">
            <w:pPr>
              <w:pStyle w:val="ListParagraph"/>
              <w:ind w:left="0"/>
            </w:pPr>
            <w:r>
              <w:t>40.1-50</w:t>
            </w:r>
          </w:p>
        </w:tc>
        <w:tc>
          <w:tcPr>
            <w:tcW w:w="1071" w:type="dxa"/>
            <w:vAlign w:val="center"/>
          </w:tcPr>
          <w:p w:rsidR="00E80F70" w:rsidRDefault="00E80F70" w:rsidP="0054494D">
            <w:pPr>
              <w:pStyle w:val="ListParagraph"/>
              <w:ind w:left="0" w:right="331"/>
              <w:jc w:val="right"/>
            </w:pPr>
            <w:r>
              <w:t>148</w:t>
            </w:r>
          </w:p>
        </w:tc>
        <w:tc>
          <w:tcPr>
            <w:tcW w:w="1071" w:type="dxa"/>
            <w:vAlign w:val="center"/>
          </w:tcPr>
          <w:p w:rsidR="00E80F70" w:rsidRDefault="00E80F70" w:rsidP="0054494D">
            <w:pPr>
              <w:pStyle w:val="ListParagraph"/>
              <w:tabs>
                <w:tab w:val="left" w:pos="702"/>
              </w:tabs>
              <w:ind w:left="0" w:right="288"/>
              <w:jc w:val="right"/>
            </w:pPr>
            <w:r>
              <w:t>38.5</w:t>
            </w:r>
          </w:p>
        </w:tc>
      </w:tr>
      <w:tr w:rsidR="00E80F70" w:rsidTr="0054494D">
        <w:tc>
          <w:tcPr>
            <w:tcW w:w="1818" w:type="dxa"/>
            <w:vAlign w:val="center"/>
          </w:tcPr>
          <w:p w:rsidR="00E80F70" w:rsidRDefault="00E80F70" w:rsidP="0054494D">
            <w:pPr>
              <w:pStyle w:val="ListParagraph"/>
              <w:ind w:left="0"/>
            </w:pPr>
            <w:r>
              <w:t>50.1-60</w:t>
            </w:r>
          </w:p>
        </w:tc>
        <w:tc>
          <w:tcPr>
            <w:tcW w:w="1071" w:type="dxa"/>
            <w:vAlign w:val="center"/>
          </w:tcPr>
          <w:p w:rsidR="00E80F70" w:rsidRDefault="00E80F70" w:rsidP="0054494D">
            <w:pPr>
              <w:pStyle w:val="ListParagraph"/>
              <w:ind w:left="0" w:right="331"/>
              <w:jc w:val="right"/>
            </w:pPr>
            <w:r>
              <w:t>133</w:t>
            </w:r>
          </w:p>
        </w:tc>
        <w:tc>
          <w:tcPr>
            <w:tcW w:w="1071" w:type="dxa"/>
            <w:vAlign w:val="center"/>
          </w:tcPr>
          <w:p w:rsidR="00E80F70" w:rsidRDefault="00E80F70" w:rsidP="0054494D">
            <w:pPr>
              <w:pStyle w:val="ListParagraph"/>
              <w:tabs>
                <w:tab w:val="left" w:pos="702"/>
              </w:tabs>
              <w:ind w:left="0" w:right="288"/>
              <w:jc w:val="right"/>
            </w:pPr>
            <w:r>
              <w:t>34.5</w:t>
            </w:r>
          </w:p>
        </w:tc>
      </w:tr>
      <w:tr w:rsidR="00E80F70" w:rsidTr="0054494D">
        <w:tc>
          <w:tcPr>
            <w:tcW w:w="1818" w:type="dxa"/>
            <w:vAlign w:val="center"/>
          </w:tcPr>
          <w:p w:rsidR="00E80F70" w:rsidRDefault="00E80F70" w:rsidP="0054494D">
            <w:pPr>
              <w:pStyle w:val="ListParagraph"/>
              <w:ind w:left="0"/>
            </w:pPr>
            <w:r>
              <w:t>&gt; 60</w:t>
            </w:r>
          </w:p>
        </w:tc>
        <w:tc>
          <w:tcPr>
            <w:tcW w:w="1071" w:type="dxa"/>
            <w:vAlign w:val="center"/>
          </w:tcPr>
          <w:p w:rsidR="00E80F70" w:rsidRPr="00206F52" w:rsidRDefault="00E80F70" w:rsidP="0054494D">
            <w:pPr>
              <w:pStyle w:val="ListParagraph"/>
              <w:ind w:left="0" w:right="331"/>
              <w:jc w:val="right"/>
              <w:rPr>
                <w:u w:val="single"/>
              </w:rPr>
            </w:pPr>
            <w:r>
              <w:rPr>
                <w:u w:val="single"/>
              </w:rPr>
              <w:t xml:space="preserve">  35</w:t>
            </w:r>
          </w:p>
        </w:tc>
        <w:tc>
          <w:tcPr>
            <w:tcW w:w="1071" w:type="dxa"/>
            <w:vAlign w:val="center"/>
          </w:tcPr>
          <w:p w:rsidR="00E80F70" w:rsidRPr="00206F52" w:rsidRDefault="00E80F70" w:rsidP="0054494D">
            <w:pPr>
              <w:pStyle w:val="ListParagraph"/>
              <w:tabs>
                <w:tab w:val="left" w:pos="702"/>
              </w:tabs>
              <w:ind w:left="0" w:right="288"/>
              <w:jc w:val="right"/>
              <w:rPr>
                <w:u w:val="single"/>
              </w:rPr>
            </w:pPr>
            <w:r>
              <w:rPr>
                <w:u w:val="single"/>
              </w:rPr>
              <w:t xml:space="preserve"> 9.0</w:t>
            </w:r>
          </w:p>
        </w:tc>
      </w:tr>
      <w:tr w:rsidR="00E80F70" w:rsidTr="0054494D">
        <w:tc>
          <w:tcPr>
            <w:tcW w:w="1818" w:type="dxa"/>
            <w:vAlign w:val="center"/>
          </w:tcPr>
          <w:p w:rsidR="00E80F70" w:rsidRDefault="00E80F70" w:rsidP="0054494D">
            <w:pPr>
              <w:pStyle w:val="ListParagraph"/>
              <w:ind w:left="0"/>
              <w:jc w:val="right"/>
            </w:pPr>
            <w:r>
              <w:t>Total</w:t>
            </w:r>
          </w:p>
        </w:tc>
        <w:tc>
          <w:tcPr>
            <w:tcW w:w="1071" w:type="dxa"/>
            <w:vAlign w:val="center"/>
          </w:tcPr>
          <w:p w:rsidR="00E80F70" w:rsidRPr="00206F52" w:rsidRDefault="00E80F70" w:rsidP="0054494D">
            <w:pPr>
              <w:pStyle w:val="ListParagraph"/>
              <w:ind w:left="0" w:right="331"/>
              <w:jc w:val="right"/>
              <w:rPr>
                <w:u w:val="double"/>
              </w:rPr>
            </w:pPr>
            <w:r>
              <w:rPr>
                <w:u w:val="double"/>
              </w:rPr>
              <w:t>3</w:t>
            </w:r>
            <w:r w:rsidRPr="00206F52">
              <w:rPr>
                <w:u w:val="double"/>
              </w:rPr>
              <w:t>8</w:t>
            </w:r>
            <w:r>
              <w:rPr>
                <w:u w:val="double"/>
              </w:rPr>
              <w:t>5</w:t>
            </w:r>
          </w:p>
        </w:tc>
        <w:tc>
          <w:tcPr>
            <w:tcW w:w="1071" w:type="dxa"/>
            <w:vAlign w:val="center"/>
          </w:tcPr>
          <w:p w:rsidR="00E80F70" w:rsidRPr="00206F52" w:rsidRDefault="00E80F70" w:rsidP="0054494D">
            <w:pPr>
              <w:pStyle w:val="ListParagraph"/>
              <w:ind w:left="0" w:right="130"/>
              <w:jc w:val="right"/>
            </w:pPr>
            <w:r w:rsidRPr="00206F52">
              <w:rPr>
                <w:u w:val="double"/>
              </w:rPr>
              <w:t>100</w:t>
            </w:r>
            <w:r w:rsidRPr="00206F52">
              <w:t>%</w:t>
            </w:r>
          </w:p>
        </w:tc>
      </w:tr>
    </w:tbl>
    <w:p w:rsidR="00E80F70" w:rsidRDefault="00E80F70" w:rsidP="00E80F70">
      <w:pPr>
        <w:spacing w:line="480" w:lineRule="auto"/>
        <w:contextualSpacing/>
        <w:jc w:val="center"/>
      </w:pPr>
    </w:p>
    <w:p w:rsidR="006448AB" w:rsidRDefault="006448AB">
      <w:pPr>
        <w:rPr>
          <w:u w:val="single"/>
        </w:rPr>
      </w:pPr>
      <w:r>
        <w:rPr>
          <w:u w:val="single"/>
        </w:rPr>
        <w:br w:type="page"/>
      </w:r>
    </w:p>
    <w:p w:rsidR="00383D00" w:rsidRPr="00383D00" w:rsidRDefault="00383D00" w:rsidP="00383D00">
      <w:pPr>
        <w:spacing w:line="480" w:lineRule="auto"/>
        <w:contextualSpacing/>
        <w:jc w:val="center"/>
        <w:rPr>
          <w:u w:val="single"/>
        </w:rPr>
      </w:pPr>
      <w:r>
        <w:rPr>
          <w:u w:val="single"/>
        </w:rPr>
        <w:lastRenderedPageBreak/>
        <w:t>Findings</w:t>
      </w:r>
    </w:p>
    <w:p w:rsidR="006D6022" w:rsidRDefault="006D6022" w:rsidP="00C960AD">
      <w:pPr>
        <w:spacing w:line="480" w:lineRule="auto"/>
        <w:contextualSpacing/>
      </w:pPr>
      <w:r>
        <w:t xml:space="preserve">     </w:t>
      </w:r>
      <w:r w:rsidR="00471FA2">
        <w:t xml:space="preserve">The next section of the survey asked </w:t>
      </w:r>
      <w:r w:rsidR="00976368">
        <w:t>whether the</w:t>
      </w:r>
      <w:r w:rsidR="00471FA2">
        <w:t xml:space="preserve"> </w:t>
      </w:r>
      <w:r w:rsidR="00976368">
        <w:t>CHAE</w:t>
      </w:r>
      <w:r w:rsidR="00471FA2">
        <w:t xml:space="preserve"> had enhanced the holder’s earnings, reputation, knowledge, or mobility.  Only 29% of CHAE holders believed that the certification enhanced their earnings.  It is also interesting to note </w:t>
      </w:r>
      <w:r w:rsidR="00976368">
        <w:t>that the</w:t>
      </w:r>
      <w:r w:rsidR="00471FA2">
        <w:t xml:space="preserve"> CHAE </w:t>
      </w:r>
      <w:r w:rsidR="00976368">
        <w:t>holders</w:t>
      </w:r>
      <w:r w:rsidR="00471FA2">
        <w:t xml:space="preserve"> </w:t>
      </w:r>
      <w:r w:rsidR="00976368">
        <w:t>with a</w:t>
      </w:r>
      <w:r w:rsidR="00471FA2">
        <w:t xml:space="preserve"> Masters are the highest percent of </w:t>
      </w:r>
      <w:r w:rsidR="00976368">
        <w:t>respondents</w:t>
      </w:r>
      <w:r w:rsidR="00471FA2">
        <w:t xml:space="preserve"> that believe that the CHAE has increased </w:t>
      </w:r>
      <w:r w:rsidR="00976368">
        <w:t>their</w:t>
      </w:r>
      <w:r w:rsidR="00471FA2">
        <w:t xml:space="preserve"> earnings.</w:t>
      </w:r>
    </w:p>
    <w:p w:rsidR="00471FA2" w:rsidRDefault="00471FA2" w:rsidP="00C960AD">
      <w:pPr>
        <w:spacing w:line="480" w:lineRule="auto"/>
        <w:contextualSpacing/>
      </w:pPr>
      <w:r>
        <w:t xml:space="preserve">     On the other hand, almost 73% believed </w:t>
      </w:r>
      <w:r w:rsidR="00976368">
        <w:t>that earning</w:t>
      </w:r>
      <w:r>
        <w:t xml:space="preserve"> the CHAE had enhanced their reputation.  Almost 72</w:t>
      </w:r>
      <w:r w:rsidR="00976368">
        <w:t>% indicated</w:t>
      </w:r>
      <w:r>
        <w:t xml:space="preserve"> that the CHAE had enhanced their knowledge.  It is interesting to note that almost 65% of CPA holders had indicated that the CHAE had enhanced their knowledge, no doubt indicating that the CPA exam content was somewhat different than that of the CHAE.  </w:t>
      </w:r>
      <w:r w:rsidR="00976368">
        <w:t>Almost 79% of CHAE holders felt that earning it had not increased their mobility.  As expected, 94% of CPA holders believed that the CHAE did</w:t>
      </w:r>
      <w:r w:rsidR="00635241">
        <w:t xml:space="preserve"> not give them greater mobility but they most likely believed their mob</w:t>
      </w:r>
      <w:r w:rsidR="000E059F">
        <w:t>ility was related to their CPA.</w:t>
      </w:r>
    </w:p>
    <w:p w:rsidR="00FD6BA1" w:rsidRDefault="00FD6BA1" w:rsidP="00C960AD">
      <w:pPr>
        <w:spacing w:line="480" w:lineRule="auto"/>
        <w:contextualSpacing/>
      </w:pPr>
    </w:p>
    <w:p w:rsidR="00FD6BA1" w:rsidRDefault="00FD6BA1" w:rsidP="00171635">
      <w:pPr>
        <w:spacing w:line="480" w:lineRule="auto"/>
        <w:contextualSpacing/>
        <w:jc w:val="center"/>
      </w:pPr>
      <w:r>
        <w:t xml:space="preserve">Survey of respondents </w:t>
      </w:r>
      <w:r w:rsidR="00171635">
        <w:t>without the CHAE</w:t>
      </w:r>
    </w:p>
    <w:p w:rsidR="00471FA2" w:rsidRDefault="00471FA2" w:rsidP="00C960AD">
      <w:pPr>
        <w:spacing w:line="480" w:lineRule="auto"/>
        <w:contextualSpacing/>
      </w:pPr>
      <w:r>
        <w:t xml:space="preserve">     When asked </w:t>
      </w:r>
      <w:r w:rsidR="00976368">
        <w:t>whether they</w:t>
      </w:r>
      <w:r>
        <w:t xml:space="preserve"> knew about the CHAE</w:t>
      </w:r>
      <w:r w:rsidR="00B71B06">
        <w:t xml:space="preserve"> certification,</w:t>
      </w:r>
      <w:r>
        <w:t xml:space="preserve"> almost 92% responded affirmatively.  Whereas the vast majority</w:t>
      </w:r>
      <w:r w:rsidR="006551B3">
        <w:t xml:space="preserve"> of </w:t>
      </w:r>
      <w:r w:rsidR="00635241">
        <w:t xml:space="preserve">these </w:t>
      </w:r>
      <w:r w:rsidR="006551B3">
        <w:t>respondents were aware of the CHAE, only 57</w:t>
      </w:r>
      <w:r w:rsidR="00976368">
        <w:t>% were</w:t>
      </w:r>
      <w:r w:rsidR="006551B3">
        <w:t xml:space="preserve"> interested enough in the CHAE to research the study material available at the Educational </w:t>
      </w:r>
      <w:r w:rsidR="00976368">
        <w:t>Institute</w:t>
      </w:r>
      <w:r w:rsidR="006551B3">
        <w:t xml:space="preserve"> of the AH&amp;MA.</w:t>
      </w:r>
    </w:p>
    <w:p w:rsidR="006551B3" w:rsidRDefault="006551B3" w:rsidP="00C960AD">
      <w:pPr>
        <w:spacing w:line="480" w:lineRule="auto"/>
        <w:contextualSpacing/>
      </w:pPr>
      <w:r>
        <w:t xml:space="preserve">     Almost 52% of the respondents did</w:t>
      </w:r>
      <w:r w:rsidR="00635241">
        <w:t xml:space="preserve"> not</w:t>
      </w:r>
      <w:r>
        <w:t xml:space="preserve"> know whether their HFTP chapter hosted a CHAE certification review session in the last two years, while 27% reported that their chapter had in fact hosted a review session during the two year </w:t>
      </w:r>
      <w:r w:rsidR="00976368">
        <w:t>period</w:t>
      </w:r>
      <w:r>
        <w:t>.</w:t>
      </w:r>
    </w:p>
    <w:p w:rsidR="006551B3" w:rsidRDefault="006551B3" w:rsidP="00C960AD">
      <w:pPr>
        <w:spacing w:line="480" w:lineRule="auto"/>
        <w:contextualSpacing/>
      </w:pPr>
      <w:r>
        <w:t xml:space="preserve">     Almost 96% of </w:t>
      </w:r>
      <w:r w:rsidR="00976368">
        <w:t>respondents</w:t>
      </w:r>
      <w:r>
        <w:t xml:space="preserve"> without the CHAE have never </w:t>
      </w:r>
      <w:r w:rsidR="00976368">
        <w:t>taken</w:t>
      </w:r>
      <w:r>
        <w:t xml:space="preserve"> the exam</w:t>
      </w:r>
      <w:r w:rsidR="00207411">
        <w:t>; therefore,</w:t>
      </w:r>
      <w:r w:rsidR="00BB49BC">
        <w:t xml:space="preserve"> </w:t>
      </w:r>
      <w:r>
        <w:t xml:space="preserve">only 4% took it and did not pass.  When respondents without the CHAE were asked about their interest in earning the CHAE, over 42% said that their interest was high, 31% indicated moderate interest but </w:t>
      </w:r>
      <w:r w:rsidR="00976368">
        <w:t>were</w:t>
      </w:r>
      <w:r w:rsidR="00CC422F">
        <w:t xml:space="preserve"> not </w:t>
      </w:r>
      <w:r>
        <w:t xml:space="preserve">willing </w:t>
      </w:r>
      <w:r>
        <w:lastRenderedPageBreak/>
        <w:t xml:space="preserve">or able to work hard </w:t>
      </w:r>
      <w:r w:rsidR="00CC422F">
        <w:t>to earn it</w:t>
      </w:r>
      <w:r>
        <w:t xml:space="preserve">.  </w:t>
      </w:r>
      <w:r w:rsidR="00CC422F">
        <w:t xml:space="preserve">The remaining </w:t>
      </w:r>
      <w:r>
        <w:t>27% indicated their interest in the CHAE was low and saw no value in it.</w:t>
      </w:r>
    </w:p>
    <w:p w:rsidR="00976368" w:rsidRDefault="00976368" w:rsidP="00C960AD">
      <w:pPr>
        <w:spacing w:line="480" w:lineRule="auto"/>
        <w:contextualSpacing/>
      </w:pPr>
      <w:r>
        <w:t xml:space="preserve">     What are perceived to be the biggest obstacles to earning the CHAE?  Sixty percent </w:t>
      </w:r>
      <w:r w:rsidR="00CC422F">
        <w:t xml:space="preserve">indicated that they </w:t>
      </w:r>
      <w:r>
        <w:t>did not have the time to prepare for the exam due to work commitments, while about 47% indicated that the main obstacle was family or personal commitments.</w:t>
      </w:r>
      <w:r w:rsidR="00FD6BA1">
        <w:t xml:space="preserve">  Often study groups are useful to those prepar</w:t>
      </w:r>
      <w:r w:rsidR="00E40202">
        <w:t xml:space="preserve">ing to take certification exams; </w:t>
      </w:r>
      <w:r w:rsidR="00FD6BA1">
        <w:t>however</w:t>
      </w:r>
      <w:r w:rsidR="00E40202">
        <w:t>,</w:t>
      </w:r>
      <w:r w:rsidR="00FD6BA1">
        <w:t xml:space="preserve"> only 25% of respondents indicated that studying for the CHAE with others would be of any assistance.</w:t>
      </w:r>
    </w:p>
    <w:p w:rsidR="00FD6BA1" w:rsidRDefault="00FD6BA1" w:rsidP="00C960AD">
      <w:pPr>
        <w:spacing w:line="480" w:lineRule="auto"/>
        <w:contextualSpacing/>
      </w:pPr>
      <w:r>
        <w:t xml:space="preserve">     Surprisingly, only 29% stated that </w:t>
      </w:r>
      <w:r w:rsidR="00171635">
        <w:t>a</w:t>
      </w:r>
      <w:r>
        <w:t xml:space="preserve"> big assist in preparing for the exam would be a “push” by </w:t>
      </w:r>
      <w:r w:rsidR="00171635">
        <w:t>their</w:t>
      </w:r>
      <w:r>
        <w:t xml:space="preserve"> employer.  </w:t>
      </w:r>
      <w:r w:rsidR="00801A57">
        <w:t xml:space="preserve">Still </w:t>
      </w:r>
      <w:r>
        <w:t>56</w:t>
      </w:r>
      <w:r w:rsidR="00171635">
        <w:t>% felt</w:t>
      </w:r>
      <w:r>
        <w:t xml:space="preserve"> that being able to study for the CHAE on-line would be of assistance in preparing for the exam.  This seems to be lower than expected, with time being the biggest factor, on-line would seem to be the solution to the time issue.</w:t>
      </w:r>
    </w:p>
    <w:p w:rsidR="00CC422F" w:rsidRDefault="00FD6BA1" w:rsidP="003232FD">
      <w:pPr>
        <w:spacing w:after="0" w:line="480" w:lineRule="auto"/>
        <w:contextualSpacing/>
      </w:pPr>
      <w:r>
        <w:t xml:space="preserve">     While only 12% of respondents planned to take the CHAE in </w:t>
      </w:r>
      <w:r w:rsidR="00801A57">
        <w:t>the upcoming year</w:t>
      </w:r>
      <w:r>
        <w:t xml:space="preserve">, about 29% planned to take it in </w:t>
      </w:r>
      <w:r w:rsidR="00801A57">
        <w:t>the following year</w:t>
      </w:r>
      <w:r>
        <w:t>.  Almost one-third indicated that they would pr</w:t>
      </w:r>
      <w:r w:rsidR="00CC422F">
        <w:t xml:space="preserve">obably never take the CHAE exam presumably all of the 27% that did not see value in it </w:t>
      </w:r>
      <w:r w:rsidR="0054494D">
        <w:t>plus another 6%.</w:t>
      </w:r>
      <w:r w:rsidR="00B472EA">
        <w:t xml:space="preserve"> </w:t>
      </w:r>
    </w:p>
    <w:p w:rsidR="004F1E28" w:rsidRDefault="004F1E28" w:rsidP="003232FD">
      <w:pPr>
        <w:spacing w:after="0" w:line="480" w:lineRule="auto"/>
        <w:contextualSpacing/>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1440"/>
        <w:gridCol w:w="1440"/>
        <w:gridCol w:w="1440"/>
        <w:gridCol w:w="1440"/>
      </w:tblGrid>
      <w:tr w:rsidR="004F1E28" w:rsidRPr="00C83B87" w:rsidTr="004B7CE9">
        <w:trPr>
          <w:trHeight w:val="537"/>
        </w:trPr>
        <w:tc>
          <w:tcPr>
            <w:tcW w:w="9918" w:type="dxa"/>
            <w:gridSpan w:val="5"/>
            <w:vAlign w:val="center"/>
          </w:tcPr>
          <w:p w:rsidR="004F1E28" w:rsidRDefault="004F1E28" w:rsidP="004B7CE9">
            <w:pPr>
              <w:pStyle w:val="ListParagraph"/>
              <w:ind w:left="0"/>
              <w:jc w:val="center"/>
              <w:rPr>
                <w:b/>
              </w:rPr>
            </w:pPr>
            <w:r>
              <w:rPr>
                <w:b/>
              </w:rPr>
              <w:t>Table 2 – Financial Executives Without CHAE By CPA/Non-CPA</w:t>
            </w:r>
          </w:p>
          <w:p w:rsidR="004F1E28" w:rsidRDefault="004F1E28" w:rsidP="004B7CE9">
            <w:pPr>
              <w:pStyle w:val="ListParagraph"/>
              <w:ind w:left="0"/>
              <w:jc w:val="center"/>
              <w:rPr>
                <w:b/>
              </w:rPr>
            </w:pPr>
          </w:p>
        </w:tc>
      </w:tr>
      <w:tr w:rsidR="00443919" w:rsidRPr="00C83B87" w:rsidTr="004B7CE9">
        <w:trPr>
          <w:trHeight w:val="537"/>
        </w:trPr>
        <w:tc>
          <w:tcPr>
            <w:tcW w:w="4158" w:type="dxa"/>
            <w:vAlign w:val="center"/>
          </w:tcPr>
          <w:p w:rsidR="00443919" w:rsidRPr="00C83B87" w:rsidRDefault="00443919" w:rsidP="004B7CE9">
            <w:pPr>
              <w:pStyle w:val="ListParagraph"/>
              <w:ind w:left="0" w:right="-198"/>
              <w:jc w:val="center"/>
              <w:rPr>
                <w:b/>
              </w:rPr>
            </w:pPr>
          </w:p>
        </w:tc>
        <w:tc>
          <w:tcPr>
            <w:tcW w:w="1440" w:type="dxa"/>
            <w:vAlign w:val="center"/>
          </w:tcPr>
          <w:p w:rsidR="00443919" w:rsidRPr="00C83B87" w:rsidRDefault="00443919" w:rsidP="004B7CE9">
            <w:pPr>
              <w:pStyle w:val="ListParagraph"/>
              <w:ind w:left="0"/>
              <w:jc w:val="center"/>
              <w:rPr>
                <w:b/>
                <w:u w:val="single"/>
              </w:rPr>
            </w:pPr>
            <w:r>
              <w:rPr>
                <w:b/>
                <w:u w:val="single"/>
              </w:rPr>
              <w:t>CPA</w:t>
            </w:r>
          </w:p>
        </w:tc>
        <w:tc>
          <w:tcPr>
            <w:tcW w:w="1440" w:type="dxa"/>
            <w:vAlign w:val="center"/>
          </w:tcPr>
          <w:p w:rsidR="00443919" w:rsidRPr="00443919" w:rsidRDefault="00443919" w:rsidP="004B7CE9">
            <w:pPr>
              <w:pStyle w:val="ListParagraph"/>
              <w:ind w:left="0"/>
              <w:jc w:val="center"/>
              <w:rPr>
                <w:b/>
                <w:u w:val="single"/>
              </w:rPr>
            </w:pPr>
            <w:r>
              <w:rPr>
                <w:b/>
                <w:u w:val="single"/>
              </w:rPr>
              <w:t>Non-CPA</w:t>
            </w:r>
          </w:p>
        </w:tc>
        <w:tc>
          <w:tcPr>
            <w:tcW w:w="1440" w:type="dxa"/>
            <w:vAlign w:val="center"/>
          </w:tcPr>
          <w:p w:rsidR="00443919" w:rsidRPr="00C83B87" w:rsidRDefault="00443919" w:rsidP="004B7CE9">
            <w:pPr>
              <w:pStyle w:val="ListParagraph"/>
              <w:ind w:left="0"/>
              <w:jc w:val="center"/>
              <w:rPr>
                <w:b/>
              </w:rPr>
            </w:pPr>
            <w:r>
              <w:rPr>
                <w:b/>
              </w:rPr>
              <w:t xml:space="preserve">Chi-Square </w:t>
            </w:r>
            <w:r w:rsidRPr="004B7CE9">
              <w:rPr>
                <w:b/>
                <w:u w:val="single"/>
              </w:rPr>
              <w:t>Statistic</w:t>
            </w:r>
          </w:p>
        </w:tc>
        <w:tc>
          <w:tcPr>
            <w:tcW w:w="1440" w:type="dxa"/>
            <w:vAlign w:val="center"/>
          </w:tcPr>
          <w:p w:rsidR="00443919" w:rsidRPr="004B7CE9" w:rsidRDefault="00443919" w:rsidP="004B7CE9">
            <w:pPr>
              <w:pStyle w:val="ListParagraph"/>
              <w:ind w:left="0"/>
              <w:jc w:val="center"/>
              <w:rPr>
                <w:b/>
                <w:u w:val="single"/>
              </w:rPr>
            </w:pPr>
            <w:r w:rsidRPr="004B7CE9">
              <w:rPr>
                <w:b/>
                <w:u w:val="single"/>
              </w:rPr>
              <w:t>P-Value</w:t>
            </w:r>
          </w:p>
        </w:tc>
      </w:tr>
      <w:tr w:rsidR="009307D9" w:rsidTr="004B7CE9">
        <w:trPr>
          <w:trHeight w:val="537"/>
        </w:trPr>
        <w:tc>
          <w:tcPr>
            <w:tcW w:w="4158" w:type="dxa"/>
            <w:vAlign w:val="center"/>
          </w:tcPr>
          <w:p w:rsidR="009307D9" w:rsidRDefault="009307D9" w:rsidP="004B7CE9">
            <w:pPr>
              <w:contextualSpacing/>
            </w:pPr>
            <w:r>
              <w:t>Aware of the CHAE</w:t>
            </w:r>
          </w:p>
        </w:tc>
        <w:tc>
          <w:tcPr>
            <w:tcW w:w="1440" w:type="dxa"/>
            <w:vAlign w:val="center"/>
          </w:tcPr>
          <w:p w:rsidR="009307D9" w:rsidRDefault="009307D9" w:rsidP="004B7CE9">
            <w:pPr>
              <w:pStyle w:val="ListParagraph"/>
              <w:ind w:left="0"/>
              <w:jc w:val="center"/>
            </w:pPr>
            <w:r>
              <w:t>98%</w:t>
            </w:r>
          </w:p>
        </w:tc>
        <w:tc>
          <w:tcPr>
            <w:tcW w:w="1440" w:type="dxa"/>
            <w:vAlign w:val="center"/>
          </w:tcPr>
          <w:p w:rsidR="009307D9" w:rsidRDefault="00C010E9" w:rsidP="004B7CE9">
            <w:pPr>
              <w:pStyle w:val="ListParagraph"/>
              <w:tabs>
                <w:tab w:val="left" w:pos="702"/>
              </w:tabs>
              <w:ind w:left="0"/>
              <w:jc w:val="center"/>
            </w:pPr>
            <w:r>
              <w:t>90%</w:t>
            </w:r>
          </w:p>
        </w:tc>
        <w:tc>
          <w:tcPr>
            <w:tcW w:w="1440" w:type="dxa"/>
            <w:vAlign w:val="center"/>
          </w:tcPr>
          <w:p w:rsidR="009307D9" w:rsidRDefault="00C010E9" w:rsidP="004B7CE9">
            <w:pPr>
              <w:pStyle w:val="ListParagraph"/>
              <w:tabs>
                <w:tab w:val="decimal" w:pos="504"/>
              </w:tabs>
              <w:ind w:left="0"/>
            </w:pPr>
            <w:r>
              <w:t>4.066</w:t>
            </w:r>
          </w:p>
        </w:tc>
        <w:tc>
          <w:tcPr>
            <w:tcW w:w="1440" w:type="dxa"/>
            <w:vAlign w:val="center"/>
          </w:tcPr>
          <w:p w:rsidR="009307D9" w:rsidRDefault="00C010E9" w:rsidP="004B7CE9">
            <w:pPr>
              <w:pStyle w:val="ListParagraph"/>
              <w:tabs>
                <w:tab w:val="decimal" w:pos="414"/>
              </w:tabs>
              <w:ind w:left="0"/>
            </w:pPr>
            <w:r>
              <w:t>.044</w:t>
            </w:r>
          </w:p>
        </w:tc>
      </w:tr>
      <w:tr w:rsidR="009307D9" w:rsidTr="004B7CE9">
        <w:trPr>
          <w:trHeight w:val="537"/>
        </w:trPr>
        <w:tc>
          <w:tcPr>
            <w:tcW w:w="4158" w:type="dxa"/>
            <w:vAlign w:val="center"/>
          </w:tcPr>
          <w:p w:rsidR="009307D9" w:rsidRDefault="009307D9" w:rsidP="004B7CE9">
            <w:pPr>
              <w:contextualSpacing/>
            </w:pPr>
            <w:r>
              <w:t xml:space="preserve">Aware of </w:t>
            </w:r>
            <w:r w:rsidR="004F1E28">
              <w:t xml:space="preserve">the </w:t>
            </w:r>
            <w:r>
              <w:t xml:space="preserve">two volume study guide </w:t>
            </w:r>
          </w:p>
        </w:tc>
        <w:tc>
          <w:tcPr>
            <w:tcW w:w="1440" w:type="dxa"/>
            <w:vAlign w:val="center"/>
          </w:tcPr>
          <w:p w:rsidR="009307D9" w:rsidRDefault="009307D9" w:rsidP="004B7CE9">
            <w:pPr>
              <w:pStyle w:val="ListParagraph"/>
              <w:ind w:left="0"/>
              <w:jc w:val="center"/>
            </w:pPr>
            <w:r>
              <w:t>45%</w:t>
            </w:r>
          </w:p>
        </w:tc>
        <w:tc>
          <w:tcPr>
            <w:tcW w:w="1440" w:type="dxa"/>
            <w:vAlign w:val="center"/>
          </w:tcPr>
          <w:p w:rsidR="009307D9" w:rsidRDefault="00C010E9" w:rsidP="004B7CE9">
            <w:pPr>
              <w:pStyle w:val="ListParagraph"/>
              <w:tabs>
                <w:tab w:val="left" w:pos="702"/>
              </w:tabs>
              <w:ind w:left="0"/>
              <w:jc w:val="center"/>
            </w:pPr>
            <w:r>
              <w:t>60%</w:t>
            </w:r>
          </w:p>
        </w:tc>
        <w:tc>
          <w:tcPr>
            <w:tcW w:w="1440" w:type="dxa"/>
            <w:vAlign w:val="center"/>
          </w:tcPr>
          <w:p w:rsidR="009307D9" w:rsidRDefault="00B014DC" w:rsidP="004B7CE9">
            <w:pPr>
              <w:pStyle w:val="ListParagraph"/>
              <w:tabs>
                <w:tab w:val="decimal" w:pos="504"/>
              </w:tabs>
              <w:ind w:left="0"/>
            </w:pPr>
            <w:r>
              <w:t>4.30</w:t>
            </w:r>
            <w:r w:rsidR="00C63EF0">
              <w:t>0</w:t>
            </w:r>
          </w:p>
        </w:tc>
        <w:tc>
          <w:tcPr>
            <w:tcW w:w="1440" w:type="dxa"/>
            <w:vAlign w:val="center"/>
          </w:tcPr>
          <w:p w:rsidR="009307D9" w:rsidRDefault="00B014DC" w:rsidP="004B7CE9">
            <w:pPr>
              <w:pStyle w:val="ListParagraph"/>
              <w:tabs>
                <w:tab w:val="decimal" w:pos="414"/>
              </w:tabs>
              <w:ind w:left="0"/>
            </w:pPr>
            <w:r>
              <w:t>.038</w:t>
            </w:r>
          </w:p>
        </w:tc>
      </w:tr>
    </w:tbl>
    <w:p w:rsidR="00C010E9" w:rsidRDefault="00C010E9" w:rsidP="004B7CE9">
      <w:pPr>
        <w:contextualSpacing/>
        <w:sectPr w:rsidR="00C010E9" w:rsidSect="0015570C">
          <w:footerReference w:type="default" r:id="rId9"/>
          <w:footnotePr>
            <w:numFmt w:val="chicago"/>
          </w:footnotePr>
          <w:pgSz w:w="12240" w:h="15840"/>
          <w:pgMar w:top="1440" w:right="1440" w:bottom="1440" w:left="1440" w:header="720" w:footer="720" w:gutter="0"/>
          <w:cols w:space="720"/>
          <w:docGrid w:linePitch="360"/>
        </w:sect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1440"/>
        <w:gridCol w:w="1440"/>
        <w:gridCol w:w="1440"/>
        <w:gridCol w:w="1440"/>
      </w:tblGrid>
      <w:tr w:rsidR="009307D9" w:rsidTr="004B7CE9">
        <w:trPr>
          <w:trHeight w:val="537"/>
        </w:trPr>
        <w:tc>
          <w:tcPr>
            <w:tcW w:w="4158" w:type="dxa"/>
            <w:vAlign w:val="center"/>
          </w:tcPr>
          <w:p w:rsidR="009307D9" w:rsidRDefault="009307D9" w:rsidP="004B7CE9">
            <w:pPr>
              <w:contextualSpacing/>
            </w:pPr>
            <w:r>
              <w:lastRenderedPageBreak/>
              <w:t>Interest in earning CHAE</w:t>
            </w:r>
            <w:r w:rsidR="0054494D">
              <w:rPr>
                <w:rStyle w:val="FootnoteReference"/>
              </w:rPr>
              <w:footnoteReference w:customMarkFollows="1" w:id="1"/>
              <w:t>*</w:t>
            </w:r>
          </w:p>
        </w:tc>
        <w:tc>
          <w:tcPr>
            <w:tcW w:w="1440" w:type="dxa"/>
            <w:vAlign w:val="center"/>
          </w:tcPr>
          <w:p w:rsidR="009307D9" w:rsidRDefault="009307D9" w:rsidP="0054494D">
            <w:pPr>
              <w:pStyle w:val="ListParagraph"/>
              <w:ind w:left="0"/>
              <w:jc w:val="center"/>
            </w:pPr>
            <w:r>
              <w:t>27%</w:t>
            </w:r>
          </w:p>
        </w:tc>
        <w:tc>
          <w:tcPr>
            <w:tcW w:w="1440" w:type="dxa"/>
            <w:vAlign w:val="center"/>
          </w:tcPr>
          <w:p w:rsidR="009307D9" w:rsidRDefault="00C010E9" w:rsidP="004B7CE9">
            <w:pPr>
              <w:pStyle w:val="ListParagraph"/>
              <w:tabs>
                <w:tab w:val="left" w:pos="702"/>
              </w:tabs>
              <w:ind w:left="0"/>
              <w:jc w:val="center"/>
            </w:pPr>
            <w:r>
              <w:t>47%</w:t>
            </w:r>
          </w:p>
        </w:tc>
        <w:tc>
          <w:tcPr>
            <w:tcW w:w="1440" w:type="dxa"/>
            <w:vAlign w:val="center"/>
          </w:tcPr>
          <w:p w:rsidR="009307D9" w:rsidRDefault="00B014DC" w:rsidP="004B7CE9">
            <w:pPr>
              <w:pStyle w:val="ListParagraph"/>
              <w:tabs>
                <w:tab w:val="decimal" w:pos="504"/>
              </w:tabs>
              <w:ind w:left="0"/>
            </w:pPr>
            <w:r>
              <w:t>10.990</w:t>
            </w:r>
          </w:p>
        </w:tc>
        <w:tc>
          <w:tcPr>
            <w:tcW w:w="1440" w:type="dxa"/>
            <w:vAlign w:val="center"/>
          </w:tcPr>
          <w:p w:rsidR="009307D9" w:rsidRDefault="00B014DC" w:rsidP="004B7CE9">
            <w:pPr>
              <w:pStyle w:val="ListParagraph"/>
              <w:tabs>
                <w:tab w:val="decimal" w:pos="414"/>
              </w:tabs>
              <w:ind w:left="0"/>
            </w:pPr>
            <w:r>
              <w:t>.004</w:t>
            </w:r>
          </w:p>
        </w:tc>
      </w:tr>
      <w:tr w:rsidR="009307D9" w:rsidTr="004B7CE9">
        <w:trPr>
          <w:trHeight w:val="537"/>
        </w:trPr>
        <w:tc>
          <w:tcPr>
            <w:tcW w:w="4158" w:type="dxa"/>
            <w:vAlign w:val="center"/>
          </w:tcPr>
          <w:p w:rsidR="009307D9" w:rsidRDefault="009307D9" w:rsidP="004B7CE9">
            <w:pPr>
              <w:contextualSpacing/>
            </w:pPr>
            <w:r>
              <w:t>Obstacle – family/personal commitment</w:t>
            </w:r>
          </w:p>
        </w:tc>
        <w:tc>
          <w:tcPr>
            <w:tcW w:w="1440" w:type="dxa"/>
            <w:vAlign w:val="center"/>
          </w:tcPr>
          <w:p w:rsidR="009307D9" w:rsidRDefault="00C010E9" w:rsidP="004B7CE9">
            <w:pPr>
              <w:pStyle w:val="ListParagraph"/>
              <w:ind w:left="0"/>
              <w:jc w:val="center"/>
            </w:pPr>
            <w:r>
              <w:t>36%</w:t>
            </w:r>
          </w:p>
        </w:tc>
        <w:tc>
          <w:tcPr>
            <w:tcW w:w="1440" w:type="dxa"/>
            <w:vAlign w:val="center"/>
          </w:tcPr>
          <w:p w:rsidR="009307D9" w:rsidRDefault="00C010E9" w:rsidP="004B7CE9">
            <w:pPr>
              <w:pStyle w:val="ListParagraph"/>
              <w:tabs>
                <w:tab w:val="left" w:pos="702"/>
              </w:tabs>
              <w:ind w:left="0"/>
              <w:jc w:val="center"/>
            </w:pPr>
            <w:r>
              <w:t>50%</w:t>
            </w:r>
          </w:p>
        </w:tc>
        <w:tc>
          <w:tcPr>
            <w:tcW w:w="1440" w:type="dxa"/>
            <w:vAlign w:val="center"/>
          </w:tcPr>
          <w:p w:rsidR="009307D9" w:rsidRDefault="00B014DC" w:rsidP="004B7CE9">
            <w:pPr>
              <w:pStyle w:val="ListParagraph"/>
              <w:tabs>
                <w:tab w:val="decimal" w:pos="504"/>
              </w:tabs>
              <w:ind w:left="0"/>
            </w:pPr>
            <w:r>
              <w:t>3.395</w:t>
            </w:r>
          </w:p>
        </w:tc>
        <w:tc>
          <w:tcPr>
            <w:tcW w:w="1440" w:type="dxa"/>
            <w:vAlign w:val="center"/>
          </w:tcPr>
          <w:p w:rsidR="009307D9" w:rsidRDefault="00B014DC" w:rsidP="004B7CE9">
            <w:pPr>
              <w:pStyle w:val="ListParagraph"/>
              <w:tabs>
                <w:tab w:val="decimal" w:pos="414"/>
              </w:tabs>
              <w:ind w:left="0"/>
            </w:pPr>
            <w:r>
              <w:t>.065</w:t>
            </w:r>
          </w:p>
        </w:tc>
      </w:tr>
      <w:tr w:rsidR="009307D9" w:rsidRPr="00206F52" w:rsidTr="004B7CE9">
        <w:trPr>
          <w:trHeight w:val="538"/>
        </w:trPr>
        <w:tc>
          <w:tcPr>
            <w:tcW w:w="4158" w:type="dxa"/>
            <w:vAlign w:val="center"/>
          </w:tcPr>
          <w:p w:rsidR="009307D9" w:rsidRDefault="009307D9" w:rsidP="004B7CE9">
            <w:pPr>
              <w:contextualSpacing/>
            </w:pPr>
            <w:r>
              <w:t>Obstacle – work commitment</w:t>
            </w:r>
          </w:p>
        </w:tc>
        <w:tc>
          <w:tcPr>
            <w:tcW w:w="1440" w:type="dxa"/>
            <w:vAlign w:val="center"/>
          </w:tcPr>
          <w:p w:rsidR="009307D9" w:rsidRPr="00C010E9" w:rsidRDefault="00C010E9" w:rsidP="004B7CE9">
            <w:pPr>
              <w:pStyle w:val="ListParagraph"/>
              <w:ind w:left="0"/>
              <w:jc w:val="center"/>
            </w:pPr>
            <w:r>
              <w:t>60%</w:t>
            </w:r>
          </w:p>
        </w:tc>
        <w:tc>
          <w:tcPr>
            <w:tcW w:w="1440" w:type="dxa"/>
            <w:vAlign w:val="center"/>
          </w:tcPr>
          <w:p w:rsidR="009307D9" w:rsidRPr="00C010E9" w:rsidRDefault="00C010E9" w:rsidP="004B7CE9">
            <w:pPr>
              <w:pStyle w:val="ListParagraph"/>
              <w:tabs>
                <w:tab w:val="left" w:pos="702"/>
              </w:tabs>
              <w:ind w:left="0"/>
              <w:jc w:val="center"/>
            </w:pPr>
            <w:r w:rsidRPr="00C010E9">
              <w:t>61%</w:t>
            </w:r>
          </w:p>
        </w:tc>
        <w:tc>
          <w:tcPr>
            <w:tcW w:w="1440" w:type="dxa"/>
            <w:vAlign w:val="center"/>
          </w:tcPr>
          <w:p w:rsidR="009307D9" w:rsidRPr="00B014DC" w:rsidRDefault="00B014DC" w:rsidP="004B7CE9">
            <w:pPr>
              <w:pStyle w:val="ListParagraph"/>
              <w:tabs>
                <w:tab w:val="decimal" w:pos="504"/>
              </w:tabs>
              <w:ind w:left="0"/>
            </w:pPr>
            <w:r>
              <w:t>0.924</w:t>
            </w:r>
          </w:p>
        </w:tc>
        <w:tc>
          <w:tcPr>
            <w:tcW w:w="1440" w:type="dxa"/>
            <w:vAlign w:val="center"/>
          </w:tcPr>
          <w:p w:rsidR="009307D9" w:rsidRPr="00B014DC" w:rsidRDefault="00B014DC" w:rsidP="004B7CE9">
            <w:pPr>
              <w:pStyle w:val="ListParagraph"/>
              <w:tabs>
                <w:tab w:val="decimal" w:pos="414"/>
              </w:tabs>
              <w:ind w:left="0"/>
            </w:pPr>
            <w:r>
              <w:t>.924</w:t>
            </w:r>
          </w:p>
        </w:tc>
      </w:tr>
      <w:tr w:rsidR="009307D9" w:rsidRPr="00206F52" w:rsidTr="004B7CE9">
        <w:trPr>
          <w:trHeight w:val="538"/>
        </w:trPr>
        <w:tc>
          <w:tcPr>
            <w:tcW w:w="4158" w:type="dxa"/>
            <w:vAlign w:val="center"/>
          </w:tcPr>
          <w:p w:rsidR="009307D9" w:rsidRDefault="009307D9" w:rsidP="004B7CE9">
            <w:pPr>
              <w:contextualSpacing/>
            </w:pPr>
            <w:r>
              <w:t>Big assist – studying with others</w:t>
            </w:r>
          </w:p>
        </w:tc>
        <w:tc>
          <w:tcPr>
            <w:tcW w:w="1440" w:type="dxa"/>
            <w:vAlign w:val="center"/>
          </w:tcPr>
          <w:p w:rsidR="009307D9" w:rsidRPr="00C010E9" w:rsidRDefault="00C010E9" w:rsidP="004B7CE9">
            <w:pPr>
              <w:pStyle w:val="ListParagraph"/>
              <w:ind w:left="0"/>
              <w:jc w:val="center"/>
            </w:pPr>
            <w:r w:rsidRPr="00C010E9">
              <w:t>13%</w:t>
            </w:r>
          </w:p>
        </w:tc>
        <w:tc>
          <w:tcPr>
            <w:tcW w:w="1440" w:type="dxa"/>
            <w:vAlign w:val="center"/>
          </w:tcPr>
          <w:p w:rsidR="009307D9" w:rsidRPr="00C010E9" w:rsidRDefault="00C010E9" w:rsidP="004B7CE9">
            <w:pPr>
              <w:pStyle w:val="ListParagraph"/>
              <w:tabs>
                <w:tab w:val="left" w:pos="702"/>
              </w:tabs>
              <w:ind w:left="0"/>
              <w:jc w:val="center"/>
            </w:pPr>
            <w:r w:rsidRPr="00C010E9">
              <w:t>28%</w:t>
            </w:r>
          </w:p>
        </w:tc>
        <w:tc>
          <w:tcPr>
            <w:tcW w:w="1440" w:type="dxa"/>
            <w:vAlign w:val="center"/>
          </w:tcPr>
          <w:p w:rsidR="009307D9" w:rsidRPr="00B014DC" w:rsidRDefault="00B014DC" w:rsidP="004B7CE9">
            <w:pPr>
              <w:pStyle w:val="ListParagraph"/>
              <w:tabs>
                <w:tab w:val="decimal" w:pos="504"/>
              </w:tabs>
              <w:ind w:left="0"/>
            </w:pPr>
            <w:r>
              <w:t>5.664</w:t>
            </w:r>
          </w:p>
        </w:tc>
        <w:tc>
          <w:tcPr>
            <w:tcW w:w="1440" w:type="dxa"/>
            <w:vAlign w:val="center"/>
          </w:tcPr>
          <w:p w:rsidR="009307D9" w:rsidRPr="00B014DC" w:rsidRDefault="00B014DC" w:rsidP="004B7CE9">
            <w:pPr>
              <w:pStyle w:val="ListParagraph"/>
              <w:tabs>
                <w:tab w:val="decimal" w:pos="414"/>
              </w:tabs>
              <w:ind w:left="0"/>
            </w:pPr>
            <w:r>
              <w:t>.017</w:t>
            </w:r>
          </w:p>
        </w:tc>
      </w:tr>
      <w:tr w:rsidR="009307D9" w:rsidRPr="00206F52" w:rsidTr="004B7CE9">
        <w:trPr>
          <w:trHeight w:val="538"/>
        </w:trPr>
        <w:tc>
          <w:tcPr>
            <w:tcW w:w="4158" w:type="dxa"/>
            <w:vAlign w:val="center"/>
          </w:tcPr>
          <w:p w:rsidR="009307D9" w:rsidRDefault="009307D9" w:rsidP="004B7CE9">
            <w:pPr>
              <w:contextualSpacing/>
            </w:pPr>
            <w:r>
              <w:lastRenderedPageBreak/>
              <w:t>Big assist – encouraged by employer</w:t>
            </w:r>
          </w:p>
        </w:tc>
        <w:tc>
          <w:tcPr>
            <w:tcW w:w="1440" w:type="dxa"/>
            <w:vAlign w:val="center"/>
          </w:tcPr>
          <w:p w:rsidR="009307D9" w:rsidRPr="00C010E9" w:rsidRDefault="00C010E9" w:rsidP="004B7CE9">
            <w:pPr>
              <w:pStyle w:val="ListParagraph"/>
              <w:ind w:left="0"/>
              <w:jc w:val="center"/>
            </w:pPr>
            <w:r w:rsidRPr="00C010E9">
              <w:t>39%</w:t>
            </w:r>
          </w:p>
        </w:tc>
        <w:tc>
          <w:tcPr>
            <w:tcW w:w="1440" w:type="dxa"/>
            <w:vAlign w:val="center"/>
          </w:tcPr>
          <w:p w:rsidR="009307D9" w:rsidRPr="00C010E9" w:rsidRDefault="00C010E9" w:rsidP="004B7CE9">
            <w:pPr>
              <w:pStyle w:val="ListParagraph"/>
              <w:tabs>
                <w:tab w:val="left" w:pos="702"/>
              </w:tabs>
              <w:ind w:left="0"/>
              <w:jc w:val="center"/>
            </w:pPr>
            <w:r w:rsidRPr="00C010E9">
              <w:t>26%</w:t>
            </w:r>
          </w:p>
        </w:tc>
        <w:tc>
          <w:tcPr>
            <w:tcW w:w="1440" w:type="dxa"/>
            <w:vAlign w:val="center"/>
          </w:tcPr>
          <w:p w:rsidR="009307D9" w:rsidRPr="00B014DC" w:rsidRDefault="00B014DC" w:rsidP="004B7CE9">
            <w:pPr>
              <w:pStyle w:val="ListParagraph"/>
              <w:tabs>
                <w:tab w:val="decimal" w:pos="504"/>
              </w:tabs>
              <w:ind w:left="0"/>
            </w:pPr>
            <w:r>
              <w:t>3.712</w:t>
            </w:r>
          </w:p>
        </w:tc>
        <w:tc>
          <w:tcPr>
            <w:tcW w:w="1440" w:type="dxa"/>
            <w:vAlign w:val="center"/>
          </w:tcPr>
          <w:p w:rsidR="009307D9" w:rsidRPr="00B014DC" w:rsidRDefault="00B014DC" w:rsidP="004B7CE9">
            <w:pPr>
              <w:pStyle w:val="ListParagraph"/>
              <w:tabs>
                <w:tab w:val="decimal" w:pos="414"/>
              </w:tabs>
              <w:ind w:left="0"/>
            </w:pPr>
            <w:r>
              <w:t>.054</w:t>
            </w:r>
          </w:p>
        </w:tc>
      </w:tr>
      <w:tr w:rsidR="009307D9" w:rsidRPr="00206F52" w:rsidTr="004B7CE9">
        <w:trPr>
          <w:trHeight w:val="538"/>
        </w:trPr>
        <w:tc>
          <w:tcPr>
            <w:tcW w:w="4158" w:type="dxa"/>
            <w:vAlign w:val="center"/>
          </w:tcPr>
          <w:p w:rsidR="009307D9" w:rsidRDefault="009307D9" w:rsidP="004B7CE9">
            <w:pPr>
              <w:contextualSpacing/>
            </w:pPr>
            <w:r>
              <w:t>Big assist – study on-line</w:t>
            </w:r>
          </w:p>
        </w:tc>
        <w:tc>
          <w:tcPr>
            <w:tcW w:w="1440" w:type="dxa"/>
            <w:vAlign w:val="center"/>
          </w:tcPr>
          <w:p w:rsidR="009307D9" w:rsidRPr="00C010E9" w:rsidRDefault="00C010E9" w:rsidP="004B7CE9">
            <w:pPr>
              <w:pStyle w:val="ListParagraph"/>
              <w:ind w:left="0"/>
              <w:jc w:val="center"/>
            </w:pPr>
            <w:r w:rsidRPr="00C010E9">
              <w:t>36%</w:t>
            </w:r>
          </w:p>
        </w:tc>
        <w:tc>
          <w:tcPr>
            <w:tcW w:w="1440" w:type="dxa"/>
            <w:vAlign w:val="center"/>
          </w:tcPr>
          <w:p w:rsidR="009307D9" w:rsidRPr="00C010E9" w:rsidRDefault="00C010E9" w:rsidP="00801A57">
            <w:pPr>
              <w:pStyle w:val="ListParagraph"/>
              <w:tabs>
                <w:tab w:val="left" w:pos="702"/>
              </w:tabs>
              <w:ind w:left="0"/>
              <w:jc w:val="center"/>
            </w:pPr>
            <w:r w:rsidRPr="00C010E9">
              <w:t>6</w:t>
            </w:r>
            <w:r w:rsidR="00801A57">
              <w:t>2</w:t>
            </w:r>
            <w:r w:rsidRPr="00C010E9">
              <w:t>%</w:t>
            </w:r>
          </w:p>
        </w:tc>
        <w:tc>
          <w:tcPr>
            <w:tcW w:w="1440" w:type="dxa"/>
            <w:vAlign w:val="center"/>
          </w:tcPr>
          <w:p w:rsidR="009307D9" w:rsidRPr="00B014DC" w:rsidRDefault="00B014DC" w:rsidP="004B7CE9">
            <w:pPr>
              <w:pStyle w:val="ListParagraph"/>
              <w:tabs>
                <w:tab w:val="decimal" w:pos="504"/>
              </w:tabs>
              <w:ind w:left="0"/>
            </w:pPr>
            <w:r>
              <w:t>12.204</w:t>
            </w:r>
          </w:p>
        </w:tc>
        <w:tc>
          <w:tcPr>
            <w:tcW w:w="1440" w:type="dxa"/>
            <w:vAlign w:val="center"/>
          </w:tcPr>
          <w:p w:rsidR="009307D9" w:rsidRPr="00B014DC" w:rsidRDefault="00B014DC" w:rsidP="004B7CE9">
            <w:pPr>
              <w:pStyle w:val="ListParagraph"/>
              <w:tabs>
                <w:tab w:val="decimal" w:pos="414"/>
              </w:tabs>
              <w:ind w:left="0"/>
            </w:pPr>
            <w:r>
              <w:t>.000</w:t>
            </w:r>
          </w:p>
        </w:tc>
      </w:tr>
    </w:tbl>
    <w:p w:rsidR="005C17A7" w:rsidRDefault="005C17A7" w:rsidP="00171635">
      <w:pPr>
        <w:spacing w:line="480" w:lineRule="auto"/>
        <w:contextualSpacing/>
        <w:jc w:val="center"/>
      </w:pPr>
    </w:p>
    <w:p w:rsidR="005C17A7" w:rsidRDefault="005C17A7" w:rsidP="005C17A7">
      <w:pPr>
        <w:spacing w:line="480" w:lineRule="auto"/>
        <w:contextualSpacing/>
      </w:pPr>
      <w:r>
        <w:t xml:space="preserve">     Table 2 provides responses from the members of the HFTP who have not earned the CHAE.  Further, the responses are divided between those who </w:t>
      </w:r>
      <w:r>
        <w:rPr>
          <w:u w:val="single"/>
        </w:rPr>
        <w:t>have</w:t>
      </w:r>
      <w:r>
        <w:t xml:space="preserve"> earned  their CPA and those members who have not earned the CPA.  Statistical differences (p &lt; 5%) are noted for (1) awareness of the CHAE, (2) awareness of the two volume study guide, (3) interest in earning the CHAE (4) that studying with others would be helpful and (5) studying on-line </w:t>
      </w:r>
      <w:r w:rsidR="004F1E28">
        <w:t xml:space="preserve">would be helpful.  It is interesting that only 45% of the HFTP members without the CHAE but having earned their CPA are aware of the two volume study guide.  Further, only 36% of members with only the CPA believe studying on line would be helpful.  </w:t>
      </w:r>
    </w:p>
    <w:tbl>
      <w:tblPr>
        <w:tblStyle w:val="TableGrid"/>
        <w:tblW w:w="9918"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1440"/>
        <w:gridCol w:w="1440"/>
        <w:gridCol w:w="1440"/>
        <w:gridCol w:w="1440"/>
      </w:tblGrid>
      <w:tr w:rsidR="004F1E28" w:rsidRPr="00C83B87" w:rsidTr="004F1E28">
        <w:trPr>
          <w:trHeight w:val="537"/>
        </w:trPr>
        <w:tc>
          <w:tcPr>
            <w:tcW w:w="9918" w:type="dxa"/>
            <w:gridSpan w:val="5"/>
            <w:vAlign w:val="center"/>
          </w:tcPr>
          <w:p w:rsidR="004F1E28" w:rsidRDefault="004F1E28" w:rsidP="004F1E28">
            <w:pPr>
              <w:pStyle w:val="ListParagraph"/>
              <w:ind w:left="0"/>
              <w:jc w:val="center"/>
              <w:rPr>
                <w:b/>
              </w:rPr>
            </w:pPr>
            <w:r>
              <w:rPr>
                <w:b/>
              </w:rPr>
              <w:t>Table 3 – Financial Executives Without CHAE By Gender</w:t>
            </w:r>
          </w:p>
          <w:p w:rsidR="004F1E28" w:rsidRDefault="004F1E28" w:rsidP="004F1E28">
            <w:pPr>
              <w:pStyle w:val="ListParagraph"/>
              <w:ind w:left="0"/>
              <w:jc w:val="center"/>
              <w:rPr>
                <w:b/>
              </w:rPr>
            </w:pPr>
          </w:p>
        </w:tc>
      </w:tr>
      <w:tr w:rsidR="004F1E28" w:rsidRPr="00C83B87" w:rsidTr="004F1E28">
        <w:trPr>
          <w:trHeight w:val="537"/>
        </w:trPr>
        <w:tc>
          <w:tcPr>
            <w:tcW w:w="4158" w:type="dxa"/>
            <w:vAlign w:val="center"/>
          </w:tcPr>
          <w:p w:rsidR="004F1E28" w:rsidRPr="00C83B87" w:rsidRDefault="004F1E28" w:rsidP="004F1E28">
            <w:pPr>
              <w:pStyle w:val="ListParagraph"/>
              <w:ind w:left="0" w:right="-198"/>
              <w:jc w:val="center"/>
              <w:rPr>
                <w:b/>
              </w:rPr>
            </w:pPr>
          </w:p>
        </w:tc>
        <w:tc>
          <w:tcPr>
            <w:tcW w:w="1440" w:type="dxa"/>
            <w:vAlign w:val="center"/>
          </w:tcPr>
          <w:p w:rsidR="004F1E28" w:rsidRPr="00C83B87" w:rsidRDefault="004F1E28" w:rsidP="004F1E28">
            <w:pPr>
              <w:pStyle w:val="ListParagraph"/>
              <w:ind w:left="0"/>
              <w:jc w:val="center"/>
              <w:rPr>
                <w:b/>
                <w:u w:val="single"/>
              </w:rPr>
            </w:pPr>
            <w:r>
              <w:rPr>
                <w:b/>
                <w:u w:val="single"/>
              </w:rPr>
              <w:t>Female</w:t>
            </w:r>
          </w:p>
        </w:tc>
        <w:tc>
          <w:tcPr>
            <w:tcW w:w="1440" w:type="dxa"/>
            <w:vAlign w:val="center"/>
          </w:tcPr>
          <w:p w:rsidR="004F1E28" w:rsidRPr="00443919" w:rsidRDefault="004F1E28" w:rsidP="004F1E28">
            <w:pPr>
              <w:pStyle w:val="ListParagraph"/>
              <w:ind w:left="0"/>
              <w:jc w:val="center"/>
              <w:rPr>
                <w:b/>
                <w:u w:val="single"/>
              </w:rPr>
            </w:pPr>
            <w:r>
              <w:rPr>
                <w:b/>
                <w:u w:val="single"/>
              </w:rPr>
              <w:t>Male</w:t>
            </w:r>
          </w:p>
        </w:tc>
        <w:tc>
          <w:tcPr>
            <w:tcW w:w="1440" w:type="dxa"/>
            <w:vAlign w:val="center"/>
          </w:tcPr>
          <w:p w:rsidR="004F1E28" w:rsidRPr="00C83B87" w:rsidRDefault="004F1E28" w:rsidP="004F1E28">
            <w:pPr>
              <w:pStyle w:val="ListParagraph"/>
              <w:ind w:left="0"/>
              <w:jc w:val="center"/>
              <w:rPr>
                <w:b/>
              </w:rPr>
            </w:pPr>
            <w:r>
              <w:rPr>
                <w:b/>
              </w:rPr>
              <w:t xml:space="preserve">Chi-Square </w:t>
            </w:r>
            <w:r w:rsidRPr="00757208">
              <w:rPr>
                <w:b/>
                <w:u w:val="single"/>
              </w:rPr>
              <w:t>Statistic</w:t>
            </w:r>
          </w:p>
        </w:tc>
        <w:tc>
          <w:tcPr>
            <w:tcW w:w="1440" w:type="dxa"/>
            <w:vAlign w:val="center"/>
          </w:tcPr>
          <w:p w:rsidR="004F1E28" w:rsidRPr="00757208" w:rsidRDefault="004F1E28" w:rsidP="004F1E28">
            <w:pPr>
              <w:pStyle w:val="ListParagraph"/>
              <w:ind w:left="0"/>
              <w:jc w:val="center"/>
              <w:rPr>
                <w:b/>
                <w:u w:val="single"/>
              </w:rPr>
            </w:pPr>
            <w:r w:rsidRPr="00757208">
              <w:rPr>
                <w:b/>
                <w:u w:val="single"/>
              </w:rPr>
              <w:t>P-Value</w:t>
            </w:r>
          </w:p>
        </w:tc>
      </w:tr>
      <w:tr w:rsidR="004F1E28" w:rsidTr="004F1E28">
        <w:trPr>
          <w:trHeight w:val="537"/>
        </w:trPr>
        <w:tc>
          <w:tcPr>
            <w:tcW w:w="4158" w:type="dxa"/>
            <w:vAlign w:val="center"/>
          </w:tcPr>
          <w:p w:rsidR="004F1E28" w:rsidRDefault="004F1E28" w:rsidP="004F1E28">
            <w:pPr>
              <w:contextualSpacing/>
            </w:pPr>
            <w:r>
              <w:t>Aware of the CHAE</w:t>
            </w:r>
          </w:p>
        </w:tc>
        <w:tc>
          <w:tcPr>
            <w:tcW w:w="1440" w:type="dxa"/>
            <w:vAlign w:val="center"/>
          </w:tcPr>
          <w:p w:rsidR="004F1E28" w:rsidRDefault="00033D36" w:rsidP="004F1E28">
            <w:pPr>
              <w:pStyle w:val="ListParagraph"/>
              <w:ind w:left="0"/>
              <w:jc w:val="center"/>
            </w:pPr>
            <w:r>
              <w:t>92%</w:t>
            </w:r>
          </w:p>
        </w:tc>
        <w:tc>
          <w:tcPr>
            <w:tcW w:w="1440" w:type="dxa"/>
            <w:vAlign w:val="center"/>
          </w:tcPr>
          <w:p w:rsidR="004F1E28" w:rsidRDefault="00033D36" w:rsidP="004F1E28">
            <w:pPr>
              <w:pStyle w:val="ListParagraph"/>
              <w:tabs>
                <w:tab w:val="left" w:pos="702"/>
              </w:tabs>
              <w:ind w:left="0"/>
              <w:jc w:val="center"/>
            </w:pPr>
            <w:r>
              <w:t>92%</w:t>
            </w:r>
          </w:p>
        </w:tc>
        <w:tc>
          <w:tcPr>
            <w:tcW w:w="1440" w:type="dxa"/>
            <w:vAlign w:val="center"/>
          </w:tcPr>
          <w:p w:rsidR="004F1E28" w:rsidRDefault="00033D36" w:rsidP="004F1E28">
            <w:pPr>
              <w:pStyle w:val="ListParagraph"/>
              <w:tabs>
                <w:tab w:val="decimal" w:pos="504"/>
              </w:tabs>
              <w:ind w:left="0"/>
            </w:pPr>
            <w:r>
              <w:t>0.003</w:t>
            </w:r>
          </w:p>
        </w:tc>
        <w:tc>
          <w:tcPr>
            <w:tcW w:w="1440" w:type="dxa"/>
            <w:vAlign w:val="center"/>
          </w:tcPr>
          <w:p w:rsidR="004F1E28" w:rsidRDefault="00033D36" w:rsidP="004F1E28">
            <w:pPr>
              <w:pStyle w:val="ListParagraph"/>
              <w:tabs>
                <w:tab w:val="decimal" w:pos="414"/>
              </w:tabs>
              <w:ind w:left="0"/>
            </w:pPr>
            <w:r>
              <w:t>.954</w:t>
            </w:r>
          </w:p>
        </w:tc>
      </w:tr>
      <w:tr w:rsidR="004F1E28" w:rsidTr="004F1E28">
        <w:trPr>
          <w:trHeight w:val="537"/>
        </w:trPr>
        <w:tc>
          <w:tcPr>
            <w:tcW w:w="4158" w:type="dxa"/>
            <w:vAlign w:val="center"/>
          </w:tcPr>
          <w:p w:rsidR="004F1E28" w:rsidRDefault="004F1E28" w:rsidP="004F1E28">
            <w:pPr>
              <w:contextualSpacing/>
            </w:pPr>
            <w:r>
              <w:t xml:space="preserve">Aware of the two volume study guide </w:t>
            </w:r>
          </w:p>
        </w:tc>
        <w:tc>
          <w:tcPr>
            <w:tcW w:w="1440" w:type="dxa"/>
            <w:vAlign w:val="center"/>
          </w:tcPr>
          <w:p w:rsidR="004F1E28" w:rsidRDefault="00801A57" w:rsidP="004F1E28">
            <w:pPr>
              <w:pStyle w:val="ListParagraph"/>
              <w:ind w:left="0"/>
              <w:jc w:val="center"/>
            </w:pPr>
            <w:r>
              <w:t>56</w:t>
            </w:r>
            <w:r w:rsidR="00033D36">
              <w:t>%</w:t>
            </w:r>
          </w:p>
        </w:tc>
        <w:tc>
          <w:tcPr>
            <w:tcW w:w="1440" w:type="dxa"/>
            <w:vAlign w:val="center"/>
          </w:tcPr>
          <w:p w:rsidR="004F1E28" w:rsidRDefault="00801A57" w:rsidP="004F1E28">
            <w:pPr>
              <w:pStyle w:val="ListParagraph"/>
              <w:tabs>
                <w:tab w:val="left" w:pos="702"/>
              </w:tabs>
              <w:ind w:left="0"/>
              <w:jc w:val="center"/>
            </w:pPr>
            <w:r>
              <w:t>57</w:t>
            </w:r>
            <w:r w:rsidR="00033D36">
              <w:t>%</w:t>
            </w:r>
          </w:p>
        </w:tc>
        <w:tc>
          <w:tcPr>
            <w:tcW w:w="1440" w:type="dxa"/>
            <w:vAlign w:val="center"/>
          </w:tcPr>
          <w:p w:rsidR="004F1E28" w:rsidRDefault="00033D36" w:rsidP="004F1E28">
            <w:pPr>
              <w:pStyle w:val="ListParagraph"/>
              <w:tabs>
                <w:tab w:val="decimal" w:pos="504"/>
              </w:tabs>
              <w:ind w:left="0"/>
            </w:pPr>
            <w:r>
              <w:t>0.051</w:t>
            </w:r>
          </w:p>
        </w:tc>
        <w:tc>
          <w:tcPr>
            <w:tcW w:w="1440" w:type="dxa"/>
            <w:vAlign w:val="center"/>
          </w:tcPr>
          <w:p w:rsidR="004F1E28" w:rsidRDefault="00033D36" w:rsidP="004F1E28">
            <w:pPr>
              <w:pStyle w:val="ListParagraph"/>
              <w:tabs>
                <w:tab w:val="decimal" w:pos="414"/>
              </w:tabs>
              <w:ind w:left="0"/>
            </w:pPr>
            <w:r>
              <w:t>.821</w:t>
            </w:r>
          </w:p>
        </w:tc>
      </w:tr>
    </w:tbl>
    <w:p w:rsidR="004F1E28" w:rsidRDefault="004F1E28" w:rsidP="004F1E28">
      <w:pPr>
        <w:contextualSpacing/>
        <w:sectPr w:rsidR="004F1E28" w:rsidSect="004F1E28">
          <w:footerReference w:type="default" r:id="rId10"/>
          <w:footnotePr>
            <w:numFmt w:val="chicago"/>
          </w:footnotePr>
          <w:type w:val="continuous"/>
          <w:pgSz w:w="12240" w:h="15840"/>
          <w:pgMar w:top="1440" w:right="1440" w:bottom="1440" w:left="1440" w:header="720" w:footer="720" w:gutter="0"/>
          <w:cols w:space="720"/>
          <w:docGrid w:linePitch="360"/>
        </w:sectPr>
      </w:pPr>
    </w:p>
    <w:tbl>
      <w:tblPr>
        <w:tblStyle w:val="TableGrid"/>
        <w:tblW w:w="9918"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1440"/>
        <w:gridCol w:w="1440"/>
        <w:gridCol w:w="1440"/>
        <w:gridCol w:w="1440"/>
      </w:tblGrid>
      <w:tr w:rsidR="004F1E28" w:rsidTr="004F1E28">
        <w:trPr>
          <w:trHeight w:val="537"/>
        </w:trPr>
        <w:tc>
          <w:tcPr>
            <w:tcW w:w="4158" w:type="dxa"/>
            <w:vAlign w:val="center"/>
          </w:tcPr>
          <w:p w:rsidR="004F1E28" w:rsidRDefault="004F1E28" w:rsidP="004F1E28">
            <w:pPr>
              <w:contextualSpacing/>
            </w:pPr>
            <w:r>
              <w:lastRenderedPageBreak/>
              <w:t>Did not pass exam</w:t>
            </w:r>
          </w:p>
        </w:tc>
        <w:tc>
          <w:tcPr>
            <w:tcW w:w="1440" w:type="dxa"/>
            <w:vAlign w:val="center"/>
          </w:tcPr>
          <w:p w:rsidR="004F1E28" w:rsidRDefault="00033D36" w:rsidP="004F1E28">
            <w:pPr>
              <w:pStyle w:val="ListParagraph"/>
              <w:ind w:left="0"/>
              <w:jc w:val="center"/>
            </w:pPr>
            <w:r>
              <w:t>5%</w:t>
            </w:r>
          </w:p>
        </w:tc>
        <w:tc>
          <w:tcPr>
            <w:tcW w:w="1440" w:type="dxa"/>
            <w:vAlign w:val="center"/>
          </w:tcPr>
          <w:p w:rsidR="004F1E28" w:rsidRDefault="00C63EF0" w:rsidP="004F1E28">
            <w:pPr>
              <w:pStyle w:val="ListParagraph"/>
              <w:tabs>
                <w:tab w:val="left" w:pos="702"/>
              </w:tabs>
              <w:ind w:left="0"/>
              <w:jc w:val="center"/>
            </w:pPr>
            <w:r>
              <w:t>3</w:t>
            </w:r>
            <w:r w:rsidR="00033D36">
              <w:t>%</w:t>
            </w:r>
          </w:p>
        </w:tc>
        <w:tc>
          <w:tcPr>
            <w:tcW w:w="1440" w:type="dxa"/>
            <w:vAlign w:val="center"/>
          </w:tcPr>
          <w:p w:rsidR="004F1E28" w:rsidRDefault="00033D36" w:rsidP="004F1E28">
            <w:pPr>
              <w:pStyle w:val="ListParagraph"/>
              <w:tabs>
                <w:tab w:val="decimal" w:pos="504"/>
              </w:tabs>
              <w:ind w:left="0"/>
            </w:pPr>
            <w:r>
              <w:t>0.490</w:t>
            </w:r>
          </w:p>
        </w:tc>
        <w:tc>
          <w:tcPr>
            <w:tcW w:w="1440" w:type="dxa"/>
            <w:vAlign w:val="center"/>
          </w:tcPr>
          <w:p w:rsidR="004F1E28" w:rsidRDefault="00033D36" w:rsidP="004F1E28">
            <w:pPr>
              <w:pStyle w:val="ListParagraph"/>
              <w:tabs>
                <w:tab w:val="decimal" w:pos="414"/>
              </w:tabs>
              <w:ind w:left="0"/>
            </w:pPr>
            <w:r>
              <w:t>.484</w:t>
            </w:r>
          </w:p>
        </w:tc>
      </w:tr>
      <w:tr w:rsidR="004F1E28" w:rsidTr="004F1E28">
        <w:trPr>
          <w:trHeight w:val="537"/>
        </w:trPr>
        <w:tc>
          <w:tcPr>
            <w:tcW w:w="4158" w:type="dxa"/>
            <w:vAlign w:val="center"/>
          </w:tcPr>
          <w:p w:rsidR="004F1E28" w:rsidRDefault="004F1E28" w:rsidP="004F1E28">
            <w:pPr>
              <w:contextualSpacing/>
            </w:pPr>
            <w:r>
              <w:t>Interest in earning the CHAE</w:t>
            </w:r>
            <w:r w:rsidR="00C63EF0">
              <w:rPr>
                <w:rStyle w:val="FootnoteReference"/>
              </w:rPr>
              <w:footnoteReference w:customMarkFollows="1" w:id="2"/>
              <w:t>*</w:t>
            </w:r>
          </w:p>
        </w:tc>
        <w:tc>
          <w:tcPr>
            <w:tcW w:w="1440" w:type="dxa"/>
            <w:vAlign w:val="center"/>
          </w:tcPr>
          <w:p w:rsidR="004F1E28" w:rsidRDefault="00033D36" w:rsidP="00C63EF0">
            <w:pPr>
              <w:pStyle w:val="ListParagraph"/>
              <w:ind w:left="0"/>
              <w:jc w:val="center"/>
            </w:pPr>
            <w:r>
              <w:t>44%</w:t>
            </w:r>
          </w:p>
        </w:tc>
        <w:tc>
          <w:tcPr>
            <w:tcW w:w="1440" w:type="dxa"/>
            <w:vAlign w:val="center"/>
          </w:tcPr>
          <w:p w:rsidR="004F1E28" w:rsidRPr="00DE3CFA" w:rsidRDefault="00801A57" w:rsidP="00C63EF0">
            <w:pPr>
              <w:pStyle w:val="ListParagraph"/>
              <w:tabs>
                <w:tab w:val="left" w:pos="702"/>
              </w:tabs>
              <w:ind w:left="0"/>
              <w:jc w:val="center"/>
            </w:pPr>
            <w:r>
              <w:t>41</w:t>
            </w:r>
            <w:r w:rsidR="003232FD">
              <w:t>%</w:t>
            </w:r>
          </w:p>
        </w:tc>
        <w:tc>
          <w:tcPr>
            <w:tcW w:w="1440" w:type="dxa"/>
            <w:vAlign w:val="center"/>
          </w:tcPr>
          <w:p w:rsidR="004F1E28" w:rsidRDefault="00DE3CFA" w:rsidP="004F1E28">
            <w:pPr>
              <w:pStyle w:val="ListParagraph"/>
              <w:tabs>
                <w:tab w:val="decimal" w:pos="504"/>
              </w:tabs>
              <w:ind w:left="0"/>
            </w:pPr>
            <w:r>
              <w:t>6.395</w:t>
            </w:r>
          </w:p>
        </w:tc>
        <w:tc>
          <w:tcPr>
            <w:tcW w:w="1440" w:type="dxa"/>
            <w:vAlign w:val="center"/>
          </w:tcPr>
          <w:p w:rsidR="004F1E28" w:rsidRDefault="00DE3CFA" w:rsidP="004F1E28">
            <w:pPr>
              <w:pStyle w:val="ListParagraph"/>
              <w:tabs>
                <w:tab w:val="decimal" w:pos="414"/>
              </w:tabs>
              <w:ind w:left="0"/>
            </w:pPr>
            <w:r>
              <w:t>.041</w:t>
            </w:r>
          </w:p>
        </w:tc>
      </w:tr>
      <w:tr w:rsidR="004F1E28" w:rsidRPr="00206F52" w:rsidTr="004F1E28">
        <w:trPr>
          <w:trHeight w:val="538"/>
        </w:trPr>
        <w:tc>
          <w:tcPr>
            <w:tcW w:w="4158" w:type="dxa"/>
            <w:vAlign w:val="center"/>
          </w:tcPr>
          <w:p w:rsidR="004F1E28" w:rsidRDefault="004F1E28" w:rsidP="004F1E28">
            <w:pPr>
              <w:contextualSpacing/>
            </w:pPr>
            <w:r>
              <w:t>Obstacle – family/personal commitment</w:t>
            </w:r>
          </w:p>
        </w:tc>
        <w:tc>
          <w:tcPr>
            <w:tcW w:w="1440" w:type="dxa"/>
            <w:vAlign w:val="center"/>
          </w:tcPr>
          <w:p w:rsidR="004F1E28" w:rsidRPr="00C010E9" w:rsidRDefault="00DE3CFA" w:rsidP="004F1E28">
            <w:pPr>
              <w:pStyle w:val="ListParagraph"/>
              <w:ind w:left="0"/>
              <w:jc w:val="center"/>
            </w:pPr>
            <w:r>
              <w:t>51%</w:t>
            </w:r>
          </w:p>
        </w:tc>
        <w:tc>
          <w:tcPr>
            <w:tcW w:w="1440" w:type="dxa"/>
            <w:vAlign w:val="center"/>
          </w:tcPr>
          <w:p w:rsidR="004F1E28" w:rsidRPr="00C010E9" w:rsidRDefault="00DE3CFA" w:rsidP="004F1E28">
            <w:pPr>
              <w:pStyle w:val="ListParagraph"/>
              <w:tabs>
                <w:tab w:val="left" w:pos="702"/>
              </w:tabs>
              <w:ind w:left="0"/>
              <w:jc w:val="center"/>
            </w:pPr>
            <w:r>
              <w:t>57%</w:t>
            </w:r>
          </w:p>
        </w:tc>
        <w:tc>
          <w:tcPr>
            <w:tcW w:w="1440" w:type="dxa"/>
            <w:vAlign w:val="center"/>
          </w:tcPr>
          <w:p w:rsidR="004F1E28" w:rsidRPr="00B014DC" w:rsidRDefault="00DE3CFA" w:rsidP="004F1E28">
            <w:pPr>
              <w:pStyle w:val="ListParagraph"/>
              <w:tabs>
                <w:tab w:val="decimal" w:pos="504"/>
              </w:tabs>
              <w:ind w:left="0"/>
            </w:pPr>
            <w:r>
              <w:t>2.166</w:t>
            </w:r>
          </w:p>
        </w:tc>
        <w:tc>
          <w:tcPr>
            <w:tcW w:w="1440" w:type="dxa"/>
            <w:vAlign w:val="center"/>
          </w:tcPr>
          <w:p w:rsidR="004F1E28" w:rsidRPr="00B014DC" w:rsidRDefault="00DE3CFA" w:rsidP="004F1E28">
            <w:pPr>
              <w:pStyle w:val="ListParagraph"/>
              <w:tabs>
                <w:tab w:val="decimal" w:pos="414"/>
              </w:tabs>
              <w:ind w:left="0"/>
            </w:pPr>
            <w:r>
              <w:t>.141</w:t>
            </w:r>
          </w:p>
        </w:tc>
      </w:tr>
      <w:tr w:rsidR="004F1E28" w:rsidRPr="00206F52" w:rsidTr="004F1E28">
        <w:trPr>
          <w:trHeight w:val="538"/>
        </w:trPr>
        <w:tc>
          <w:tcPr>
            <w:tcW w:w="4158" w:type="dxa"/>
            <w:vAlign w:val="center"/>
          </w:tcPr>
          <w:p w:rsidR="00033D36" w:rsidRDefault="00033D36" w:rsidP="00033D36">
            <w:pPr>
              <w:contextualSpacing/>
            </w:pPr>
            <w:r>
              <w:t>Obstacle – work commitment</w:t>
            </w:r>
          </w:p>
        </w:tc>
        <w:tc>
          <w:tcPr>
            <w:tcW w:w="1440" w:type="dxa"/>
            <w:vAlign w:val="center"/>
          </w:tcPr>
          <w:p w:rsidR="004F1E28" w:rsidRDefault="00DE3CFA" w:rsidP="004F1E28">
            <w:pPr>
              <w:pStyle w:val="ListParagraph"/>
              <w:ind w:left="0"/>
              <w:jc w:val="center"/>
            </w:pPr>
            <w:r>
              <w:t>62%</w:t>
            </w:r>
          </w:p>
        </w:tc>
        <w:tc>
          <w:tcPr>
            <w:tcW w:w="1440" w:type="dxa"/>
            <w:vAlign w:val="center"/>
          </w:tcPr>
          <w:p w:rsidR="004F1E28" w:rsidRPr="00C010E9" w:rsidRDefault="00DE3CFA" w:rsidP="004F1E28">
            <w:pPr>
              <w:pStyle w:val="ListParagraph"/>
              <w:tabs>
                <w:tab w:val="left" w:pos="702"/>
              </w:tabs>
              <w:ind w:left="0"/>
              <w:jc w:val="center"/>
            </w:pPr>
            <w:r>
              <w:t>58%</w:t>
            </w:r>
          </w:p>
        </w:tc>
        <w:tc>
          <w:tcPr>
            <w:tcW w:w="1440" w:type="dxa"/>
            <w:vAlign w:val="center"/>
          </w:tcPr>
          <w:p w:rsidR="004F1E28" w:rsidRDefault="00DE3CFA" w:rsidP="004F1E28">
            <w:pPr>
              <w:pStyle w:val="ListParagraph"/>
              <w:tabs>
                <w:tab w:val="decimal" w:pos="504"/>
              </w:tabs>
              <w:ind w:left="0"/>
            </w:pPr>
            <w:r>
              <w:t>0.400</w:t>
            </w:r>
          </w:p>
        </w:tc>
        <w:tc>
          <w:tcPr>
            <w:tcW w:w="1440" w:type="dxa"/>
            <w:vAlign w:val="center"/>
          </w:tcPr>
          <w:p w:rsidR="004F1E28" w:rsidRDefault="00DE3CFA" w:rsidP="004F1E28">
            <w:pPr>
              <w:pStyle w:val="ListParagraph"/>
              <w:tabs>
                <w:tab w:val="decimal" w:pos="414"/>
              </w:tabs>
              <w:ind w:left="0"/>
            </w:pPr>
            <w:r>
              <w:t>.527</w:t>
            </w:r>
          </w:p>
        </w:tc>
      </w:tr>
      <w:tr w:rsidR="004F1E28" w:rsidRPr="00206F52" w:rsidTr="004F1E28">
        <w:trPr>
          <w:trHeight w:val="538"/>
        </w:trPr>
        <w:tc>
          <w:tcPr>
            <w:tcW w:w="4158" w:type="dxa"/>
            <w:vAlign w:val="center"/>
          </w:tcPr>
          <w:p w:rsidR="004F1E28" w:rsidRDefault="004F1E28" w:rsidP="004F1E28">
            <w:pPr>
              <w:contextualSpacing/>
            </w:pPr>
            <w:r>
              <w:t>Big assist – studying with others</w:t>
            </w:r>
          </w:p>
        </w:tc>
        <w:tc>
          <w:tcPr>
            <w:tcW w:w="1440" w:type="dxa"/>
            <w:vAlign w:val="center"/>
          </w:tcPr>
          <w:p w:rsidR="004F1E28" w:rsidRPr="00C010E9" w:rsidRDefault="00DE3CFA" w:rsidP="004F1E28">
            <w:pPr>
              <w:pStyle w:val="ListParagraph"/>
              <w:ind w:left="0"/>
              <w:jc w:val="center"/>
            </w:pPr>
            <w:r>
              <w:t>26%</w:t>
            </w:r>
          </w:p>
        </w:tc>
        <w:tc>
          <w:tcPr>
            <w:tcW w:w="1440" w:type="dxa"/>
            <w:vAlign w:val="center"/>
          </w:tcPr>
          <w:p w:rsidR="004F1E28" w:rsidRPr="00C010E9" w:rsidRDefault="00DE3CFA" w:rsidP="004F1E28">
            <w:pPr>
              <w:pStyle w:val="ListParagraph"/>
              <w:tabs>
                <w:tab w:val="left" w:pos="702"/>
              </w:tabs>
              <w:ind w:left="0"/>
              <w:jc w:val="center"/>
            </w:pPr>
            <w:r>
              <w:t>23%</w:t>
            </w:r>
          </w:p>
        </w:tc>
        <w:tc>
          <w:tcPr>
            <w:tcW w:w="1440" w:type="dxa"/>
            <w:vAlign w:val="center"/>
          </w:tcPr>
          <w:p w:rsidR="004F1E28" w:rsidRPr="00B014DC" w:rsidRDefault="00DE3CFA" w:rsidP="004F1E28">
            <w:pPr>
              <w:pStyle w:val="ListParagraph"/>
              <w:tabs>
                <w:tab w:val="decimal" w:pos="504"/>
              </w:tabs>
              <w:ind w:left="0"/>
            </w:pPr>
            <w:r>
              <w:t>0.313</w:t>
            </w:r>
          </w:p>
        </w:tc>
        <w:tc>
          <w:tcPr>
            <w:tcW w:w="1440" w:type="dxa"/>
            <w:vAlign w:val="center"/>
          </w:tcPr>
          <w:p w:rsidR="004F1E28" w:rsidRPr="00B014DC" w:rsidRDefault="00DE3CFA" w:rsidP="004F1E28">
            <w:pPr>
              <w:pStyle w:val="ListParagraph"/>
              <w:tabs>
                <w:tab w:val="decimal" w:pos="414"/>
              </w:tabs>
              <w:ind w:left="0"/>
            </w:pPr>
            <w:r>
              <w:t>.576</w:t>
            </w:r>
          </w:p>
        </w:tc>
      </w:tr>
      <w:tr w:rsidR="004F1E28" w:rsidRPr="00206F52" w:rsidTr="004F1E28">
        <w:trPr>
          <w:trHeight w:val="538"/>
        </w:trPr>
        <w:tc>
          <w:tcPr>
            <w:tcW w:w="4158" w:type="dxa"/>
            <w:vAlign w:val="center"/>
          </w:tcPr>
          <w:p w:rsidR="004F1E28" w:rsidRDefault="004F1E28" w:rsidP="004F1E28">
            <w:pPr>
              <w:contextualSpacing/>
            </w:pPr>
            <w:r>
              <w:t>Big assist – encouraged by employer</w:t>
            </w:r>
          </w:p>
        </w:tc>
        <w:tc>
          <w:tcPr>
            <w:tcW w:w="1440" w:type="dxa"/>
            <w:vAlign w:val="center"/>
          </w:tcPr>
          <w:p w:rsidR="004F1E28" w:rsidRPr="00C010E9" w:rsidRDefault="00DE3CFA" w:rsidP="004F1E28">
            <w:pPr>
              <w:pStyle w:val="ListParagraph"/>
              <w:ind w:left="0"/>
              <w:jc w:val="center"/>
            </w:pPr>
            <w:r>
              <w:t>24%</w:t>
            </w:r>
          </w:p>
        </w:tc>
        <w:tc>
          <w:tcPr>
            <w:tcW w:w="1440" w:type="dxa"/>
            <w:vAlign w:val="center"/>
          </w:tcPr>
          <w:p w:rsidR="004F1E28" w:rsidRPr="00C010E9" w:rsidRDefault="00DE3CFA" w:rsidP="004F1E28">
            <w:pPr>
              <w:pStyle w:val="ListParagraph"/>
              <w:tabs>
                <w:tab w:val="left" w:pos="702"/>
              </w:tabs>
              <w:ind w:left="0"/>
              <w:jc w:val="center"/>
            </w:pPr>
            <w:r>
              <w:t>34%</w:t>
            </w:r>
          </w:p>
        </w:tc>
        <w:tc>
          <w:tcPr>
            <w:tcW w:w="1440" w:type="dxa"/>
            <w:vAlign w:val="center"/>
          </w:tcPr>
          <w:p w:rsidR="004F1E28" w:rsidRPr="00B014DC" w:rsidRDefault="00DE3CFA" w:rsidP="004F1E28">
            <w:pPr>
              <w:pStyle w:val="ListParagraph"/>
              <w:tabs>
                <w:tab w:val="decimal" w:pos="504"/>
              </w:tabs>
              <w:ind w:left="0"/>
            </w:pPr>
            <w:r>
              <w:t>3.471</w:t>
            </w:r>
          </w:p>
        </w:tc>
        <w:tc>
          <w:tcPr>
            <w:tcW w:w="1440" w:type="dxa"/>
            <w:vAlign w:val="center"/>
          </w:tcPr>
          <w:p w:rsidR="004F1E28" w:rsidRPr="00B014DC" w:rsidRDefault="00DE3CFA" w:rsidP="004F1E28">
            <w:pPr>
              <w:pStyle w:val="ListParagraph"/>
              <w:tabs>
                <w:tab w:val="decimal" w:pos="414"/>
              </w:tabs>
              <w:ind w:left="0"/>
            </w:pPr>
            <w:r>
              <w:t>.062</w:t>
            </w:r>
          </w:p>
        </w:tc>
      </w:tr>
      <w:tr w:rsidR="004F1E28" w:rsidRPr="00206F52" w:rsidTr="004F1E28">
        <w:trPr>
          <w:trHeight w:val="538"/>
        </w:trPr>
        <w:tc>
          <w:tcPr>
            <w:tcW w:w="4158" w:type="dxa"/>
            <w:vAlign w:val="center"/>
          </w:tcPr>
          <w:p w:rsidR="004F1E28" w:rsidRDefault="004F1E28" w:rsidP="004F1E28">
            <w:pPr>
              <w:contextualSpacing/>
            </w:pPr>
            <w:r>
              <w:t>Big assist – study on-line</w:t>
            </w:r>
          </w:p>
        </w:tc>
        <w:tc>
          <w:tcPr>
            <w:tcW w:w="1440" w:type="dxa"/>
            <w:vAlign w:val="center"/>
          </w:tcPr>
          <w:p w:rsidR="004F1E28" w:rsidRPr="00C010E9" w:rsidRDefault="00801A57" w:rsidP="004F1E28">
            <w:pPr>
              <w:pStyle w:val="ListParagraph"/>
              <w:ind w:left="0"/>
              <w:jc w:val="center"/>
            </w:pPr>
            <w:r>
              <w:t>54</w:t>
            </w:r>
            <w:r w:rsidR="00DE3CFA">
              <w:t>%</w:t>
            </w:r>
          </w:p>
        </w:tc>
        <w:tc>
          <w:tcPr>
            <w:tcW w:w="1440" w:type="dxa"/>
            <w:vAlign w:val="center"/>
          </w:tcPr>
          <w:p w:rsidR="004F1E28" w:rsidRPr="00C010E9" w:rsidRDefault="00801A57" w:rsidP="004F1E28">
            <w:pPr>
              <w:pStyle w:val="ListParagraph"/>
              <w:tabs>
                <w:tab w:val="left" w:pos="702"/>
              </w:tabs>
              <w:ind w:left="0"/>
              <w:jc w:val="center"/>
            </w:pPr>
            <w:r>
              <w:t>58</w:t>
            </w:r>
            <w:r w:rsidR="00DE3CFA">
              <w:t>%</w:t>
            </w:r>
          </w:p>
        </w:tc>
        <w:tc>
          <w:tcPr>
            <w:tcW w:w="1440" w:type="dxa"/>
            <w:vAlign w:val="center"/>
          </w:tcPr>
          <w:p w:rsidR="004F1E28" w:rsidRPr="00B014DC" w:rsidRDefault="00DE3CFA" w:rsidP="004F1E28">
            <w:pPr>
              <w:pStyle w:val="ListParagraph"/>
              <w:tabs>
                <w:tab w:val="decimal" w:pos="504"/>
              </w:tabs>
              <w:ind w:left="0"/>
            </w:pPr>
            <w:r>
              <w:t>0.477</w:t>
            </w:r>
          </w:p>
        </w:tc>
        <w:tc>
          <w:tcPr>
            <w:tcW w:w="1440" w:type="dxa"/>
            <w:vAlign w:val="center"/>
          </w:tcPr>
          <w:p w:rsidR="004F1E28" w:rsidRPr="00B014DC" w:rsidRDefault="00DE3CFA" w:rsidP="004F1E28">
            <w:pPr>
              <w:pStyle w:val="ListParagraph"/>
              <w:tabs>
                <w:tab w:val="decimal" w:pos="414"/>
              </w:tabs>
              <w:ind w:left="0"/>
            </w:pPr>
            <w:r>
              <w:t>.490</w:t>
            </w:r>
          </w:p>
        </w:tc>
      </w:tr>
    </w:tbl>
    <w:p w:rsidR="004F1E28" w:rsidRDefault="004F1E28" w:rsidP="005C17A7">
      <w:pPr>
        <w:spacing w:line="480" w:lineRule="auto"/>
        <w:contextualSpacing/>
      </w:pPr>
    </w:p>
    <w:p w:rsidR="006C70C6" w:rsidRPr="005C17A7" w:rsidRDefault="006C70C6" w:rsidP="005C17A7">
      <w:pPr>
        <w:spacing w:line="480" w:lineRule="auto"/>
        <w:contextualSpacing/>
      </w:pPr>
      <w:r>
        <w:lastRenderedPageBreak/>
        <w:t xml:space="preserve">Table 3 provides insight on members without the CHAE by gender.  Clearly, there are few differences between female and male respondents.  Of those items listed on Table 3 only the interest in earning the CHAE is statistically significant (p &lt; .05).  The difference is </w:t>
      </w:r>
      <w:r w:rsidR="00C63811">
        <w:t>3</w:t>
      </w:r>
      <w:r>
        <w:t xml:space="preserve">% reflecting a larger percentage of </w:t>
      </w:r>
      <w:r w:rsidR="00C63811">
        <w:t>fe</w:t>
      </w:r>
      <w:r>
        <w:t>males</w:t>
      </w:r>
      <w:r w:rsidR="00C63811">
        <w:t xml:space="preserve"> have a high interest in earning </w:t>
      </w:r>
      <w:r>
        <w:t>the CHAE than male</w:t>
      </w:r>
      <w:r w:rsidR="00C63811">
        <w:t>s</w:t>
      </w:r>
      <w:r>
        <w:t xml:space="preserve">.  </w:t>
      </w:r>
    </w:p>
    <w:p w:rsidR="00171635" w:rsidRDefault="00171635" w:rsidP="00171635">
      <w:pPr>
        <w:spacing w:line="480" w:lineRule="auto"/>
        <w:contextualSpacing/>
        <w:jc w:val="center"/>
      </w:pPr>
      <w:r>
        <w:t>Summary and Conclusions</w:t>
      </w:r>
    </w:p>
    <w:p w:rsidR="00171635" w:rsidRDefault="00171635" w:rsidP="00C960AD">
      <w:pPr>
        <w:spacing w:line="480" w:lineRule="auto"/>
        <w:contextualSpacing/>
      </w:pPr>
      <w:r>
        <w:t xml:space="preserve">     It appears that promotion of the CHAE </w:t>
      </w:r>
      <w:r w:rsidR="00CC3652">
        <w:t>certification should be enhanced</w:t>
      </w:r>
      <w:r>
        <w:t xml:space="preserve"> by the HFTP chapters since so many non</w:t>
      </w:r>
      <w:r w:rsidR="00E10B90">
        <w:t>-</w:t>
      </w:r>
      <w:r>
        <w:t xml:space="preserve"> CHAE holders are unaware of the certification.  </w:t>
      </w:r>
      <w:r w:rsidR="00CC3652">
        <w:t>T</w:t>
      </w:r>
      <w:r>
        <w:t xml:space="preserve">he CHAE certification </w:t>
      </w:r>
      <w:r w:rsidR="009E6A3F">
        <w:t>appears to be</w:t>
      </w:r>
      <w:r>
        <w:t xml:space="preserve"> useful since 72% of CHAE holders stated that it increased their knowledge and CPAs said that the preparation for the CHAE increased their knowledge.</w:t>
      </w:r>
    </w:p>
    <w:p w:rsidR="00171635" w:rsidRDefault="00171635" w:rsidP="00C960AD">
      <w:pPr>
        <w:spacing w:line="480" w:lineRule="auto"/>
        <w:contextualSpacing/>
      </w:pPr>
      <w:r>
        <w:t xml:space="preserve">     A high percentage say that workload is an issue in not taking the CHAE.  Perhaps employers could be made more aware of the value of the CHAE to the organization and </w:t>
      </w:r>
      <w:r w:rsidR="00F77ABF">
        <w:t xml:space="preserve">encourage financial executives </w:t>
      </w:r>
      <w:r>
        <w:t>to take the CHAE.</w:t>
      </w:r>
      <w:r w:rsidR="004555DD">
        <w:t xml:space="preserve">  </w:t>
      </w:r>
    </w:p>
    <w:p w:rsidR="00F77ABF" w:rsidRDefault="00F77ABF" w:rsidP="00C960AD">
      <w:pPr>
        <w:spacing w:line="480" w:lineRule="auto"/>
        <w:contextualSpacing/>
      </w:pPr>
      <w:r>
        <w:t xml:space="preserve">     A comparison of financial executives who had earned their CPA but not the CHAE with non-CPA and non-CHAE financial executives yielded some interesting results.  The </w:t>
      </w:r>
      <w:r w:rsidR="00513116">
        <w:t>majority of CPAs were unaware of the two volume study guide and only 27% had a high interest in earning the CHAE.  Only 36% indicated studying on-line would be helpful compared to 60% of the non-CPAs.  A comparison of financial executives without CHAE by gender revealed only minor differences.</w:t>
      </w:r>
    </w:p>
    <w:p w:rsidR="00513116" w:rsidRPr="007B3BCF" w:rsidRDefault="00513116" w:rsidP="00513116">
      <w:pPr>
        <w:spacing w:line="480" w:lineRule="auto"/>
        <w:contextualSpacing/>
        <w:jc w:val="center"/>
      </w:pPr>
      <w:r>
        <w:rPr>
          <w:u w:val="single"/>
        </w:rPr>
        <w:t>Limitations of Researc</w:t>
      </w:r>
      <w:r w:rsidR="007B3BCF">
        <w:rPr>
          <w:u w:val="single"/>
        </w:rPr>
        <w:t>h and Future Research</w:t>
      </w:r>
    </w:p>
    <w:p w:rsidR="00513116" w:rsidRDefault="00513116" w:rsidP="00513116">
      <w:pPr>
        <w:spacing w:line="480" w:lineRule="auto"/>
        <w:contextualSpacing/>
      </w:pPr>
      <w:r>
        <w:t xml:space="preserve">     The response rate was 43% which is a reasonably good response s</w:t>
      </w:r>
      <w:r w:rsidR="007B3BCF">
        <w:t>t</w:t>
      </w:r>
      <w:r>
        <w:t>ill as researchers we only wonder if the results would be different with a greater response rate.</w:t>
      </w:r>
      <w:r w:rsidR="007B3BCF">
        <w:t xml:space="preserve">  In addition, approximately 50% of the respondents possess the CHAE while according to the Director of Certification of HFTP only 12</w:t>
      </w:r>
      <w:r w:rsidR="00017456">
        <w:t xml:space="preserve">.7% of HFTP’s active member ship </w:t>
      </w:r>
      <w:r w:rsidR="007B3BCF">
        <w:t>have earned the CHAE.  Thus, the response to our survey is not a true representation of the HFTP</w:t>
      </w:r>
      <w:r w:rsidR="003F0337">
        <w:t xml:space="preserve"> membership.</w:t>
      </w:r>
    </w:p>
    <w:p w:rsidR="00513116" w:rsidRPr="00513116" w:rsidRDefault="00513116" w:rsidP="00513116">
      <w:pPr>
        <w:spacing w:line="480" w:lineRule="auto"/>
        <w:contextualSpacing/>
        <w:rPr>
          <w:b/>
        </w:rPr>
      </w:pPr>
      <w:r>
        <w:lastRenderedPageBreak/>
        <w:t xml:space="preserve">     Future research </w:t>
      </w:r>
      <w:r w:rsidR="003F0337">
        <w:t>c</w:t>
      </w:r>
      <w:r>
        <w:t xml:space="preserve">ould focus on other hospitality certification’s including the CHA, CHE, and CHTP.  </w:t>
      </w:r>
      <w:r w:rsidR="003F0337">
        <w:t>In addition, future research efforts could attempt to address the limitations of this study.</w:t>
      </w:r>
    </w:p>
    <w:p w:rsidR="006D6022" w:rsidRDefault="009D1736" w:rsidP="000141FE">
      <w:pPr>
        <w:spacing w:line="480" w:lineRule="auto"/>
        <w:contextualSpacing/>
        <w:jc w:val="center"/>
      </w:pPr>
      <w:r>
        <w:t>R</w:t>
      </w:r>
      <w:r w:rsidR="000141FE">
        <w:t>eferences</w:t>
      </w:r>
    </w:p>
    <w:p w:rsidR="00804287" w:rsidRDefault="00804287" w:rsidP="00804287">
      <w:pPr>
        <w:rPr>
          <w:rFonts w:asciiTheme="majorHAnsi" w:hAnsiTheme="majorHAnsi"/>
        </w:rPr>
      </w:pPr>
      <w:r>
        <w:rPr>
          <w:rFonts w:asciiTheme="majorHAnsi" w:hAnsiTheme="majorHAnsi"/>
        </w:rPr>
        <w:t xml:space="preserve">Allen, J., &amp; Riemer, P. (2008). The CMA distinction for young professionals. </w:t>
      </w:r>
      <w:r>
        <w:rPr>
          <w:rFonts w:asciiTheme="majorHAnsi" w:hAnsiTheme="majorHAnsi"/>
          <w:i/>
        </w:rPr>
        <w:t xml:space="preserve">Strategic Finance, 90(4), </w:t>
      </w:r>
      <w:r>
        <w:rPr>
          <w:rFonts w:asciiTheme="majorHAnsi" w:hAnsiTheme="majorHAnsi"/>
        </w:rPr>
        <w:t>16-20.</w:t>
      </w:r>
    </w:p>
    <w:p w:rsidR="00BD5BFB" w:rsidRPr="00777033" w:rsidRDefault="00BD5BFB" w:rsidP="00BD5BFB">
      <w:pPr>
        <w:rPr>
          <w:rFonts w:asciiTheme="majorHAnsi" w:hAnsiTheme="majorHAnsi"/>
        </w:rPr>
      </w:pPr>
      <w:r>
        <w:rPr>
          <w:rFonts w:asciiTheme="majorHAnsi" w:hAnsiTheme="majorHAnsi"/>
        </w:rPr>
        <w:t xml:space="preserve">Arman, J., &amp; Shackman J. (2011). </w:t>
      </w:r>
      <w:r w:rsidRPr="0037476D">
        <w:rPr>
          <w:rFonts w:asciiTheme="majorHAnsi" w:hAnsiTheme="majorHAnsi"/>
        </w:rPr>
        <w:t xml:space="preserve">The impact of financial planning designations on financial planner income, </w:t>
      </w:r>
      <w:r>
        <w:rPr>
          <w:rFonts w:asciiTheme="majorHAnsi" w:hAnsiTheme="majorHAnsi"/>
          <w:i/>
        </w:rPr>
        <w:t>The Service Industries Journal.</w:t>
      </w:r>
      <w:r>
        <w:rPr>
          <w:rFonts w:asciiTheme="majorHAnsi" w:hAnsiTheme="majorHAnsi"/>
        </w:rPr>
        <w:t>doi: 10.1080/02642069.2010.545879</w:t>
      </w:r>
    </w:p>
    <w:p w:rsidR="00BD5BFB" w:rsidRDefault="00BD5BFB" w:rsidP="00BD5BFB">
      <w:pPr>
        <w:rPr>
          <w:rFonts w:asciiTheme="majorHAnsi" w:hAnsiTheme="majorHAnsi"/>
        </w:rPr>
      </w:pPr>
      <w:r>
        <w:rPr>
          <w:rFonts w:asciiTheme="majorHAnsi" w:hAnsiTheme="majorHAnsi"/>
        </w:rPr>
        <w:t xml:space="preserve">Azid, A.N., &amp; Skekel, T.D. (1989). The importance of certification for operational auditing. </w:t>
      </w:r>
      <w:r>
        <w:rPr>
          <w:rFonts w:asciiTheme="majorHAnsi" w:hAnsiTheme="majorHAnsi"/>
          <w:i/>
        </w:rPr>
        <w:t xml:space="preserve">The Internal Auditor. 46(4). </w:t>
      </w:r>
      <w:r>
        <w:rPr>
          <w:rFonts w:asciiTheme="majorHAnsi" w:hAnsiTheme="majorHAnsi"/>
        </w:rPr>
        <w:t>58-62</w:t>
      </w:r>
    </w:p>
    <w:p w:rsidR="00BD5BFB" w:rsidRDefault="00BD5BFB" w:rsidP="00BD5BFB">
      <w:pPr>
        <w:rPr>
          <w:rFonts w:asciiTheme="majorHAnsi" w:hAnsiTheme="majorHAnsi"/>
        </w:rPr>
      </w:pPr>
      <w:r>
        <w:rPr>
          <w:rFonts w:asciiTheme="majorHAnsi" w:hAnsiTheme="majorHAnsi"/>
        </w:rPr>
        <w:t xml:space="preserve">Bhamomsiri, S., Blanthorne, C., &amp; Guinn, R.E. (2004). Promotion to partner in big firms: truths and trends. </w:t>
      </w:r>
      <w:r>
        <w:rPr>
          <w:rFonts w:asciiTheme="majorHAnsi" w:hAnsiTheme="majorHAnsi"/>
          <w:i/>
        </w:rPr>
        <w:t xml:space="preserve">The CPA Journal, 74(4), </w:t>
      </w:r>
      <w:r>
        <w:rPr>
          <w:rFonts w:asciiTheme="majorHAnsi" w:hAnsiTheme="majorHAnsi"/>
        </w:rPr>
        <w:t>54-56</w:t>
      </w:r>
    </w:p>
    <w:p w:rsidR="00BD5BFB" w:rsidRDefault="00BD5BFB" w:rsidP="00BD5BFB">
      <w:pPr>
        <w:rPr>
          <w:rFonts w:asciiTheme="majorHAnsi" w:hAnsiTheme="majorHAnsi"/>
        </w:rPr>
      </w:pPr>
      <w:r>
        <w:rPr>
          <w:rFonts w:asciiTheme="majorHAnsi" w:hAnsiTheme="majorHAnsi"/>
        </w:rPr>
        <w:t xml:space="preserve">Damitio, J.W., &amp; Schmidgall, R.S. (2001). The value of professional certifications for hospitality financial experts. </w:t>
      </w:r>
      <w:r>
        <w:rPr>
          <w:rFonts w:asciiTheme="majorHAnsi" w:hAnsiTheme="majorHAnsi"/>
          <w:i/>
        </w:rPr>
        <w:t xml:space="preserve">Cornell Hotel and Restaurant Administration Quarterly, 42(1), </w:t>
      </w:r>
      <w:r>
        <w:rPr>
          <w:rFonts w:asciiTheme="majorHAnsi" w:hAnsiTheme="majorHAnsi"/>
        </w:rPr>
        <w:t>66-71.</w:t>
      </w:r>
    </w:p>
    <w:p w:rsidR="00AD7AE3" w:rsidRPr="00AD7AE3" w:rsidRDefault="00AD7AE3" w:rsidP="00804287">
      <w:pPr>
        <w:rPr>
          <w:rFonts w:asciiTheme="majorHAnsi" w:hAnsiTheme="majorHAnsi"/>
        </w:rPr>
      </w:pPr>
      <w:r>
        <w:rPr>
          <w:rFonts w:asciiTheme="majorHAnsi" w:hAnsiTheme="majorHAnsi"/>
        </w:rPr>
        <w:t xml:space="preserve">DeVeau, L.T. </w:t>
      </w:r>
      <w:r w:rsidR="000E059F">
        <w:rPr>
          <w:rFonts w:asciiTheme="majorHAnsi" w:hAnsiTheme="majorHAnsi"/>
        </w:rPr>
        <w:t xml:space="preserve">&amp; </w:t>
      </w:r>
      <w:r>
        <w:rPr>
          <w:rFonts w:asciiTheme="majorHAnsi" w:hAnsiTheme="majorHAnsi"/>
        </w:rPr>
        <w:t xml:space="preserve">Downey, J.F. (2011) The CHAE Today.  </w:t>
      </w:r>
      <w:r w:rsidRPr="004555DD">
        <w:rPr>
          <w:rFonts w:asciiTheme="majorHAnsi" w:hAnsiTheme="majorHAnsi"/>
          <w:i/>
        </w:rPr>
        <w:t>The Bottomline</w:t>
      </w:r>
      <w:r>
        <w:rPr>
          <w:rFonts w:asciiTheme="majorHAnsi" w:hAnsiTheme="majorHAnsi"/>
        </w:rPr>
        <w:t xml:space="preserve">, 26(1), 15-17. </w:t>
      </w:r>
    </w:p>
    <w:p w:rsidR="005C47A7" w:rsidRDefault="005C47A7" w:rsidP="005C47A7">
      <w:pPr>
        <w:rPr>
          <w:rFonts w:asciiTheme="majorHAnsi" w:hAnsiTheme="majorHAnsi"/>
        </w:rPr>
      </w:pPr>
      <w:r>
        <w:rPr>
          <w:rFonts w:asciiTheme="majorHAnsi" w:hAnsiTheme="majorHAnsi"/>
        </w:rPr>
        <w:t xml:space="preserve">Fleischman, G.M., &amp; Hutchison, P.D. (2003). Professional certification opportunities for accountants. </w:t>
      </w:r>
      <w:r>
        <w:rPr>
          <w:rFonts w:asciiTheme="majorHAnsi" w:hAnsiTheme="majorHAnsi"/>
          <w:i/>
        </w:rPr>
        <w:t xml:space="preserve">The CPA Journal, 73(3),. </w:t>
      </w:r>
      <w:r>
        <w:rPr>
          <w:rFonts w:asciiTheme="majorHAnsi" w:hAnsiTheme="majorHAnsi"/>
        </w:rPr>
        <w:t>48-52.</w:t>
      </w:r>
    </w:p>
    <w:p w:rsidR="004D5209" w:rsidRPr="00017456" w:rsidRDefault="004D5209" w:rsidP="005C47A7">
      <w:pPr>
        <w:rPr>
          <w:rFonts w:asciiTheme="majorHAnsi" w:hAnsiTheme="majorHAnsi"/>
        </w:rPr>
      </w:pPr>
      <w:r w:rsidRPr="00017456">
        <w:rPr>
          <w:rFonts w:asciiTheme="majorHAnsi" w:hAnsiTheme="majorHAnsi"/>
        </w:rPr>
        <w:t>Hospitality Financial and Technology Professionals. 2012. Available at: http://www.HFTP.ORG</w:t>
      </w:r>
    </w:p>
    <w:p w:rsidR="005C47A7" w:rsidRDefault="005C47A7" w:rsidP="005C47A7">
      <w:pPr>
        <w:rPr>
          <w:rFonts w:asciiTheme="majorHAnsi" w:hAnsiTheme="majorHAnsi"/>
        </w:rPr>
      </w:pPr>
      <w:r>
        <w:rPr>
          <w:rFonts w:asciiTheme="majorHAnsi" w:hAnsiTheme="majorHAnsi"/>
        </w:rPr>
        <w:t xml:space="preserve">Johnson, L.E., &amp; Brooks, R.C. (2001). Assessing the value of CGFM designation. </w:t>
      </w:r>
      <w:r>
        <w:rPr>
          <w:rFonts w:asciiTheme="majorHAnsi" w:hAnsiTheme="majorHAnsi"/>
          <w:i/>
        </w:rPr>
        <w:t xml:space="preserve">The Journal of Government Financial Management, 50(3), </w:t>
      </w:r>
      <w:r>
        <w:rPr>
          <w:rFonts w:asciiTheme="majorHAnsi" w:hAnsiTheme="majorHAnsi"/>
        </w:rPr>
        <w:t>28-33</w:t>
      </w:r>
    </w:p>
    <w:p w:rsidR="005C47A7" w:rsidRPr="005C47A7" w:rsidRDefault="005C47A7" w:rsidP="005C47A7">
      <w:pPr>
        <w:rPr>
          <w:rFonts w:asciiTheme="majorHAnsi" w:hAnsiTheme="majorHAnsi" w:cstheme="minorHAnsi"/>
        </w:rPr>
      </w:pPr>
      <w:r w:rsidRPr="005C47A7">
        <w:rPr>
          <w:rStyle w:val="apple-style-span"/>
          <w:rFonts w:asciiTheme="majorHAnsi" w:hAnsiTheme="majorHAnsi" w:cstheme="minorHAnsi"/>
          <w:color w:val="000000"/>
        </w:rPr>
        <w:t>Robert Half. (2011).</w:t>
      </w:r>
      <w:r w:rsidRPr="005C47A7">
        <w:rPr>
          <w:rStyle w:val="apple-converted-space"/>
          <w:rFonts w:asciiTheme="majorHAnsi" w:hAnsiTheme="majorHAnsi" w:cstheme="minorHAnsi"/>
          <w:color w:val="000000"/>
        </w:rPr>
        <w:t> </w:t>
      </w:r>
      <w:r w:rsidRPr="005C47A7">
        <w:rPr>
          <w:rStyle w:val="Emphasis"/>
          <w:rFonts w:asciiTheme="majorHAnsi" w:hAnsiTheme="majorHAnsi" w:cstheme="minorHAnsi"/>
          <w:color w:val="000000"/>
        </w:rPr>
        <w:t>2011 Salary Guide</w:t>
      </w:r>
      <w:r w:rsidRPr="005C47A7">
        <w:rPr>
          <w:rStyle w:val="apple-style-span"/>
          <w:rFonts w:asciiTheme="majorHAnsi" w:hAnsiTheme="majorHAnsi" w:cstheme="minorHAnsi"/>
          <w:color w:val="000000"/>
        </w:rPr>
        <w:t xml:space="preserve"> </w:t>
      </w:r>
      <w:r w:rsidRPr="005C47A7">
        <w:rPr>
          <w:rStyle w:val="apple-style-span"/>
          <w:rFonts w:asciiTheme="majorHAnsi" w:hAnsiTheme="majorHAnsi" w:cstheme="minorHAnsi"/>
          <w:i/>
          <w:color w:val="000000"/>
        </w:rPr>
        <w:t>Accounting and Finance</w:t>
      </w:r>
      <w:r w:rsidRPr="005C47A7">
        <w:rPr>
          <w:rStyle w:val="apple-style-span"/>
          <w:rFonts w:asciiTheme="majorHAnsi" w:hAnsiTheme="majorHAnsi" w:cstheme="minorHAnsi"/>
          <w:color w:val="000000"/>
        </w:rPr>
        <w:t>.</w:t>
      </w:r>
    </w:p>
    <w:p w:rsidR="00804287" w:rsidRDefault="00804287" w:rsidP="00804287">
      <w:pPr>
        <w:rPr>
          <w:rFonts w:asciiTheme="majorHAnsi" w:hAnsiTheme="majorHAnsi"/>
        </w:rPr>
      </w:pPr>
      <w:r>
        <w:rPr>
          <w:rFonts w:asciiTheme="majorHAnsi" w:hAnsiTheme="majorHAnsi"/>
        </w:rPr>
        <w:t xml:space="preserve">Schroeder, D.L., Schiffel, L., &amp; Smith, K.A. (2010). IMA 2009 salary survey. </w:t>
      </w:r>
      <w:r w:rsidRPr="00255C60">
        <w:rPr>
          <w:rFonts w:asciiTheme="majorHAnsi" w:hAnsiTheme="majorHAnsi"/>
          <w:i/>
        </w:rPr>
        <w:t xml:space="preserve">Strategic </w:t>
      </w:r>
      <w:r w:rsidRPr="0037476D">
        <w:rPr>
          <w:rFonts w:asciiTheme="majorHAnsi" w:hAnsiTheme="majorHAnsi"/>
          <w:i/>
        </w:rPr>
        <w:t>Finance, 91</w:t>
      </w:r>
      <w:r>
        <w:rPr>
          <w:rFonts w:asciiTheme="majorHAnsi" w:hAnsiTheme="majorHAnsi"/>
          <w:i/>
        </w:rPr>
        <w:t>(12)</w:t>
      </w:r>
      <w:r>
        <w:rPr>
          <w:rFonts w:asciiTheme="majorHAnsi" w:hAnsiTheme="majorHAnsi"/>
        </w:rPr>
        <w:t xml:space="preserve">. 21-39. </w:t>
      </w:r>
    </w:p>
    <w:p w:rsidR="00E5460F" w:rsidRDefault="00804287" w:rsidP="005C47A7">
      <w:r>
        <w:rPr>
          <w:rFonts w:asciiTheme="majorHAnsi" w:hAnsiTheme="majorHAnsi"/>
        </w:rPr>
        <w:t xml:space="preserve">Schroeder, D.L., Schiffel, L., &amp; Smith, K.A. (2011). IMA 2010 salary survey: How’s that recovery workin’ for you? </w:t>
      </w:r>
      <w:r w:rsidRPr="00255C60">
        <w:rPr>
          <w:rFonts w:asciiTheme="majorHAnsi" w:hAnsiTheme="majorHAnsi"/>
          <w:i/>
        </w:rPr>
        <w:t xml:space="preserve">Strategic </w:t>
      </w:r>
      <w:r w:rsidRPr="0037476D">
        <w:rPr>
          <w:rFonts w:asciiTheme="majorHAnsi" w:hAnsiTheme="majorHAnsi"/>
          <w:i/>
        </w:rPr>
        <w:t>Finance, 92</w:t>
      </w:r>
      <w:r>
        <w:rPr>
          <w:rFonts w:asciiTheme="majorHAnsi" w:hAnsiTheme="majorHAnsi"/>
          <w:i/>
        </w:rPr>
        <w:t>(12)</w:t>
      </w:r>
      <w:r>
        <w:rPr>
          <w:rFonts w:asciiTheme="majorHAnsi" w:hAnsiTheme="majorHAnsi"/>
        </w:rPr>
        <w:t xml:space="preserve">, 27-46. </w:t>
      </w:r>
    </w:p>
    <w:sectPr w:rsidR="00E5460F" w:rsidSect="00C010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00" w:rsidRDefault="00702A00" w:rsidP="00B94166">
      <w:pPr>
        <w:spacing w:after="0" w:line="240" w:lineRule="auto"/>
      </w:pPr>
      <w:r>
        <w:separator/>
      </w:r>
    </w:p>
  </w:endnote>
  <w:endnote w:type="continuationSeparator" w:id="0">
    <w:p w:rsidR="00702A00" w:rsidRDefault="00702A00" w:rsidP="00B9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28872"/>
      <w:docPartObj>
        <w:docPartGallery w:val="Page Numbers (Bottom of Page)"/>
        <w:docPartUnique/>
      </w:docPartObj>
    </w:sdtPr>
    <w:sdtEndPr/>
    <w:sdtContent>
      <w:p w:rsidR="007B3BCF" w:rsidRDefault="007B3BCF">
        <w:pPr>
          <w:pStyle w:val="Footer"/>
          <w:jc w:val="center"/>
        </w:pPr>
        <w:r>
          <w:fldChar w:fldCharType="begin"/>
        </w:r>
        <w:r>
          <w:instrText xml:space="preserve"> PAGE   \* MERGEFORMAT </w:instrText>
        </w:r>
        <w:r>
          <w:fldChar w:fldCharType="separate"/>
        </w:r>
        <w:r w:rsidR="001D4DE3">
          <w:rPr>
            <w:noProof/>
          </w:rPr>
          <w:t>1</w:t>
        </w:r>
        <w:r>
          <w:rPr>
            <w:noProof/>
          </w:rPr>
          <w:fldChar w:fldCharType="end"/>
        </w:r>
      </w:p>
    </w:sdtContent>
  </w:sdt>
  <w:p w:rsidR="007B3BCF" w:rsidRDefault="007B3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471417"/>
      <w:docPartObj>
        <w:docPartGallery w:val="Page Numbers (Bottom of Page)"/>
        <w:docPartUnique/>
      </w:docPartObj>
    </w:sdtPr>
    <w:sdtEndPr/>
    <w:sdtContent>
      <w:p w:rsidR="007B3BCF" w:rsidRDefault="007B3BCF">
        <w:pPr>
          <w:pStyle w:val="Footer"/>
          <w:jc w:val="center"/>
        </w:pPr>
        <w:r>
          <w:fldChar w:fldCharType="begin"/>
        </w:r>
        <w:r>
          <w:instrText xml:space="preserve"> PAGE   \* MERGEFORMAT </w:instrText>
        </w:r>
        <w:r>
          <w:fldChar w:fldCharType="separate"/>
        </w:r>
        <w:r w:rsidR="001D4DE3">
          <w:rPr>
            <w:noProof/>
          </w:rPr>
          <w:t>12</w:t>
        </w:r>
        <w:r>
          <w:rPr>
            <w:noProof/>
          </w:rPr>
          <w:fldChar w:fldCharType="end"/>
        </w:r>
      </w:p>
    </w:sdtContent>
  </w:sdt>
  <w:p w:rsidR="007B3BCF" w:rsidRDefault="007B3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00" w:rsidRDefault="00702A00" w:rsidP="00B94166">
      <w:pPr>
        <w:spacing w:after="0" w:line="240" w:lineRule="auto"/>
      </w:pPr>
      <w:r>
        <w:separator/>
      </w:r>
    </w:p>
  </w:footnote>
  <w:footnote w:type="continuationSeparator" w:id="0">
    <w:p w:rsidR="00702A00" w:rsidRDefault="00702A00" w:rsidP="00B94166">
      <w:pPr>
        <w:spacing w:after="0" w:line="240" w:lineRule="auto"/>
      </w:pPr>
      <w:r>
        <w:continuationSeparator/>
      </w:r>
    </w:p>
  </w:footnote>
  <w:footnote w:id="1">
    <w:p w:rsidR="007B3BCF" w:rsidRDefault="007B3BCF" w:rsidP="0054494D">
      <w:pPr>
        <w:pStyle w:val="FootnoteText"/>
      </w:pPr>
      <w:r>
        <w:rPr>
          <w:rStyle w:val="FootnoteReference"/>
        </w:rPr>
        <w:t>*</w:t>
      </w:r>
      <w:r>
        <w:t xml:space="preserve"> Possible responses provided were high, moderate, and low.  The percentage reflects high interest.</w:t>
      </w:r>
    </w:p>
  </w:footnote>
  <w:footnote w:id="2">
    <w:p w:rsidR="007B3BCF" w:rsidRDefault="007B3BCF" w:rsidP="00C63EF0">
      <w:pPr>
        <w:pStyle w:val="FootnoteText"/>
      </w:pPr>
      <w:r>
        <w:rPr>
          <w:rStyle w:val="FootnoteReference"/>
        </w:rPr>
        <w:t>*</w:t>
      </w:r>
      <w:r>
        <w:t xml:space="preserve"> Possible responses provided were high, moderate, and low.  The percentage reflects high interest.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EAC11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02772"/>
    <w:multiLevelType w:val="hybridMultilevel"/>
    <w:tmpl w:val="00587EAE"/>
    <w:lvl w:ilvl="0" w:tplc="3DBCBC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34D8"/>
    <w:multiLevelType w:val="hybridMultilevel"/>
    <w:tmpl w:val="DE4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2059F"/>
    <w:multiLevelType w:val="hybridMultilevel"/>
    <w:tmpl w:val="6F52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A2EAB"/>
    <w:multiLevelType w:val="hybridMultilevel"/>
    <w:tmpl w:val="26421068"/>
    <w:lvl w:ilvl="0" w:tplc="FCE6B3EA">
      <w:start w:val="1"/>
      <w:numFmt w:val="decimal"/>
      <w:pStyle w:val="NumberedList"/>
      <w:lvlText w:val="%1."/>
      <w:lvlJc w:val="left"/>
      <w:pPr>
        <w:ind w:left="720" w:hanging="360"/>
      </w:pPr>
      <w:rPr>
        <w:rFonts w:ascii="Verdana" w:hAnsi="Verdana"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916452"/>
    <w:multiLevelType w:val="hybridMultilevel"/>
    <w:tmpl w:val="6F52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F3531"/>
    <w:multiLevelType w:val="hybridMultilevel"/>
    <w:tmpl w:val="DE4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967CB4"/>
    <w:multiLevelType w:val="hybridMultilevel"/>
    <w:tmpl w:val="B784F01E"/>
    <w:lvl w:ilvl="0" w:tplc="0409000F">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2C"/>
    <w:rsid w:val="000141FE"/>
    <w:rsid w:val="00017456"/>
    <w:rsid w:val="0002790A"/>
    <w:rsid w:val="000303A8"/>
    <w:rsid w:val="00033D36"/>
    <w:rsid w:val="00034568"/>
    <w:rsid w:val="000504FC"/>
    <w:rsid w:val="0006307E"/>
    <w:rsid w:val="00082270"/>
    <w:rsid w:val="000962A4"/>
    <w:rsid w:val="000B2F88"/>
    <w:rsid w:val="000C3B31"/>
    <w:rsid w:val="000D2C42"/>
    <w:rsid w:val="000E059F"/>
    <w:rsid w:val="000F4EA0"/>
    <w:rsid w:val="001449E8"/>
    <w:rsid w:val="0015570C"/>
    <w:rsid w:val="0016367A"/>
    <w:rsid w:val="001651AC"/>
    <w:rsid w:val="00165DF6"/>
    <w:rsid w:val="00171635"/>
    <w:rsid w:val="001725A6"/>
    <w:rsid w:val="0017662C"/>
    <w:rsid w:val="00185451"/>
    <w:rsid w:val="00196F97"/>
    <w:rsid w:val="001A0D9C"/>
    <w:rsid w:val="001C4C18"/>
    <w:rsid w:val="001C7042"/>
    <w:rsid w:val="001D4CA6"/>
    <w:rsid w:val="001D4DE3"/>
    <w:rsid w:val="00206F52"/>
    <w:rsid w:val="00207411"/>
    <w:rsid w:val="0027748D"/>
    <w:rsid w:val="002C280C"/>
    <w:rsid w:val="002D1EC5"/>
    <w:rsid w:val="002E1585"/>
    <w:rsid w:val="002E310F"/>
    <w:rsid w:val="002F4B8B"/>
    <w:rsid w:val="002F7CC2"/>
    <w:rsid w:val="0031663E"/>
    <w:rsid w:val="003232FD"/>
    <w:rsid w:val="0035318A"/>
    <w:rsid w:val="00381FED"/>
    <w:rsid w:val="00383D00"/>
    <w:rsid w:val="00387D85"/>
    <w:rsid w:val="003A0D52"/>
    <w:rsid w:val="003D0E6B"/>
    <w:rsid w:val="003F0337"/>
    <w:rsid w:val="00433BBB"/>
    <w:rsid w:val="00443919"/>
    <w:rsid w:val="004555DD"/>
    <w:rsid w:val="00471FA2"/>
    <w:rsid w:val="004722B2"/>
    <w:rsid w:val="004A40F2"/>
    <w:rsid w:val="004B0FF2"/>
    <w:rsid w:val="004B7CE9"/>
    <w:rsid w:val="004C27EE"/>
    <w:rsid w:val="004D5209"/>
    <w:rsid w:val="004E4EEB"/>
    <w:rsid w:val="004F0045"/>
    <w:rsid w:val="004F1E28"/>
    <w:rsid w:val="00513116"/>
    <w:rsid w:val="00537F77"/>
    <w:rsid w:val="00542639"/>
    <w:rsid w:val="0054494D"/>
    <w:rsid w:val="00545DEE"/>
    <w:rsid w:val="005652C8"/>
    <w:rsid w:val="005908A2"/>
    <w:rsid w:val="005B202E"/>
    <w:rsid w:val="005C160E"/>
    <w:rsid w:val="005C17A7"/>
    <w:rsid w:val="005C47A7"/>
    <w:rsid w:val="00603262"/>
    <w:rsid w:val="00612A3A"/>
    <w:rsid w:val="0062086B"/>
    <w:rsid w:val="00635241"/>
    <w:rsid w:val="006448AB"/>
    <w:rsid w:val="006551B3"/>
    <w:rsid w:val="0066415E"/>
    <w:rsid w:val="006810D8"/>
    <w:rsid w:val="00681859"/>
    <w:rsid w:val="006A6228"/>
    <w:rsid w:val="006C70C6"/>
    <w:rsid w:val="006D6022"/>
    <w:rsid w:val="006E6237"/>
    <w:rsid w:val="006F5835"/>
    <w:rsid w:val="00702A00"/>
    <w:rsid w:val="00723494"/>
    <w:rsid w:val="00741290"/>
    <w:rsid w:val="0074760A"/>
    <w:rsid w:val="00757208"/>
    <w:rsid w:val="00772296"/>
    <w:rsid w:val="00776464"/>
    <w:rsid w:val="007B2D64"/>
    <w:rsid w:val="007B3BCF"/>
    <w:rsid w:val="007D7B89"/>
    <w:rsid w:val="00801A57"/>
    <w:rsid w:val="00804287"/>
    <w:rsid w:val="00804E06"/>
    <w:rsid w:val="00805AED"/>
    <w:rsid w:val="0083250E"/>
    <w:rsid w:val="0083302C"/>
    <w:rsid w:val="00886ECC"/>
    <w:rsid w:val="00915E73"/>
    <w:rsid w:val="00922F14"/>
    <w:rsid w:val="009307D9"/>
    <w:rsid w:val="00933658"/>
    <w:rsid w:val="00935197"/>
    <w:rsid w:val="0094649D"/>
    <w:rsid w:val="00976368"/>
    <w:rsid w:val="009806FA"/>
    <w:rsid w:val="009D1736"/>
    <w:rsid w:val="009E6A3F"/>
    <w:rsid w:val="00A01008"/>
    <w:rsid w:val="00A31025"/>
    <w:rsid w:val="00A642AC"/>
    <w:rsid w:val="00AA74A1"/>
    <w:rsid w:val="00AD7AE3"/>
    <w:rsid w:val="00AE1B34"/>
    <w:rsid w:val="00AE565E"/>
    <w:rsid w:val="00AF2F59"/>
    <w:rsid w:val="00B014DC"/>
    <w:rsid w:val="00B145C6"/>
    <w:rsid w:val="00B162D3"/>
    <w:rsid w:val="00B23D50"/>
    <w:rsid w:val="00B472EA"/>
    <w:rsid w:val="00B71B06"/>
    <w:rsid w:val="00B74B25"/>
    <w:rsid w:val="00B76715"/>
    <w:rsid w:val="00B94166"/>
    <w:rsid w:val="00BA7AD4"/>
    <w:rsid w:val="00BB49BC"/>
    <w:rsid w:val="00BD5BFB"/>
    <w:rsid w:val="00C010E9"/>
    <w:rsid w:val="00C63811"/>
    <w:rsid w:val="00C63EF0"/>
    <w:rsid w:val="00C75D41"/>
    <w:rsid w:val="00C83B87"/>
    <w:rsid w:val="00C960AD"/>
    <w:rsid w:val="00CA25B2"/>
    <w:rsid w:val="00CA3822"/>
    <w:rsid w:val="00CB3905"/>
    <w:rsid w:val="00CC3652"/>
    <w:rsid w:val="00CC422F"/>
    <w:rsid w:val="00CE4C60"/>
    <w:rsid w:val="00D213E6"/>
    <w:rsid w:val="00D42849"/>
    <w:rsid w:val="00D67BFC"/>
    <w:rsid w:val="00D90B81"/>
    <w:rsid w:val="00DA1CA0"/>
    <w:rsid w:val="00DA443D"/>
    <w:rsid w:val="00DE24CE"/>
    <w:rsid w:val="00DE3CFA"/>
    <w:rsid w:val="00E00C1E"/>
    <w:rsid w:val="00E10B90"/>
    <w:rsid w:val="00E155DA"/>
    <w:rsid w:val="00E33B77"/>
    <w:rsid w:val="00E34501"/>
    <w:rsid w:val="00E369FC"/>
    <w:rsid w:val="00E371FC"/>
    <w:rsid w:val="00E37C07"/>
    <w:rsid w:val="00E40202"/>
    <w:rsid w:val="00E4243C"/>
    <w:rsid w:val="00E5460F"/>
    <w:rsid w:val="00E62CB6"/>
    <w:rsid w:val="00E80F70"/>
    <w:rsid w:val="00EF3508"/>
    <w:rsid w:val="00F03975"/>
    <w:rsid w:val="00F103DA"/>
    <w:rsid w:val="00F77ABF"/>
    <w:rsid w:val="00FD6BA1"/>
    <w:rsid w:val="00FF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1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166"/>
  </w:style>
  <w:style w:type="paragraph" w:styleId="Footer">
    <w:name w:val="footer"/>
    <w:basedOn w:val="Normal"/>
    <w:link w:val="FooterChar"/>
    <w:uiPriority w:val="99"/>
    <w:unhideWhenUsed/>
    <w:rsid w:val="00B9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66"/>
  </w:style>
  <w:style w:type="character" w:customStyle="1" w:styleId="apple-style-span">
    <w:name w:val="apple-style-span"/>
    <w:basedOn w:val="DefaultParagraphFont"/>
    <w:rsid w:val="00804287"/>
  </w:style>
  <w:style w:type="character" w:customStyle="1" w:styleId="apple-converted-space">
    <w:name w:val="apple-converted-space"/>
    <w:basedOn w:val="DefaultParagraphFont"/>
    <w:rsid w:val="00804287"/>
  </w:style>
  <w:style w:type="character" w:styleId="Emphasis">
    <w:name w:val="Emphasis"/>
    <w:basedOn w:val="DefaultParagraphFont"/>
    <w:uiPriority w:val="20"/>
    <w:qFormat/>
    <w:rsid w:val="00804287"/>
    <w:rPr>
      <w:i/>
      <w:iCs/>
    </w:rPr>
  </w:style>
  <w:style w:type="paragraph" w:styleId="ListParagraph">
    <w:name w:val="List Paragraph"/>
    <w:basedOn w:val="Normal"/>
    <w:uiPriority w:val="34"/>
    <w:qFormat/>
    <w:rsid w:val="00C83B87"/>
    <w:pPr>
      <w:ind w:left="720"/>
      <w:contextualSpacing/>
    </w:pPr>
  </w:style>
  <w:style w:type="table" w:styleId="TableGrid">
    <w:name w:val="Table Grid"/>
    <w:basedOn w:val="TableNormal"/>
    <w:uiPriority w:val="59"/>
    <w:rsid w:val="00C83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
    <w:name w:val="Numbered List"/>
    <w:basedOn w:val="Normal"/>
    <w:rsid w:val="00206F52"/>
    <w:pPr>
      <w:numPr>
        <w:numId w:val="3"/>
      </w:numPr>
    </w:pPr>
  </w:style>
  <w:style w:type="paragraph" w:styleId="FootnoteText">
    <w:name w:val="footnote text"/>
    <w:basedOn w:val="Normal"/>
    <w:link w:val="FootnoteTextChar"/>
    <w:uiPriority w:val="99"/>
    <w:semiHidden/>
    <w:unhideWhenUsed/>
    <w:rsid w:val="00635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241"/>
    <w:rPr>
      <w:sz w:val="20"/>
      <w:szCs w:val="20"/>
    </w:rPr>
  </w:style>
  <w:style w:type="character" w:styleId="FootnoteReference">
    <w:name w:val="footnote reference"/>
    <w:basedOn w:val="DefaultParagraphFont"/>
    <w:uiPriority w:val="99"/>
    <w:semiHidden/>
    <w:unhideWhenUsed/>
    <w:rsid w:val="00635241"/>
    <w:rPr>
      <w:vertAlign w:val="superscript"/>
    </w:rPr>
  </w:style>
  <w:style w:type="paragraph" w:styleId="BalloonText">
    <w:name w:val="Balloon Text"/>
    <w:basedOn w:val="Normal"/>
    <w:link w:val="BalloonTextChar"/>
    <w:uiPriority w:val="99"/>
    <w:semiHidden/>
    <w:unhideWhenUsed/>
    <w:rsid w:val="00D6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FC"/>
    <w:rPr>
      <w:rFonts w:ascii="Tahoma" w:hAnsi="Tahoma" w:cs="Tahoma"/>
      <w:sz w:val="16"/>
      <w:szCs w:val="16"/>
    </w:rPr>
  </w:style>
  <w:style w:type="paragraph" w:styleId="ListBullet">
    <w:name w:val="List Bullet"/>
    <w:basedOn w:val="Normal"/>
    <w:uiPriority w:val="99"/>
    <w:unhideWhenUsed/>
    <w:rsid w:val="0002790A"/>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1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166"/>
  </w:style>
  <w:style w:type="paragraph" w:styleId="Footer">
    <w:name w:val="footer"/>
    <w:basedOn w:val="Normal"/>
    <w:link w:val="FooterChar"/>
    <w:uiPriority w:val="99"/>
    <w:unhideWhenUsed/>
    <w:rsid w:val="00B9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66"/>
  </w:style>
  <w:style w:type="character" w:customStyle="1" w:styleId="apple-style-span">
    <w:name w:val="apple-style-span"/>
    <w:basedOn w:val="DefaultParagraphFont"/>
    <w:rsid w:val="00804287"/>
  </w:style>
  <w:style w:type="character" w:customStyle="1" w:styleId="apple-converted-space">
    <w:name w:val="apple-converted-space"/>
    <w:basedOn w:val="DefaultParagraphFont"/>
    <w:rsid w:val="00804287"/>
  </w:style>
  <w:style w:type="character" w:styleId="Emphasis">
    <w:name w:val="Emphasis"/>
    <w:basedOn w:val="DefaultParagraphFont"/>
    <w:uiPriority w:val="20"/>
    <w:qFormat/>
    <w:rsid w:val="00804287"/>
    <w:rPr>
      <w:i/>
      <w:iCs/>
    </w:rPr>
  </w:style>
  <w:style w:type="paragraph" w:styleId="ListParagraph">
    <w:name w:val="List Paragraph"/>
    <w:basedOn w:val="Normal"/>
    <w:uiPriority w:val="34"/>
    <w:qFormat/>
    <w:rsid w:val="00C83B87"/>
    <w:pPr>
      <w:ind w:left="720"/>
      <w:contextualSpacing/>
    </w:pPr>
  </w:style>
  <w:style w:type="table" w:styleId="TableGrid">
    <w:name w:val="Table Grid"/>
    <w:basedOn w:val="TableNormal"/>
    <w:uiPriority w:val="59"/>
    <w:rsid w:val="00C83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
    <w:name w:val="Numbered List"/>
    <w:basedOn w:val="Normal"/>
    <w:rsid w:val="00206F52"/>
    <w:pPr>
      <w:numPr>
        <w:numId w:val="3"/>
      </w:numPr>
    </w:pPr>
  </w:style>
  <w:style w:type="paragraph" w:styleId="FootnoteText">
    <w:name w:val="footnote text"/>
    <w:basedOn w:val="Normal"/>
    <w:link w:val="FootnoteTextChar"/>
    <w:uiPriority w:val="99"/>
    <w:semiHidden/>
    <w:unhideWhenUsed/>
    <w:rsid w:val="00635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241"/>
    <w:rPr>
      <w:sz w:val="20"/>
      <w:szCs w:val="20"/>
    </w:rPr>
  </w:style>
  <w:style w:type="character" w:styleId="FootnoteReference">
    <w:name w:val="footnote reference"/>
    <w:basedOn w:val="DefaultParagraphFont"/>
    <w:uiPriority w:val="99"/>
    <w:semiHidden/>
    <w:unhideWhenUsed/>
    <w:rsid w:val="00635241"/>
    <w:rPr>
      <w:vertAlign w:val="superscript"/>
    </w:rPr>
  </w:style>
  <w:style w:type="paragraph" w:styleId="BalloonText">
    <w:name w:val="Balloon Text"/>
    <w:basedOn w:val="Normal"/>
    <w:link w:val="BalloonTextChar"/>
    <w:uiPriority w:val="99"/>
    <w:semiHidden/>
    <w:unhideWhenUsed/>
    <w:rsid w:val="00D6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FC"/>
    <w:rPr>
      <w:rFonts w:ascii="Tahoma" w:hAnsi="Tahoma" w:cs="Tahoma"/>
      <w:sz w:val="16"/>
      <w:szCs w:val="16"/>
    </w:rPr>
  </w:style>
  <w:style w:type="paragraph" w:styleId="ListBullet">
    <w:name w:val="List Bullet"/>
    <w:basedOn w:val="Normal"/>
    <w:uiPriority w:val="99"/>
    <w:unhideWhenUsed/>
    <w:rsid w:val="0002790A"/>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2547-E6B3-4E8F-9BD3-2D0E2E9F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Damitio, James</dc:creator>
  <cp:lastModifiedBy>Randall Upchurch</cp:lastModifiedBy>
  <cp:revision>2</cp:revision>
  <cp:lastPrinted>2012-07-13T15:21:00Z</cp:lastPrinted>
  <dcterms:created xsi:type="dcterms:W3CDTF">2013-02-22T15:31:00Z</dcterms:created>
  <dcterms:modified xsi:type="dcterms:W3CDTF">2013-02-22T15:31:00Z</dcterms:modified>
</cp:coreProperties>
</file>