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1EA" w:rsidRPr="00F97B2D" w:rsidRDefault="007C07E8" w:rsidP="005E4B65">
      <w:pPr>
        <w:spacing w:after="0" w:line="480" w:lineRule="auto"/>
        <w:jc w:val="center"/>
        <w:rPr>
          <w:rFonts w:cs="Times New Roman"/>
          <w:szCs w:val="24"/>
        </w:rPr>
      </w:pPr>
      <w:r w:rsidRPr="00F97B2D">
        <w:rPr>
          <w:rFonts w:cs="Times New Roman"/>
          <w:szCs w:val="24"/>
        </w:rPr>
        <w:t>FLORIDA INTERNATIONAL UNIVERSITY</w:t>
      </w:r>
    </w:p>
    <w:p w:rsidR="007C07E8" w:rsidRPr="00F97B2D" w:rsidRDefault="007C07E8" w:rsidP="005E4B65">
      <w:pPr>
        <w:spacing w:after="0" w:line="480" w:lineRule="auto"/>
        <w:jc w:val="center"/>
        <w:rPr>
          <w:rFonts w:cs="Times New Roman"/>
          <w:szCs w:val="24"/>
        </w:rPr>
      </w:pPr>
      <w:r w:rsidRPr="00F97B2D">
        <w:rPr>
          <w:rFonts w:cs="Times New Roman"/>
          <w:szCs w:val="24"/>
        </w:rPr>
        <w:t>Miami, Florida</w:t>
      </w:r>
    </w:p>
    <w:p w:rsidR="007C07E8" w:rsidRPr="00F97B2D" w:rsidRDefault="007C07E8" w:rsidP="005E4B65">
      <w:pPr>
        <w:spacing w:after="0" w:line="480" w:lineRule="auto"/>
        <w:jc w:val="center"/>
        <w:rPr>
          <w:rFonts w:cs="Times New Roman"/>
          <w:szCs w:val="24"/>
        </w:rPr>
      </w:pPr>
    </w:p>
    <w:p w:rsidR="007C07E8" w:rsidRPr="00F97B2D" w:rsidRDefault="007C07E8" w:rsidP="005E4B65">
      <w:pPr>
        <w:spacing w:after="0" w:line="480" w:lineRule="auto"/>
        <w:jc w:val="center"/>
        <w:rPr>
          <w:rFonts w:cs="Times New Roman"/>
          <w:szCs w:val="24"/>
        </w:rPr>
      </w:pPr>
    </w:p>
    <w:p w:rsidR="007C07E8" w:rsidRPr="00F97B2D" w:rsidRDefault="007C07E8" w:rsidP="005E4B65">
      <w:pPr>
        <w:spacing w:after="0" w:line="480" w:lineRule="auto"/>
        <w:jc w:val="center"/>
        <w:rPr>
          <w:rFonts w:cs="Times New Roman"/>
          <w:szCs w:val="24"/>
        </w:rPr>
      </w:pPr>
    </w:p>
    <w:p w:rsidR="007C07E8" w:rsidRPr="00F97B2D" w:rsidRDefault="007C07E8" w:rsidP="005E4B65">
      <w:pPr>
        <w:spacing w:after="0" w:line="480" w:lineRule="auto"/>
        <w:jc w:val="center"/>
        <w:rPr>
          <w:rFonts w:cs="Times New Roman"/>
          <w:szCs w:val="24"/>
        </w:rPr>
      </w:pPr>
    </w:p>
    <w:p w:rsidR="007C07E8" w:rsidRPr="00F97B2D" w:rsidRDefault="007C07E8" w:rsidP="005E4B65">
      <w:pPr>
        <w:spacing w:after="0" w:line="480" w:lineRule="auto"/>
        <w:jc w:val="center"/>
        <w:rPr>
          <w:rFonts w:cs="Times New Roman"/>
          <w:szCs w:val="24"/>
        </w:rPr>
      </w:pPr>
    </w:p>
    <w:p w:rsidR="007C07E8" w:rsidRPr="00F97B2D" w:rsidRDefault="007C07E8" w:rsidP="00F97B2D">
      <w:pPr>
        <w:spacing w:after="0" w:line="480" w:lineRule="auto"/>
        <w:rPr>
          <w:rFonts w:cs="Times New Roman"/>
          <w:szCs w:val="24"/>
        </w:rPr>
      </w:pPr>
    </w:p>
    <w:p w:rsidR="007C07E8" w:rsidRPr="00F97B2D" w:rsidRDefault="008A3F01" w:rsidP="005E4B65">
      <w:pPr>
        <w:spacing w:after="0" w:line="480" w:lineRule="auto"/>
        <w:jc w:val="center"/>
        <w:rPr>
          <w:rFonts w:cs="Times New Roman"/>
          <w:szCs w:val="24"/>
        </w:rPr>
      </w:pPr>
      <w:r w:rsidRPr="00F97B2D">
        <w:rPr>
          <w:rFonts w:cs="Times New Roman"/>
          <w:szCs w:val="24"/>
        </w:rPr>
        <w:t xml:space="preserve">COMPREHENSIVE </w:t>
      </w:r>
      <w:r w:rsidR="001B4001" w:rsidRPr="00F97B2D">
        <w:rPr>
          <w:rFonts w:cs="Times New Roman"/>
          <w:szCs w:val="24"/>
        </w:rPr>
        <w:t>FORENSIC TOXICOLOGICAL ANALYSIS OF DESIGNER DRUGS</w:t>
      </w:r>
    </w:p>
    <w:p w:rsidR="007C07E8" w:rsidRPr="00F97B2D" w:rsidRDefault="007C07E8" w:rsidP="005E4B65">
      <w:pPr>
        <w:spacing w:after="0" w:line="480" w:lineRule="auto"/>
        <w:jc w:val="center"/>
        <w:rPr>
          <w:rFonts w:cs="Times New Roman"/>
          <w:szCs w:val="24"/>
        </w:rPr>
      </w:pPr>
    </w:p>
    <w:p w:rsidR="007C07E8" w:rsidRPr="00F97B2D" w:rsidRDefault="007C07E8" w:rsidP="00F97B2D">
      <w:pPr>
        <w:spacing w:after="0" w:line="480" w:lineRule="auto"/>
        <w:rPr>
          <w:rFonts w:cs="Times New Roman"/>
          <w:szCs w:val="24"/>
        </w:rPr>
      </w:pPr>
    </w:p>
    <w:p w:rsidR="007C07E8" w:rsidRPr="00F97B2D" w:rsidRDefault="007C07E8" w:rsidP="005E4B65">
      <w:pPr>
        <w:spacing w:after="0" w:line="480" w:lineRule="auto"/>
        <w:jc w:val="center"/>
        <w:rPr>
          <w:rFonts w:cs="Times New Roman"/>
          <w:szCs w:val="24"/>
        </w:rPr>
      </w:pPr>
    </w:p>
    <w:p w:rsidR="00BD45EB" w:rsidRPr="00F97B2D" w:rsidRDefault="00BD45EB" w:rsidP="005E4B65">
      <w:pPr>
        <w:spacing w:after="0" w:line="480" w:lineRule="auto"/>
        <w:jc w:val="center"/>
        <w:rPr>
          <w:rFonts w:cs="Times New Roman"/>
          <w:szCs w:val="24"/>
        </w:rPr>
      </w:pPr>
    </w:p>
    <w:p w:rsidR="00DD596B" w:rsidRPr="00F97B2D" w:rsidRDefault="007C07E8" w:rsidP="005E4B65">
      <w:pPr>
        <w:spacing w:after="0" w:line="480" w:lineRule="auto"/>
        <w:jc w:val="center"/>
        <w:rPr>
          <w:rFonts w:cs="Times New Roman"/>
          <w:szCs w:val="24"/>
        </w:rPr>
      </w:pPr>
      <w:r w:rsidRPr="00F97B2D">
        <w:rPr>
          <w:rFonts w:cs="Times New Roman"/>
          <w:szCs w:val="24"/>
        </w:rPr>
        <w:t>A dissertation submitted in partial fulfillment of</w:t>
      </w:r>
    </w:p>
    <w:p w:rsidR="007C07E8" w:rsidRPr="00F97B2D" w:rsidRDefault="00DD596B" w:rsidP="005E4B65">
      <w:pPr>
        <w:spacing w:after="0" w:line="480" w:lineRule="auto"/>
        <w:jc w:val="center"/>
        <w:rPr>
          <w:rFonts w:cs="Times New Roman"/>
          <w:szCs w:val="24"/>
        </w:rPr>
      </w:pPr>
      <w:proofErr w:type="gramStart"/>
      <w:r w:rsidRPr="00F97B2D">
        <w:rPr>
          <w:rFonts w:cs="Times New Roman"/>
          <w:szCs w:val="24"/>
        </w:rPr>
        <w:t>the</w:t>
      </w:r>
      <w:proofErr w:type="gramEnd"/>
      <w:r w:rsidRPr="00F97B2D">
        <w:rPr>
          <w:rFonts w:cs="Times New Roman"/>
          <w:szCs w:val="24"/>
        </w:rPr>
        <w:t xml:space="preserve"> </w:t>
      </w:r>
      <w:r w:rsidR="007C07E8" w:rsidRPr="00F97B2D">
        <w:rPr>
          <w:rFonts w:cs="Times New Roman"/>
          <w:szCs w:val="24"/>
        </w:rPr>
        <w:t>requirements for the degree of</w:t>
      </w:r>
    </w:p>
    <w:p w:rsidR="007C07E8" w:rsidRPr="00F97B2D" w:rsidRDefault="007C07E8" w:rsidP="005E4B65">
      <w:pPr>
        <w:spacing w:after="0" w:line="480" w:lineRule="auto"/>
        <w:jc w:val="center"/>
        <w:rPr>
          <w:rFonts w:cs="Times New Roman"/>
          <w:szCs w:val="24"/>
        </w:rPr>
      </w:pPr>
      <w:r w:rsidRPr="00F97B2D">
        <w:rPr>
          <w:rFonts w:cs="Times New Roman"/>
          <w:szCs w:val="24"/>
        </w:rPr>
        <w:t>DOCTOR OF PHILOSOPHY</w:t>
      </w:r>
    </w:p>
    <w:p w:rsidR="007C07E8" w:rsidRPr="00F97B2D" w:rsidRDefault="007C07E8" w:rsidP="005E4B65">
      <w:pPr>
        <w:spacing w:after="0" w:line="480" w:lineRule="auto"/>
        <w:jc w:val="center"/>
        <w:rPr>
          <w:rFonts w:cs="Times New Roman"/>
          <w:szCs w:val="24"/>
        </w:rPr>
      </w:pPr>
      <w:proofErr w:type="gramStart"/>
      <w:r w:rsidRPr="00F97B2D">
        <w:rPr>
          <w:rFonts w:cs="Times New Roman"/>
          <w:szCs w:val="24"/>
        </w:rPr>
        <w:t>in</w:t>
      </w:r>
      <w:proofErr w:type="gramEnd"/>
    </w:p>
    <w:p w:rsidR="007C07E8" w:rsidRPr="00F97B2D" w:rsidRDefault="007C07E8" w:rsidP="005E4B65">
      <w:pPr>
        <w:spacing w:after="0" w:line="480" w:lineRule="auto"/>
        <w:jc w:val="center"/>
        <w:rPr>
          <w:rFonts w:cs="Times New Roman"/>
          <w:szCs w:val="24"/>
        </w:rPr>
      </w:pPr>
      <w:r w:rsidRPr="00F97B2D">
        <w:rPr>
          <w:rFonts w:cs="Times New Roman"/>
          <w:szCs w:val="24"/>
        </w:rPr>
        <w:t>CHEMISTRY</w:t>
      </w:r>
    </w:p>
    <w:p w:rsidR="007C07E8" w:rsidRPr="00F97B2D" w:rsidRDefault="007C07E8" w:rsidP="005E4B65">
      <w:pPr>
        <w:spacing w:after="0" w:line="480" w:lineRule="auto"/>
        <w:jc w:val="center"/>
        <w:rPr>
          <w:rFonts w:cs="Times New Roman"/>
          <w:szCs w:val="24"/>
        </w:rPr>
      </w:pPr>
      <w:proofErr w:type="gramStart"/>
      <w:r w:rsidRPr="00F97B2D">
        <w:rPr>
          <w:rFonts w:cs="Times New Roman"/>
          <w:szCs w:val="24"/>
        </w:rPr>
        <w:t>by</w:t>
      </w:r>
      <w:proofErr w:type="gramEnd"/>
    </w:p>
    <w:p w:rsidR="007C07E8" w:rsidRPr="00F97B2D" w:rsidRDefault="001B4001" w:rsidP="005E4B65">
      <w:pPr>
        <w:spacing w:after="0" w:line="480" w:lineRule="auto"/>
        <w:jc w:val="center"/>
        <w:rPr>
          <w:rFonts w:cs="Times New Roman"/>
          <w:szCs w:val="24"/>
        </w:rPr>
      </w:pPr>
      <w:r w:rsidRPr="00F97B2D">
        <w:rPr>
          <w:rFonts w:cs="Times New Roman"/>
          <w:szCs w:val="24"/>
        </w:rPr>
        <w:t>Madeleine Jean Swortwood</w:t>
      </w:r>
    </w:p>
    <w:p w:rsidR="007C07E8" w:rsidRPr="00F97B2D" w:rsidRDefault="007C07E8" w:rsidP="005E4B65">
      <w:pPr>
        <w:spacing w:after="0" w:line="480" w:lineRule="auto"/>
        <w:jc w:val="center"/>
        <w:rPr>
          <w:rFonts w:cs="Times New Roman"/>
          <w:szCs w:val="24"/>
        </w:rPr>
      </w:pPr>
    </w:p>
    <w:p w:rsidR="007C07E8" w:rsidRPr="00F97B2D" w:rsidRDefault="007C07E8" w:rsidP="00F97B2D">
      <w:pPr>
        <w:spacing w:after="0" w:line="480" w:lineRule="auto"/>
        <w:jc w:val="center"/>
        <w:rPr>
          <w:rFonts w:cs="Times New Roman"/>
          <w:szCs w:val="24"/>
        </w:rPr>
      </w:pPr>
      <w:r w:rsidRPr="00F97B2D">
        <w:rPr>
          <w:rFonts w:cs="Times New Roman"/>
          <w:szCs w:val="24"/>
        </w:rPr>
        <w:t>2013</w:t>
      </w:r>
    </w:p>
    <w:p w:rsidR="007C07E8" w:rsidRPr="00F97B2D" w:rsidRDefault="00162E53" w:rsidP="00CB0ADF">
      <w:pPr>
        <w:spacing w:after="0"/>
        <w:rPr>
          <w:rFonts w:cs="Times New Roman"/>
          <w:szCs w:val="24"/>
        </w:rPr>
      </w:pPr>
      <w:r w:rsidRPr="00F97B2D">
        <w:rPr>
          <w:rFonts w:cs="Times New Roman"/>
          <w:szCs w:val="24"/>
        </w:rPr>
        <w:lastRenderedPageBreak/>
        <w:t>To:</w:t>
      </w:r>
      <w:r w:rsidRPr="00F97B2D">
        <w:rPr>
          <w:rFonts w:cs="Times New Roman"/>
          <w:szCs w:val="24"/>
        </w:rPr>
        <w:tab/>
        <w:t>Dean Kenneth Furton</w:t>
      </w:r>
    </w:p>
    <w:p w:rsidR="00162E53" w:rsidRPr="00F97B2D" w:rsidRDefault="00162E53" w:rsidP="00CB0ADF">
      <w:pPr>
        <w:spacing w:after="0"/>
        <w:rPr>
          <w:rFonts w:cs="Times New Roman"/>
          <w:szCs w:val="24"/>
        </w:rPr>
      </w:pPr>
      <w:r w:rsidRPr="00F97B2D">
        <w:rPr>
          <w:rFonts w:cs="Times New Roman"/>
          <w:szCs w:val="24"/>
        </w:rPr>
        <w:tab/>
        <w:t>College of Arts and Sciences</w:t>
      </w:r>
    </w:p>
    <w:p w:rsidR="00162E53" w:rsidRPr="00F97B2D" w:rsidRDefault="00162E53" w:rsidP="00CB0ADF">
      <w:pPr>
        <w:spacing w:after="0"/>
        <w:rPr>
          <w:rFonts w:cs="Times New Roman"/>
          <w:szCs w:val="24"/>
        </w:rPr>
      </w:pPr>
    </w:p>
    <w:p w:rsidR="00162E53" w:rsidRPr="00F97B2D" w:rsidRDefault="00162E53" w:rsidP="00CB0ADF">
      <w:pPr>
        <w:spacing w:after="0"/>
        <w:rPr>
          <w:rFonts w:cs="Times New Roman"/>
          <w:szCs w:val="24"/>
        </w:rPr>
      </w:pPr>
      <w:r w:rsidRPr="00F97B2D">
        <w:rPr>
          <w:rFonts w:cs="Times New Roman"/>
          <w:szCs w:val="24"/>
        </w:rPr>
        <w:t xml:space="preserve">This dissertation, written by </w:t>
      </w:r>
      <w:r w:rsidR="000B44D4" w:rsidRPr="00F97B2D">
        <w:rPr>
          <w:rFonts w:cs="Times New Roman"/>
          <w:szCs w:val="24"/>
        </w:rPr>
        <w:t>Madeleine Jean Swortwood</w:t>
      </w:r>
      <w:r w:rsidRPr="00F97B2D">
        <w:rPr>
          <w:rFonts w:cs="Times New Roman"/>
          <w:szCs w:val="24"/>
        </w:rPr>
        <w:t xml:space="preserve">, and entitled </w:t>
      </w:r>
      <w:r w:rsidR="008A3F01" w:rsidRPr="00F97B2D">
        <w:rPr>
          <w:rFonts w:cs="Times New Roman"/>
          <w:szCs w:val="24"/>
        </w:rPr>
        <w:t xml:space="preserve">Comprehensive </w:t>
      </w:r>
      <w:r w:rsidR="000B44D4" w:rsidRPr="00F97B2D">
        <w:rPr>
          <w:rFonts w:cs="Times New Roman"/>
          <w:szCs w:val="24"/>
        </w:rPr>
        <w:t>Forensic Toxicological Analysis of Designer Drugs</w:t>
      </w:r>
      <w:r w:rsidRPr="00F97B2D">
        <w:rPr>
          <w:rFonts w:cs="Times New Roman"/>
          <w:szCs w:val="24"/>
        </w:rPr>
        <w:t>, having been approved in respect to style and intellectual content, is referred to you for judgment.</w:t>
      </w:r>
    </w:p>
    <w:p w:rsidR="00162E53" w:rsidRPr="00F97B2D" w:rsidRDefault="00162E53" w:rsidP="00CB0ADF">
      <w:pPr>
        <w:spacing w:after="0"/>
        <w:rPr>
          <w:rFonts w:cs="Times New Roman"/>
          <w:szCs w:val="24"/>
        </w:rPr>
      </w:pPr>
    </w:p>
    <w:p w:rsidR="00162E53" w:rsidRPr="00F97B2D" w:rsidRDefault="00162E53" w:rsidP="00CB0ADF">
      <w:pPr>
        <w:spacing w:after="0"/>
        <w:rPr>
          <w:rFonts w:cs="Times New Roman"/>
          <w:szCs w:val="24"/>
        </w:rPr>
      </w:pPr>
      <w:r w:rsidRPr="00F97B2D">
        <w:rPr>
          <w:rFonts w:cs="Times New Roman"/>
          <w:szCs w:val="24"/>
        </w:rPr>
        <w:t>We have read this dissertation and recommend that it be approved.</w:t>
      </w:r>
    </w:p>
    <w:p w:rsidR="00162E53" w:rsidRPr="00F97B2D" w:rsidRDefault="00162E53" w:rsidP="00CB0ADF">
      <w:pPr>
        <w:spacing w:after="0"/>
        <w:rPr>
          <w:rFonts w:cs="Times New Roman"/>
          <w:szCs w:val="24"/>
        </w:rPr>
      </w:pPr>
    </w:p>
    <w:p w:rsidR="005632CA" w:rsidRPr="00F97B2D" w:rsidRDefault="005632CA" w:rsidP="00CB0ADF">
      <w:pPr>
        <w:spacing w:after="0"/>
        <w:rPr>
          <w:rFonts w:cs="Times New Roman"/>
          <w:szCs w:val="24"/>
        </w:rPr>
      </w:pPr>
    </w:p>
    <w:p w:rsidR="00162E53" w:rsidRPr="00F97B2D" w:rsidRDefault="00162E53" w:rsidP="00CB0ADF">
      <w:pPr>
        <w:spacing w:after="0"/>
        <w:jc w:val="right"/>
        <w:rPr>
          <w:rFonts w:cs="Times New Roman"/>
          <w:szCs w:val="24"/>
        </w:rPr>
      </w:pPr>
      <w:r w:rsidRPr="00F97B2D">
        <w:rPr>
          <w:rFonts w:cs="Times New Roman"/>
          <w:szCs w:val="24"/>
        </w:rPr>
        <w:t>______________________________________________</w:t>
      </w:r>
    </w:p>
    <w:p w:rsidR="00162E53" w:rsidRPr="00F97B2D" w:rsidRDefault="000B44D4" w:rsidP="00F97B2D">
      <w:pPr>
        <w:spacing w:after="0"/>
        <w:jc w:val="right"/>
        <w:rPr>
          <w:rFonts w:cs="Times New Roman"/>
          <w:szCs w:val="24"/>
        </w:rPr>
      </w:pPr>
      <w:r w:rsidRPr="00F97B2D">
        <w:rPr>
          <w:rFonts w:cs="Times New Roman"/>
          <w:szCs w:val="24"/>
        </w:rPr>
        <w:t>Piero Gardinali</w:t>
      </w:r>
    </w:p>
    <w:p w:rsidR="00162E53" w:rsidRPr="00F97B2D" w:rsidRDefault="00162E53" w:rsidP="00CB0ADF">
      <w:pPr>
        <w:spacing w:after="0"/>
        <w:rPr>
          <w:rFonts w:cs="Times New Roman"/>
          <w:szCs w:val="24"/>
        </w:rPr>
      </w:pPr>
    </w:p>
    <w:p w:rsidR="00162E53" w:rsidRPr="00F97B2D" w:rsidRDefault="00162E53" w:rsidP="00CB0ADF">
      <w:pPr>
        <w:spacing w:after="0"/>
        <w:jc w:val="right"/>
        <w:rPr>
          <w:rFonts w:cs="Times New Roman"/>
          <w:szCs w:val="24"/>
        </w:rPr>
      </w:pPr>
      <w:r w:rsidRPr="00F97B2D">
        <w:rPr>
          <w:rFonts w:cs="Times New Roman"/>
          <w:szCs w:val="24"/>
        </w:rPr>
        <w:t>______________________________________________</w:t>
      </w:r>
    </w:p>
    <w:p w:rsidR="00162E53" w:rsidRPr="00F97B2D" w:rsidRDefault="005E4B65" w:rsidP="00F97B2D">
      <w:pPr>
        <w:spacing w:after="0"/>
        <w:jc w:val="right"/>
        <w:rPr>
          <w:rFonts w:cs="Times New Roman"/>
          <w:szCs w:val="24"/>
        </w:rPr>
      </w:pPr>
      <w:r w:rsidRPr="00F97B2D">
        <w:rPr>
          <w:rFonts w:cs="Times New Roman"/>
          <w:szCs w:val="24"/>
        </w:rPr>
        <w:t xml:space="preserve">W. </w:t>
      </w:r>
      <w:r w:rsidR="000B44D4" w:rsidRPr="00F97B2D">
        <w:rPr>
          <w:rFonts w:cs="Times New Roman"/>
          <w:szCs w:val="24"/>
        </w:rPr>
        <w:t>Lee Hearn</w:t>
      </w:r>
    </w:p>
    <w:p w:rsidR="00162E53" w:rsidRPr="00F97B2D" w:rsidRDefault="00162E53" w:rsidP="00CB0ADF">
      <w:pPr>
        <w:spacing w:after="0"/>
        <w:jc w:val="right"/>
        <w:rPr>
          <w:rFonts w:cs="Times New Roman"/>
          <w:szCs w:val="24"/>
        </w:rPr>
      </w:pPr>
    </w:p>
    <w:p w:rsidR="00162E53" w:rsidRPr="00F97B2D" w:rsidRDefault="00162E53" w:rsidP="00CB0ADF">
      <w:pPr>
        <w:spacing w:after="0"/>
        <w:jc w:val="right"/>
        <w:rPr>
          <w:rFonts w:cs="Times New Roman"/>
          <w:szCs w:val="24"/>
        </w:rPr>
      </w:pPr>
      <w:r w:rsidRPr="00F97B2D">
        <w:rPr>
          <w:rFonts w:cs="Times New Roman"/>
          <w:szCs w:val="24"/>
        </w:rPr>
        <w:t>______________________________________________</w:t>
      </w:r>
    </w:p>
    <w:p w:rsidR="00162E53" w:rsidRPr="00F97B2D" w:rsidRDefault="00BD45EB" w:rsidP="00CB0ADF">
      <w:pPr>
        <w:spacing w:after="0"/>
        <w:jc w:val="right"/>
        <w:rPr>
          <w:rFonts w:cs="Times New Roman"/>
          <w:szCs w:val="24"/>
        </w:rPr>
      </w:pPr>
      <w:r w:rsidRPr="00F97B2D">
        <w:rPr>
          <w:rFonts w:cs="Times New Roman"/>
          <w:szCs w:val="24"/>
        </w:rPr>
        <w:t>Jaroslava Mikšovská</w:t>
      </w:r>
    </w:p>
    <w:p w:rsidR="00162E53" w:rsidRPr="00F97B2D" w:rsidRDefault="00162E53" w:rsidP="00F97B2D">
      <w:pPr>
        <w:spacing w:after="0"/>
        <w:rPr>
          <w:rFonts w:cs="Times New Roman"/>
          <w:szCs w:val="24"/>
        </w:rPr>
      </w:pPr>
    </w:p>
    <w:p w:rsidR="00162E53" w:rsidRPr="00F97B2D" w:rsidRDefault="00162E53" w:rsidP="00CB0ADF">
      <w:pPr>
        <w:spacing w:after="0"/>
        <w:jc w:val="right"/>
        <w:rPr>
          <w:rFonts w:cs="Times New Roman"/>
          <w:szCs w:val="24"/>
        </w:rPr>
      </w:pPr>
      <w:r w:rsidRPr="00F97B2D">
        <w:rPr>
          <w:rFonts w:cs="Times New Roman"/>
          <w:szCs w:val="24"/>
        </w:rPr>
        <w:t>______________________________________________</w:t>
      </w:r>
    </w:p>
    <w:p w:rsidR="00162E53" w:rsidRPr="00F97B2D" w:rsidRDefault="000B44D4" w:rsidP="00CB0ADF">
      <w:pPr>
        <w:spacing w:after="0"/>
        <w:jc w:val="right"/>
        <w:rPr>
          <w:rFonts w:cs="Times New Roman"/>
          <w:szCs w:val="24"/>
        </w:rPr>
      </w:pPr>
      <w:r w:rsidRPr="00F97B2D">
        <w:rPr>
          <w:rFonts w:cs="Times New Roman"/>
          <w:szCs w:val="24"/>
        </w:rPr>
        <w:t>Georg Petroianu</w:t>
      </w:r>
    </w:p>
    <w:p w:rsidR="00162E53" w:rsidRPr="00F97B2D" w:rsidRDefault="00162E53" w:rsidP="00F97B2D">
      <w:pPr>
        <w:spacing w:after="0"/>
        <w:rPr>
          <w:rFonts w:cs="Times New Roman"/>
          <w:szCs w:val="24"/>
        </w:rPr>
      </w:pPr>
    </w:p>
    <w:p w:rsidR="00162E53" w:rsidRPr="00F97B2D" w:rsidRDefault="00162E53" w:rsidP="00CB0ADF">
      <w:pPr>
        <w:spacing w:after="0"/>
        <w:jc w:val="right"/>
        <w:rPr>
          <w:rFonts w:cs="Times New Roman"/>
          <w:szCs w:val="24"/>
        </w:rPr>
      </w:pPr>
      <w:r w:rsidRPr="00F97B2D">
        <w:rPr>
          <w:rFonts w:cs="Times New Roman"/>
          <w:szCs w:val="24"/>
        </w:rPr>
        <w:softHyphen/>
      </w:r>
      <w:r w:rsidRPr="00F97B2D">
        <w:rPr>
          <w:rFonts w:cs="Times New Roman"/>
          <w:szCs w:val="24"/>
        </w:rPr>
        <w:softHyphen/>
      </w:r>
      <w:r w:rsidRPr="00F97B2D">
        <w:rPr>
          <w:rFonts w:cs="Times New Roman"/>
          <w:szCs w:val="24"/>
        </w:rPr>
        <w:softHyphen/>
      </w:r>
      <w:r w:rsidR="009C7DAC" w:rsidRPr="00F97B2D">
        <w:rPr>
          <w:rFonts w:cs="Times New Roman"/>
          <w:szCs w:val="24"/>
        </w:rPr>
        <w:t xml:space="preserve"> </w:t>
      </w:r>
      <w:r w:rsidR="005632CA" w:rsidRPr="00F97B2D">
        <w:rPr>
          <w:rFonts w:cs="Times New Roman"/>
          <w:szCs w:val="24"/>
        </w:rPr>
        <w:t>______________________________________________</w:t>
      </w:r>
    </w:p>
    <w:p w:rsidR="005632CA" w:rsidRPr="00F97B2D" w:rsidRDefault="005632CA" w:rsidP="008A3F01">
      <w:pPr>
        <w:spacing w:after="0"/>
        <w:jc w:val="right"/>
        <w:rPr>
          <w:rFonts w:cs="Times New Roman"/>
          <w:szCs w:val="24"/>
        </w:rPr>
      </w:pPr>
      <w:r w:rsidRPr="00F97B2D">
        <w:rPr>
          <w:rFonts w:cs="Times New Roman"/>
          <w:szCs w:val="24"/>
        </w:rPr>
        <w:t>Anthony DeCaprio, Major Professor</w:t>
      </w:r>
    </w:p>
    <w:p w:rsidR="005632CA" w:rsidRPr="00F97B2D" w:rsidRDefault="005632CA" w:rsidP="00CB0ADF">
      <w:pPr>
        <w:spacing w:after="0"/>
        <w:rPr>
          <w:rFonts w:cs="Times New Roman"/>
          <w:szCs w:val="24"/>
        </w:rPr>
      </w:pPr>
    </w:p>
    <w:p w:rsidR="005632CA" w:rsidRPr="00F97B2D" w:rsidRDefault="005632CA" w:rsidP="00CB0ADF">
      <w:pPr>
        <w:spacing w:after="0" w:line="480" w:lineRule="auto"/>
        <w:rPr>
          <w:rFonts w:cs="Times New Roman"/>
          <w:szCs w:val="24"/>
        </w:rPr>
      </w:pPr>
      <w:r w:rsidRPr="00F97B2D">
        <w:rPr>
          <w:rFonts w:cs="Times New Roman"/>
          <w:szCs w:val="24"/>
        </w:rPr>
        <w:t xml:space="preserve">Date of Defense: </w:t>
      </w:r>
      <w:r w:rsidR="007929FE">
        <w:rPr>
          <w:rFonts w:cs="Times New Roman"/>
          <w:szCs w:val="24"/>
        </w:rPr>
        <w:t>October 21, 2013</w:t>
      </w:r>
    </w:p>
    <w:p w:rsidR="005632CA" w:rsidRPr="00F97B2D" w:rsidRDefault="005632CA" w:rsidP="00CB0ADF">
      <w:pPr>
        <w:spacing w:after="0" w:line="480" w:lineRule="auto"/>
        <w:rPr>
          <w:rFonts w:cs="Times New Roman"/>
          <w:szCs w:val="24"/>
        </w:rPr>
      </w:pPr>
      <w:r w:rsidRPr="00F97B2D">
        <w:rPr>
          <w:rFonts w:cs="Times New Roman"/>
          <w:szCs w:val="24"/>
        </w:rPr>
        <w:t xml:space="preserve">The dissertation of </w:t>
      </w:r>
      <w:r w:rsidR="000B44D4" w:rsidRPr="00F97B2D">
        <w:rPr>
          <w:rFonts w:cs="Times New Roman"/>
          <w:szCs w:val="24"/>
        </w:rPr>
        <w:t>Madeleine Jean Swortwood</w:t>
      </w:r>
      <w:r w:rsidRPr="00F97B2D">
        <w:rPr>
          <w:rFonts w:cs="Times New Roman"/>
          <w:szCs w:val="24"/>
        </w:rPr>
        <w:t xml:space="preserve"> is approved.</w:t>
      </w:r>
    </w:p>
    <w:p w:rsidR="005632CA" w:rsidRPr="00F97B2D" w:rsidRDefault="005632CA" w:rsidP="00CB0ADF">
      <w:pPr>
        <w:spacing w:after="0"/>
        <w:rPr>
          <w:rFonts w:cs="Times New Roman"/>
          <w:szCs w:val="24"/>
        </w:rPr>
      </w:pPr>
    </w:p>
    <w:p w:rsidR="005632CA" w:rsidRPr="00F97B2D" w:rsidRDefault="005632CA" w:rsidP="00CB0ADF">
      <w:pPr>
        <w:spacing w:after="0"/>
        <w:jc w:val="right"/>
        <w:rPr>
          <w:rFonts w:cs="Times New Roman"/>
          <w:szCs w:val="24"/>
        </w:rPr>
      </w:pPr>
      <w:r w:rsidRPr="00F97B2D">
        <w:rPr>
          <w:rFonts w:cs="Times New Roman"/>
          <w:szCs w:val="24"/>
        </w:rPr>
        <w:t>______________________________________________</w:t>
      </w:r>
    </w:p>
    <w:p w:rsidR="005632CA" w:rsidRPr="00F97B2D" w:rsidRDefault="005632CA" w:rsidP="00CB0ADF">
      <w:pPr>
        <w:spacing w:after="0"/>
        <w:jc w:val="right"/>
        <w:rPr>
          <w:rFonts w:cs="Times New Roman"/>
          <w:szCs w:val="24"/>
        </w:rPr>
      </w:pPr>
      <w:r w:rsidRPr="00F97B2D">
        <w:rPr>
          <w:rFonts w:cs="Times New Roman"/>
          <w:szCs w:val="24"/>
        </w:rPr>
        <w:t>Dean Kenneth Furton</w:t>
      </w:r>
    </w:p>
    <w:p w:rsidR="005632CA" w:rsidRPr="00F97B2D" w:rsidRDefault="005632CA" w:rsidP="00CB0ADF">
      <w:pPr>
        <w:spacing w:after="0"/>
        <w:jc w:val="right"/>
        <w:rPr>
          <w:rFonts w:cs="Times New Roman"/>
          <w:szCs w:val="24"/>
        </w:rPr>
      </w:pPr>
      <w:r w:rsidRPr="00F97B2D">
        <w:rPr>
          <w:rFonts w:cs="Times New Roman"/>
          <w:szCs w:val="24"/>
        </w:rPr>
        <w:t>College of Arts and Sciences</w:t>
      </w:r>
    </w:p>
    <w:p w:rsidR="005632CA" w:rsidRPr="00F97B2D" w:rsidRDefault="005632CA" w:rsidP="00F97B2D">
      <w:pPr>
        <w:spacing w:after="0"/>
        <w:rPr>
          <w:rFonts w:cs="Times New Roman"/>
          <w:szCs w:val="24"/>
        </w:rPr>
      </w:pPr>
    </w:p>
    <w:p w:rsidR="005632CA" w:rsidRPr="00F97B2D" w:rsidRDefault="005632CA" w:rsidP="00CB0ADF">
      <w:pPr>
        <w:spacing w:after="0"/>
        <w:jc w:val="right"/>
        <w:rPr>
          <w:rFonts w:cs="Times New Roman"/>
          <w:szCs w:val="24"/>
        </w:rPr>
      </w:pPr>
      <w:r w:rsidRPr="00F97B2D">
        <w:rPr>
          <w:rFonts w:cs="Times New Roman"/>
          <w:szCs w:val="24"/>
        </w:rPr>
        <w:t>______________________________________________</w:t>
      </w:r>
    </w:p>
    <w:p w:rsidR="005632CA" w:rsidRPr="00F97B2D" w:rsidRDefault="005E4B65" w:rsidP="00CB0ADF">
      <w:pPr>
        <w:spacing w:after="0"/>
        <w:jc w:val="right"/>
        <w:rPr>
          <w:rFonts w:cs="Times New Roman"/>
          <w:szCs w:val="24"/>
        </w:rPr>
      </w:pPr>
      <w:r w:rsidRPr="00F97B2D">
        <w:rPr>
          <w:rFonts w:cs="Times New Roman"/>
          <w:szCs w:val="24"/>
        </w:rPr>
        <w:t>Dean Lakshmi N. Reddi</w:t>
      </w:r>
    </w:p>
    <w:p w:rsidR="005632CA" w:rsidRPr="00F97B2D" w:rsidRDefault="005632CA" w:rsidP="00CB0ADF">
      <w:pPr>
        <w:spacing w:after="0"/>
        <w:jc w:val="right"/>
        <w:rPr>
          <w:rFonts w:cs="Times New Roman"/>
          <w:szCs w:val="24"/>
        </w:rPr>
      </w:pPr>
      <w:r w:rsidRPr="00F97B2D">
        <w:rPr>
          <w:rFonts w:cs="Times New Roman"/>
          <w:szCs w:val="24"/>
        </w:rPr>
        <w:t>University Graduate School</w:t>
      </w:r>
    </w:p>
    <w:p w:rsidR="005632CA" w:rsidRPr="00F97B2D" w:rsidRDefault="005632CA" w:rsidP="00CB0ADF">
      <w:pPr>
        <w:spacing w:after="0"/>
        <w:jc w:val="center"/>
        <w:rPr>
          <w:rFonts w:cs="Times New Roman"/>
          <w:szCs w:val="24"/>
        </w:rPr>
      </w:pPr>
    </w:p>
    <w:p w:rsidR="005632CA" w:rsidRPr="00F97B2D" w:rsidRDefault="005632CA" w:rsidP="00F97B2D">
      <w:pPr>
        <w:spacing w:after="0"/>
        <w:rPr>
          <w:rFonts w:cs="Times New Roman"/>
          <w:szCs w:val="24"/>
        </w:rPr>
      </w:pPr>
    </w:p>
    <w:p w:rsidR="00557B6C" w:rsidRPr="00F97B2D" w:rsidRDefault="005632CA" w:rsidP="00CB0ADF">
      <w:pPr>
        <w:spacing w:after="0"/>
        <w:jc w:val="center"/>
        <w:rPr>
          <w:rFonts w:cs="Times New Roman"/>
          <w:szCs w:val="24"/>
        </w:rPr>
      </w:pPr>
      <w:r w:rsidRPr="00F97B2D">
        <w:rPr>
          <w:rFonts w:cs="Times New Roman"/>
          <w:szCs w:val="24"/>
        </w:rPr>
        <w:t>Florida International University, 2013</w:t>
      </w:r>
    </w:p>
    <w:p w:rsidR="00557B6C" w:rsidRPr="00F97B2D" w:rsidRDefault="00557B6C" w:rsidP="00CB0ADF">
      <w:pPr>
        <w:spacing w:after="0"/>
        <w:jc w:val="center"/>
        <w:rPr>
          <w:rFonts w:cs="Times New Roman"/>
          <w:szCs w:val="24"/>
        </w:rPr>
      </w:pPr>
    </w:p>
    <w:p w:rsidR="00557B6C" w:rsidRPr="00F97B2D" w:rsidRDefault="00557B6C" w:rsidP="00CB0ADF">
      <w:pPr>
        <w:spacing w:after="0"/>
        <w:jc w:val="center"/>
        <w:rPr>
          <w:rFonts w:cs="Times New Roman"/>
          <w:szCs w:val="24"/>
        </w:rPr>
      </w:pPr>
    </w:p>
    <w:p w:rsidR="00557B6C" w:rsidRPr="00F97B2D" w:rsidRDefault="00557B6C" w:rsidP="00CB0ADF">
      <w:pPr>
        <w:spacing w:after="0"/>
        <w:jc w:val="center"/>
        <w:rPr>
          <w:rFonts w:cs="Times New Roman"/>
          <w:szCs w:val="24"/>
        </w:rPr>
      </w:pPr>
    </w:p>
    <w:p w:rsidR="00557B6C" w:rsidRPr="00F97B2D" w:rsidRDefault="00557B6C" w:rsidP="00CB0ADF">
      <w:pPr>
        <w:spacing w:after="0"/>
        <w:jc w:val="center"/>
        <w:rPr>
          <w:rFonts w:cs="Times New Roman"/>
          <w:szCs w:val="24"/>
        </w:rPr>
      </w:pPr>
    </w:p>
    <w:p w:rsidR="00557B6C" w:rsidRPr="00F97B2D" w:rsidRDefault="00557B6C" w:rsidP="00CB0ADF">
      <w:pPr>
        <w:spacing w:after="0"/>
        <w:jc w:val="center"/>
        <w:rPr>
          <w:rFonts w:cs="Times New Roman"/>
          <w:szCs w:val="24"/>
        </w:rPr>
      </w:pPr>
    </w:p>
    <w:p w:rsidR="00557B6C" w:rsidRPr="00F97B2D" w:rsidRDefault="00557B6C" w:rsidP="00CB0ADF">
      <w:pPr>
        <w:spacing w:after="0"/>
        <w:jc w:val="center"/>
        <w:rPr>
          <w:rFonts w:cs="Times New Roman"/>
          <w:szCs w:val="24"/>
        </w:rPr>
      </w:pPr>
    </w:p>
    <w:p w:rsidR="00557B6C" w:rsidRPr="00F97B2D" w:rsidRDefault="00557B6C" w:rsidP="00A944B9">
      <w:pPr>
        <w:spacing w:after="0"/>
        <w:rPr>
          <w:rFonts w:cs="Times New Roman"/>
          <w:szCs w:val="24"/>
        </w:rPr>
      </w:pPr>
    </w:p>
    <w:p w:rsidR="00557B6C" w:rsidRPr="00F97B2D" w:rsidRDefault="00557B6C" w:rsidP="00CB0ADF">
      <w:pPr>
        <w:spacing w:after="0"/>
        <w:jc w:val="center"/>
        <w:rPr>
          <w:rFonts w:cs="Times New Roman"/>
          <w:szCs w:val="24"/>
        </w:rPr>
      </w:pPr>
    </w:p>
    <w:p w:rsidR="00557B6C" w:rsidRPr="00F97B2D" w:rsidRDefault="00557B6C" w:rsidP="00CB0ADF">
      <w:pPr>
        <w:spacing w:after="0"/>
        <w:jc w:val="center"/>
        <w:rPr>
          <w:rFonts w:cs="Times New Roman"/>
          <w:szCs w:val="24"/>
        </w:rPr>
      </w:pPr>
    </w:p>
    <w:p w:rsidR="00557B6C" w:rsidRPr="00F97B2D" w:rsidRDefault="00557B6C" w:rsidP="00F97B2D">
      <w:pPr>
        <w:spacing w:after="0"/>
        <w:rPr>
          <w:rFonts w:cs="Times New Roman"/>
          <w:szCs w:val="24"/>
        </w:rPr>
      </w:pPr>
    </w:p>
    <w:p w:rsidR="00557B6C" w:rsidRPr="00F97B2D" w:rsidRDefault="00557B6C" w:rsidP="00CB0ADF">
      <w:pPr>
        <w:spacing w:after="0" w:line="480" w:lineRule="auto"/>
        <w:jc w:val="center"/>
        <w:rPr>
          <w:rFonts w:cs="Times New Roman"/>
          <w:szCs w:val="24"/>
        </w:rPr>
      </w:pPr>
    </w:p>
    <w:p w:rsidR="00557B6C" w:rsidRPr="003D3BF8" w:rsidRDefault="00557B6C" w:rsidP="00CB0ADF">
      <w:pPr>
        <w:spacing w:after="0" w:line="480" w:lineRule="auto"/>
        <w:jc w:val="center"/>
        <w:rPr>
          <w:rFonts w:cs="Times New Roman"/>
          <w:szCs w:val="24"/>
        </w:rPr>
      </w:pPr>
      <w:r w:rsidRPr="003D3BF8">
        <w:rPr>
          <w:rFonts w:cs="Times New Roman"/>
          <w:szCs w:val="24"/>
        </w:rPr>
        <w:t>Copyright</w:t>
      </w:r>
      <w:r w:rsidR="0036654F" w:rsidRPr="003D3BF8">
        <w:rPr>
          <w:rFonts w:cs="Times New Roman"/>
          <w:szCs w:val="24"/>
        </w:rPr>
        <w:t xml:space="preserve"> ©</w:t>
      </w:r>
      <w:r w:rsidRPr="003D3BF8">
        <w:rPr>
          <w:rFonts w:cs="Times New Roman"/>
          <w:szCs w:val="24"/>
        </w:rPr>
        <w:t xml:space="preserve"> 2013</w:t>
      </w:r>
      <w:r w:rsidR="008A3F01" w:rsidRPr="003D3BF8">
        <w:rPr>
          <w:rFonts w:cs="Times New Roman"/>
          <w:szCs w:val="24"/>
        </w:rPr>
        <w:t xml:space="preserve"> by Madeleine Jean Swortwood</w:t>
      </w:r>
    </w:p>
    <w:p w:rsidR="0036654F" w:rsidRPr="003D3BF8" w:rsidRDefault="0036654F" w:rsidP="00CB0ADF">
      <w:pPr>
        <w:spacing w:after="0" w:line="480" w:lineRule="auto"/>
        <w:jc w:val="center"/>
        <w:rPr>
          <w:rFonts w:cs="Times New Roman"/>
          <w:szCs w:val="24"/>
        </w:rPr>
      </w:pPr>
      <w:proofErr w:type="gramStart"/>
      <w:r w:rsidRPr="003D3BF8">
        <w:rPr>
          <w:rFonts w:cs="Times New Roman"/>
          <w:szCs w:val="24"/>
        </w:rPr>
        <w:t>Copyright © 2013 John Wiley &amp; Sons, Ltd.</w:t>
      </w:r>
      <w:proofErr w:type="gramEnd"/>
    </w:p>
    <w:p w:rsidR="0036654F" w:rsidRPr="003D3BF8" w:rsidRDefault="0036654F" w:rsidP="0036654F">
      <w:pPr>
        <w:spacing w:after="0" w:line="480" w:lineRule="auto"/>
        <w:jc w:val="center"/>
        <w:rPr>
          <w:rFonts w:cs="Times New Roman"/>
          <w:szCs w:val="24"/>
        </w:rPr>
      </w:pPr>
      <w:r w:rsidRPr="003D3BF8">
        <w:rPr>
          <w:rFonts w:cs="Times New Roman"/>
          <w:szCs w:val="24"/>
        </w:rPr>
        <w:t>Swortwood, M. J., Hearn, W. L., DeCaprio, A. P. (2013) Cross-reactivity of designer drugs, including cathinone derivatives, in commercial enzyme-linked immunosorbent assays.  Drug Test. Anal. DOI 10.1002/dta.1489</w:t>
      </w:r>
    </w:p>
    <w:p w:rsidR="0036654F" w:rsidRPr="003D3BF8" w:rsidRDefault="0036654F" w:rsidP="00CB0ADF">
      <w:pPr>
        <w:spacing w:after="0" w:line="480" w:lineRule="auto"/>
        <w:jc w:val="center"/>
        <w:rPr>
          <w:rFonts w:cs="Times New Roman"/>
          <w:szCs w:val="24"/>
        </w:rPr>
      </w:pPr>
      <w:r w:rsidRPr="003D3BF8">
        <w:rPr>
          <w:rFonts w:cs="Times New Roman"/>
          <w:szCs w:val="24"/>
        </w:rPr>
        <w:t>Copyright © 2012 Springer-Verlag Berlin Heidelberg</w:t>
      </w:r>
    </w:p>
    <w:p w:rsidR="0036654F" w:rsidRPr="003D3BF8" w:rsidRDefault="0036654F" w:rsidP="00CB0ADF">
      <w:pPr>
        <w:spacing w:after="0" w:line="480" w:lineRule="auto"/>
        <w:jc w:val="center"/>
        <w:rPr>
          <w:rFonts w:cs="Times New Roman"/>
          <w:szCs w:val="24"/>
        </w:rPr>
      </w:pPr>
      <w:r w:rsidRPr="003D3BF8">
        <w:rPr>
          <w:rFonts w:cs="Times New Roman"/>
          <w:szCs w:val="24"/>
        </w:rPr>
        <w:t xml:space="preserve">Swortwood, M. J., Boland, D. M., DeCaprio, A. P. (2012) Determination of 32 cathinone derivatives and other designer drugs in serum by comprehensive LC-QQQ-MS/MS analysis.  </w:t>
      </w:r>
      <w:proofErr w:type="gramStart"/>
      <w:r w:rsidRPr="003D3BF8">
        <w:rPr>
          <w:rFonts w:cs="Times New Roman"/>
          <w:szCs w:val="24"/>
        </w:rPr>
        <w:t>Anal.</w:t>
      </w:r>
      <w:proofErr w:type="gramEnd"/>
      <w:r w:rsidRPr="003D3BF8">
        <w:rPr>
          <w:rFonts w:cs="Times New Roman"/>
          <w:szCs w:val="24"/>
        </w:rPr>
        <w:t xml:space="preserve"> </w:t>
      </w:r>
      <w:proofErr w:type="gramStart"/>
      <w:r w:rsidRPr="003D3BF8">
        <w:rPr>
          <w:rFonts w:cs="Times New Roman"/>
          <w:szCs w:val="24"/>
        </w:rPr>
        <w:t>Bioanal.</w:t>
      </w:r>
      <w:proofErr w:type="gramEnd"/>
      <w:r w:rsidRPr="003D3BF8">
        <w:rPr>
          <w:rFonts w:cs="Times New Roman"/>
          <w:szCs w:val="24"/>
        </w:rPr>
        <w:t xml:space="preserve"> </w:t>
      </w:r>
      <w:proofErr w:type="gramStart"/>
      <w:r w:rsidRPr="003D3BF8">
        <w:rPr>
          <w:rFonts w:cs="Times New Roman"/>
          <w:szCs w:val="24"/>
        </w:rPr>
        <w:t xml:space="preserve">Chem. </w:t>
      </w:r>
      <w:r w:rsidR="003D3BF8" w:rsidRPr="003D3BF8">
        <w:rPr>
          <w:rFonts w:cs="Times New Roman"/>
          <w:szCs w:val="24"/>
        </w:rPr>
        <w:t>405, 1383.</w:t>
      </w:r>
      <w:proofErr w:type="gramEnd"/>
      <w:r w:rsidR="003D3BF8" w:rsidRPr="003D3BF8">
        <w:rPr>
          <w:rFonts w:cs="Times New Roman"/>
          <w:szCs w:val="24"/>
        </w:rPr>
        <w:t xml:space="preserve"> DOI 10.1007/s00216-012-6548-8</w:t>
      </w:r>
    </w:p>
    <w:p w:rsidR="00557B6C" w:rsidRPr="003D3BF8" w:rsidRDefault="00557B6C" w:rsidP="00CB0ADF">
      <w:pPr>
        <w:spacing w:after="0" w:line="480" w:lineRule="auto"/>
        <w:jc w:val="center"/>
        <w:rPr>
          <w:rFonts w:cs="Times New Roman"/>
          <w:szCs w:val="24"/>
        </w:rPr>
      </w:pPr>
      <w:r w:rsidRPr="003D3BF8">
        <w:rPr>
          <w:rFonts w:cs="Times New Roman"/>
          <w:szCs w:val="24"/>
        </w:rPr>
        <w:t>All rights reserved.</w:t>
      </w:r>
    </w:p>
    <w:p w:rsidR="0036654F" w:rsidRDefault="0036654F" w:rsidP="00CB0ADF">
      <w:pPr>
        <w:spacing w:after="0" w:line="480" w:lineRule="auto"/>
        <w:jc w:val="center"/>
        <w:rPr>
          <w:rFonts w:cs="Times New Roman"/>
          <w:szCs w:val="24"/>
        </w:rPr>
      </w:pPr>
    </w:p>
    <w:p w:rsidR="0036654F" w:rsidRPr="00F97B2D" w:rsidRDefault="0036654F" w:rsidP="00CB0ADF">
      <w:pPr>
        <w:spacing w:after="0" w:line="480" w:lineRule="auto"/>
        <w:jc w:val="center"/>
        <w:rPr>
          <w:rFonts w:cs="Times New Roman"/>
          <w:szCs w:val="24"/>
        </w:rPr>
      </w:pPr>
    </w:p>
    <w:p w:rsidR="00557B6C" w:rsidRPr="00F97B2D" w:rsidRDefault="00557B6C" w:rsidP="00CB0ADF">
      <w:pPr>
        <w:spacing w:after="0"/>
        <w:rPr>
          <w:rFonts w:cs="Times New Roman"/>
          <w:szCs w:val="24"/>
        </w:rPr>
      </w:pPr>
      <w:r w:rsidRPr="00F97B2D">
        <w:rPr>
          <w:rFonts w:cs="Times New Roman"/>
          <w:szCs w:val="24"/>
        </w:rPr>
        <w:br w:type="page"/>
      </w:r>
    </w:p>
    <w:p w:rsidR="002A3A67" w:rsidRPr="00F97B2D" w:rsidRDefault="002A3A67" w:rsidP="002A3A67">
      <w:pPr>
        <w:spacing w:after="0" w:line="480" w:lineRule="auto"/>
        <w:jc w:val="center"/>
        <w:rPr>
          <w:rFonts w:cs="Times New Roman"/>
          <w:szCs w:val="24"/>
        </w:rPr>
      </w:pPr>
      <w:r w:rsidRPr="00F97B2D">
        <w:rPr>
          <w:rFonts w:cs="Times New Roman"/>
          <w:szCs w:val="24"/>
        </w:rPr>
        <w:t>ACKNOWLEDGMENTS</w:t>
      </w:r>
    </w:p>
    <w:p w:rsidR="002A3A67" w:rsidRPr="00F97B2D" w:rsidRDefault="002A3A67" w:rsidP="002A3A67">
      <w:pPr>
        <w:spacing w:after="0" w:line="480" w:lineRule="auto"/>
        <w:ind w:firstLine="720"/>
        <w:rPr>
          <w:rFonts w:cs="Times New Roman"/>
          <w:szCs w:val="24"/>
        </w:rPr>
      </w:pPr>
      <w:r w:rsidRPr="00F97B2D">
        <w:rPr>
          <w:rFonts w:cs="Times New Roman"/>
          <w:szCs w:val="24"/>
        </w:rPr>
        <w:t>I would first like to thank my friends, family, and lab-mates</w:t>
      </w:r>
      <w:r w:rsidR="00F452B2" w:rsidRPr="00F97B2D">
        <w:rPr>
          <w:rFonts w:cs="Times New Roman"/>
          <w:szCs w:val="24"/>
        </w:rPr>
        <w:t xml:space="preserve"> (especially V$ and </w:t>
      </w:r>
      <w:r w:rsidR="0030652C" w:rsidRPr="00F97B2D">
        <w:rPr>
          <w:rFonts w:cs="Times New Roman"/>
          <w:szCs w:val="24"/>
        </w:rPr>
        <w:t>K</w:t>
      </w:r>
      <w:r w:rsidR="00F452B2" w:rsidRPr="00F97B2D">
        <w:rPr>
          <w:rFonts w:cs="Times New Roman"/>
          <w:szCs w:val="24"/>
        </w:rPr>
        <w:t>)</w:t>
      </w:r>
      <w:r w:rsidRPr="00F97B2D">
        <w:rPr>
          <w:rFonts w:cs="Times New Roman"/>
          <w:szCs w:val="24"/>
        </w:rPr>
        <w:t xml:space="preserve"> for their support and encouragement during my time at FIU.  I would also like to extend my gratitude to Dr. Piero Gardinali, Dr. Lee Hearn, Dr. Jaroslava Mi</w:t>
      </w:r>
      <w:r w:rsidR="00BD45EB" w:rsidRPr="00F97B2D">
        <w:rPr>
          <w:rFonts w:cs="Times New Roman"/>
          <w:szCs w:val="24"/>
        </w:rPr>
        <w:t>kšovská</w:t>
      </w:r>
      <w:r w:rsidRPr="00F97B2D">
        <w:rPr>
          <w:rFonts w:cs="Times New Roman"/>
          <w:szCs w:val="24"/>
        </w:rPr>
        <w:t xml:space="preserve">, and Dr. Georg Petroianu for sharing their knowledge and expertise with me while serving on my dissertation committee.  In addition, I want to thank Dr. Anthony DeCaprio for allowing me to pursue my research goals in his lab and providing </w:t>
      </w:r>
      <w:r w:rsidR="007674DA" w:rsidRPr="00F97B2D">
        <w:rPr>
          <w:rFonts w:cs="Times New Roman"/>
          <w:szCs w:val="24"/>
        </w:rPr>
        <w:t>me the opportunities to succeed.  I also want to personally thank Dr. Mark Witkowski for encouraging me to not only enroll in a PhD program but to stick with it when the going got tough.  I want to express thanks to Agilent Technologies for the opportunities to utilize their instrumentation for research purposes and to take my new-found expertise to conferences both nationally and internationally.  I would like to acknowledge the National Institute of Justice in awarding a grant, 2011-DN-BX-K559, to fund my research efforts.  I also want to show my appreciation for Dr. Hearn, Dr. Boland, Buzz</w:t>
      </w:r>
      <w:r w:rsidR="00593C41" w:rsidRPr="00F97B2D">
        <w:rPr>
          <w:rFonts w:cs="Times New Roman"/>
          <w:szCs w:val="24"/>
        </w:rPr>
        <w:t xml:space="preserve"> Hime</w:t>
      </w:r>
      <w:r w:rsidR="007674DA" w:rsidRPr="00F97B2D">
        <w:rPr>
          <w:rFonts w:cs="Times New Roman"/>
          <w:szCs w:val="24"/>
        </w:rPr>
        <w:t xml:space="preserve">, and all of the toxicologists at the Miami-Dade Medical Examiner Laboratory for their continued guidance, support, teaching, and friendship throughout my internship and employment with their department.    </w:t>
      </w:r>
      <w:r w:rsidRPr="00F97B2D">
        <w:rPr>
          <w:rFonts w:cs="Times New Roman"/>
          <w:szCs w:val="24"/>
        </w:rPr>
        <w:t xml:space="preserve"> </w:t>
      </w:r>
    </w:p>
    <w:p w:rsidR="002A3A67" w:rsidRPr="00F97B2D" w:rsidRDefault="002A3A67" w:rsidP="002A3A67">
      <w:pPr>
        <w:spacing w:after="0"/>
        <w:rPr>
          <w:rFonts w:cs="Times New Roman"/>
          <w:szCs w:val="24"/>
        </w:rPr>
      </w:pPr>
      <w:r w:rsidRPr="00F97B2D">
        <w:rPr>
          <w:rFonts w:cs="Times New Roman"/>
          <w:szCs w:val="24"/>
        </w:rPr>
        <w:br w:type="page"/>
      </w:r>
    </w:p>
    <w:p w:rsidR="000C08DD" w:rsidRPr="00F97B2D" w:rsidRDefault="000C08DD" w:rsidP="00CB0ADF">
      <w:pPr>
        <w:spacing w:after="0" w:line="480" w:lineRule="auto"/>
        <w:jc w:val="center"/>
        <w:rPr>
          <w:rFonts w:cs="Times New Roman"/>
          <w:szCs w:val="24"/>
        </w:rPr>
      </w:pPr>
      <w:r w:rsidRPr="00F97B2D">
        <w:rPr>
          <w:rFonts w:cs="Times New Roman"/>
          <w:szCs w:val="24"/>
        </w:rPr>
        <w:t>ABSTRACT OF THE DISSERTATION</w:t>
      </w:r>
    </w:p>
    <w:p w:rsidR="000C08DD" w:rsidRPr="00F97B2D" w:rsidRDefault="008A3F01" w:rsidP="00CB0ADF">
      <w:pPr>
        <w:spacing w:after="0" w:line="480" w:lineRule="auto"/>
        <w:jc w:val="center"/>
        <w:rPr>
          <w:rFonts w:cs="Times New Roman"/>
          <w:szCs w:val="24"/>
        </w:rPr>
      </w:pPr>
      <w:r w:rsidRPr="00F97B2D">
        <w:rPr>
          <w:rFonts w:cs="Times New Roman"/>
          <w:szCs w:val="24"/>
        </w:rPr>
        <w:t>COMPREHENSIVE FORENSIC TOXICOLOGICAL ANALYSIS OF DESIGNER DRUGS</w:t>
      </w:r>
    </w:p>
    <w:p w:rsidR="000C08DD" w:rsidRPr="00F97B2D" w:rsidRDefault="000C08DD" w:rsidP="00CB0ADF">
      <w:pPr>
        <w:spacing w:after="0" w:line="480" w:lineRule="auto"/>
        <w:jc w:val="center"/>
        <w:rPr>
          <w:rFonts w:cs="Times New Roman"/>
          <w:szCs w:val="24"/>
        </w:rPr>
      </w:pPr>
      <w:proofErr w:type="gramStart"/>
      <w:r w:rsidRPr="00F97B2D">
        <w:rPr>
          <w:rFonts w:cs="Times New Roman"/>
          <w:szCs w:val="24"/>
        </w:rPr>
        <w:t>by</w:t>
      </w:r>
      <w:proofErr w:type="gramEnd"/>
    </w:p>
    <w:p w:rsidR="000C08DD" w:rsidRPr="00F97B2D" w:rsidRDefault="008A3F01" w:rsidP="00CB0ADF">
      <w:pPr>
        <w:spacing w:after="0" w:line="480" w:lineRule="auto"/>
        <w:jc w:val="center"/>
        <w:rPr>
          <w:rFonts w:cs="Times New Roman"/>
          <w:szCs w:val="24"/>
        </w:rPr>
      </w:pPr>
      <w:r w:rsidRPr="00F97B2D">
        <w:rPr>
          <w:rFonts w:cs="Times New Roman"/>
          <w:szCs w:val="24"/>
        </w:rPr>
        <w:t xml:space="preserve">Madeleine </w:t>
      </w:r>
      <w:r w:rsidR="000D2700" w:rsidRPr="00F97B2D">
        <w:rPr>
          <w:rFonts w:cs="Times New Roman"/>
          <w:szCs w:val="24"/>
        </w:rPr>
        <w:t xml:space="preserve">Jean </w:t>
      </w:r>
      <w:r w:rsidRPr="00F97B2D">
        <w:rPr>
          <w:rFonts w:cs="Times New Roman"/>
          <w:szCs w:val="24"/>
        </w:rPr>
        <w:t>Swortwood</w:t>
      </w:r>
    </w:p>
    <w:p w:rsidR="000C08DD" w:rsidRPr="00F97B2D" w:rsidRDefault="000C08DD" w:rsidP="00CB0ADF">
      <w:pPr>
        <w:spacing w:after="0" w:line="480" w:lineRule="auto"/>
        <w:jc w:val="center"/>
        <w:rPr>
          <w:rFonts w:cs="Times New Roman"/>
          <w:szCs w:val="24"/>
        </w:rPr>
      </w:pPr>
      <w:r w:rsidRPr="00F97B2D">
        <w:rPr>
          <w:rFonts w:cs="Times New Roman"/>
          <w:szCs w:val="24"/>
        </w:rPr>
        <w:t>Florida International University, 2013</w:t>
      </w:r>
    </w:p>
    <w:p w:rsidR="000C08DD" w:rsidRPr="00F97B2D" w:rsidRDefault="000C08DD" w:rsidP="00CB0ADF">
      <w:pPr>
        <w:spacing w:after="0" w:line="480" w:lineRule="auto"/>
        <w:jc w:val="center"/>
        <w:rPr>
          <w:rFonts w:cs="Times New Roman"/>
          <w:szCs w:val="24"/>
        </w:rPr>
      </w:pPr>
      <w:r w:rsidRPr="00F97B2D">
        <w:rPr>
          <w:rFonts w:cs="Times New Roman"/>
          <w:szCs w:val="24"/>
        </w:rPr>
        <w:t>Miami, Florida</w:t>
      </w:r>
    </w:p>
    <w:p w:rsidR="000C08DD" w:rsidRPr="00F97B2D" w:rsidRDefault="000D2700" w:rsidP="000D2700">
      <w:pPr>
        <w:spacing w:after="0" w:line="480" w:lineRule="auto"/>
        <w:jc w:val="center"/>
        <w:rPr>
          <w:rFonts w:cs="Times New Roman"/>
          <w:szCs w:val="24"/>
        </w:rPr>
      </w:pPr>
      <w:r w:rsidRPr="00F97B2D">
        <w:rPr>
          <w:rFonts w:cs="Times New Roman"/>
          <w:szCs w:val="24"/>
        </w:rPr>
        <w:t xml:space="preserve">Professor </w:t>
      </w:r>
      <w:r w:rsidR="000C08DD" w:rsidRPr="00F97B2D">
        <w:rPr>
          <w:rFonts w:cs="Times New Roman"/>
          <w:szCs w:val="24"/>
        </w:rPr>
        <w:t>Anthony DeCaprio, Major Professor</w:t>
      </w:r>
    </w:p>
    <w:p w:rsidR="00132D97" w:rsidRDefault="00132D97" w:rsidP="007C6973">
      <w:pPr>
        <w:spacing w:after="0" w:line="480" w:lineRule="auto"/>
        <w:ind w:firstLine="720"/>
      </w:pPr>
      <w:r w:rsidRPr="00593FE3">
        <w:t xml:space="preserve">New designer drugs are constantly emerging onto </w:t>
      </w:r>
      <w:r w:rsidR="007C6973">
        <w:t>the illicit drug market and it i</w:t>
      </w:r>
      <w:r w:rsidRPr="00593FE3">
        <w:t xml:space="preserve">s often difficult to </w:t>
      </w:r>
      <w:r>
        <w:t xml:space="preserve">validate and </w:t>
      </w:r>
      <w:r w:rsidRPr="00593FE3">
        <w:t xml:space="preserve">maintain </w:t>
      </w:r>
      <w:r>
        <w:t xml:space="preserve">comprehensive </w:t>
      </w:r>
      <w:r w:rsidRPr="00593FE3">
        <w:t xml:space="preserve">analytical methods for accurate detection of these compounds. </w:t>
      </w:r>
      <w:r>
        <w:t xml:space="preserve"> </w:t>
      </w:r>
      <w:r w:rsidRPr="00593FE3">
        <w:t xml:space="preserve">Generally, toxicology </w:t>
      </w:r>
      <w:r w:rsidR="00C06AE3">
        <w:t>laboratories</w:t>
      </w:r>
      <w:r w:rsidRPr="00593FE3">
        <w:t xml:space="preserve"> utilize a screening method, such as immunoassay, for the presumptive identification of drugs of abuse. When a positive result occurs, confirmatory methods, such as gas chromatography (GC) or liquid chromatography (LC) coupled with mass spectrometry (MS), are required for more sensitive and specific analyses.</w:t>
      </w:r>
      <w:r w:rsidR="007C6973">
        <w:t xml:space="preserve"> </w:t>
      </w:r>
      <w:r w:rsidRPr="00593FE3">
        <w:t xml:space="preserve"> In recent years, the need to study the activities of these compounds in screening assays as well as to develop confirmatory techniques to detect them in biological specimens has been recognized.</w:t>
      </w:r>
      <w:r>
        <w:t xml:space="preserve">  </w:t>
      </w:r>
      <w:r w:rsidR="00B23629">
        <w:t>S</w:t>
      </w:r>
      <w:r w:rsidRPr="00593FE3">
        <w:t>evere intoxications and fatalities have been encountered with emerging designer drugs, presenting analytical challenges for detection and identification of such novel compoun</w:t>
      </w:r>
      <w:r>
        <w:t>ds.</w:t>
      </w:r>
      <w:r w:rsidR="00B23629">
        <w:t xml:space="preserve">  The </w:t>
      </w:r>
      <w:r w:rsidR="00941167">
        <w:t>first major task</w:t>
      </w:r>
      <w:r w:rsidR="00B23629">
        <w:t xml:space="preserve"> of this research </w:t>
      </w:r>
      <w:r w:rsidR="007C6973">
        <w:t>was to evaluate</w:t>
      </w:r>
      <w:r w:rsidR="00B23629">
        <w:t xml:space="preserve"> the performance of commercially available immunoassays to determine if designer drugs were cross-reactive</w:t>
      </w:r>
      <w:r w:rsidR="00941167">
        <w:t xml:space="preserve">.  The second major task was to develop and validate a confirmatory method, using LC-MS, to identify and quantify these designer drugs in biological specimens.  </w:t>
      </w:r>
    </w:p>
    <w:p w:rsidR="00B23629" w:rsidRDefault="00941167" w:rsidP="007C6973">
      <w:pPr>
        <w:spacing w:line="480" w:lineRule="auto"/>
        <w:ind w:firstLine="720"/>
      </w:pPr>
      <w:r>
        <w:t xml:space="preserve">Cross-reactivity towards the cathinone derivatives was found to be </w:t>
      </w:r>
      <w:r w:rsidR="00EA6426">
        <w:t>minimal</w:t>
      </w:r>
      <w:r>
        <w:t xml:space="preserve">.  Several </w:t>
      </w:r>
      <w:r w:rsidR="00841DBA">
        <w:t xml:space="preserve">other </w:t>
      </w:r>
      <w:r>
        <w:t xml:space="preserve">phenethylamines demonstrated cross-reactivity at low concentrations, but results were consistent with those published by the </w:t>
      </w:r>
      <w:r w:rsidR="00E73A76">
        <w:t xml:space="preserve">assay </w:t>
      </w:r>
      <w:r>
        <w:t>manufacturer or as reported in the literature.</w:t>
      </w:r>
      <w:r w:rsidRPr="00941167">
        <w:t xml:space="preserve"> </w:t>
      </w:r>
      <w:r w:rsidR="007C6973">
        <w:t xml:space="preserve"> </w:t>
      </w:r>
      <w:r>
        <w:t>Current immunoassay-based screening methods may not be ideal for presumptively identifying most designer drugs, including the “bath salts</w:t>
      </w:r>
      <w:r w:rsidR="00EA6426">
        <w:t>.</w:t>
      </w:r>
      <w:r>
        <w:t>”  For this reason, an LC-MS based confirmatory method was developed fo</w:t>
      </w:r>
      <w:r w:rsidR="007C6973">
        <w:t xml:space="preserve">r </w:t>
      </w:r>
      <w:proofErr w:type="gramStart"/>
      <w:r w:rsidR="007C6973">
        <w:t>32  compounds</w:t>
      </w:r>
      <w:proofErr w:type="gramEnd"/>
      <w:r w:rsidR="007C6973">
        <w:t>, including eight</w:t>
      </w:r>
      <w:r>
        <w:t xml:space="preserve"> cathinone der</w:t>
      </w:r>
      <w:r w:rsidR="00E951CA">
        <w:t>ivatives, with limits of quantific</w:t>
      </w:r>
      <w:r>
        <w:t>ation in the range of 1-10 ng/mL.  The method was fully validated for selectivity, matrix effects, stability, recovery, precision, and accuracy.  In order to compare the screening and confirma</w:t>
      </w:r>
      <w:r w:rsidR="00E73A76">
        <w:t>tory techniques, several human specimens</w:t>
      </w:r>
      <w:r>
        <w:t xml:space="preserve"> were analyzed to demons</w:t>
      </w:r>
      <w:r w:rsidR="007C6973">
        <w:t>trate the importance of using a specific</w:t>
      </w:r>
      <w:r>
        <w:t xml:space="preserve"> analytical </w:t>
      </w:r>
      <w:r w:rsidR="007C6973">
        <w:t>method</w:t>
      </w:r>
      <w:r>
        <w:t xml:space="preserve">, such as LC-MS, to detect designer drugs in serum as immunoassays lack cross-reactivity with the novel compounds.  Overall, </w:t>
      </w:r>
      <w:r w:rsidR="00841DBA">
        <w:t>minimal cross-reactivity was observed</w:t>
      </w:r>
      <w:r>
        <w:t xml:space="preserve">, highlighting </w:t>
      </w:r>
      <w:r w:rsidR="007C6973">
        <w:t xml:space="preserve">the conclusion </w:t>
      </w:r>
      <w:r>
        <w:t>that these presumptive screens cannot detect many of the designer drugs and that a confirmatory technique, su</w:t>
      </w:r>
      <w:r w:rsidR="00841DBA">
        <w:t>ch as the LC-MS</w:t>
      </w:r>
      <w:r w:rsidR="007C6973">
        <w:t>, is</w:t>
      </w:r>
      <w:r>
        <w:t xml:space="preserve"> required for the comprehensive forensic toxicological analysis of designer drugs.       </w:t>
      </w:r>
    </w:p>
    <w:p w:rsidR="00132D97" w:rsidRPr="00F97B2D" w:rsidRDefault="00132D97" w:rsidP="00B4130A">
      <w:pPr>
        <w:spacing w:line="480" w:lineRule="auto"/>
        <w:rPr>
          <w:rFonts w:cs="Times New Roman"/>
          <w:szCs w:val="24"/>
        </w:rPr>
      </w:pPr>
    </w:p>
    <w:p w:rsidR="000C08DD" w:rsidRPr="00F97B2D" w:rsidRDefault="000C08DD" w:rsidP="00CB0ADF">
      <w:pPr>
        <w:spacing w:after="0" w:line="480" w:lineRule="auto"/>
        <w:jc w:val="both"/>
        <w:rPr>
          <w:rFonts w:cs="Times New Roman"/>
          <w:szCs w:val="24"/>
        </w:rPr>
      </w:pPr>
    </w:p>
    <w:p w:rsidR="004B1CB1" w:rsidRPr="00F97B2D" w:rsidRDefault="004B1CB1" w:rsidP="00CB0ADF">
      <w:pPr>
        <w:spacing w:after="0"/>
        <w:rPr>
          <w:rFonts w:cs="Times New Roman"/>
          <w:szCs w:val="24"/>
        </w:rPr>
      </w:pPr>
      <w:r w:rsidRPr="00F97B2D">
        <w:rPr>
          <w:rFonts w:cs="Times New Roman"/>
          <w:szCs w:val="24"/>
        </w:rPr>
        <w:br w:type="page"/>
      </w:r>
    </w:p>
    <w:p w:rsidR="006072D7" w:rsidRDefault="006072D7" w:rsidP="00D661C3">
      <w:pPr>
        <w:spacing w:after="0"/>
        <w:jc w:val="center"/>
        <w:rPr>
          <w:bCs/>
          <w:caps/>
          <w:szCs w:val="24"/>
        </w:rPr>
      </w:pPr>
      <w:r w:rsidRPr="00F97B2D">
        <w:rPr>
          <w:bCs/>
          <w:caps/>
          <w:szCs w:val="24"/>
        </w:rPr>
        <w:t>table of contents</w:t>
      </w:r>
    </w:p>
    <w:p w:rsidR="00D661C3" w:rsidRDefault="00D661C3" w:rsidP="00D661C3">
      <w:pPr>
        <w:spacing w:after="0"/>
        <w:jc w:val="center"/>
        <w:rPr>
          <w:bCs/>
          <w:caps/>
          <w:szCs w:val="24"/>
        </w:rPr>
      </w:pPr>
    </w:p>
    <w:p w:rsidR="00D661C3" w:rsidRPr="00F97B2D" w:rsidRDefault="00D661C3" w:rsidP="00D661C3">
      <w:pPr>
        <w:spacing w:after="0"/>
        <w:rPr>
          <w:szCs w:val="24"/>
        </w:rPr>
      </w:pPr>
      <w:r>
        <w:rPr>
          <w:bCs/>
          <w:caps/>
          <w:szCs w:val="24"/>
        </w:rPr>
        <w:t>Chapter</w:t>
      </w:r>
      <w:r>
        <w:rPr>
          <w:bCs/>
          <w:caps/>
          <w:szCs w:val="24"/>
        </w:rPr>
        <w:tab/>
      </w:r>
      <w:r>
        <w:rPr>
          <w:bCs/>
          <w:caps/>
          <w:szCs w:val="24"/>
        </w:rPr>
        <w:tab/>
      </w:r>
      <w:r>
        <w:rPr>
          <w:bCs/>
          <w:caps/>
          <w:szCs w:val="24"/>
        </w:rPr>
        <w:tab/>
      </w:r>
      <w:r>
        <w:rPr>
          <w:bCs/>
          <w:caps/>
          <w:szCs w:val="24"/>
        </w:rPr>
        <w:tab/>
      </w:r>
      <w:r>
        <w:rPr>
          <w:bCs/>
          <w:caps/>
          <w:szCs w:val="24"/>
        </w:rPr>
        <w:tab/>
      </w:r>
      <w:r>
        <w:rPr>
          <w:bCs/>
          <w:caps/>
          <w:szCs w:val="24"/>
        </w:rPr>
        <w:tab/>
      </w:r>
      <w:r>
        <w:rPr>
          <w:bCs/>
          <w:caps/>
          <w:szCs w:val="24"/>
        </w:rPr>
        <w:tab/>
      </w:r>
      <w:r>
        <w:rPr>
          <w:bCs/>
          <w:caps/>
          <w:szCs w:val="24"/>
        </w:rPr>
        <w:tab/>
      </w:r>
      <w:r>
        <w:rPr>
          <w:bCs/>
          <w:caps/>
          <w:szCs w:val="24"/>
        </w:rPr>
        <w:tab/>
      </w:r>
      <w:r>
        <w:rPr>
          <w:bCs/>
          <w:caps/>
          <w:szCs w:val="24"/>
        </w:rPr>
        <w:tab/>
        <w:t>page</w:t>
      </w:r>
    </w:p>
    <w:bookmarkStart w:id="0" w:name="_Toc354740985"/>
    <w:bookmarkStart w:id="1" w:name="_Toc354742742"/>
    <w:p w:rsidR="001934AC" w:rsidRDefault="000E239B">
      <w:pPr>
        <w:pStyle w:val="TOC1"/>
        <w:rPr>
          <w:rFonts w:asciiTheme="minorHAnsi" w:hAnsiTheme="minorHAnsi"/>
          <w:bCs w:val="0"/>
          <w:caps w:val="0"/>
          <w:noProof/>
          <w:sz w:val="22"/>
          <w:szCs w:val="22"/>
          <w:lang w:bidi="ar-SA"/>
        </w:rPr>
      </w:pPr>
      <w:r>
        <w:fldChar w:fldCharType="begin"/>
      </w:r>
      <w:r w:rsidR="001934AC">
        <w:instrText xml:space="preserve"> TOC \o "1-4" \h \z \u </w:instrText>
      </w:r>
      <w:r>
        <w:fldChar w:fldCharType="separate"/>
      </w:r>
      <w:hyperlink w:anchor="_Toc372538687" w:history="1">
        <w:r w:rsidR="001934AC" w:rsidRPr="004C263E">
          <w:rPr>
            <w:rStyle w:val="Hyperlink"/>
            <w:noProof/>
          </w:rPr>
          <w:t>1.</w:t>
        </w:r>
        <w:r w:rsidR="001934AC">
          <w:rPr>
            <w:rFonts w:asciiTheme="minorHAnsi" w:hAnsiTheme="minorHAnsi"/>
            <w:bCs w:val="0"/>
            <w:caps w:val="0"/>
            <w:noProof/>
            <w:sz w:val="22"/>
            <w:szCs w:val="22"/>
            <w:lang w:bidi="ar-SA"/>
          </w:rPr>
          <w:tab/>
        </w:r>
        <w:r w:rsidR="001934AC" w:rsidRPr="004C263E">
          <w:rPr>
            <w:rStyle w:val="Hyperlink"/>
            <w:noProof/>
          </w:rPr>
          <w:t>INTRODUCTION</w:t>
        </w:r>
        <w:r w:rsidR="001934AC">
          <w:rPr>
            <w:noProof/>
            <w:webHidden/>
          </w:rPr>
          <w:tab/>
        </w:r>
        <w:r>
          <w:rPr>
            <w:noProof/>
            <w:webHidden/>
          </w:rPr>
          <w:fldChar w:fldCharType="begin"/>
        </w:r>
        <w:r w:rsidR="001934AC">
          <w:rPr>
            <w:noProof/>
            <w:webHidden/>
          </w:rPr>
          <w:instrText xml:space="preserve"> PAGEREF _Toc372538687 \h </w:instrText>
        </w:r>
        <w:r>
          <w:rPr>
            <w:noProof/>
            <w:webHidden/>
          </w:rPr>
        </w:r>
        <w:r>
          <w:rPr>
            <w:noProof/>
            <w:webHidden/>
          </w:rPr>
          <w:fldChar w:fldCharType="separate"/>
        </w:r>
        <w:r w:rsidR="002E77C7">
          <w:rPr>
            <w:noProof/>
            <w:webHidden/>
          </w:rPr>
          <w:t>1</w:t>
        </w:r>
        <w:r>
          <w:rPr>
            <w:noProof/>
            <w:webHidden/>
          </w:rPr>
          <w:fldChar w:fldCharType="end"/>
        </w:r>
      </w:hyperlink>
    </w:p>
    <w:p w:rsidR="001934AC" w:rsidRDefault="002E77C7">
      <w:pPr>
        <w:pStyle w:val="TOC2"/>
        <w:rPr>
          <w:rFonts w:asciiTheme="minorHAnsi" w:hAnsiTheme="minorHAnsi"/>
          <w:bCs w:val="0"/>
          <w:noProof/>
          <w:sz w:val="22"/>
          <w:szCs w:val="22"/>
          <w:lang w:bidi="ar-SA"/>
        </w:rPr>
      </w:pPr>
      <w:hyperlink w:anchor="_Toc372538688" w:history="1">
        <w:r w:rsidR="001934AC" w:rsidRPr="004C263E">
          <w:rPr>
            <w:rStyle w:val="Hyperlink"/>
            <w:noProof/>
          </w:rPr>
          <w:t>1.1</w:t>
        </w:r>
        <w:r w:rsidR="001934AC">
          <w:rPr>
            <w:rFonts w:asciiTheme="minorHAnsi" w:hAnsiTheme="minorHAnsi"/>
            <w:bCs w:val="0"/>
            <w:noProof/>
            <w:sz w:val="22"/>
            <w:szCs w:val="22"/>
            <w:lang w:bidi="ar-SA"/>
          </w:rPr>
          <w:tab/>
        </w:r>
        <w:r w:rsidR="001934AC" w:rsidRPr="004C263E">
          <w:rPr>
            <w:rStyle w:val="Hyperlink"/>
            <w:noProof/>
          </w:rPr>
          <w:t>Statement of the Problem</w:t>
        </w:r>
        <w:r w:rsidR="001934AC">
          <w:rPr>
            <w:noProof/>
            <w:webHidden/>
          </w:rPr>
          <w:tab/>
        </w:r>
        <w:r w:rsidR="000E239B">
          <w:rPr>
            <w:noProof/>
            <w:webHidden/>
          </w:rPr>
          <w:fldChar w:fldCharType="begin"/>
        </w:r>
        <w:r w:rsidR="001934AC">
          <w:rPr>
            <w:noProof/>
            <w:webHidden/>
          </w:rPr>
          <w:instrText xml:space="preserve"> PAGEREF _Toc372538688 \h </w:instrText>
        </w:r>
        <w:r w:rsidR="000E239B">
          <w:rPr>
            <w:noProof/>
            <w:webHidden/>
          </w:rPr>
        </w:r>
        <w:r w:rsidR="000E239B">
          <w:rPr>
            <w:noProof/>
            <w:webHidden/>
          </w:rPr>
          <w:fldChar w:fldCharType="separate"/>
        </w:r>
        <w:r>
          <w:rPr>
            <w:noProof/>
            <w:webHidden/>
          </w:rPr>
          <w:t>1</w:t>
        </w:r>
        <w:r w:rsidR="000E239B">
          <w:rPr>
            <w:noProof/>
            <w:webHidden/>
          </w:rPr>
          <w:fldChar w:fldCharType="end"/>
        </w:r>
      </w:hyperlink>
    </w:p>
    <w:p w:rsidR="001934AC" w:rsidRDefault="002E77C7">
      <w:pPr>
        <w:pStyle w:val="TOC2"/>
        <w:rPr>
          <w:rFonts w:asciiTheme="minorHAnsi" w:hAnsiTheme="minorHAnsi"/>
          <w:bCs w:val="0"/>
          <w:noProof/>
          <w:sz w:val="22"/>
          <w:szCs w:val="22"/>
          <w:lang w:bidi="ar-SA"/>
        </w:rPr>
      </w:pPr>
      <w:hyperlink w:anchor="_Toc372538689" w:history="1">
        <w:r w:rsidR="001934AC" w:rsidRPr="004C263E">
          <w:rPr>
            <w:rStyle w:val="Hyperlink"/>
            <w:noProof/>
          </w:rPr>
          <w:t>1.2</w:t>
        </w:r>
        <w:r w:rsidR="001934AC">
          <w:rPr>
            <w:rFonts w:asciiTheme="minorHAnsi" w:hAnsiTheme="minorHAnsi"/>
            <w:bCs w:val="0"/>
            <w:noProof/>
            <w:sz w:val="22"/>
            <w:szCs w:val="22"/>
            <w:lang w:bidi="ar-SA"/>
          </w:rPr>
          <w:tab/>
        </w:r>
        <w:r w:rsidR="001934AC" w:rsidRPr="004C263E">
          <w:rPr>
            <w:rStyle w:val="Hyperlink"/>
            <w:noProof/>
          </w:rPr>
          <w:t>Rationale for Research</w:t>
        </w:r>
        <w:r w:rsidR="001934AC">
          <w:rPr>
            <w:noProof/>
            <w:webHidden/>
          </w:rPr>
          <w:tab/>
        </w:r>
        <w:r w:rsidR="000E239B">
          <w:rPr>
            <w:noProof/>
            <w:webHidden/>
          </w:rPr>
          <w:fldChar w:fldCharType="begin"/>
        </w:r>
        <w:r w:rsidR="001934AC">
          <w:rPr>
            <w:noProof/>
            <w:webHidden/>
          </w:rPr>
          <w:instrText xml:space="preserve"> PAGEREF _Toc372538689 \h </w:instrText>
        </w:r>
        <w:r w:rsidR="000E239B">
          <w:rPr>
            <w:noProof/>
            <w:webHidden/>
          </w:rPr>
        </w:r>
        <w:r w:rsidR="000E239B">
          <w:rPr>
            <w:noProof/>
            <w:webHidden/>
          </w:rPr>
          <w:fldChar w:fldCharType="separate"/>
        </w:r>
        <w:r>
          <w:rPr>
            <w:noProof/>
            <w:webHidden/>
          </w:rPr>
          <w:t>2</w:t>
        </w:r>
        <w:r w:rsidR="000E239B">
          <w:rPr>
            <w:noProof/>
            <w:webHidden/>
          </w:rPr>
          <w:fldChar w:fldCharType="end"/>
        </w:r>
      </w:hyperlink>
    </w:p>
    <w:p w:rsidR="001934AC" w:rsidRDefault="002E77C7">
      <w:pPr>
        <w:pStyle w:val="TOC2"/>
        <w:rPr>
          <w:rFonts w:asciiTheme="minorHAnsi" w:hAnsiTheme="minorHAnsi"/>
          <w:bCs w:val="0"/>
          <w:noProof/>
          <w:sz w:val="22"/>
          <w:szCs w:val="22"/>
          <w:lang w:bidi="ar-SA"/>
        </w:rPr>
      </w:pPr>
      <w:hyperlink w:anchor="_Toc372538690" w:history="1">
        <w:r w:rsidR="001934AC" w:rsidRPr="004C263E">
          <w:rPr>
            <w:rStyle w:val="Hyperlink"/>
            <w:noProof/>
          </w:rPr>
          <w:t>1.3</w:t>
        </w:r>
        <w:r w:rsidR="001934AC">
          <w:rPr>
            <w:rFonts w:asciiTheme="minorHAnsi" w:hAnsiTheme="minorHAnsi"/>
            <w:bCs w:val="0"/>
            <w:noProof/>
            <w:sz w:val="22"/>
            <w:szCs w:val="22"/>
            <w:lang w:bidi="ar-SA"/>
          </w:rPr>
          <w:tab/>
        </w:r>
        <w:r w:rsidR="001934AC" w:rsidRPr="004C263E">
          <w:rPr>
            <w:rStyle w:val="Hyperlink"/>
            <w:noProof/>
          </w:rPr>
          <w:t>Significance of Study</w:t>
        </w:r>
        <w:r w:rsidR="001934AC">
          <w:rPr>
            <w:noProof/>
            <w:webHidden/>
          </w:rPr>
          <w:tab/>
        </w:r>
        <w:r w:rsidR="000E239B">
          <w:rPr>
            <w:noProof/>
            <w:webHidden/>
          </w:rPr>
          <w:fldChar w:fldCharType="begin"/>
        </w:r>
        <w:r w:rsidR="001934AC">
          <w:rPr>
            <w:noProof/>
            <w:webHidden/>
          </w:rPr>
          <w:instrText xml:space="preserve"> PAGEREF _Toc372538690 \h </w:instrText>
        </w:r>
        <w:r w:rsidR="000E239B">
          <w:rPr>
            <w:noProof/>
            <w:webHidden/>
          </w:rPr>
        </w:r>
        <w:r w:rsidR="000E239B">
          <w:rPr>
            <w:noProof/>
            <w:webHidden/>
          </w:rPr>
          <w:fldChar w:fldCharType="separate"/>
        </w:r>
        <w:r>
          <w:rPr>
            <w:noProof/>
            <w:webHidden/>
          </w:rPr>
          <w:t>3</w:t>
        </w:r>
        <w:r w:rsidR="000E239B">
          <w:rPr>
            <w:noProof/>
            <w:webHidden/>
          </w:rPr>
          <w:fldChar w:fldCharType="end"/>
        </w:r>
      </w:hyperlink>
    </w:p>
    <w:p w:rsidR="001934AC" w:rsidRDefault="002E77C7">
      <w:pPr>
        <w:pStyle w:val="TOC3"/>
        <w:tabs>
          <w:tab w:val="left" w:pos="1540"/>
        </w:tabs>
        <w:rPr>
          <w:rFonts w:asciiTheme="minorHAnsi" w:hAnsiTheme="minorHAnsi"/>
          <w:noProof/>
          <w:sz w:val="22"/>
          <w:szCs w:val="22"/>
          <w:lang w:bidi="ar-SA"/>
        </w:rPr>
      </w:pPr>
      <w:hyperlink w:anchor="_Toc372538691" w:history="1">
        <w:r w:rsidR="001934AC" w:rsidRPr="004C263E">
          <w:rPr>
            <w:rStyle w:val="Hyperlink"/>
            <w:noProof/>
          </w:rPr>
          <w:t>1.3.1</w:t>
        </w:r>
        <w:r w:rsidR="001934AC">
          <w:rPr>
            <w:rFonts w:asciiTheme="minorHAnsi" w:hAnsiTheme="minorHAnsi"/>
            <w:noProof/>
            <w:sz w:val="22"/>
            <w:szCs w:val="22"/>
            <w:lang w:bidi="ar-SA"/>
          </w:rPr>
          <w:tab/>
        </w:r>
        <w:r w:rsidR="001934AC" w:rsidRPr="004C263E">
          <w:rPr>
            <w:rStyle w:val="Hyperlink"/>
            <w:noProof/>
          </w:rPr>
          <w:t>Task 1 - Determination of cross-reactivity of designer drugs</w:t>
        </w:r>
        <w:r w:rsidR="001934AC">
          <w:rPr>
            <w:noProof/>
            <w:webHidden/>
          </w:rPr>
          <w:tab/>
        </w:r>
        <w:r w:rsidR="000E239B">
          <w:rPr>
            <w:noProof/>
            <w:webHidden/>
          </w:rPr>
          <w:fldChar w:fldCharType="begin"/>
        </w:r>
        <w:r w:rsidR="001934AC">
          <w:rPr>
            <w:noProof/>
            <w:webHidden/>
          </w:rPr>
          <w:instrText xml:space="preserve"> PAGEREF _Toc372538691 \h </w:instrText>
        </w:r>
        <w:r w:rsidR="000E239B">
          <w:rPr>
            <w:noProof/>
            <w:webHidden/>
          </w:rPr>
        </w:r>
        <w:r w:rsidR="000E239B">
          <w:rPr>
            <w:noProof/>
            <w:webHidden/>
          </w:rPr>
          <w:fldChar w:fldCharType="separate"/>
        </w:r>
        <w:r>
          <w:rPr>
            <w:noProof/>
            <w:webHidden/>
          </w:rPr>
          <w:t>6</w:t>
        </w:r>
        <w:r w:rsidR="000E239B">
          <w:rPr>
            <w:noProof/>
            <w:webHidden/>
          </w:rPr>
          <w:fldChar w:fldCharType="end"/>
        </w:r>
      </w:hyperlink>
    </w:p>
    <w:p w:rsidR="001934AC" w:rsidRDefault="002E77C7">
      <w:pPr>
        <w:pStyle w:val="TOC3"/>
        <w:tabs>
          <w:tab w:val="left" w:pos="1540"/>
        </w:tabs>
        <w:rPr>
          <w:rFonts w:asciiTheme="minorHAnsi" w:hAnsiTheme="minorHAnsi"/>
          <w:noProof/>
          <w:sz w:val="22"/>
          <w:szCs w:val="22"/>
          <w:lang w:bidi="ar-SA"/>
        </w:rPr>
      </w:pPr>
      <w:hyperlink w:anchor="_Toc372538692" w:history="1">
        <w:r w:rsidR="001934AC" w:rsidRPr="004C263E">
          <w:rPr>
            <w:rStyle w:val="Hyperlink"/>
            <w:noProof/>
          </w:rPr>
          <w:t>1.3.2</w:t>
        </w:r>
        <w:r w:rsidR="001934AC">
          <w:rPr>
            <w:rFonts w:asciiTheme="minorHAnsi" w:hAnsiTheme="minorHAnsi"/>
            <w:noProof/>
            <w:sz w:val="22"/>
            <w:szCs w:val="22"/>
            <w:lang w:bidi="ar-SA"/>
          </w:rPr>
          <w:tab/>
        </w:r>
        <w:r w:rsidR="001934AC" w:rsidRPr="004C263E">
          <w:rPr>
            <w:rStyle w:val="Hyperlink"/>
            <w:noProof/>
          </w:rPr>
          <w:t>Task 2 - Development of a comprehensive LC-MS method</w:t>
        </w:r>
        <w:r w:rsidR="001934AC">
          <w:rPr>
            <w:noProof/>
            <w:webHidden/>
          </w:rPr>
          <w:tab/>
        </w:r>
        <w:r w:rsidR="000E239B">
          <w:rPr>
            <w:noProof/>
            <w:webHidden/>
          </w:rPr>
          <w:fldChar w:fldCharType="begin"/>
        </w:r>
        <w:r w:rsidR="001934AC">
          <w:rPr>
            <w:noProof/>
            <w:webHidden/>
          </w:rPr>
          <w:instrText xml:space="preserve"> PAGEREF _Toc372538692 \h </w:instrText>
        </w:r>
        <w:r w:rsidR="000E239B">
          <w:rPr>
            <w:noProof/>
            <w:webHidden/>
          </w:rPr>
        </w:r>
        <w:r w:rsidR="000E239B">
          <w:rPr>
            <w:noProof/>
            <w:webHidden/>
          </w:rPr>
          <w:fldChar w:fldCharType="separate"/>
        </w:r>
        <w:r>
          <w:rPr>
            <w:noProof/>
            <w:webHidden/>
          </w:rPr>
          <w:t>6</w:t>
        </w:r>
        <w:r w:rsidR="000E239B">
          <w:rPr>
            <w:noProof/>
            <w:webHidden/>
          </w:rPr>
          <w:fldChar w:fldCharType="end"/>
        </w:r>
      </w:hyperlink>
    </w:p>
    <w:p w:rsidR="001934AC" w:rsidRDefault="002E77C7">
      <w:pPr>
        <w:pStyle w:val="TOC3"/>
        <w:tabs>
          <w:tab w:val="left" w:pos="1540"/>
        </w:tabs>
        <w:rPr>
          <w:rFonts w:asciiTheme="minorHAnsi" w:hAnsiTheme="minorHAnsi"/>
          <w:noProof/>
          <w:sz w:val="22"/>
          <w:szCs w:val="22"/>
          <w:lang w:bidi="ar-SA"/>
        </w:rPr>
      </w:pPr>
      <w:hyperlink w:anchor="_Toc372538693" w:history="1">
        <w:r w:rsidR="001934AC" w:rsidRPr="004C263E">
          <w:rPr>
            <w:rStyle w:val="Hyperlink"/>
            <w:noProof/>
          </w:rPr>
          <w:t>1.3.3</w:t>
        </w:r>
        <w:r w:rsidR="001934AC">
          <w:rPr>
            <w:rFonts w:asciiTheme="minorHAnsi" w:hAnsiTheme="minorHAnsi"/>
            <w:noProof/>
            <w:sz w:val="22"/>
            <w:szCs w:val="22"/>
            <w:lang w:bidi="ar-SA"/>
          </w:rPr>
          <w:tab/>
        </w:r>
        <w:r w:rsidR="001934AC" w:rsidRPr="004C263E">
          <w:rPr>
            <w:rStyle w:val="Hyperlink"/>
            <w:noProof/>
          </w:rPr>
          <w:t>Task 3 - Application of the developed techniques to forensic samples</w:t>
        </w:r>
        <w:r w:rsidR="001934AC">
          <w:rPr>
            <w:noProof/>
            <w:webHidden/>
          </w:rPr>
          <w:tab/>
        </w:r>
        <w:r w:rsidR="000E239B">
          <w:rPr>
            <w:noProof/>
            <w:webHidden/>
          </w:rPr>
          <w:fldChar w:fldCharType="begin"/>
        </w:r>
        <w:r w:rsidR="001934AC">
          <w:rPr>
            <w:noProof/>
            <w:webHidden/>
          </w:rPr>
          <w:instrText xml:space="preserve"> PAGEREF _Toc372538693 \h </w:instrText>
        </w:r>
        <w:r w:rsidR="000E239B">
          <w:rPr>
            <w:noProof/>
            <w:webHidden/>
          </w:rPr>
        </w:r>
        <w:r w:rsidR="000E239B">
          <w:rPr>
            <w:noProof/>
            <w:webHidden/>
          </w:rPr>
          <w:fldChar w:fldCharType="separate"/>
        </w:r>
        <w:r>
          <w:rPr>
            <w:noProof/>
            <w:webHidden/>
          </w:rPr>
          <w:t>6</w:t>
        </w:r>
        <w:r w:rsidR="000E239B">
          <w:rPr>
            <w:noProof/>
            <w:webHidden/>
          </w:rPr>
          <w:fldChar w:fldCharType="end"/>
        </w:r>
      </w:hyperlink>
    </w:p>
    <w:p w:rsidR="001934AC" w:rsidRDefault="002E77C7">
      <w:pPr>
        <w:pStyle w:val="TOC1"/>
        <w:rPr>
          <w:rFonts w:asciiTheme="minorHAnsi" w:hAnsiTheme="minorHAnsi"/>
          <w:bCs w:val="0"/>
          <w:caps w:val="0"/>
          <w:noProof/>
          <w:sz w:val="22"/>
          <w:szCs w:val="22"/>
          <w:lang w:bidi="ar-SA"/>
        </w:rPr>
      </w:pPr>
      <w:hyperlink w:anchor="_Toc372538694" w:history="1">
        <w:r w:rsidR="001934AC" w:rsidRPr="004C263E">
          <w:rPr>
            <w:rStyle w:val="Hyperlink"/>
            <w:noProof/>
          </w:rPr>
          <w:t>2.</w:t>
        </w:r>
        <w:r w:rsidR="001934AC">
          <w:rPr>
            <w:rFonts w:asciiTheme="minorHAnsi" w:hAnsiTheme="minorHAnsi"/>
            <w:bCs w:val="0"/>
            <w:caps w:val="0"/>
            <w:noProof/>
            <w:sz w:val="22"/>
            <w:szCs w:val="22"/>
            <w:lang w:bidi="ar-SA"/>
          </w:rPr>
          <w:tab/>
        </w:r>
        <w:r w:rsidR="001934AC" w:rsidRPr="004C263E">
          <w:rPr>
            <w:rStyle w:val="Hyperlink"/>
            <w:noProof/>
          </w:rPr>
          <w:t>BACKGROUND</w:t>
        </w:r>
        <w:r w:rsidR="001934AC">
          <w:rPr>
            <w:noProof/>
            <w:webHidden/>
          </w:rPr>
          <w:tab/>
        </w:r>
        <w:r w:rsidR="000E239B">
          <w:rPr>
            <w:noProof/>
            <w:webHidden/>
          </w:rPr>
          <w:fldChar w:fldCharType="begin"/>
        </w:r>
        <w:r w:rsidR="001934AC">
          <w:rPr>
            <w:noProof/>
            <w:webHidden/>
          </w:rPr>
          <w:instrText xml:space="preserve"> PAGEREF _Toc372538694 \h </w:instrText>
        </w:r>
        <w:r w:rsidR="000E239B">
          <w:rPr>
            <w:noProof/>
            <w:webHidden/>
          </w:rPr>
        </w:r>
        <w:r w:rsidR="000E239B">
          <w:rPr>
            <w:noProof/>
            <w:webHidden/>
          </w:rPr>
          <w:fldChar w:fldCharType="separate"/>
        </w:r>
        <w:r>
          <w:rPr>
            <w:noProof/>
            <w:webHidden/>
          </w:rPr>
          <w:t>7</w:t>
        </w:r>
        <w:r w:rsidR="000E239B">
          <w:rPr>
            <w:noProof/>
            <w:webHidden/>
          </w:rPr>
          <w:fldChar w:fldCharType="end"/>
        </w:r>
      </w:hyperlink>
    </w:p>
    <w:p w:rsidR="001934AC" w:rsidRDefault="002E77C7">
      <w:pPr>
        <w:pStyle w:val="TOC2"/>
        <w:rPr>
          <w:rFonts w:asciiTheme="minorHAnsi" w:hAnsiTheme="minorHAnsi"/>
          <w:bCs w:val="0"/>
          <w:noProof/>
          <w:sz w:val="22"/>
          <w:szCs w:val="22"/>
          <w:lang w:bidi="ar-SA"/>
        </w:rPr>
      </w:pPr>
      <w:hyperlink w:anchor="_Toc372538695" w:history="1">
        <w:r w:rsidR="001934AC" w:rsidRPr="004C263E">
          <w:rPr>
            <w:rStyle w:val="Hyperlink"/>
            <w:noProof/>
          </w:rPr>
          <w:t>2.1</w:t>
        </w:r>
        <w:r w:rsidR="001934AC">
          <w:rPr>
            <w:rFonts w:asciiTheme="minorHAnsi" w:hAnsiTheme="minorHAnsi"/>
            <w:bCs w:val="0"/>
            <w:noProof/>
            <w:sz w:val="22"/>
            <w:szCs w:val="22"/>
            <w:lang w:bidi="ar-SA"/>
          </w:rPr>
          <w:tab/>
        </w:r>
        <w:r w:rsidR="001934AC" w:rsidRPr="004C263E">
          <w:rPr>
            <w:rStyle w:val="Hyperlink"/>
            <w:noProof/>
          </w:rPr>
          <w:t>Designer Drugs</w:t>
        </w:r>
        <w:r w:rsidR="001934AC">
          <w:rPr>
            <w:noProof/>
            <w:webHidden/>
          </w:rPr>
          <w:tab/>
        </w:r>
        <w:r w:rsidR="000E239B">
          <w:rPr>
            <w:noProof/>
            <w:webHidden/>
          </w:rPr>
          <w:fldChar w:fldCharType="begin"/>
        </w:r>
        <w:r w:rsidR="001934AC">
          <w:rPr>
            <w:noProof/>
            <w:webHidden/>
          </w:rPr>
          <w:instrText xml:space="preserve"> PAGEREF _Toc372538695 \h </w:instrText>
        </w:r>
        <w:r w:rsidR="000E239B">
          <w:rPr>
            <w:noProof/>
            <w:webHidden/>
          </w:rPr>
        </w:r>
        <w:r w:rsidR="000E239B">
          <w:rPr>
            <w:noProof/>
            <w:webHidden/>
          </w:rPr>
          <w:fldChar w:fldCharType="separate"/>
        </w:r>
        <w:r>
          <w:rPr>
            <w:noProof/>
            <w:webHidden/>
          </w:rPr>
          <w:t>7</w:t>
        </w:r>
        <w:r w:rsidR="000E239B">
          <w:rPr>
            <w:noProof/>
            <w:webHidden/>
          </w:rPr>
          <w:fldChar w:fldCharType="end"/>
        </w:r>
      </w:hyperlink>
    </w:p>
    <w:p w:rsidR="001934AC" w:rsidRDefault="002E77C7">
      <w:pPr>
        <w:pStyle w:val="TOC2"/>
        <w:rPr>
          <w:rFonts w:asciiTheme="minorHAnsi" w:hAnsiTheme="minorHAnsi"/>
          <w:bCs w:val="0"/>
          <w:noProof/>
          <w:sz w:val="22"/>
          <w:szCs w:val="22"/>
          <w:lang w:bidi="ar-SA"/>
        </w:rPr>
      </w:pPr>
      <w:hyperlink w:anchor="_Toc372538696" w:history="1">
        <w:r w:rsidR="001934AC" w:rsidRPr="004C263E">
          <w:rPr>
            <w:rStyle w:val="Hyperlink"/>
            <w:noProof/>
          </w:rPr>
          <w:t>2.2</w:t>
        </w:r>
        <w:r w:rsidR="001934AC">
          <w:rPr>
            <w:rFonts w:asciiTheme="minorHAnsi" w:hAnsiTheme="minorHAnsi"/>
            <w:bCs w:val="0"/>
            <w:noProof/>
            <w:sz w:val="22"/>
            <w:szCs w:val="22"/>
            <w:lang w:bidi="ar-SA"/>
          </w:rPr>
          <w:tab/>
        </w:r>
        <w:r w:rsidR="001934AC" w:rsidRPr="004C263E">
          <w:rPr>
            <w:rStyle w:val="Hyperlink"/>
            <w:noProof/>
          </w:rPr>
          <w:t>Presence in Society</w:t>
        </w:r>
        <w:r w:rsidR="001934AC">
          <w:rPr>
            <w:noProof/>
            <w:webHidden/>
          </w:rPr>
          <w:tab/>
        </w:r>
        <w:r w:rsidR="000E239B">
          <w:rPr>
            <w:noProof/>
            <w:webHidden/>
          </w:rPr>
          <w:fldChar w:fldCharType="begin"/>
        </w:r>
        <w:r w:rsidR="001934AC">
          <w:rPr>
            <w:noProof/>
            <w:webHidden/>
          </w:rPr>
          <w:instrText xml:space="preserve"> PAGEREF _Toc372538696 \h </w:instrText>
        </w:r>
        <w:r w:rsidR="000E239B">
          <w:rPr>
            <w:noProof/>
            <w:webHidden/>
          </w:rPr>
        </w:r>
        <w:r w:rsidR="000E239B">
          <w:rPr>
            <w:noProof/>
            <w:webHidden/>
          </w:rPr>
          <w:fldChar w:fldCharType="separate"/>
        </w:r>
        <w:r>
          <w:rPr>
            <w:noProof/>
            <w:webHidden/>
          </w:rPr>
          <w:t>9</w:t>
        </w:r>
        <w:r w:rsidR="000E239B">
          <w:rPr>
            <w:noProof/>
            <w:webHidden/>
          </w:rPr>
          <w:fldChar w:fldCharType="end"/>
        </w:r>
      </w:hyperlink>
    </w:p>
    <w:p w:rsidR="001934AC" w:rsidRDefault="002E77C7">
      <w:pPr>
        <w:pStyle w:val="TOC2"/>
        <w:rPr>
          <w:rFonts w:asciiTheme="minorHAnsi" w:hAnsiTheme="minorHAnsi"/>
          <w:bCs w:val="0"/>
          <w:noProof/>
          <w:sz w:val="22"/>
          <w:szCs w:val="22"/>
          <w:lang w:bidi="ar-SA"/>
        </w:rPr>
      </w:pPr>
      <w:hyperlink w:anchor="_Toc372538697" w:history="1">
        <w:r w:rsidR="001934AC" w:rsidRPr="004C263E">
          <w:rPr>
            <w:rStyle w:val="Hyperlink"/>
            <w:noProof/>
          </w:rPr>
          <w:t>2.3</w:t>
        </w:r>
        <w:r w:rsidR="001934AC">
          <w:rPr>
            <w:rFonts w:asciiTheme="minorHAnsi" w:hAnsiTheme="minorHAnsi"/>
            <w:bCs w:val="0"/>
            <w:noProof/>
            <w:sz w:val="22"/>
            <w:szCs w:val="22"/>
            <w:lang w:bidi="ar-SA"/>
          </w:rPr>
          <w:tab/>
        </w:r>
        <w:r w:rsidR="001934AC" w:rsidRPr="004C263E">
          <w:rPr>
            <w:rStyle w:val="Hyperlink"/>
            <w:noProof/>
          </w:rPr>
          <w:t>Analysis of Drugs of Abuse in Biological Specimens</w:t>
        </w:r>
        <w:r w:rsidR="001934AC">
          <w:rPr>
            <w:noProof/>
            <w:webHidden/>
          </w:rPr>
          <w:tab/>
        </w:r>
        <w:r w:rsidR="000E239B">
          <w:rPr>
            <w:noProof/>
            <w:webHidden/>
          </w:rPr>
          <w:fldChar w:fldCharType="begin"/>
        </w:r>
        <w:r w:rsidR="001934AC">
          <w:rPr>
            <w:noProof/>
            <w:webHidden/>
          </w:rPr>
          <w:instrText xml:space="preserve"> PAGEREF _Toc372538697 \h </w:instrText>
        </w:r>
        <w:r w:rsidR="000E239B">
          <w:rPr>
            <w:noProof/>
            <w:webHidden/>
          </w:rPr>
        </w:r>
        <w:r w:rsidR="000E239B">
          <w:rPr>
            <w:noProof/>
            <w:webHidden/>
          </w:rPr>
          <w:fldChar w:fldCharType="separate"/>
        </w:r>
        <w:r>
          <w:rPr>
            <w:noProof/>
            <w:webHidden/>
          </w:rPr>
          <w:t>11</w:t>
        </w:r>
        <w:r w:rsidR="000E239B">
          <w:rPr>
            <w:noProof/>
            <w:webHidden/>
          </w:rPr>
          <w:fldChar w:fldCharType="end"/>
        </w:r>
      </w:hyperlink>
    </w:p>
    <w:p w:rsidR="001934AC" w:rsidRDefault="002E77C7">
      <w:pPr>
        <w:pStyle w:val="TOC3"/>
        <w:tabs>
          <w:tab w:val="left" w:pos="1540"/>
        </w:tabs>
        <w:rPr>
          <w:rFonts w:asciiTheme="minorHAnsi" w:hAnsiTheme="minorHAnsi"/>
          <w:noProof/>
          <w:sz w:val="22"/>
          <w:szCs w:val="22"/>
          <w:lang w:bidi="ar-SA"/>
        </w:rPr>
      </w:pPr>
      <w:hyperlink w:anchor="_Toc372538698" w:history="1">
        <w:r w:rsidR="001934AC" w:rsidRPr="004C263E">
          <w:rPr>
            <w:rStyle w:val="Hyperlink"/>
            <w:noProof/>
          </w:rPr>
          <w:t>2.3.1</w:t>
        </w:r>
        <w:r w:rsidR="001934AC">
          <w:rPr>
            <w:rFonts w:asciiTheme="minorHAnsi" w:hAnsiTheme="minorHAnsi"/>
            <w:noProof/>
            <w:sz w:val="22"/>
            <w:szCs w:val="22"/>
            <w:lang w:bidi="ar-SA"/>
          </w:rPr>
          <w:tab/>
        </w:r>
        <w:r w:rsidR="001934AC" w:rsidRPr="004C263E">
          <w:rPr>
            <w:rStyle w:val="Hyperlink"/>
            <w:noProof/>
          </w:rPr>
          <w:t>Presumptive techniques</w:t>
        </w:r>
        <w:r w:rsidR="001934AC">
          <w:rPr>
            <w:noProof/>
            <w:webHidden/>
          </w:rPr>
          <w:tab/>
        </w:r>
        <w:r w:rsidR="000E239B">
          <w:rPr>
            <w:noProof/>
            <w:webHidden/>
          </w:rPr>
          <w:fldChar w:fldCharType="begin"/>
        </w:r>
        <w:r w:rsidR="001934AC">
          <w:rPr>
            <w:noProof/>
            <w:webHidden/>
          </w:rPr>
          <w:instrText xml:space="preserve"> PAGEREF _Toc372538698 \h </w:instrText>
        </w:r>
        <w:r w:rsidR="000E239B">
          <w:rPr>
            <w:noProof/>
            <w:webHidden/>
          </w:rPr>
        </w:r>
        <w:r w:rsidR="000E239B">
          <w:rPr>
            <w:noProof/>
            <w:webHidden/>
          </w:rPr>
          <w:fldChar w:fldCharType="separate"/>
        </w:r>
        <w:r>
          <w:rPr>
            <w:noProof/>
            <w:webHidden/>
          </w:rPr>
          <w:t>12</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699" w:history="1">
        <w:r w:rsidR="001934AC" w:rsidRPr="004C263E">
          <w:rPr>
            <w:rStyle w:val="Hyperlink"/>
            <w:noProof/>
          </w:rPr>
          <w:t>2.3.1.1</w:t>
        </w:r>
        <w:r w:rsidR="001934AC">
          <w:rPr>
            <w:rFonts w:asciiTheme="minorHAnsi" w:hAnsiTheme="minorHAnsi"/>
            <w:noProof/>
            <w:sz w:val="22"/>
            <w:szCs w:val="22"/>
            <w:lang w:bidi="ar-SA"/>
          </w:rPr>
          <w:tab/>
        </w:r>
        <w:r w:rsidR="001934AC" w:rsidRPr="004C263E">
          <w:rPr>
            <w:rStyle w:val="Hyperlink"/>
            <w:noProof/>
          </w:rPr>
          <w:t>ELISA</w:t>
        </w:r>
        <w:r w:rsidR="001934AC">
          <w:rPr>
            <w:noProof/>
            <w:webHidden/>
          </w:rPr>
          <w:tab/>
        </w:r>
        <w:r w:rsidR="000E239B">
          <w:rPr>
            <w:noProof/>
            <w:webHidden/>
          </w:rPr>
          <w:fldChar w:fldCharType="begin"/>
        </w:r>
        <w:r w:rsidR="001934AC">
          <w:rPr>
            <w:noProof/>
            <w:webHidden/>
          </w:rPr>
          <w:instrText xml:space="preserve"> PAGEREF _Toc372538699 \h </w:instrText>
        </w:r>
        <w:r w:rsidR="000E239B">
          <w:rPr>
            <w:noProof/>
            <w:webHidden/>
          </w:rPr>
        </w:r>
        <w:r w:rsidR="000E239B">
          <w:rPr>
            <w:noProof/>
            <w:webHidden/>
          </w:rPr>
          <w:fldChar w:fldCharType="separate"/>
        </w:r>
        <w:r>
          <w:rPr>
            <w:noProof/>
            <w:webHidden/>
          </w:rPr>
          <w:t>13</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00" w:history="1">
        <w:r w:rsidR="001934AC" w:rsidRPr="004C263E">
          <w:rPr>
            <w:rStyle w:val="Hyperlink"/>
            <w:noProof/>
          </w:rPr>
          <w:t>2.3.1.2</w:t>
        </w:r>
        <w:r w:rsidR="001934AC">
          <w:rPr>
            <w:rFonts w:asciiTheme="minorHAnsi" w:hAnsiTheme="minorHAnsi"/>
            <w:noProof/>
            <w:sz w:val="22"/>
            <w:szCs w:val="22"/>
            <w:lang w:bidi="ar-SA"/>
          </w:rPr>
          <w:tab/>
        </w:r>
        <w:r w:rsidR="001934AC" w:rsidRPr="004C263E">
          <w:rPr>
            <w:rStyle w:val="Hyperlink"/>
            <w:noProof/>
          </w:rPr>
          <w:t>EMIT</w:t>
        </w:r>
        <w:r w:rsidR="001934AC">
          <w:rPr>
            <w:noProof/>
            <w:webHidden/>
          </w:rPr>
          <w:tab/>
        </w:r>
        <w:r w:rsidR="000E239B">
          <w:rPr>
            <w:noProof/>
            <w:webHidden/>
          </w:rPr>
          <w:fldChar w:fldCharType="begin"/>
        </w:r>
        <w:r w:rsidR="001934AC">
          <w:rPr>
            <w:noProof/>
            <w:webHidden/>
          </w:rPr>
          <w:instrText xml:space="preserve"> PAGEREF _Toc372538700 \h </w:instrText>
        </w:r>
        <w:r w:rsidR="000E239B">
          <w:rPr>
            <w:noProof/>
            <w:webHidden/>
          </w:rPr>
        </w:r>
        <w:r w:rsidR="000E239B">
          <w:rPr>
            <w:noProof/>
            <w:webHidden/>
          </w:rPr>
          <w:fldChar w:fldCharType="separate"/>
        </w:r>
        <w:r>
          <w:rPr>
            <w:noProof/>
            <w:webHidden/>
          </w:rPr>
          <w:t>15</w:t>
        </w:r>
        <w:r w:rsidR="000E239B">
          <w:rPr>
            <w:noProof/>
            <w:webHidden/>
          </w:rPr>
          <w:fldChar w:fldCharType="end"/>
        </w:r>
      </w:hyperlink>
    </w:p>
    <w:p w:rsidR="001934AC" w:rsidRDefault="002E77C7">
      <w:pPr>
        <w:pStyle w:val="TOC3"/>
        <w:tabs>
          <w:tab w:val="left" w:pos="1540"/>
        </w:tabs>
        <w:rPr>
          <w:rFonts w:asciiTheme="minorHAnsi" w:hAnsiTheme="minorHAnsi"/>
          <w:noProof/>
          <w:sz w:val="22"/>
          <w:szCs w:val="22"/>
          <w:lang w:bidi="ar-SA"/>
        </w:rPr>
      </w:pPr>
      <w:hyperlink w:anchor="_Toc372538701" w:history="1">
        <w:r w:rsidR="001934AC" w:rsidRPr="004C263E">
          <w:rPr>
            <w:rStyle w:val="Hyperlink"/>
            <w:noProof/>
          </w:rPr>
          <w:t>2.3.2</w:t>
        </w:r>
        <w:r w:rsidR="001934AC">
          <w:rPr>
            <w:rFonts w:asciiTheme="minorHAnsi" w:hAnsiTheme="minorHAnsi"/>
            <w:noProof/>
            <w:sz w:val="22"/>
            <w:szCs w:val="22"/>
            <w:lang w:bidi="ar-SA"/>
          </w:rPr>
          <w:tab/>
        </w:r>
        <w:r w:rsidR="001934AC" w:rsidRPr="004C263E">
          <w:rPr>
            <w:rStyle w:val="Hyperlink"/>
            <w:noProof/>
          </w:rPr>
          <w:t>Confirmatory techniques</w:t>
        </w:r>
        <w:r w:rsidR="001934AC">
          <w:rPr>
            <w:noProof/>
            <w:webHidden/>
          </w:rPr>
          <w:tab/>
        </w:r>
        <w:r w:rsidR="000E239B">
          <w:rPr>
            <w:noProof/>
            <w:webHidden/>
          </w:rPr>
          <w:fldChar w:fldCharType="begin"/>
        </w:r>
        <w:r w:rsidR="001934AC">
          <w:rPr>
            <w:noProof/>
            <w:webHidden/>
          </w:rPr>
          <w:instrText xml:space="preserve"> PAGEREF _Toc372538701 \h </w:instrText>
        </w:r>
        <w:r w:rsidR="000E239B">
          <w:rPr>
            <w:noProof/>
            <w:webHidden/>
          </w:rPr>
        </w:r>
        <w:r w:rsidR="000E239B">
          <w:rPr>
            <w:noProof/>
            <w:webHidden/>
          </w:rPr>
          <w:fldChar w:fldCharType="separate"/>
        </w:r>
        <w:r>
          <w:rPr>
            <w:noProof/>
            <w:webHidden/>
          </w:rPr>
          <w:t>16</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02" w:history="1">
        <w:r w:rsidR="001934AC" w:rsidRPr="004C263E">
          <w:rPr>
            <w:rStyle w:val="Hyperlink"/>
            <w:noProof/>
          </w:rPr>
          <w:t>2.3.2.1</w:t>
        </w:r>
        <w:r w:rsidR="001934AC">
          <w:rPr>
            <w:rFonts w:asciiTheme="minorHAnsi" w:hAnsiTheme="minorHAnsi"/>
            <w:noProof/>
            <w:sz w:val="22"/>
            <w:szCs w:val="22"/>
            <w:lang w:bidi="ar-SA"/>
          </w:rPr>
          <w:tab/>
        </w:r>
        <w:r w:rsidR="001934AC" w:rsidRPr="004C263E">
          <w:rPr>
            <w:rStyle w:val="Hyperlink"/>
            <w:noProof/>
          </w:rPr>
          <w:t>GC-MS</w:t>
        </w:r>
        <w:r w:rsidR="001934AC">
          <w:rPr>
            <w:noProof/>
            <w:webHidden/>
          </w:rPr>
          <w:tab/>
        </w:r>
        <w:r w:rsidR="000E239B">
          <w:rPr>
            <w:noProof/>
            <w:webHidden/>
          </w:rPr>
          <w:fldChar w:fldCharType="begin"/>
        </w:r>
        <w:r w:rsidR="001934AC">
          <w:rPr>
            <w:noProof/>
            <w:webHidden/>
          </w:rPr>
          <w:instrText xml:space="preserve"> PAGEREF _Toc372538702 \h </w:instrText>
        </w:r>
        <w:r w:rsidR="000E239B">
          <w:rPr>
            <w:noProof/>
            <w:webHidden/>
          </w:rPr>
        </w:r>
        <w:r w:rsidR="000E239B">
          <w:rPr>
            <w:noProof/>
            <w:webHidden/>
          </w:rPr>
          <w:fldChar w:fldCharType="separate"/>
        </w:r>
        <w:r>
          <w:rPr>
            <w:noProof/>
            <w:webHidden/>
          </w:rPr>
          <w:t>17</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03" w:history="1">
        <w:r w:rsidR="001934AC" w:rsidRPr="004C263E">
          <w:rPr>
            <w:rStyle w:val="Hyperlink"/>
            <w:noProof/>
          </w:rPr>
          <w:t>2.3.2.2</w:t>
        </w:r>
        <w:r w:rsidR="001934AC">
          <w:rPr>
            <w:rFonts w:asciiTheme="minorHAnsi" w:hAnsiTheme="minorHAnsi"/>
            <w:noProof/>
            <w:sz w:val="22"/>
            <w:szCs w:val="22"/>
            <w:lang w:bidi="ar-SA"/>
          </w:rPr>
          <w:tab/>
        </w:r>
        <w:r w:rsidR="001934AC" w:rsidRPr="004C263E">
          <w:rPr>
            <w:rStyle w:val="Hyperlink"/>
            <w:noProof/>
          </w:rPr>
          <w:t>LC-MS</w:t>
        </w:r>
        <w:r w:rsidR="001934AC">
          <w:rPr>
            <w:noProof/>
            <w:webHidden/>
          </w:rPr>
          <w:tab/>
        </w:r>
        <w:r w:rsidR="000E239B">
          <w:rPr>
            <w:noProof/>
            <w:webHidden/>
          </w:rPr>
          <w:fldChar w:fldCharType="begin"/>
        </w:r>
        <w:r w:rsidR="001934AC">
          <w:rPr>
            <w:noProof/>
            <w:webHidden/>
          </w:rPr>
          <w:instrText xml:space="preserve"> PAGEREF _Toc372538703 \h </w:instrText>
        </w:r>
        <w:r w:rsidR="000E239B">
          <w:rPr>
            <w:noProof/>
            <w:webHidden/>
          </w:rPr>
        </w:r>
        <w:r w:rsidR="000E239B">
          <w:rPr>
            <w:noProof/>
            <w:webHidden/>
          </w:rPr>
          <w:fldChar w:fldCharType="separate"/>
        </w:r>
        <w:r>
          <w:rPr>
            <w:noProof/>
            <w:webHidden/>
          </w:rPr>
          <w:t>20</w:t>
        </w:r>
        <w:r w:rsidR="000E239B">
          <w:rPr>
            <w:noProof/>
            <w:webHidden/>
          </w:rPr>
          <w:fldChar w:fldCharType="end"/>
        </w:r>
      </w:hyperlink>
    </w:p>
    <w:p w:rsidR="001934AC" w:rsidRDefault="002E77C7">
      <w:pPr>
        <w:pStyle w:val="TOC1"/>
        <w:rPr>
          <w:rFonts w:asciiTheme="minorHAnsi" w:hAnsiTheme="minorHAnsi"/>
          <w:bCs w:val="0"/>
          <w:caps w:val="0"/>
          <w:noProof/>
          <w:sz w:val="22"/>
          <w:szCs w:val="22"/>
          <w:lang w:bidi="ar-SA"/>
        </w:rPr>
      </w:pPr>
      <w:hyperlink w:anchor="_Toc372538704" w:history="1">
        <w:r w:rsidR="001934AC" w:rsidRPr="004C263E">
          <w:rPr>
            <w:rStyle w:val="Hyperlink"/>
            <w:noProof/>
          </w:rPr>
          <w:t>3.</w:t>
        </w:r>
        <w:r w:rsidR="001934AC">
          <w:rPr>
            <w:rFonts w:asciiTheme="minorHAnsi" w:hAnsiTheme="minorHAnsi"/>
            <w:bCs w:val="0"/>
            <w:caps w:val="0"/>
            <w:noProof/>
            <w:sz w:val="22"/>
            <w:szCs w:val="22"/>
            <w:lang w:bidi="ar-SA"/>
          </w:rPr>
          <w:tab/>
        </w:r>
        <w:r w:rsidR="001934AC" w:rsidRPr="004C263E">
          <w:rPr>
            <w:rStyle w:val="Hyperlink"/>
            <w:noProof/>
          </w:rPr>
          <w:t>CROSS-REACTIVITY OF DESIGNER DRUGS</w:t>
        </w:r>
        <w:r w:rsidR="001934AC">
          <w:rPr>
            <w:noProof/>
            <w:webHidden/>
          </w:rPr>
          <w:tab/>
        </w:r>
        <w:r w:rsidR="000E239B">
          <w:rPr>
            <w:noProof/>
            <w:webHidden/>
          </w:rPr>
          <w:fldChar w:fldCharType="begin"/>
        </w:r>
        <w:r w:rsidR="001934AC">
          <w:rPr>
            <w:noProof/>
            <w:webHidden/>
          </w:rPr>
          <w:instrText xml:space="preserve"> PAGEREF _Toc372538704 \h </w:instrText>
        </w:r>
        <w:r w:rsidR="000E239B">
          <w:rPr>
            <w:noProof/>
            <w:webHidden/>
          </w:rPr>
        </w:r>
        <w:r w:rsidR="000E239B">
          <w:rPr>
            <w:noProof/>
            <w:webHidden/>
          </w:rPr>
          <w:fldChar w:fldCharType="separate"/>
        </w:r>
        <w:r>
          <w:rPr>
            <w:noProof/>
            <w:webHidden/>
          </w:rPr>
          <w:t>24</w:t>
        </w:r>
        <w:r w:rsidR="000E239B">
          <w:rPr>
            <w:noProof/>
            <w:webHidden/>
          </w:rPr>
          <w:fldChar w:fldCharType="end"/>
        </w:r>
      </w:hyperlink>
    </w:p>
    <w:p w:rsidR="001934AC" w:rsidRDefault="002E77C7">
      <w:pPr>
        <w:pStyle w:val="TOC2"/>
        <w:rPr>
          <w:rFonts w:asciiTheme="minorHAnsi" w:hAnsiTheme="minorHAnsi"/>
          <w:bCs w:val="0"/>
          <w:noProof/>
          <w:sz w:val="22"/>
          <w:szCs w:val="22"/>
          <w:lang w:bidi="ar-SA"/>
        </w:rPr>
      </w:pPr>
      <w:hyperlink w:anchor="_Toc372538705" w:history="1">
        <w:r w:rsidR="001934AC" w:rsidRPr="004C263E">
          <w:rPr>
            <w:rStyle w:val="Hyperlink"/>
            <w:noProof/>
          </w:rPr>
          <w:t>3.1</w:t>
        </w:r>
        <w:r w:rsidR="001934AC">
          <w:rPr>
            <w:rFonts w:asciiTheme="minorHAnsi" w:hAnsiTheme="minorHAnsi"/>
            <w:bCs w:val="0"/>
            <w:noProof/>
            <w:sz w:val="22"/>
            <w:szCs w:val="22"/>
            <w:lang w:bidi="ar-SA"/>
          </w:rPr>
          <w:tab/>
        </w:r>
        <w:r w:rsidR="001934AC" w:rsidRPr="004C263E">
          <w:rPr>
            <w:rStyle w:val="Hyperlink"/>
            <w:noProof/>
          </w:rPr>
          <w:t>Overview</w:t>
        </w:r>
        <w:r w:rsidR="001934AC">
          <w:rPr>
            <w:noProof/>
            <w:webHidden/>
          </w:rPr>
          <w:tab/>
        </w:r>
        <w:r w:rsidR="000E239B">
          <w:rPr>
            <w:noProof/>
            <w:webHidden/>
          </w:rPr>
          <w:fldChar w:fldCharType="begin"/>
        </w:r>
        <w:r w:rsidR="001934AC">
          <w:rPr>
            <w:noProof/>
            <w:webHidden/>
          </w:rPr>
          <w:instrText xml:space="preserve"> PAGEREF _Toc372538705 \h </w:instrText>
        </w:r>
        <w:r w:rsidR="000E239B">
          <w:rPr>
            <w:noProof/>
            <w:webHidden/>
          </w:rPr>
        </w:r>
        <w:r w:rsidR="000E239B">
          <w:rPr>
            <w:noProof/>
            <w:webHidden/>
          </w:rPr>
          <w:fldChar w:fldCharType="separate"/>
        </w:r>
        <w:r>
          <w:rPr>
            <w:noProof/>
            <w:webHidden/>
          </w:rPr>
          <w:t>24</w:t>
        </w:r>
        <w:r w:rsidR="000E239B">
          <w:rPr>
            <w:noProof/>
            <w:webHidden/>
          </w:rPr>
          <w:fldChar w:fldCharType="end"/>
        </w:r>
      </w:hyperlink>
    </w:p>
    <w:p w:rsidR="001934AC" w:rsidRDefault="002E77C7">
      <w:pPr>
        <w:pStyle w:val="TOC2"/>
        <w:rPr>
          <w:rFonts w:asciiTheme="minorHAnsi" w:hAnsiTheme="minorHAnsi"/>
          <w:bCs w:val="0"/>
          <w:noProof/>
          <w:sz w:val="22"/>
          <w:szCs w:val="22"/>
          <w:lang w:bidi="ar-SA"/>
        </w:rPr>
      </w:pPr>
      <w:hyperlink w:anchor="_Toc372538706" w:history="1">
        <w:r w:rsidR="001934AC" w:rsidRPr="004C263E">
          <w:rPr>
            <w:rStyle w:val="Hyperlink"/>
            <w:noProof/>
          </w:rPr>
          <w:t>3.2</w:t>
        </w:r>
        <w:r w:rsidR="001934AC">
          <w:rPr>
            <w:rFonts w:asciiTheme="minorHAnsi" w:hAnsiTheme="minorHAnsi"/>
            <w:bCs w:val="0"/>
            <w:noProof/>
            <w:sz w:val="22"/>
            <w:szCs w:val="22"/>
            <w:lang w:bidi="ar-SA"/>
          </w:rPr>
          <w:tab/>
        </w:r>
        <w:r w:rsidR="001934AC" w:rsidRPr="004C263E">
          <w:rPr>
            <w:rStyle w:val="Hyperlink"/>
            <w:noProof/>
          </w:rPr>
          <w:t>Introduction</w:t>
        </w:r>
        <w:r w:rsidR="001934AC">
          <w:rPr>
            <w:noProof/>
            <w:webHidden/>
          </w:rPr>
          <w:tab/>
        </w:r>
        <w:r w:rsidR="000E239B">
          <w:rPr>
            <w:noProof/>
            <w:webHidden/>
          </w:rPr>
          <w:fldChar w:fldCharType="begin"/>
        </w:r>
        <w:r w:rsidR="001934AC">
          <w:rPr>
            <w:noProof/>
            <w:webHidden/>
          </w:rPr>
          <w:instrText xml:space="preserve"> PAGEREF _Toc372538706 \h </w:instrText>
        </w:r>
        <w:r w:rsidR="000E239B">
          <w:rPr>
            <w:noProof/>
            <w:webHidden/>
          </w:rPr>
        </w:r>
        <w:r w:rsidR="000E239B">
          <w:rPr>
            <w:noProof/>
            <w:webHidden/>
          </w:rPr>
          <w:fldChar w:fldCharType="separate"/>
        </w:r>
        <w:r>
          <w:rPr>
            <w:noProof/>
            <w:webHidden/>
          </w:rPr>
          <w:t>24</w:t>
        </w:r>
        <w:r w:rsidR="000E239B">
          <w:rPr>
            <w:noProof/>
            <w:webHidden/>
          </w:rPr>
          <w:fldChar w:fldCharType="end"/>
        </w:r>
      </w:hyperlink>
    </w:p>
    <w:p w:rsidR="001934AC" w:rsidRDefault="002E77C7">
      <w:pPr>
        <w:pStyle w:val="TOC2"/>
        <w:rPr>
          <w:rFonts w:asciiTheme="minorHAnsi" w:hAnsiTheme="minorHAnsi"/>
          <w:bCs w:val="0"/>
          <w:noProof/>
          <w:sz w:val="22"/>
          <w:szCs w:val="22"/>
          <w:lang w:bidi="ar-SA"/>
        </w:rPr>
      </w:pPr>
      <w:hyperlink w:anchor="_Toc372538707" w:history="1">
        <w:r w:rsidR="001934AC" w:rsidRPr="004C263E">
          <w:rPr>
            <w:rStyle w:val="Hyperlink"/>
            <w:noProof/>
          </w:rPr>
          <w:t>3.3</w:t>
        </w:r>
        <w:r w:rsidR="001934AC">
          <w:rPr>
            <w:rFonts w:asciiTheme="minorHAnsi" w:hAnsiTheme="minorHAnsi"/>
            <w:bCs w:val="0"/>
            <w:noProof/>
            <w:sz w:val="22"/>
            <w:szCs w:val="22"/>
            <w:lang w:bidi="ar-SA"/>
          </w:rPr>
          <w:tab/>
        </w:r>
        <w:r w:rsidR="001934AC" w:rsidRPr="004C263E">
          <w:rPr>
            <w:rStyle w:val="Hyperlink"/>
            <w:noProof/>
          </w:rPr>
          <w:t>Materials and Methods</w:t>
        </w:r>
        <w:r w:rsidR="001934AC">
          <w:rPr>
            <w:noProof/>
            <w:webHidden/>
          </w:rPr>
          <w:tab/>
        </w:r>
        <w:r w:rsidR="000E239B">
          <w:rPr>
            <w:noProof/>
            <w:webHidden/>
          </w:rPr>
          <w:fldChar w:fldCharType="begin"/>
        </w:r>
        <w:r w:rsidR="001934AC">
          <w:rPr>
            <w:noProof/>
            <w:webHidden/>
          </w:rPr>
          <w:instrText xml:space="preserve"> PAGEREF _Toc372538707 \h </w:instrText>
        </w:r>
        <w:r w:rsidR="000E239B">
          <w:rPr>
            <w:noProof/>
            <w:webHidden/>
          </w:rPr>
        </w:r>
        <w:r w:rsidR="000E239B">
          <w:rPr>
            <w:noProof/>
            <w:webHidden/>
          </w:rPr>
          <w:fldChar w:fldCharType="separate"/>
        </w:r>
        <w:r>
          <w:rPr>
            <w:noProof/>
            <w:webHidden/>
          </w:rPr>
          <w:t>28</w:t>
        </w:r>
        <w:r w:rsidR="000E239B">
          <w:rPr>
            <w:noProof/>
            <w:webHidden/>
          </w:rPr>
          <w:fldChar w:fldCharType="end"/>
        </w:r>
      </w:hyperlink>
    </w:p>
    <w:p w:rsidR="001934AC" w:rsidRDefault="002E77C7">
      <w:pPr>
        <w:pStyle w:val="TOC3"/>
        <w:tabs>
          <w:tab w:val="left" w:pos="1540"/>
        </w:tabs>
        <w:rPr>
          <w:rFonts w:asciiTheme="minorHAnsi" w:hAnsiTheme="minorHAnsi"/>
          <w:noProof/>
          <w:sz w:val="22"/>
          <w:szCs w:val="22"/>
          <w:lang w:bidi="ar-SA"/>
        </w:rPr>
      </w:pPr>
      <w:hyperlink w:anchor="_Toc372538708" w:history="1">
        <w:r w:rsidR="001934AC" w:rsidRPr="004C263E">
          <w:rPr>
            <w:rStyle w:val="Hyperlink"/>
            <w:noProof/>
          </w:rPr>
          <w:t>3.3.1</w:t>
        </w:r>
        <w:r w:rsidR="001934AC">
          <w:rPr>
            <w:rFonts w:asciiTheme="minorHAnsi" w:hAnsiTheme="minorHAnsi"/>
            <w:noProof/>
            <w:sz w:val="22"/>
            <w:szCs w:val="22"/>
            <w:lang w:bidi="ar-SA"/>
          </w:rPr>
          <w:tab/>
        </w:r>
        <w:r w:rsidR="001934AC" w:rsidRPr="004C263E">
          <w:rPr>
            <w:rStyle w:val="Hyperlink"/>
            <w:noProof/>
          </w:rPr>
          <w:t>Materials</w:t>
        </w:r>
        <w:r w:rsidR="001934AC">
          <w:rPr>
            <w:noProof/>
            <w:webHidden/>
          </w:rPr>
          <w:tab/>
        </w:r>
        <w:r w:rsidR="000E239B">
          <w:rPr>
            <w:noProof/>
            <w:webHidden/>
          </w:rPr>
          <w:fldChar w:fldCharType="begin"/>
        </w:r>
        <w:r w:rsidR="001934AC">
          <w:rPr>
            <w:noProof/>
            <w:webHidden/>
          </w:rPr>
          <w:instrText xml:space="preserve"> PAGEREF _Toc372538708 \h </w:instrText>
        </w:r>
        <w:r w:rsidR="000E239B">
          <w:rPr>
            <w:noProof/>
            <w:webHidden/>
          </w:rPr>
        </w:r>
        <w:r w:rsidR="000E239B">
          <w:rPr>
            <w:noProof/>
            <w:webHidden/>
          </w:rPr>
          <w:fldChar w:fldCharType="separate"/>
        </w:r>
        <w:r>
          <w:rPr>
            <w:noProof/>
            <w:webHidden/>
          </w:rPr>
          <w:t>28</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09" w:history="1">
        <w:r w:rsidR="001934AC" w:rsidRPr="004C263E">
          <w:rPr>
            <w:rStyle w:val="Hyperlink"/>
            <w:noProof/>
          </w:rPr>
          <w:t>3.3.1.1</w:t>
        </w:r>
        <w:r w:rsidR="001934AC">
          <w:rPr>
            <w:rFonts w:asciiTheme="minorHAnsi" w:hAnsiTheme="minorHAnsi"/>
            <w:noProof/>
            <w:sz w:val="22"/>
            <w:szCs w:val="22"/>
            <w:lang w:bidi="ar-SA"/>
          </w:rPr>
          <w:tab/>
        </w:r>
        <w:r w:rsidR="001934AC" w:rsidRPr="004C263E">
          <w:rPr>
            <w:rStyle w:val="Hyperlink"/>
            <w:noProof/>
          </w:rPr>
          <w:t>Chemicals</w:t>
        </w:r>
        <w:r w:rsidR="001934AC">
          <w:rPr>
            <w:noProof/>
            <w:webHidden/>
          </w:rPr>
          <w:tab/>
        </w:r>
        <w:r w:rsidR="000E239B">
          <w:rPr>
            <w:noProof/>
            <w:webHidden/>
          </w:rPr>
          <w:fldChar w:fldCharType="begin"/>
        </w:r>
        <w:r w:rsidR="001934AC">
          <w:rPr>
            <w:noProof/>
            <w:webHidden/>
          </w:rPr>
          <w:instrText xml:space="preserve"> PAGEREF _Toc372538709 \h </w:instrText>
        </w:r>
        <w:r w:rsidR="000E239B">
          <w:rPr>
            <w:noProof/>
            <w:webHidden/>
          </w:rPr>
        </w:r>
        <w:r w:rsidR="000E239B">
          <w:rPr>
            <w:noProof/>
            <w:webHidden/>
          </w:rPr>
          <w:fldChar w:fldCharType="separate"/>
        </w:r>
        <w:r>
          <w:rPr>
            <w:noProof/>
            <w:webHidden/>
          </w:rPr>
          <w:t>28</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10" w:history="1">
        <w:r w:rsidR="001934AC" w:rsidRPr="004C263E">
          <w:rPr>
            <w:rStyle w:val="Hyperlink"/>
            <w:noProof/>
          </w:rPr>
          <w:t>3.3.1.2</w:t>
        </w:r>
        <w:r w:rsidR="001934AC">
          <w:rPr>
            <w:rFonts w:asciiTheme="minorHAnsi" w:hAnsiTheme="minorHAnsi"/>
            <w:noProof/>
            <w:sz w:val="22"/>
            <w:szCs w:val="22"/>
            <w:lang w:bidi="ar-SA"/>
          </w:rPr>
          <w:tab/>
        </w:r>
        <w:r w:rsidR="001934AC" w:rsidRPr="004C263E">
          <w:rPr>
            <w:rStyle w:val="Hyperlink"/>
            <w:noProof/>
          </w:rPr>
          <w:t>ELISAs</w:t>
        </w:r>
        <w:r w:rsidR="001934AC">
          <w:rPr>
            <w:noProof/>
            <w:webHidden/>
          </w:rPr>
          <w:tab/>
        </w:r>
        <w:r w:rsidR="000E239B">
          <w:rPr>
            <w:noProof/>
            <w:webHidden/>
          </w:rPr>
          <w:fldChar w:fldCharType="begin"/>
        </w:r>
        <w:r w:rsidR="001934AC">
          <w:rPr>
            <w:noProof/>
            <w:webHidden/>
          </w:rPr>
          <w:instrText xml:space="preserve"> PAGEREF _Toc372538710 \h </w:instrText>
        </w:r>
        <w:r w:rsidR="000E239B">
          <w:rPr>
            <w:noProof/>
            <w:webHidden/>
          </w:rPr>
        </w:r>
        <w:r w:rsidR="000E239B">
          <w:rPr>
            <w:noProof/>
            <w:webHidden/>
          </w:rPr>
          <w:fldChar w:fldCharType="separate"/>
        </w:r>
        <w:r>
          <w:rPr>
            <w:noProof/>
            <w:webHidden/>
          </w:rPr>
          <w:t>31</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11" w:history="1">
        <w:r w:rsidR="001934AC" w:rsidRPr="004C263E">
          <w:rPr>
            <w:rStyle w:val="Hyperlink"/>
            <w:noProof/>
          </w:rPr>
          <w:t>3.3.1.3</w:t>
        </w:r>
        <w:r w:rsidR="001934AC">
          <w:rPr>
            <w:rFonts w:asciiTheme="minorHAnsi" w:hAnsiTheme="minorHAnsi"/>
            <w:noProof/>
            <w:sz w:val="22"/>
            <w:szCs w:val="22"/>
            <w:lang w:bidi="ar-SA"/>
          </w:rPr>
          <w:tab/>
        </w:r>
        <w:r w:rsidR="001934AC" w:rsidRPr="004C263E">
          <w:rPr>
            <w:rStyle w:val="Hyperlink"/>
            <w:noProof/>
          </w:rPr>
          <w:t>EMITs</w:t>
        </w:r>
        <w:r w:rsidR="001934AC">
          <w:rPr>
            <w:noProof/>
            <w:webHidden/>
          </w:rPr>
          <w:tab/>
        </w:r>
        <w:r w:rsidR="000E239B">
          <w:rPr>
            <w:noProof/>
            <w:webHidden/>
          </w:rPr>
          <w:fldChar w:fldCharType="begin"/>
        </w:r>
        <w:r w:rsidR="001934AC">
          <w:rPr>
            <w:noProof/>
            <w:webHidden/>
          </w:rPr>
          <w:instrText xml:space="preserve"> PAGEREF _Toc372538711 \h </w:instrText>
        </w:r>
        <w:r w:rsidR="000E239B">
          <w:rPr>
            <w:noProof/>
            <w:webHidden/>
          </w:rPr>
        </w:r>
        <w:r w:rsidR="000E239B">
          <w:rPr>
            <w:noProof/>
            <w:webHidden/>
          </w:rPr>
          <w:fldChar w:fldCharType="separate"/>
        </w:r>
        <w:r>
          <w:rPr>
            <w:noProof/>
            <w:webHidden/>
          </w:rPr>
          <w:t>32</w:t>
        </w:r>
        <w:r w:rsidR="000E239B">
          <w:rPr>
            <w:noProof/>
            <w:webHidden/>
          </w:rPr>
          <w:fldChar w:fldCharType="end"/>
        </w:r>
      </w:hyperlink>
    </w:p>
    <w:p w:rsidR="001934AC" w:rsidRDefault="002E77C7">
      <w:pPr>
        <w:pStyle w:val="TOC3"/>
        <w:tabs>
          <w:tab w:val="left" w:pos="1540"/>
        </w:tabs>
        <w:rPr>
          <w:rFonts w:asciiTheme="minorHAnsi" w:hAnsiTheme="minorHAnsi"/>
          <w:noProof/>
          <w:sz w:val="22"/>
          <w:szCs w:val="22"/>
          <w:lang w:bidi="ar-SA"/>
        </w:rPr>
      </w:pPr>
      <w:hyperlink w:anchor="_Toc372538712" w:history="1">
        <w:r w:rsidR="001934AC" w:rsidRPr="004C263E">
          <w:rPr>
            <w:rStyle w:val="Hyperlink"/>
            <w:noProof/>
          </w:rPr>
          <w:t>3.3.2</w:t>
        </w:r>
        <w:r w:rsidR="001934AC">
          <w:rPr>
            <w:rFonts w:asciiTheme="minorHAnsi" w:hAnsiTheme="minorHAnsi"/>
            <w:noProof/>
            <w:sz w:val="22"/>
            <w:szCs w:val="22"/>
            <w:lang w:bidi="ar-SA"/>
          </w:rPr>
          <w:tab/>
        </w:r>
        <w:r w:rsidR="001934AC" w:rsidRPr="004C263E">
          <w:rPr>
            <w:rStyle w:val="Hyperlink"/>
            <w:noProof/>
          </w:rPr>
          <w:t>Samples</w:t>
        </w:r>
        <w:r w:rsidR="001934AC">
          <w:rPr>
            <w:noProof/>
            <w:webHidden/>
          </w:rPr>
          <w:tab/>
        </w:r>
        <w:r w:rsidR="000E239B">
          <w:rPr>
            <w:noProof/>
            <w:webHidden/>
          </w:rPr>
          <w:fldChar w:fldCharType="begin"/>
        </w:r>
        <w:r w:rsidR="001934AC">
          <w:rPr>
            <w:noProof/>
            <w:webHidden/>
          </w:rPr>
          <w:instrText xml:space="preserve"> PAGEREF _Toc372538712 \h </w:instrText>
        </w:r>
        <w:r w:rsidR="000E239B">
          <w:rPr>
            <w:noProof/>
            <w:webHidden/>
          </w:rPr>
        </w:r>
        <w:r w:rsidR="000E239B">
          <w:rPr>
            <w:noProof/>
            <w:webHidden/>
          </w:rPr>
          <w:fldChar w:fldCharType="separate"/>
        </w:r>
        <w:r>
          <w:rPr>
            <w:noProof/>
            <w:webHidden/>
          </w:rPr>
          <w:t>33</w:t>
        </w:r>
        <w:r w:rsidR="000E239B">
          <w:rPr>
            <w:noProof/>
            <w:webHidden/>
          </w:rPr>
          <w:fldChar w:fldCharType="end"/>
        </w:r>
      </w:hyperlink>
    </w:p>
    <w:p w:rsidR="001934AC" w:rsidRDefault="002E77C7">
      <w:pPr>
        <w:pStyle w:val="TOC3"/>
        <w:tabs>
          <w:tab w:val="left" w:pos="1540"/>
        </w:tabs>
        <w:rPr>
          <w:rFonts w:asciiTheme="minorHAnsi" w:hAnsiTheme="minorHAnsi"/>
          <w:noProof/>
          <w:sz w:val="22"/>
          <w:szCs w:val="22"/>
          <w:lang w:bidi="ar-SA"/>
        </w:rPr>
      </w:pPr>
      <w:hyperlink w:anchor="_Toc372538713" w:history="1">
        <w:r w:rsidR="001934AC" w:rsidRPr="004C263E">
          <w:rPr>
            <w:rStyle w:val="Hyperlink"/>
            <w:noProof/>
          </w:rPr>
          <w:t>3.3.3</w:t>
        </w:r>
        <w:r w:rsidR="001934AC">
          <w:rPr>
            <w:rFonts w:asciiTheme="minorHAnsi" w:hAnsiTheme="minorHAnsi"/>
            <w:noProof/>
            <w:sz w:val="22"/>
            <w:szCs w:val="22"/>
            <w:lang w:bidi="ar-SA"/>
          </w:rPr>
          <w:tab/>
        </w:r>
        <w:r w:rsidR="001934AC" w:rsidRPr="004C263E">
          <w:rPr>
            <w:rStyle w:val="Hyperlink"/>
            <w:noProof/>
          </w:rPr>
          <w:t>Sample preparation</w:t>
        </w:r>
        <w:r w:rsidR="001934AC">
          <w:rPr>
            <w:noProof/>
            <w:webHidden/>
          </w:rPr>
          <w:tab/>
        </w:r>
        <w:r w:rsidR="000E239B">
          <w:rPr>
            <w:noProof/>
            <w:webHidden/>
          </w:rPr>
          <w:fldChar w:fldCharType="begin"/>
        </w:r>
        <w:r w:rsidR="001934AC">
          <w:rPr>
            <w:noProof/>
            <w:webHidden/>
          </w:rPr>
          <w:instrText xml:space="preserve"> PAGEREF _Toc372538713 \h </w:instrText>
        </w:r>
        <w:r w:rsidR="000E239B">
          <w:rPr>
            <w:noProof/>
            <w:webHidden/>
          </w:rPr>
        </w:r>
        <w:r w:rsidR="000E239B">
          <w:rPr>
            <w:noProof/>
            <w:webHidden/>
          </w:rPr>
          <w:fldChar w:fldCharType="separate"/>
        </w:r>
        <w:r>
          <w:rPr>
            <w:noProof/>
            <w:webHidden/>
          </w:rPr>
          <w:t>33</w:t>
        </w:r>
        <w:r w:rsidR="000E239B">
          <w:rPr>
            <w:noProof/>
            <w:webHidden/>
          </w:rPr>
          <w:fldChar w:fldCharType="end"/>
        </w:r>
      </w:hyperlink>
    </w:p>
    <w:p w:rsidR="001934AC" w:rsidRDefault="002E77C7">
      <w:pPr>
        <w:pStyle w:val="TOC3"/>
        <w:tabs>
          <w:tab w:val="left" w:pos="1540"/>
        </w:tabs>
        <w:rPr>
          <w:rFonts w:asciiTheme="minorHAnsi" w:hAnsiTheme="minorHAnsi"/>
          <w:noProof/>
          <w:sz w:val="22"/>
          <w:szCs w:val="22"/>
          <w:lang w:bidi="ar-SA"/>
        </w:rPr>
      </w:pPr>
      <w:hyperlink w:anchor="_Toc372538714" w:history="1">
        <w:r w:rsidR="001934AC" w:rsidRPr="004C263E">
          <w:rPr>
            <w:rStyle w:val="Hyperlink"/>
            <w:noProof/>
          </w:rPr>
          <w:t>3.3.4</w:t>
        </w:r>
        <w:r w:rsidR="001934AC">
          <w:rPr>
            <w:rFonts w:asciiTheme="minorHAnsi" w:hAnsiTheme="minorHAnsi"/>
            <w:noProof/>
            <w:sz w:val="22"/>
            <w:szCs w:val="22"/>
            <w:lang w:bidi="ar-SA"/>
          </w:rPr>
          <w:tab/>
        </w:r>
        <w:r w:rsidR="001934AC" w:rsidRPr="004C263E">
          <w:rPr>
            <w:rStyle w:val="Hyperlink"/>
            <w:noProof/>
          </w:rPr>
          <w:t>Evaluation of cross-reactivity</w:t>
        </w:r>
        <w:r w:rsidR="001934AC">
          <w:rPr>
            <w:noProof/>
            <w:webHidden/>
          </w:rPr>
          <w:tab/>
        </w:r>
        <w:r w:rsidR="000E239B">
          <w:rPr>
            <w:noProof/>
            <w:webHidden/>
          </w:rPr>
          <w:fldChar w:fldCharType="begin"/>
        </w:r>
        <w:r w:rsidR="001934AC">
          <w:rPr>
            <w:noProof/>
            <w:webHidden/>
          </w:rPr>
          <w:instrText xml:space="preserve"> PAGEREF _Toc372538714 \h </w:instrText>
        </w:r>
        <w:r w:rsidR="000E239B">
          <w:rPr>
            <w:noProof/>
            <w:webHidden/>
          </w:rPr>
        </w:r>
        <w:r w:rsidR="000E239B">
          <w:rPr>
            <w:noProof/>
            <w:webHidden/>
          </w:rPr>
          <w:fldChar w:fldCharType="separate"/>
        </w:r>
        <w:r>
          <w:rPr>
            <w:noProof/>
            <w:webHidden/>
          </w:rPr>
          <w:t>34</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15" w:history="1">
        <w:r w:rsidR="001934AC" w:rsidRPr="004C263E">
          <w:rPr>
            <w:rStyle w:val="Hyperlink"/>
            <w:noProof/>
          </w:rPr>
          <w:t>3.3.4.1</w:t>
        </w:r>
        <w:r w:rsidR="001934AC">
          <w:rPr>
            <w:rFonts w:asciiTheme="minorHAnsi" w:hAnsiTheme="minorHAnsi"/>
            <w:noProof/>
            <w:sz w:val="22"/>
            <w:szCs w:val="22"/>
            <w:lang w:bidi="ar-SA"/>
          </w:rPr>
          <w:tab/>
        </w:r>
        <w:r w:rsidR="001934AC" w:rsidRPr="004C263E">
          <w:rPr>
            <w:rStyle w:val="Hyperlink"/>
            <w:noProof/>
          </w:rPr>
          <w:t>Instrumentation</w:t>
        </w:r>
        <w:r w:rsidR="001934AC">
          <w:rPr>
            <w:noProof/>
            <w:webHidden/>
          </w:rPr>
          <w:tab/>
        </w:r>
        <w:r w:rsidR="000E239B">
          <w:rPr>
            <w:noProof/>
            <w:webHidden/>
          </w:rPr>
          <w:fldChar w:fldCharType="begin"/>
        </w:r>
        <w:r w:rsidR="001934AC">
          <w:rPr>
            <w:noProof/>
            <w:webHidden/>
          </w:rPr>
          <w:instrText xml:space="preserve"> PAGEREF _Toc372538715 \h </w:instrText>
        </w:r>
        <w:r w:rsidR="000E239B">
          <w:rPr>
            <w:noProof/>
            <w:webHidden/>
          </w:rPr>
        </w:r>
        <w:r w:rsidR="000E239B">
          <w:rPr>
            <w:noProof/>
            <w:webHidden/>
          </w:rPr>
          <w:fldChar w:fldCharType="separate"/>
        </w:r>
        <w:r>
          <w:rPr>
            <w:noProof/>
            <w:webHidden/>
          </w:rPr>
          <w:t>34</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16" w:history="1">
        <w:r w:rsidR="001934AC" w:rsidRPr="004C263E">
          <w:rPr>
            <w:rStyle w:val="Hyperlink"/>
            <w:noProof/>
          </w:rPr>
          <w:t>3.3.4.2</w:t>
        </w:r>
        <w:r w:rsidR="001934AC">
          <w:rPr>
            <w:rFonts w:asciiTheme="minorHAnsi" w:hAnsiTheme="minorHAnsi"/>
            <w:noProof/>
            <w:sz w:val="22"/>
            <w:szCs w:val="22"/>
            <w:lang w:bidi="ar-SA"/>
          </w:rPr>
          <w:tab/>
        </w:r>
        <w:r w:rsidR="001934AC" w:rsidRPr="004C263E">
          <w:rPr>
            <w:rStyle w:val="Hyperlink"/>
            <w:noProof/>
          </w:rPr>
          <w:t>Preparation of solutions</w:t>
        </w:r>
        <w:r w:rsidR="001934AC">
          <w:rPr>
            <w:noProof/>
            <w:webHidden/>
          </w:rPr>
          <w:tab/>
        </w:r>
        <w:r w:rsidR="000E239B">
          <w:rPr>
            <w:noProof/>
            <w:webHidden/>
          </w:rPr>
          <w:fldChar w:fldCharType="begin"/>
        </w:r>
        <w:r w:rsidR="001934AC">
          <w:rPr>
            <w:noProof/>
            <w:webHidden/>
          </w:rPr>
          <w:instrText xml:space="preserve"> PAGEREF _Toc372538716 \h </w:instrText>
        </w:r>
        <w:r w:rsidR="000E239B">
          <w:rPr>
            <w:noProof/>
            <w:webHidden/>
          </w:rPr>
        </w:r>
        <w:r w:rsidR="000E239B">
          <w:rPr>
            <w:noProof/>
            <w:webHidden/>
          </w:rPr>
          <w:fldChar w:fldCharType="separate"/>
        </w:r>
        <w:r>
          <w:rPr>
            <w:noProof/>
            <w:webHidden/>
          </w:rPr>
          <w:t>34</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17" w:history="1">
        <w:r w:rsidR="001934AC" w:rsidRPr="004C263E">
          <w:rPr>
            <w:rStyle w:val="Hyperlink"/>
            <w:noProof/>
          </w:rPr>
          <w:t>3.3.4.3</w:t>
        </w:r>
        <w:r w:rsidR="001934AC">
          <w:rPr>
            <w:rFonts w:asciiTheme="minorHAnsi" w:hAnsiTheme="minorHAnsi"/>
            <w:noProof/>
            <w:sz w:val="22"/>
            <w:szCs w:val="22"/>
            <w:lang w:bidi="ar-SA"/>
          </w:rPr>
          <w:tab/>
        </w:r>
        <w:r w:rsidR="001934AC" w:rsidRPr="004C263E">
          <w:rPr>
            <w:rStyle w:val="Hyperlink"/>
            <w:noProof/>
          </w:rPr>
          <w:t>Establishing cut-off values</w:t>
        </w:r>
        <w:r w:rsidR="001934AC">
          <w:rPr>
            <w:noProof/>
            <w:webHidden/>
          </w:rPr>
          <w:tab/>
        </w:r>
        <w:r w:rsidR="000E239B">
          <w:rPr>
            <w:noProof/>
            <w:webHidden/>
          </w:rPr>
          <w:fldChar w:fldCharType="begin"/>
        </w:r>
        <w:r w:rsidR="001934AC">
          <w:rPr>
            <w:noProof/>
            <w:webHidden/>
          </w:rPr>
          <w:instrText xml:space="preserve"> PAGEREF _Toc372538717 \h </w:instrText>
        </w:r>
        <w:r w:rsidR="000E239B">
          <w:rPr>
            <w:noProof/>
            <w:webHidden/>
          </w:rPr>
        </w:r>
        <w:r w:rsidR="000E239B">
          <w:rPr>
            <w:noProof/>
            <w:webHidden/>
          </w:rPr>
          <w:fldChar w:fldCharType="separate"/>
        </w:r>
        <w:r>
          <w:rPr>
            <w:noProof/>
            <w:webHidden/>
          </w:rPr>
          <w:t>35</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18" w:history="1">
        <w:r w:rsidR="001934AC" w:rsidRPr="004C263E">
          <w:rPr>
            <w:rStyle w:val="Hyperlink"/>
            <w:noProof/>
          </w:rPr>
          <w:t>3.3.4.4</w:t>
        </w:r>
        <w:r w:rsidR="001934AC">
          <w:rPr>
            <w:rFonts w:asciiTheme="minorHAnsi" w:hAnsiTheme="minorHAnsi"/>
            <w:noProof/>
            <w:sz w:val="22"/>
            <w:szCs w:val="22"/>
            <w:lang w:bidi="ar-SA"/>
          </w:rPr>
          <w:tab/>
        </w:r>
        <w:r w:rsidR="001934AC" w:rsidRPr="004C263E">
          <w:rPr>
            <w:rStyle w:val="Hyperlink"/>
            <w:noProof/>
          </w:rPr>
          <w:t>Determining cross-reactivity</w:t>
        </w:r>
        <w:r w:rsidR="001934AC">
          <w:rPr>
            <w:noProof/>
            <w:webHidden/>
          </w:rPr>
          <w:tab/>
        </w:r>
        <w:r w:rsidR="000E239B">
          <w:rPr>
            <w:noProof/>
            <w:webHidden/>
          </w:rPr>
          <w:fldChar w:fldCharType="begin"/>
        </w:r>
        <w:r w:rsidR="001934AC">
          <w:rPr>
            <w:noProof/>
            <w:webHidden/>
          </w:rPr>
          <w:instrText xml:space="preserve"> PAGEREF _Toc372538718 \h </w:instrText>
        </w:r>
        <w:r w:rsidR="000E239B">
          <w:rPr>
            <w:noProof/>
            <w:webHidden/>
          </w:rPr>
        </w:r>
        <w:r w:rsidR="000E239B">
          <w:rPr>
            <w:noProof/>
            <w:webHidden/>
          </w:rPr>
          <w:fldChar w:fldCharType="separate"/>
        </w:r>
        <w:r>
          <w:rPr>
            <w:noProof/>
            <w:webHidden/>
          </w:rPr>
          <w:t>36</w:t>
        </w:r>
        <w:r w:rsidR="000E239B">
          <w:rPr>
            <w:noProof/>
            <w:webHidden/>
          </w:rPr>
          <w:fldChar w:fldCharType="end"/>
        </w:r>
      </w:hyperlink>
    </w:p>
    <w:p w:rsidR="001934AC" w:rsidRDefault="002E77C7">
      <w:pPr>
        <w:pStyle w:val="TOC2"/>
        <w:rPr>
          <w:rFonts w:asciiTheme="minorHAnsi" w:hAnsiTheme="minorHAnsi"/>
          <w:bCs w:val="0"/>
          <w:noProof/>
          <w:sz w:val="22"/>
          <w:szCs w:val="22"/>
          <w:lang w:bidi="ar-SA"/>
        </w:rPr>
      </w:pPr>
      <w:hyperlink w:anchor="_Toc372538719" w:history="1">
        <w:r w:rsidR="001934AC" w:rsidRPr="004C263E">
          <w:rPr>
            <w:rStyle w:val="Hyperlink"/>
            <w:noProof/>
          </w:rPr>
          <w:t>3.4</w:t>
        </w:r>
        <w:r w:rsidR="001934AC">
          <w:rPr>
            <w:rFonts w:asciiTheme="minorHAnsi" w:hAnsiTheme="minorHAnsi"/>
            <w:bCs w:val="0"/>
            <w:noProof/>
            <w:sz w:val="22"/>
            <w:szCs w:val="22"/>
            <w:lang w:bidi="ar-SA"/>
          </w:rPr>
          <w:tab/>
        </w:r>
        <w:r w:rsidR="001934AC" w:rsidRPr="004C263E">
          <w:rPr>
            <w:rStyle w:val="Hyperlink"/>
            <w:noProof/>
          </w:rPr>
          <w:t>Results and Discussion</w:t>
        </w:r>
        <w:r w:rsidR="001934AC">
          <w:rPr>
            <w:noProof/>
            <w:webHidden/>
          </w:rPr>
          <w:tab/>
        </w:r>
        <w:r w:rsidR="000E239B">
          <w:rPr>
            <w:noProof/>
            <w:webHidden/>
          </w:rPr>
          <w:fldChar w:fldCharType="begin"/>
        </w:r>
        <w:r w:rsidR="001934AC">
          <w:rPr>
            <w:noProof/>
            <w:webHidden/>
          </w:rPr>
          <w:instrText xml:space="preserve"> PAGEREF _Toc372538719 \h </w:instrText>
        </w:r>
        <w:r w:rsidR="000E239B">
          <w:rPr>
            <w:noProof/>
            <w:webHidden/>
          </w:rPr>
        </w:r>
        <w:r w:rsidR="000E239B">
          <w:rPr>
            <w:noProof/>
            <w:webHidden/>
          </w:rPr>
          <w:fldChar w:fldCharType="separate"/>
        </w:r>
        <w:r>
          <w:rPr>
            <w:noProof/>
            <w:webHidden/>
          </w:rPr>
          <w:t>38</w:t>
        </w:r>
        <w:r w:rsidR="000E239B">
          <w:rPr>
            <w:noProof/>
            <w:webHidden/>
          </w:rPr>
          <w:fldChar w:fldCharType="end"/>
        </w:r>
      </w:hyperlink>
    </w:p>
    <w:p w:rsidR="001934AC" w:rsidRDefault="002E77C7">
      <w:pPr>
        <w:pStyle w:val="TOC3"/>
        <w:tabs>
          <w:tab w:val="left" w:pos="1540"/>
        </w:tabs>
        <w:rPr>
          <w:rFonts w:asciiTheme="minorHAnsi" w:hAnsiTheme="minorHAnsi"/>
          <w:noProof/>
          <w:sz w:val="22"/>
          <w:szCs w:val="22"/>
          <w:lang w:bidi="ar-SA"/>
        </w:rPr>
      </w:pPr>
      <w:hyperlink w:anchor="_Toc372538720" w:history="1">
        <w:r w:rsidR="001934AC" w:rsidRPr="004C263E">
          <w:rPr>
            <w:rStyle w:val="Hyperlink"/>
            <w:noProof/>
          </w:rPr>
          <w:t>3.4.1</w:t>
        </w:r>
        <w:r w:rsidR="001934AC">
          <w:rPr>
            <w:rFonts w:asciiTheme="minorHAnsi" w:hAnsiTheme="minorHAnsi"/>
            <w:noProof/>
            <w:sz w:val="22"/>
            <w:szCs w:val="22"/>
            <w:lang w:bidi="ar-SA"/>
          </w:rPr>
          <w:tab/>
        </w:r>
        <w:r w:rsidR="001934AC" w:rsidRPr="004C263E">
          <w:rPr>
            <w:rStyle w:val="Hyperlink"/>
            <w:noProof/>
          </w:rPr>
          <w:t>Establishing cut-off values</w:t>
        </w:r>
        <w:r w:rsidR="001934AC">
          <w:rPr>
            <w:noProof/>
            <w:webHidden/>
          </w:rPr>
          <w:tab/>
        </w:r>
        <w:r w:rsidR="000E239B">
          <w:rPr>
            <w:noProof/>
            <w:webHidden/>
          </w:rPr>
          <w:fldChar w:fldCharType="begin"/>
        </w:r>
        <w:r w:rsidR="001934AC">
          <w:rPr>
            <w:noProof/>
            <w:webHidden/>
          </w:rPr>
          <w:instrText xml:space="preserve"> PAGEREF _Toc372538720 \h </w:instrText>
        </w:r>
        <w:r w:rsidR="000E239B">
          <w:rPr>
            <w:noProof/>
            <w:webHidden/>
          </w:rPr>
        </w:r>
        <w:r w:rsidR="000E239B">
          <w:rPr>
            <w:noProof/>
            <w:webHidden/>
          </w:rPr>
          <w:fldChar w:fldCharType="separate"/>
        </w:r>
        <w:r>
          <w:rPr>
            <w:noProof/>
            <w:webHidden/>
          </w:rPr>
          <w:t>38</w:t>
        </w:r>
        <w:r w:rsidR="000E239B">
          <w:rPr>
            <w:noProof/>
            <w:webHidden/>
          </w:rPr>
          <w:fldChar w:fldCharType="end"/>
        </w:r>
      </w:hyperlink>
    </w:p>
    <w:p w:rsidR="001934AC" w:rsidRDefault="002E77C7">
      <w:pPr>
        <w:pStyle w:val="TOC3"/>
        <w:tabs>
          <w:tab w:val="left" w:pos="1540"/>
        </w:tabs>
        <w:rPr>
          <w:rFonts w:asciiTheme="minorHAnsi" w:hAnsiTheme="minorHAnsi"/>
          <w:noProof/>
          <w:sz w:val="22"/>
          <w:szCs w:val="22"/>
          <w:lang w:bidi="ar-SA"/>
        </w:rPr>
      </w:pPr>
      <w:hyperlink w:anchor="_Toc372538721" w:history="1">
        <w:r w:rsidR="001934AC" w:rsidRPr="004C263E">
          <w:rPr>
            <w:rStyle w:val="Hyperlink"/>
            <w:noProof/>
          </w:rPr>
          <w:t>3.4.2</w:t>
        </w:r>
        <w:r w:rsidR="001934AC">
          <w:rPr>
            <w:rFonts w:asciiTheme="minorHAnsi" w:hAnsiTheme="minorHAnsi"/>
            <w:noProof/>
            <w:sz w:val="22"/>
            <w:szCs w:val="22"/>
            <w:lang w:bidi="ar-SA"/>
          </w:rPr>
          <w:tab/>
        </w:r>
        <w:r w:rsidR="001934AC" w:rsidRPr="004C263E">
          <w:rPr>
            <w:rStyle w:val="Hyperlink"/>
            <w:noProof/>
          </w:rPr>
          <w:t>Determining cross-reactivity</w:t>
        </w:r>
        <w:r w:rsidR="001934AC">
          <w:rPr>
            <w:noProof/>
            <w:webHidden/>
          </w:rPr>
          <w:tab/>
        </w:r>
        <w:r w:rsidR="000E239B">
          <w:rPr>
            <w:noProof/>
            <w:webHidden/>
          </w:rPr>
          <w:fldChar w:fldCharType="begin"/>
        </w:r>
        <w:r w:rsidR="001934AC">
          <w:rPr>
            <w:noProof/>
            <w:webHidden/>
          </w:rPr>
          <w:instrText xml:space="preserve"> PAGEREF _Toc372538721 \h </w:instrText>
        </w:r>
        <w:r w:rsidR="000E239B">
          <w:rPr>
            <w:noProof/>
            <w:webHidden/>
          </w:rPr>
        </w:r>
        <w:r w:rsidR="000E239B">
          <w:rPr>
            <w:noProof/>
            <w:webHidden/>
          </w:rPr>
          <w:fldChar w:fldCharType="separate"/>
        </w:r>
        <w:r>
          <w:rPr>
            <w:noProof/>
            <w:webHidden/>
          </w:rPr>
          <w:t>40</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22" w:history="1">
        <w:r w:rsidR="001934AC" w:rsidRPr="004C263E">
          <w:rPr>
            <w:rStyle w:val="Hyperlink"/>
            <w:noProof/>
          </w:rPr>
          <w:t>3.4.2.1</w:t>
        </w:r>
        <w:r w:rsidR="001934AC">
          <w:rPr>
            <w:rFonts w:asciiTheme="minorHAnsi" w:hAnsiTheme="minorHAnsi"/>
            <w:noProof/>
            <w:sz w:val="22"/>
            <w:szCs w:val="22"/>
            <w:lang w:bidi="ar-SA"/>
          </w:rPr>
          <w:tab/>
        </w:r>
        <w:r w:rsidR="001934AC" w:rsidRPr="004C263E">
          <w:rPr>
            <w:rStyle w:val="Hyperlink"/>
            <w:noProof/>
          </w:rPr>
          <w:t>ELISA</w:t>
        </w:r>
        <w:r w:rsidR="001934AC">
          <w:rPr>
            <w:noProof/>
            <w:webHidden/>
          </w:rPr>
          <w:tab/>
        </w:r>
        <w:r w:rsidR="000E239B">
          <w:rPr>
            <w:noProof/>
            <w:webHidden/>
          </w:rPr>
          <w:fldChar w:fldCharType="begin"/>
        </w:r>
        <w:r w:rsidR="001934AC">
          <w:rPr>
            <w:noProof/>
            <w:webHidden/>
          </w:rPr>
          <w:instrText xml:space="preserve"> PAGEREF _Toc372538722 \h </w:instrText>
        </w:r>
        <w:r w:rsidR="000E239B">
          <w:rPr>
            <w:noProof/>
            <w:webHidden/>
          </w:rPr>
        </w:r>
        <w:r w:rsidR="000E239B">
          <w:rPr>
            <w:noProof/>
            <w:webHidden/>
          </w:rPr>
          <w:fldChar w:fldCharType="separate"/>
        </w:r>
        <w:r>
          <w:rPr>
            <w:noProof/>
            <w:webHidden/>
          </w:rPr>
          <w:t>40</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23" w:history="1">
        <w:r w:rsidR="001934AC" w:rsidRPr="004C263E">
          <w:rPr>
            <w:rStyle w:val="Hyperlink"/>
            <w:noProof/>
          </w:rPr>
          <w:t>3.4.2.2</w:t>
        </w:r>
        <w:r w:rsidR="001934AC">
          <w:rPr>
            <w:rFonts w:asciiTheme="minorHAnsi" w:hAnsiTheme="minorHAnsi"/>
            <w:noProof/>
            <w:sz w:val="22"/>
            <w:szCs w:val="22"/>
            <w:lang w:bidi="ar-SA"/>
          </w:rPr>
          <w:tab/>
        </w:r>
        <w:r w:rsidR="001934AC" w:rsidRPr="004C263E">
          <w:rPr>
            <w:rStyle w:val="Hyperlink"/>
            <w:noProof/>
          </w:rPr>
          <w:t>EMIT</w:t>
        </w:r>
        <w:r w:rsidR="001934AC">
          <w:rPr>
            <w:noProof/>
            <w:webHidden/>
          </w:rPr>
          <w:tab/>
        </w:r>
        <w:r w:rsidR="000E239B">
          <w:rPr>
            <w:noProof/>
            <w:webHidden/>
          </w:rPr>
          <w:fldChar w:fldCharType="begin"/>
        </w:r>
        <w:r w:rsidR="001934AC">
          <w:rPr>
            <w:noProof/>
            <w:webHidden/>
          </w:rPr>
          <w:instrText xml:space="preserve"> PAGEREF _Toc372538723 \h </w:instrText>
        </w:r>
        <w:r w:rsidR="000E239B">
          <w:rPr>
            <w:noProof/>
            <w:webHidden/>
          </w:rPr>
        </w:r>
        <w:r w:rsidR="000E239B">
          <w:rPr>
            <w:noProof/>
            <w:webHidden/>
          </w:rPr>
          <w:fldChar w:fldCharType="separate"/>
        </w:r>
        <w:r>
          <w:rPr>
            <w:noProof/>
            <w:webHidden/>
          </w:rPr>
          <w:t>45</w:t>
        </w:r>
        <w:r w:rsidR="000E239B">
          <w:rPr>
            <w:noProof/>
            <w:webHidden/>
          </w:rPr>
          <w:fldChar w:fldCharType="end"/>
        </w:r>
      </w:hyperlink>
    </w:p>
    <w:p w:rsidR="001934AC" w:rsidRDefault="002E77C7">
      <w:pPr>
        <w:pStyle w:val="TOC2"/>
        <w:rPr>
          <w:rFonts w:asciiTheme="minorHAnsi" w:hAnsiTheme="minorHAnsi"/>
          <w:bCs w:val="0"/>
          <w:noProof/>
          <w:sz w:val="22"/>
          <w:szCs w:val="22"/>
          <w:lang w:bidi="ar-SA"/>
        </w:rPr>
      </w:pPr>
      <w:hyperlink w:anchor="_Toc372538724" w:history="1">
        <w:r w:rsidR="001934AC" w:rsidRPr="004C263E">
          <w:rPr>
            <w:rStyle w:val="Hyperlink"/>
            <w:noProof/>
          </w:rPr>
          <w:t>3.5</w:t>
        </w:r>
        <w:r w:rsidR="001934AC">
          <w:rPr>
            <w:rFonts w:asciiTheme="minorHAnsi" w:hAnsiTheme="minorHAnsi"/>
            <w:bCs w:val="0"/>
            <w:noProof/>
            <w:sz w:val="22"/>
            <w:szCs w:val="22"/>
            <w:lang w:bidi="ar-SA"/>
          </w:rPr>
          <w:tab/>
        </w:r>
        <w:r w:rsidR="001934AC" w:rsidRPr="004C263E">
          <w:rPr>
            <w:rStyle w:val="Hyperlink"/>
            <w:noProof/>
          </w:rPr>
          <w:t>Conclusions</w:t>
        </w:r>
        <w:r w:rsidR="001934AC">
          <w:rPr>
            <w:noProof/>
            <w:webHidden/>
          </w:rPr>
          <w:tab/>
        </w:r>
        <w:r w:rsidR="000E239B">
          <w:rPr>
            <w:noProof/>
            <w:webHidden/>
          </w:rPr>
          <w:fldChar w:fldCharType="begin"/>
        </w:r>
        <w:r w:rsidR="001934AC">
          <w:rPr>
            <w:noProof/>
            <w:webHidden/>
          </w:rPr>
          <w:instrText xml:space="preserve"> PAGEREF _Toc372538724 \h </w:instrText>
        </w:r>
        <w:r w:rsidR="000E239B">
          <w:rPr>
            <w:noProof/>
            <w:webHidden/>
          </w:rPr>
        </w:r>
        <w:r w:rsidR="000E239B">
          <w:rPr>
            <w:noProof/>
            <w:webHidden/>
          </w:rPr>
          <w:fldChar w:fldCharType="separate"/>
        </w:r>
        <w:r>
          <w:rPr>
            <w:noProof/>
            <w:webHidden/>
          </w:rPr>
          <w:t>47</w:t>
        </w:r>
        <w:r w:rsidR="000E239B">
          <w:rPr>
            <w:noProof/>
            <w:webHidden/>
          </w:rPr>
          <w:fldChar w:fldCharType="end"/>
        </w:r>
      </w:hyperlink>
    </w:p>
    <w:p w:rsidR="001934AC" w:rsidRDefault="002E77C7">
      <w:pPr>
        <w:pStyle w:val="TOC1"/>
        <w:rPr>
          <w:rFonts w:asciiTheme="minorHAnsi" w:hAnsiTheme="minorHAnsi"/>
          <w:bCs w:val="0"/>
          <w:caps w:val="0"/>
          <w:noProof/>
          <w:sz w:val="22"/>
          <w:szCs w:val="22"/>
          <w:lang w:bidi="ar-SA"/>
        </w:rPr>
      </w:pPr>
      <w:hyperlink w:anchor="_Toc372538725" w:history="1">
        <w:r w:rsidR="001934AC" w:rsidRPr="004C263E">
          <w:rPr>
            <w:rStyle w:val="Hyperlink"/>
            <w:noProof/>
          </w:rPr>
          <w:t>4.</w:t>
        </w:r>
        <w:r w:rsidR="001934AC">
          <w:rPr>
            <w:rFonts w:asciiTheme="minorHAnsi" w:hAnsiTheme="minorHAnsi"/>
            <w:bCs w:val="0"/>
            <w:caps w:val="0"/>
            <w:noProof/>
            <w:sz w:val="22"/>
            <w:szCs w:val="22"/>
            <w:lang w:bidi="ar-SA"/>
          </w:rPr>
          <w:tab/>
        </w:r>
        <w:r w:rsidR="001934AC" w:rsidRPr="004C263E">
          <w:rPr>
            <w:rStyle w:val="Hyperlink"/>
            <w:noProof/>
          </w:rPr>
          <w:t>COMPREHENSIVE LC-MS METHOD</w:t>
        </w:r>
        <w:r w:rsidR="001934AC">
          <w:rPr>
            <w:noProof/>
            <w:webHidden/>
          </w:rPr>
          <w:tab/>
        </w:r>
        <w:r w:rsidR="000E239B">
          <w:rPr>
            <w:noProof/>
            <w:webHidden/>
          </w:rPr>
          <w:fldChar w:fldCharType="begin"/>
        </w:r>
        <w:r w:rsidR="001934AC">
          <w:rPr>
            <w:noProof/>
            <w:webHidden/>
          </w:rPr>
          <w:instrText xml:space="preserve"> PAGEREF _Toc372538725 \h </w:instrText>
        </w:r>
        <w:r w:rsidR="000E239B">
          <w:rPr>
            <w:noProof/>
            <w:webHidden/>
          </w:rPr>
        </w:r>
        <w:r w:rsidR="000E239B">
          <w:rPr>
            <w:noProof/>
            <w:webHidden/>
          </w:rPr>
          <w:fldChar w:fldCharType="separate"/>
        </w:r>
        <w:r>
          <w:rPr>
            <w:noProof/>
            <w:webHidden/>
          </w:rPr>
          <w:t>49</w:t>
        </w:r>
        <w:r w:rsidR="000E239B">
          <w:rPr>
            <w:noProof/>
            <w:webHidden/>
          </w:rPr>
          <w:fldChar w:fldCharType="end"/>
        </w:r>
      </w:hyperlink>
    </w:p>
    <w:p w:rsidR="001934AC" w:rsidRDefault="002E77C7">
      <w:pPr>
        <w:pStyle w:val="TOC2"/>
        <w:rPr>
          <w:rFonts w:asciiTheme="minorHAnsi" w:hAnsiTheme="minorHAnsi"/>
          <w:bCs w:val="0"/>
          <w:noProof/>
          <w:sz w:val="22"/>
          <w:szCs w:val="22"/>
          <w:lang w:bidi="ar-SA"/>
        </w:rPr>
      </w:pPr>
      <w:hyperlink w:anchor="_Toc372538726" w:history="1">
        <w:r w:rsidR="001934AC" w:rsidRPr="004C263E">
          <w:rPr>
            <w:rStyle w:val="Hyperlink"/>
            <w:noProof/>
          </w:rPr>
          <w:t>4.1</w:t>
        </w:r>
        <w:r w:rsidR="001934AC">
          <w:rPr>
            <w:rFonts w:asciiTheme="minorHAnsi" w:hAnsiTheme="minorHAnsi"/>
            <w:bCs w:val="0"/>
            <w:noProof/>
            <w:sz w:val="22"/>
            <w:szCs w:val="22"/>
            <w:lang w:bidi="ar-SA"/>
          </w:rPr>
          <w:tab/>
        </w:r>
        <w:r w:rsidR="001934AC" w:rsidRPr="004C263E">
          <w:rPr>
            <w:rStyle w:val="Hyperlink"/>
            <w:noProof/>
          </w:rPr>
          <w:t>Overview</w:t>
        </w:r>
        <w:r w:rsidR="001934AC">
          <w:rPr>
            <w:noProof/>
            <w:webHidden/>
          </w:rPr>
          <w:tab/>
        </w:r>
        <w:r w:rsidR="000E239B">
          <w:rPr>
            <w:noProof/>
            <w:webHidden/>
          </w:rPr>
          <w:fldChar w:fldCharType="begin"/>
        </w:r>
        <w:r w:rsidR="001934AC">
          <w:rPr>
            <w:noProof/>
            <w:webHidden/>
          </w:rPr>
          <w:instrText xml:space="preserve"> PAGEREF _Toc372538726 \h </w:instrText>
        </w:r>
        <w:r w:rsidR="000E239B">
          <w:rPr>
            <w:noProof/>
            <w:webHidden/>
          </w:rPr>
        </w:r>
        <w:r w:rsidR="000E239B">
          <w:rPr>
            <w:noProof/>
            <w:webHidden/>
          </w:rPr>
          <w:fldChar w:fldCharType="separate"/>
        </w:r>
        <w:r>
          <w:rPr>
            <w:noProof/>
            <w:webHidden/>
          </w:rPr>
          <w:t>49</w:t>
        </w:r>
        <w:r w:rsidR="000E239B">
          <w:rPr>
            <w:noProof/>
            <w:webHidden/>
          </w:rPr>
          <w:fldChar w:fldCharType="end"/>
        </w:r>
      </w:hyperlink>
    </w:p>
    <w:p w:rsidR="001934AC" w:rsidRDefault="002E77C7">
      <w:pPr>
        <w:pStyle w:val="TOC2"/>
        <w:rPr>
          <w:rFonts w:asciiTheme="minorHAnsi" w:hAnsiTheme="minorHAnsi"/>
          <w:bCs w:val="0"/>
          <w:noProof/>
          <w:sz w:val="22"/>
          <w:szCs w:val="22"/>
          <w:lang w:bidi="ar-SA"/>
        </w:rPr>
      </w:pPr>
      <w:hyperlink w:anchor="_Toc372538727" w:history="1">
        <w:r w:rsidR="001934AC" w:rsidRPr="004C263E">
          <w:rPr>
            <w:rStyle w:val="Hyperlink"/>
            <w:noProof/>
          </w:rPr>
          <w:t>4.2</w:t>
        </w:r>
        <w:r w:rsidR="001934AC">
          <w:rPr>
            <w:rFonts w:asciiTheme="minorHAnsi" w:hAnsiTheme="minorHAnsi"/>
            <w:bCs w:val="0"/>
            <w:noProof/>
            <w:sz w:val="22"/>
            <w:szCs w:val="22"/>
            <w:lang w:bidi="ar-SA"/>
          </w:rPr>
          <w:tab/>
        </w:r>
        <w:r w:rsidR="001934AC" w:rsidRPr="004C263E">
          <w:rPr>
            <w:rStyle w:val="Hyperlink"/>
            <w:noProof/>
          </w:rPr>
          <w:t>Introduction</w:t>
        </w:r>
        <w:r w:rsidR="001934AC">
          <w:rPr>
            <w:noProof/>
            <w:webHidden/>
          </w:rPr>
          <w:tab/>
        </w:r>
        <w:r w:rsidR="000E239B">
          <w:rPr>
            <w:noProof/>
            <w:webHidden/>
          </w:rPr>
          <w:fldChar w:fldCharType="begin"/>
        </w:r>
        <w:r w:rsidR="001934AC">
          <w:rPr>
            <w:noProof/>
            <w:webHidden/>
          </w:rPr>
          <w:instrText xml:space="preserve"> PAGEREF _Toc372538727 \h </w:instrText>
        </w:r>
        <w:r w:rsidR="000E239B">
          <w:rPr>
            <w:noProof/>
            <w:webHidden/>
          </w:rPr>
        </w:r>
        <w:r w:rsidR="000E239B">
          <w:rPr>
            <w:noProof/>
            <w:webHidden/>
          </w:rPr>
          <w:fldChar w:fldCharType="separate"/>
        </w:r>
        <w:r>
          <w:rPr>
            <w:noProof/>
            <w:webHidden/>
          </w:rPr>
          <w:t>50</w:t>
        </w:r>
        <w:r w:rsidR="000E239B">
          <w:rPr>
            <w:noProof/>
            <w:webHidden/>
          </w:rPr>
          <w:fldChar w:fldCharType="end"/>
        </w:r>
      </w:hyperlink>
    </w:p>
    <w:p w:rsidR="001934AC" w:rsidRDefault="002E77C7">
      <w:pPr>
        <w:pStyle w:val="TOC2"/>
        <w:rPr>
          <w:rFonts w:asciiTheme="minorHAnsi" w:hAnsiTheme="minorHAnsi"/>
          <w:bCs w:val="0"/>
          <w:noProof/>
          <w:sz w:val="22"/>
          <w:szCs w:val="22"/>
          <w:lang w:bidi="ar-SA"/>
        </w:rPr>
      </w:pPr>
      <w:hyperlink w:anchor="_Toc372538728" w:history="1">
        <w:r w:rsidR="001934AC" w:rsidRPr="004C263E">
          <w:rPr>
            <w:rStyle w:val="Hyperlink"/>
            <w:noProof/>
          </w:rPr>
          <w:t>4.3</w:t>
        </w:r>
        <w:r w:rsidR="001934AC">
          <w:rPr>
            <w:rFonts w:asciiTheme="minorHAnsi" w:hAnsiTheme="minorHAnsi"/>
            <w:bCs w:val="0"/>
            <w:noProof/>
            <w:sz w:val="22"/>
            <w:szCs w:val="22"/>
            <w:lang w:bidi="ar-SA"/>
          </w:rPr>
          <w:tab/>
        </w:r>
        <w:r w:rsidR="001934AC" w:rsidRPr="004C263E">
          <w:rPr>
            <w:rStyle w:val="Hyperlink"/>
            <w:noProof/>
          </w:rPr>
          <w:t>Materials and Methods</w:t>
        </w:r>
        <w:r w:rsidR="001934AC">
          <w:rPr>
            <w:noProof/>
            <w:webHidden/>
          </w:rPr>
          <w:tab/>
        </w:r>
        <w:r w:rsidR="000E239B">
          <w:rPr>
            <w:noProof/>
            <w:webHidden/>
          </w:rPr>
          <w:fldChar w:fldCharType="begin"/>
        </w:r>
        <w:r w:rsidR="001934AC">
          <w:rPr>
            <w:noProof/>
            <w:webHidden/>
          </w:rPr>
          <w:instrText xml:space="preserve"> PAGEREF _Toc372538728 \h </w:instrText>
        </w:r>
        <w:r w:rsidR="000E239B">
          <w:rPr>
            <w:noProof/>
            <w:webHidden/>
          </w:rPr>
        </w:r>
        <w:r w:rsidR="000E239B">
          <w:rPr>
            <w:noProof/>
            <w:webHidden/>
          </w:rPr>
          <w:fldChar w:fldCharType="separate"/>
        </w:r>
        <w:r>
          <w:rPr>
            <w:noProof/>
            <w:webHidden/>
          </w:rPr>
          <w:t>50</w:t>
        </w:r>
        <w:r w:rsidR="000E239B">
          <w:rPr>
            <w:noProof/>
            <w:webHidden/>
          </w:rPr>
          <w:fldChar w:fldCharType="end"/>
        </w:r>
      </w:hyperlink>
    </w:p>
    <w:p w:rsidR="001934AC" w:rsidRDefault="002E77C7">
      <w:pPr>
        <w:pStyle w:val="TOC3"/>
        <w:tabs>
          <w:tab w:val="left" w:pos="1540"/>
        </w:tabs>
        <w:rPr>
          <w:rFonts w:asciiTheme="minorHAnsi" w:hAnsiTheme="minorHAnsi"/>
          <w:noProof/>
          <w:sz w:val="22"/>
          <w:szCs w:val="22"/>
          <w:lang w:bidi="ar-SA"/>
        </w:rPr>
      </w:pPr>
      <w:hyperlink w:anchor="_Toc372538729" w:history="1">
        <w:r w:rsidR="001934AC" w:rsidRPr="004C263E">
          <w:rPr>
            <w:rStyle w:val="Hyperlink"/>
            <w:noProof/>
          </w:rPr>
          <w:t>4.3.1</w:t>
        </w:r>
        <w:r w:rsidR="001934AC">
          <w:rPr>
            <w:rFonts w:asciiTheme="minorHAnsi" w:hAnsiTheme="minorHAnsi"/>
            <w:noProof/>
            <w:sz w:val="22"/>
            <w:szCs w:val="22"/>
            <w:lang w:bidi="ar-SA"/>
          </w:rPr>
          <w:tab/>
        </w:r>
        <w:r w:rsidR="001934AC" w:rsidRPr="004C263E">
          <w:rPr>
            <w:rStyle w:val="Hyperlink"/>
            <w:noProof/>
          </w:rPr>
          <w:t>Chemicals</w:t>
        </w:r>
        <w:r w:rsidR="001934AC">
          <w:rPr>
            <w:noProof/>
            <w:webHidden/>
          </w:rPr>
          <w:tab/>
        </w:r>
        <w:r w:rsidR="000E239B">
          <w:rPr>
            <w:noProof/>
            <w:webHidden/>
          </w:rPr>
          <w:fldChar w:fldCharType="begin"/>
        </w:r>
        <w:r w:rsidR="001934AC">
          <w:rPr>
            <w:noProof/>
            <w:webHidden/>
          </w:rPr>
          <w:instrText xml:space="preserve"> PAGEREF _Toc372538729 \h </w:instrText>
        </w:r>
        <w:r w:rsidR="000E239B">
          <w:rPr>
            <w:noProof/>
            <w:webHidden/>
          </w:rPr>
        </w:r>
        <w:r w:rsidR="000E239B">
          <w:rPr>
            <w:noProof/>
            <w:webHidden/>
          </w:rPr>
          <w:fldChar w:fldCharType="separate"/>
        </w:r>
        <w:r>
          <w:rPr>
            <w:noProof/>
            <w:webHidden/>
          </w:rPr>
          <w:t>50</w:t>
        </w:r>
        <w:r w:rsidR="000E239B">
          <w:rPr>
            <w:noProof/>
            <w:webHidden/>
          </w:rPr>
          <w:fldChar w:fldCharType="end"/>
        </w:r>
      </w:hyperlink>
    </w:p>
    <w:p w:rsidR="001934AC" w:rsidRDefault="002E77C7">
      <w:pPr>
        <w:pStyle w:val="TOC3"/>
        <w:tabs>
          <w:tab w:val="left" w:pos="1540"/>
        </w:tabs>
        <w:rPr>
          <w:rFonts w:asciiTheme="minorHAnsi" w:hAnsiTheme="minorHAnsi"/>
          <w:noProof/>
          <w:sz w:val="22"/>
          <w:szCs w:val="22"/>
          <w:lang w:bidi="ar-SA"/>
        </w:rPr>
      </w:pPr>
      <w:hyperlink w:anchor="_Toc372538730" w:history="1">
        <w:r w:rsidR="001934AC" w:rsidRPr="004C263E">
          <w:rPr>
            <w:rStyle w:val="Hyperlink"/>
            <w:noProof/>
          </w:rPr>
          <w:t>4.3.2</w:t>
        </w:r>
        <w:r w:rsidR="001934AC">
          <w:rPr>
            <w:rFonts w:asciiTheme="minorHAnsi" w:hAnsiTheme="minorHAnsi"/>
            <w:noProof/>
            <w:sz w:val="22"/>
            <w:szCs w:val="22"/>
            <w:lang w:bidi="ar-SA"/>
          </w:rPr>
          <w:tab/>
        </w:r>
        <w:r w:rsidR="001934AC" w:rsidRPr="004C263E">
          <w:rPr>
            <w:rStyle w:val="Hyperlink"/>
            <w:noProof/>
          </w:rPr>
          <w:t>Samples</w:t>
        </w:r>
        <w:r w:rsidR="001934AC">
          <w:rPr>
            <w:noProof/>
            <w:webHidden/>
          </w:rPr>
          <w:tab/>
        </w:r>
        <w:r w:rsidR="000E239B">
          <w:rPr>
            <w:noProof/>
            <w:webHidden/>
          </w:rPr>
          <w:fldChar w:fldCharType="begin"/>
        </w:r>
        <w:r w:rsidR="001934AC">
          <w:rPr>
            <w:noProof/>
            <w:webHidden/>
          </w:rPr>
          <w:instrText xml:space="preserve"> PAGEREF _Toc372538730 \h </w:instrText>
        </w:r>
        <w:r w:rsidR="000E239B">
          <w:rPr>
            <w:noProof/>
            <w:webHidden/>
          </w:rPr>
        </w:r>
        <w:r w:rsidR="000E239B">
          <w:rPr>
            <w:noProof/>
            <w:webHidden/>
          </w:rPr>
          <w:fldChar w:fldCharType="separate"/>
        </w:r>
        <w:r>
          <w:rPr>
            <w:noProof/>
            <w:webHidden/>
          </w:rPr>
          <w:t>53</w:t>
        </w:r>
        <w:r w:rsidR="000E239B">
          <w:rPr>
            <w:noProof/>
            <w:webHidden/>
          </w:rPr>
          <w:fldChar w:fldCharType="end"/>
        </w:r>
      </w:hyperlink>
    </w:p>
    <w:p w:rsidR="001934AC" w:rsidRDefault="002E77C7">
      <w:pPr>
        <w:pStyle w:val="TOC3"/>
        <w:tabs>
          <w:tab w:val="left" w:pos="1540"/>
        </w:tabs>
        <w:rPr>
          <w:rFonts w:asciiTheme="minorHAnsi" w:hAnsiTheme="minorHAnsi"/>
          <w:noProof/>
          <w:sz w:val="22"/>
          <w:szCs w:val="22"/>
          <w:lang w:bidi="ar-SA"/>
        </w:rPr>
      </w:pPr>
      <w:hyperlink w:anchor="_Toc372538731" w:history="1">
        <w:r w:rsidR="001934AC" w:rsidRPr="004C263E">
          <w:rPr>
            <w:rStyle w:val="Hyperlink"/>
            <w:noProof/>
          </w:rPr>
          <w:t>4.3.3</w:t>
        </w:r>
        <w:r w:rsidR="001934AC">
          <w:rPr>
            <w:rFonts w:asciiTheme="minorHAnsi" w:hAnsiTheme="minorHAnsi"/>
            <w:noProof/>
            <w:sz w:val="22"/>
            <w:szCs w:val="22"/>
            <w:lang w:bidi="ar-SA"/>
          </w:rPr>
          <w:tab/>
        </w:r>
        <w:r w:rsidR="001934AC" w:rsidRPr="004C263E">
          <w:rPr>
            <w:rStyle w:val="Hyperlink"/>
            <w:noProof/>
          </w:rPr>
          <w:t>Sample Preparation</w:t>
        </w:r>
        <w:r w:rsidR="001934AC">
          <w:rPr>
            <w:noProof/>
            <w:webHidden/>
          </w:rPr>
          <w:tab/>
        </w:r>
        <w:r w:rsidR="000E239B">
          <w:rPr>
            <w:noProof/>
            <w:webHidden/>
          </w:rPr>
          <w:fldChar w:fldCharType="begin"/>
        </w:r>
        <w:r w:rsidR="001934AC">
          <w:rPr>
            <w:noProof/>
            <w:webHidden/>
          </w:rPr>
          <w:instrText xml:space="preserve"> PAGEREF _Toc372538731 \h </w:instrText>
        </w:r>
        <w:r w:rsidR="000E239B">
          <w:rPr>
            <w:noProof/>
            <w:webHidden/>
          </w:rPr>
        </w:r>
        <w:r w:rsidR="000E239B">
          <w:rPr>
            <w:noProof/>
            <w:webHidden/>
          </w:rPr>
          <w:fldChar w:fldCharType="separate"/>
        </w:r>
        <w:r>
          <w:rPr>
            <w:noProof/>
            <w:webHidden/>
          </w:rPr>
          <w:t>53</w:t>
        </w:r>
        <w:r w:rsidR="000E239B">
          <w:rPr>
            <w:noProof/>
            <w:webHidden/>
          </w:rPr>
          <w:fldChar w:fldCharType="end"/>
        </w:r>
      </w:hyperlink>
    </w:p>
    <w:p w:rsidR="001934AC" w:rsidRDefault="002E77C7">
      <w:pPr>
        <w:pStyle w:val="TOC3"/>
        <w:tabs>
          <w:tab w:val="left" w:pos="1540"/>
        </w:tabs>
        <w:rPr>
          <w:rFonts w:asciiTheme="minorHAnsi" w:hAnsiTheme="minorHAnsi"/>
          <w:noProof/>
          <w:sz w:val="22"/>
          <w:szCs w:val="22"/>
          <w:lang w:bidi="ar-SA"/>
        </w:rPr>
      </w:pPr>
      <w:hyperlink w:anchor="_Toc372538732" w:history="1">
        <w:r w:rsidR="001934AC" w:rsidRPr="004C263E">
          <w:rPr>
            <w:rStyle w:val="Hyperlink"/>
            <w:noProof/>
          </w:rPr>
          <w:t>4.3.4</w:t>
        </w:r>
        <w:r w:rsidR="001934AC">
          <w:rPr>
            <w:rFonts w:asciiTheme="minorHAnsi" w:hAnsiTheme="minorHAnsi"/>
            <w:noProof/>
            <w:sz w:val="22"/>
            <w:szCs w:val="22"/>
            <w:lang w:bidi="ar-SA"/>
          </w:rPr>
          <w:tab/>
        </w:r>
        <w:r w:rsidR="001934AC" w:rsidRPr="004C263E">
          <w:rPr>
            <w:rStyle w:val="Hyperlink"/>
            <w:noProof/>
          </w:rPr>
          <w:t>LC-QQQ Analysis</w:t>
        </w:r>
        <w:r w:rsidR="001934AC">
          <w:rPr>
            <w:noProof/>
            <w:webHidden/>
          </w:rPr>
          <w:tab/>
        </w:r>
        <w:r w:rsidR="000E239B">
          <w:rPr>
            <w:noProof/>
            <w:webHidden/>
          </w:rPr>
          <w:fldChar w:fldCharType="begin"/>
        </w:r>
        <w:r w:rsidR="001934AC">
          <w:rPr>
            <w:noProof/>
            <w:webHidden/>
          </w:rPr>
          <w:instrText xml:space="preserve"> PAGEREF _Toc372538732 \h </w:instrText>
        </w:r>
        <w:r w:rsidR="000E239B">
          <w:rPr>
            <w:noProof/>
            <w:webHidden/>
          </w:rPr>
        </w:r>
        <w:r w:rsidR="000E239B">
          <w:rPr>
            <w:noProof/>
            <w:webHidden/>
          </w:rPr>
          <w:fldChar w:fldCharType="separate"/>
        </w:r>
        <w:r>
          <w:rPr>
            <w:noProof/>
            <w:webHidden/>
          </w:rPr>
          <w:t>54</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33" w:history="1">
        <w:r w:rsidR="001934AC" w:rsidRPr="004C263E">
          <w:rPr>
            <w:rStyle w:val="Hyperlink"/>
            <w:noProof/>
          </w:rPr>
          <w:t>4.3.4.1</w:t>
        </w:r>
        <w:r w:rsidR="001934AC">
          <w:rPr>
            <w:rFonts w:asciiTheme="minorHAnsi" w:hAnsiTheme="minorHAnsi"/>
            <w:noProof/>
            <w:sz w:val="22"/>
            <w:szCs w:val="22"/>
            <w:lang w:bidi="ar-SA"/>
          </w:rPr>
          <w:tab/>
        </w:r>
        <w:r w:rsidR="001934AC" w:rsidRPr="004C263E">
          <w:rPr>
            <w:rStyle w:val="Hyperlink"/>
            <w:noProof/>
          </w:rPr>
          <w:t>Instrumentation</w:t>
        </w:r>
        <w:r w:rsidR="001934AC">
          <w:rPr>
            <w:noProof/>
            <w:webHidden/>
          </w:rPr>
          <w:tab/>
        </w:r>
        <w:r w:rsidR="000E239B">
          <w:rPr>
            <w:noProof/>
            <w:webHidden/>
          </w:rPr>
          <w:fldChar w:fldCharType="begin"/>
        </w:r>
        <w:r w:rsidR="001934AC">
          <w:rPr>
            <w:noProof/>
            <w:webHidden/>
          </w:rPr>
          <w:instrText xml:space="preserve"> PAGEREF _Toc372538733 \h </w:instrText>
        </w:r>
        <w:r w:rsidR="000E239B">
          <w:rPr>
            <w:noProof/>
            <w:webHidden/>
          </w:rPr>
        </w:r>
        <w:r w:rsidR="000E239B">
          <w:rPr>
            <w:noProof/>
            <w:webHidden/>
          </w:rPr>
          <w:fldChar w:fldCharType="separate"/>
        </w:r>
        <w:r>
          <w:rPr>
            <w:noProof/>
            <w:webHidden/>
          </w:rPr>
          <w:t>54</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34" w:history="1">
        <w:r w:rsidR="001934AC" w:rsidRPr="004C263E">
          <w:rPr>
            <w:rStyle w:val="Hyperlink"/>
            <w:noProof/>
          </w:rPr>
          <w:t>4.3.4.2</w:t>
        </w:r>
        <w:r w:rsidR="001934AC">
          <w:rPr>
            <w:rFonts w:asciiTheme="minorHAnsi" w:hAnsiTheme="minorHAnsi"/>
            <w:noProof/>
            <w:sz w:val="22"/>
            <w:szCs w:val="22"/>
            <w:lang w:bidi="ar-SA"/>
          </w:rPr>
          <w:tab/>
        </w:r>
        <w:r w:rsidR="001934AC" w:rsidRPr="004C263E">
          <w:rPr>
            <w:rStyle w:val="Hyperlink"/>
            <w:noProof/>
          </w:rPr>
          <w:t>LC Conditions</w:t>
        </w:r>
        <w:r w:rsidR="001934AC">
          <w:rPr>
            <w:noProof/>
            <w:webHidden/>
          </w:rPr>
          <w:tab/>
        </w:r>
        <w:r w:rsidR="000E239B">
          <w:rPr>
            <w:noProof/>
            <w:webHidden/>
          </w:rPr>
          <w:fldChar w:fldCharType="begin"/>
        </w:r>
        <w:r w:rsidR="001934AC">
          <w:rPr>
            <w:noProof/>
            <w:webHidden/>
          </w:rPr>
          <w:instrText xml:space="preserve"> PAGEREF _Toc372538734 \h </w:instrText>
        </w:r>
        <w:r w:rsidR="000E239B">
          <w:rPr>
            <w:noProof/>
            <w:webHidden/>
          </w:rPr>
        </w:r>
        <w:r w:rsidR="000E239B">
          <w:rPr>
            <w:noProof/>
            <w:webHidden/>
          </w:rPr>
          <w:fldChar w:fldCharType="separate"/>
        </w:r>
        <w:r>
          <w:rPr>
            <w:noProof/>
            <w:webHidden/>
          </w:rPr>
          <w:t>54</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35" w:history="1">
        <w:r w:rsidR="001934AC" w:rsidRPr="004C263E">
          <w:rPr>
            <w:rStyle w:val="Hyperlink"/>
            <w:noProof/>
          </w:rPr>
          <w:t>4.3.4.3</w:t>
        </w:r>
        <w:r w:rsidR="001934AC">
          <w:rPr>
            <w:rFonts w:asciiTheme="minorHAnsi" w:hAnsiTheme="minorHAnsi"/>
            <w:noProof/>
            <w:sz w:val="22"/>
            <w:szCs w:val="22"/>
            <w:lang w:bidi="ar-SA"/>
          </w:rPr>
          <w:tab/>
        </w:r>
        <w:r w:rsidR="001934AC" w:rsidRPr="004C263E">
          <w:rPr>
            <w:rStyle w:val="Hyperlink"/>
            <w:noProof/>
          </w:rPr>
          <w:t>MS parameters</w:t>
        </w:r>
        <w:r w:rsidR="001934AC">
          <w:rPr>
            <w:noProof/>
            <w:webHidden/>
          </w:rPr>
          <w:tab/>
        </w:r>
        <w:r w:rsidR="000E239B">
          <w:rPr>
            <w:noProof/>
            <w:webHidden/>
          </w:rPr>
          <w:fldChar w:fldCharType="begin"/>
        </w:r>
        <w:r w:rsidR="001934AC">
          <w:rPr>
            <w:noProof/>
            <w:webHidden/>
          </w:rPr>
          <w:instrText xml:space="preserve"> PAGEREF _Toc372538735 \h </w:instrText>
        </w:r>
        <w:r w:rsidR="000E239B">
          <w:rPr>
            <w:noProof/>
            <w:webHidden/>
          </w:rPr>
        </w:r>
        <w:r w:rsidR="000E239B">
          <w:rPr>
            <w:noProof/>
            <w:webHidden/>
          </w:rPr>
          <w:fldChar w:fldCharType="separate"/>
        </w:r>
        <w:r>
          <w:rPr>
            <w:noProof/>
            <w:webHidden/>
          </w:rPr>
          <w:t>54</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36" w:history="1">
        <w:r w:rsidR="001934AC" w:rsidRPr="004C263E">
          <w:rPr>
            <w:rStyle w:val="Hyperlink"/>
            <w:noProof/>
          </w:rPr>
          <w:t>4.3.4.4</w:t>
        </w:r>
        <w:r w:rsidR="001934AC">
          <w:rPr>
            <w:rFonts w:asciiTheme="minorHAnsi" w:hAnsiTheme="minorHAnsi"/>
            <w:noProof/>
            <w:sz w:val="22"/>
            <w:szCs w:val="22"/>
            <w:lang w:bidi="ar-SA"/>
          </w:rPr>
          <w:tab/>
        </w:r>
        <w:r w:rsidR="001934AC" w:rsidRPr="004C263E">
          <w:rPr>
            <w:rStyle w:val="Hyperlink"/>
            <w:noProof/>
          </w:rPr>
          <w:t>Quantification</w:t>
        </w:r>
        <w:r w:rsidR="001934AC">
          <w:rPr>
            <w:noProof/>
            <w:webHidden/>
          </w:rPr>
          <w:tab/>
        </w:r>
        <w:r w:rsidR="000E239B">
          <w:rPr>
            <w:noProof/>
            <w:webHidden/>
          </w:rPr>
          <w:fldChar w:fldCharType="begin"/>
        </w:r>
        <w:r w:rsidR="001934AC">
          <w:rPr>
            <w:noProof/>
            <w:webHidden/>
          </w:rPr>
          <w:instrText xml:space="preserve"> PAGEREF _Toc372538736 \h </w:instrText>
        </w:r>
        <w:r w:rsidR="000E239B">
          <w:rPr>
            <w:noProof/>
            <w:webHidden/>
          </w:rPr>
        </w:r>
        <w:r w:rsidR="000E239B">
          <w:rPr>
            <w:noProof/>
            <w:webHidden/>
          </w:rPr>
          <w:fldChar w:fldCharType="separate"/>
        </w:r>
        <w:r>
          <w:rPr>
            <w:noProof/>
            <w:webHidden/>
          </w:rPr>
          <w:t>55</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37" w:history="1">
        <w:r w:rsidR="001934AC" w:rsidRPr="004C263E">
          <w:rPr>
            <w:rStyle w:val="Hyperlink"/>
            <w:noProof/>
          </w:rPr>
          <w:t>4.3.4.5</w:t>
        </w:r>
        <w:r w:rsidR="001934AC">
          <w:rPr>
            <w:rFonts w:asciiTheme="minorHAnsi" w:hAnsiTheme="minorHAnsi"/>
            <w:noProof/>
            <w:sz w:val="22"/>
            <w:szCs w:val="22"/>
            <w:lang w:bidi="ar-SA"/>
          </w:rPr>
          <w:tab/>
        </w:r>
        <w:r w:rsidR="001934AC" w:rsidRPr="004C263E">
          <w:rPr>
            <w:rStyle w:val="Hyperlink"/>
            <w:noProof/>
          </w:rPr>
          <w:t>Assay Validation</w:t>
        </w:r>
        <w:r w:rsidR="001934AC">
          <w:rPr>
            <w:noProof/>
            <w:webHidden/>
          </w:rPr>
          <w:tab/>
        </w:r>
        <w:r w:rsidR="000E239B">
          <w:rPr>
            <w:noProof/>
            <w:webHidden/>
          </w:rPr>
          <w:fldChar w:fldCharType="begin"/>
        </w:r>
        <w:r w:rsidR="001934AC">
          <w:rPr>
            <w:noProof/>
            <w:webHidden/>
          </w:rPr>
          <w:instrText xml:space="preserve"> PAGEREF _Toc372538737 \h </w:instrText>
        </w:r>
        <w:r w:rsidR="000E239B">
          <w:rPr>
            <w:noProof/>
            <w:webHidden/>
          </w:rPr>
        </w:r>
        <w:r w:rsidR="000E239B">
          <w:rPr>
            <w:noProof/>
            <w:webHidden/>
          </w:rPr>
          <w:fldChar w:fldCharType="separate"/>
        </w:r>
        <w:r>
          <w:rPr>
            <w:noProof/>
            <w:webHidden/>
          </w:rPr>
          <w:t>55</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38" w:history="1">
        <w:r w:rsidR="001934AC" w:rsidRPr="004C263E">
          <w:rPr>
            <w:rStyle w:val="Hyperlink"/>
            <w:noProof/>
          </w:rPr>
          <w:t>4.3.4.6</w:t>
        </w:r>
        <w:r w:rsidR="001934AC">
          <w:rPr>
            <w:rFonts w:asciiTheme="minorHAnsi" w:hAnsiTheme="minorHAnsi"/>
            <w:noProof/>
            <w:sz w:val="22"/>
            <w:szCs w:val="22"/>
            <w:lang w:bidi="ar-SA"/>
          </w:rPr>
          <w:tab/>
        </w:r>
        <w:r w:rsidR="001934AC" w:rsidRPr="004C263E">
          <w:rPr>
            <w:rStyle w:val="Hyperlink"/>
            <w:noProof/>
          </w:rPr>
          <w:t>Preparation of solutions</w:t>
        </w:r>
        <w:r w:rsidR="001934AC">
          <w:rPr>
            <w:noProof/>
            <w:webHidden/>
          </w:rPr>
          <w:tab/>
        </w:r>
        <w:r w:rsidR="000E239B">
          <w:rPr>
            <w:noProof/>
            <w:webHidden/>
          </w:rPr>
          <w:fldChar w:fldCharType="begin"/>
        </w:r>
        <w:r w:rsidR="001934AC">
          <w:rPr>
            <w:noProof/>
            <w:webHidden/>
          </w:rPr>
          <w:instrText xml:space="preserve"> PAGEREF _Toc372538738 \h </w:instrText>
        </w:r>
        <w:r w:rsidR="000E239B">
          <w:rPr>
            <w:noProof/>
            <w:webHidden/>
          </w:rPr>
        </w:r>
        <w:r w:rsidR="000E239B">
          <w:rPr>
            <w:noProof/>
            <w:webHidden/>
          </w:rPr>
          <w:fldChar w:fldCharType="separate"/>
        </w:r>
        <w:r>
          <w:rPr>
            <w:noProof/>
            <w:webHidden/>
          </w:rPr>
          <w:t>56</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39" w:history="1">
        <w:r w:rsidR="001934AC" w:rsidRPr="004C263E">
          <w:rPr>
            <w:rStyle w:val="Hyperlink"/>
            <w:noProof/>
          </w:rPr>
          <w:t>4.3.4.7</w:t>
        </w:r>
        <w:r w:rsidR="001934AC">
          <w:rPr>
            <w:rFonts w:asciiTheme="minorHAnsi" w:hAnsiTheme="minorHAnsi"/>
            <w:noProof/>
            <w:sz w:val="22"/>
            <w:szCs w:val="22"/>
            <w:lang w:bidi="ar-SA"/>
          </w:rPr>
          <w:tab/>
        </w:r>
        <w:r w:rsidR="001934AC" w:rsidRPr="004C263E">
          <w:rPr>
            <w:rStyle w:val="Hyperlink"/>
            <w:noProof/>
          </w:rPr>
          <w:t>QC Samples</w:t>
        </w:r>
        <w:r w:rsidR="001934AC">
          <w:rPr>
            <w:noProof/>
            <w:webHidden/>
          </w:rPr>
          <w:tab/>
        </w:r>
        <w:r w:rsidR="000E239B">
          <w:rPr>
            <w:noProof/>
            <w:webHidden/>
          </w:rPr>
          <w:fldChar w:fldCharType="begin"/>
        </w:r>
        <w:r w:rsidR="001934AC">
          <w:rPr>
            <w:noProof/>
            <w:webHidden/>
          </w:rPr>
          <w:instrText xml:space="preserve"> PAGEREF _Toc372538739 \h </w:instrText>
        </w:r>
        <w:r w:rsidR="000E239B">
          <w:rPr>
            <w:noProof/>
            <w:webHidden/>
          </w:rPr>
        </w:r>
        <w:r w:rsidR="000E239B">
          <w:rPr>
            <w:noProof/>
            <w:webHidden/>
          </w:rPr>
          <w:fldChar w:fldCharType="separate"/>
        </w:r>
        <w:r>
          <w:rPr>
            <w:noProof/>
            <w:webHidden/>
          </w:rPr>
          <w:t>56</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40" w:history="1">
        <w:r w:rsidR="001934AC" w:rsidRPr="004C263E">
          <w:rPr>
            <w:rStyle w:val="Hyperlink"/>
            <w:noProof/>
          </w:rPr>
          <w:t>4.3.4.8</w:t>
        </w:r>
        <w:r w:rsidR="001934AC">
          <w:rPr>
            <w:rFonts w:asciiTheme="minorHAnsi" w:hAnsiTheme="minorHAnsi"/>
            <w:noProof/>
            <w:sz w:val="22"/>
            <w:szCs w:val="22"/>
            <w:lang w:bidi="ar-SA"/>
          </w:rPr>
          <w:tab/>
        </w:r>
        <w:r w:rsidR="001934AC" w:rsidRPr="004C263E">
          <w:rPr>
            <w:rStyle w:val="Hyperlink"/>
            <w:noProof/>
          </w:rPr>
          <w:t>Selectivity</w:t>
        </w:r>
        <w:r w:rsidR="001934AC">
          <w:rPr>
            <w:noProof/>
            <w:webHidden/>
          </w:rPr>
          <w:tab/>
        </w:r>
        <w:r w:rsidR="000E239B">
          <w:rPr>
            <w:noProof/>
            <w:webHidden/>
          </w:rPr>
          <w:fldChar w:fldCharType="begin"/>
        </w:r>
        <w:r w:rsidR="001934AC">
          <w:rPr>
            <w:noProof/>
            <w:webHidden/>
          </w:rPr>
          <w:instrText xml:space="preserve"> PAGEREF _Toc372538740 \h </w:instrText>
        </w:r>
        <w:r w:rsidR="000E239B">
          <w:rPr>
            <w:noProof/>
            <w:webHidden/>
          </w:rPr>
        </w:r>
        <w:r w:rsidR="000E239B">
          <w:rPr>
            <w:noProof/>
            <w:webHidden/>
          </w:rPr>
          <w:fldChar w:fldCharType="separate"/>
        </w:r>
        <w:r>
          <w:rPr>
            <w:noProof/>
            <w:webHidden/>
          </w:rPr>
          <w:t>57</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41" w:history="1">
        <w:r w:rsidR="001934AC" w:rsidRPr="004C263E">
          <w:rPr>
            <w:rStyle w:val="Hyperlink"/>
            <w:noProof/>
          </w:rPr>
          <w:t>4.3.4.9</w:t>
        </w:r>
        <w:r w:rsidR="001934AC">
          <w:rPr>
            <w:rFonts w:asciiTheme="minorHAnsi" w:hAnsiTheme="minorHAnsi"/>
            <w:noProof/>
            <w:sz w:val="22"/>
            <w:szCs w:val="22"/>
            <w:lang w:bidi="ar-SA"/>
          </w:rPr>
          <w:tab/>
        </w:r>
        <w:r w:rsidR="001934AC" w:rsidRPr="004C263E">
          <w:rPr>
            <w:rStyle w:val="Hyperlink"/>
            <w:noProof/>
          </w:rPr>
          <w:t>Matrix effects, recovery, and process efficiency</w:t>
        </w:r>
        <w:r w:rsidR="001934AC">
          <w:rPr>
            <w:noProof/>
            <w:webHidden/>
          </w:rPr>
          <w:tab/>
        </w:r>
        <w:r w:rsidR="000E239B">
          <w:rPr>
            <w:noProof/>
            <w:webHidden/>
          </w:rPr>
          <w:fldChar w:fldCharType="begin"/>
        </w:r>
        <w:r w:rsidR="001934AC">
          <w:rPr>
            <w:noProof/>
            <w:webHidden/>
          </w:rPr>
          <w:instrText xml:space="preserve"> PAGEREF _Toc372538741 \h </w:instrText>
        </w:r>
        <w:r w:rsidR="000E239B">
          <w:rPr>
            <w:noProof/>
            <w:webHidden/>
          </w:rPr>
        </w:r>
        <w:r w:rsidR="000E239B">
          <w:rPr>
            <w:noProof/>
            <w:webHidden/>
          </w:rPr>
          <w:fldChar w:fldCharType="separate"/>
        </w:r>
        <w:r>
          <w:rPr>
            <w:noProof/>
            <w:webHidden/>
          </w:rPr>
          <w:t>57</w:t>
        </w:r>
        <w:r w:rsidR="000E239B">
          <w:rPr>
            <w:noProof/>
            <w:webHidden/>
          </w:rPr>
          <w:fldChar w:fldCharType="end"/>
        </w:r>
      </w:hyperlink>
    </w:p>
    <w:p w:rsidR="001934AC" w:rsidRDefault="002E77C7">
      <w:pPr>
        <w:pStyle w:val="TOC4"/>
        <w:tabs>
          <w:tab w:val="left" w:pos="2080"/>
        </w:tabs>
        <w:rPr>
          <w:rFonts w:asciiTheme="minorHAnsi" w:hAnsiTheme="minorHAnsi"/>
          <w:noProof/>
          <w:sz w:val="22"/>
          <w:szCs w:val="22"/>
          <w:lang w:bidi="ar-SA"/>
        </w:rPr>
      </w:pPr>
      <w:hyperlink w:anchor="_Toc372538742" w:history="1">
        <w:r w:rsidR="001934AC" w:rsidRPr="004C263E">
          <w:rPr>
            <w:rStyle w:val="Hyperlink"/>
            <w:noProof/>
          </w:rPr>
          <w:t>4.3.4.10</w:t>
        </w:r>
        <w:r w:rsidR="001934AC">
          <w:rPr>
            <w:rFonts w:asciiTheme="minorHAnsi" w:hAnsiTheme="minorHAnsi"/>
            <w:noProof/>
            <w:sz w:val="22"/>
            <w:szCs w:val="22"/>
            <w:lang w:bidi="ar-SA"/>
          </w:rPr>
          <w:tab/>
        </w:r>
        <w:r w:rsidR="001934AC" w:rsidRPr="004C263E">
          <w:rPr>
            <w:rStyle w:val="Hyperlink"/>
            <w:noProof/>
          </w:rPr>
          <w:t>Processed sample stability</w:t>
        </w:r>
        <w:r w:rsidR="001934AC">
          <w:rPr>
            <w:noProof/>
            <w:webHidden/>
          </w:rPr>
          <w:tab/>
        </w:r>
        <w:r w:rsidR="000E239B">
          <w:rPr>
            <w:noProof/>
            <w:webHidden/>
          </w:rPr>
          <w:fldChar w:fldCharType="begin"/>
        </w:r>
        <w:r w:rsidR="001934AC">
          <w:rPr>
            <w:noProof/>
            <w:webHidden/>
          </w:rPr>
          <w:instrText xml:space="preserve"> PAGEREF _Toc372538742 \h </w:instrText>
        </w:r>
        <w:r w:rsidR="000E239B">
          <w:rPr>
            <w:noProof/>
            <w:webHidden/>
          </w:rPr>
        </w:r>
        <w:r w:rsidR="000E239B">
          <w:rPr>
            <w:noProof/>
            <w:webHidden/>
          </w:rPr>
          <w:fldChar w:fldCharType="separate"/>
        </w:r>
        <w:r>
          <w:rPr>
            <w:noProof/>
            <w:webHidden/>
          </w:rPr>
          <w:t>58</w:t>
        </w:r>
        <w:r w:rsidR="000E239B">
          <w:rPr>
            <w:noProof/>
            <w:webHidden/>
          </w:rPr>
          <w:fldChar w:fldCharType="end"/>
        </w:r>
      </w:hyperlink>
    </w:p>
    <w:p w:rsidR="001934AC" w:rsidRDefault="002E77C7">
      <w:pPr>
        <w:pStyle w:val="TOC4"/>
        <w:tabs>
          <w:tab w:val="left" w:pos="2080"/>
        </w:tabs>
        <w:rPr>
          <w:rFonts w:asciiTheme="minorHAnsi" w:hAnsiTheme="minorHAnsi"/>
          <w:noProof/>
          <w:sz w:val="22"/>
          <w:szCs w:val="22"/>
          <w:lang w:bidi="ar-SA"/>
        </w:rPr>
      </w:pPr>
      <w:hyperlink w:anchor="_Toc372538743" w:history="1">
        <w:r w:rsidR="001934AC" w:rsidRPr="004C263E">
          <w:rPr>
            <w:rStyle w:val="Hyperlink"/>
            <w:noProof/>
          </w:rPr>
          <w:t>4.3.4.11</w:t>
        </w:r>
        <w:r w:rsidR="001934AC">
          <w:rPr>
            <w:rFonts w:asciiTheme="minorHAnsi" w:hAnsiTheme="minorHAnsi"/>
            <w:noProof/>
            <w:sz w:val="22"/>
            <w:szCs w:val="22"/>
            <w:lang w:bidi="ar-SA"/>
          </w:rPr>
          <w:tab/>
        </w:r>
        <w:r w:rsidR="001934AC" w:rsidRPr="004C263E">
          <w:rPr>
            <w:rStyle w:val="Hyperlink"/>
            <w:noProof/>
          </w:rPr>
          <w:t>Linearity of calibration</w:t>
        </w:r>
        <w:r w:rsidR="001934AC">
          <w:rPr>
            <w:noProof/>
            <w:webHidden/>
          </w:rPr>
          <w:tab/>
        </w:r>
        <w:r w:rsidR="000E239B">
          <w:rPr>
            <w:noProof/>
            <w:webHidden/>
          </w:rPr>
          <w:fldChar w:fldCharType="begin"/>
        </w:r>
        <w:r w:rsidR="001934AC">
          <w:rPr>
            <w:noProof/>
            <w:webHidden/>
          </w:rPr>
          <w:instrText xml:space="preserve"> PAGEREF _Toc372538743 \h </w:instrText>
        </w:r>
        <w:r w:rsidR="000E239B">
          <w:rPr>
            <w:noProof/>
            <w:webHidden/>
          </w:rPr>
        </w:r>
        <w:r w:rsidR="000E239B">
          <w:rPr>
            <w:noProof/>
            <w:webHidden/>
          </w:rPr>
          <w:fldChar w:fldCharType="separate"/>
        </w:r>
        <w:r>
          <w:rPr>
            <w:noProof/>
            <w:webHidden/>
          </w:rPr>
          <w:t>59</w:t>
        </w:r>
        <w:r w:rsidR="000E239B">
          <w:rPr>
            <w:noProof/>
            <w:webHidden/>
          </w:rPr>
          <w:fldChar w:fldCharType="end"/>
        </w:r>
      </w:hyperlink>
    </w:p>
    <w:p w:rsidR="001934AC" w:rsidRDefault="002E77C7">
      <w:pPr>
        <w:pStyle w:val="TOC4"/>
        <w:tabs>
          <w:tab w:val="left" w:pos="2080"/>
        </w:tabs>
        <w:rPr>
          <w:rFonts w:asciiTheme="minorHAnsi" w:hAnsiTheme="minorHAnsi"/>
          <w:noProof/>
          <w:sz w:val="22"/>
          <w:szCs w:val="22"/>
          <w:lang w:bidi="ar-SA"/>
        </w:rPr>
      </w:pPr>
      <w:hyperlink w:anchor="_Toc372538744" w:history="1">
        <w:r w:rsidR="001934AC" w:rsidRPr="004C263E">
          <w:rPr>
            <w:rStyle w:val="Hyperlink"/>
            <w:noProof/>
          </w:rPr>
          <w:t>4.3.4.12</w:t>
        </w:r>
        <w:r w:rsidR="001934AC">
          <w:rPr>
            <w:rFonts w:asciiTheme="minorHAnsi" w:hAnsiTheme="minorHAnsi"/>
            <w:noProof/>
            <w:sz w:val="22"/>
            <w:szCs w:val="22"/>
            <w:lang w:bidi="ar-SA"/>
          </w:rPr>
          <w:tab/>
        </w:r>
        <w:r w:rsidR="001934AC" w:rsidRPr="004C263E">
          <w:rPr>
            <w:rStyle w:val="Hyperlink"/>
            <w:noProof/>
          </w:rPr>
          <w:t>Precision and accuracy</w:t>
        </w:r>
        <w:r w:rsidR="001934AC">
          <w:rPr>
            <w:noProof/>
            <w:webHidden/>
          </w:rPr>
          <w:tab/>
        </w:r>
        <w:r w:rsidR="000E239B">
          <w:rPr>
            <w:noProof/>
            <w:webHidden/>
          </w:rPr>
          <w:fldChar w:fldCharType="begin"/>
        </w:r>
        <w:r w:rsidR="001934AC">
          <w:rPr>
            <w:noProof/>
            <w:webHidden/>
          </w:rPr>
          <w:instrText xml:space="preserve"> PAGEREF _Toc372538744 \h </w:instrText>
        </w:r>
        <w:r w:rsidR="000E239B">
          <w:rPr>
            <w:noProof/>
            <w:webHidden/>
          </w:rPr>
        </w:r>
        <w:r w:rsidR="000E239B">
          <w:rPr>
            <w:noProof/>
            <w:webHidden/>
          </w:rPr>
          <w:fldChar w:fldCharType="separate"/>
        </w:r>
        <w:r>
          <w:rPr>
            <w:noProof/>
            <w:webHidden/>
          </w:rPr>
          <w:t>59</w:t>
        </w:r>
        <w:r w:rsidR="000E239B">
          <w:rPr>
            <w:noProof/>
            <w:webHidden/>
          </w:rPr>
          <w:fldChar w:fldCharType="end"/>
        </w:r>
      </w:hyperlink>
    </w:p>
    <w:p w:rsidR="001934AC" w:rsidRDefault="002E77C7">
      <w:pPr>
        <w:pStyle w:val="TOC4"/>
        <w:tabs>
          <w:tab w:val="left" w:pos="2080"/>
        </w:tabs>
        <w:rPr>
          <w:rFonts w:asciiTheme="minorHAnsi" w:hAnsiTheme="minorHAnsi"/>
          <w:noProof/>
          <w:sz w:val="22"/>
          <w:szCs w:val="22"/>
          <w:lang w:bidi="ar-SA"/>
        </w:rPr>
      </w:pPr>
      <w:hyperlink w:anchor="_Toc372538745" w:history="1">
        <w:r w:rsidR="001934AC" w:rsidRPr="004C263E">
          <w:rPr>
            <w:rStyle w:val="Hyperlink"/>
            <w:noProof/>
          </w:rPr>
          <w:t>4.3.4.13</w:t>
        </w:r>
        <w:r w:rsidR="001934AC">
          <w:rPr>
            <w:rFonts w:asciiTheme="minorHAnsi" w:hAnsiTheme="minorHAnsi"/>
            <w:noProof/>
            <w:sz w:val="22"/>
            <w:szCs w:val="22"/>
            <w:lang w:bidi="ar-SA"/>
          </w:rPr>
          <w:tab/>
        </w:r>
        <w:r w:rsidR="001934AC" w:rsidRPr="004C263E">
          <w:rPr>
            <w:rStyle w:val="Hyperlink"/>
            <w:noProof/>
          </w:rPr>
          <w:t>Freeze-thaw stability</w:t>
        </w:r>
        <w:r w:rsidR="001934AC">
          <w:rPr>
            <w:noProof/>
            <w:webHidden/>
          </w:rPr>
          <w:tab/>
        </w:r>
        <w:r w:rsidR="000E239B">
          <w:rPr>
            <w:noProof/>
            <w:webHidden/>
          </w:rPr>
          <w:fldChar w:fldCharType="begin"/>
        </w:r>
        <w:r w:rsidR="001934AC">
          <w:rPr>
            <w:noProof/>
            <w:webHidden/>
          </w:rPr>
          <w:instrText xml:space="preserve"> PAGEREF _Toc372538745 \h </w:instrText>
        </w:r>
        <w:r w:rsidR="000E239B">
          <w:rPr>
            <w:noProof/>
            <w:webHidden/>
          </w:rPr>
        </w:r>
        <w:r w:rsidR="000E239B">
          <w:rPr>
            <w:noProof/>
            <w:webHidden/>
          </w:rPr>
          <w:fldChar w:fldCharType="separate"/>
        </w:r>
        <w:r>
          <w:rPr>
            <w:noProof/>
            <w:webHidden/>
          </w:rPr>
          <w:t>60</w:t>
        </w:r>
        <w:r w:rsidR="000E239B">
          <w:rPr>
            <w:noProof/>
            <w:webHidden/>
          </w:rPr>
          <w:fldChar w:fldCharType="end"/>
        </w:r>
      </w:hyperlink>
    </w:p>
    <w:p w:rsidR="001934AC" w:rsidRDefault="002E77C7">
      <w:pPr>
        <w:pStyle w:val="TOC4"/>
        <w:tabs>
          <w:tab w:val="left" w:pos="2080"/>
        </w:tabs>
        <w:rPr>
          <w:rFonts w:asciiTheme="minorHAnsi" w:hAnsiTheme="minorHAnsi"/>
          <w:noProof/>
          <w:sz w:val="22"/>
          <w:szCs w:val="22"/>
          <w:lang w:bidi="ar-SA"/>
        </w:rPr>
      </w:pPr>
      <w:hyperlink w:anchor="_Toc372538746" w:history="1">
        <w:r w:rsidR="001934AC" w:rsidRPr="004C263E">
          <w:rPr>
            <w:rStyle w:val="Hyperlink"/>
            <w:noProof/>
          </w:rPr>
          <w:t>4.3.4.14</w:t>
        </w:r>
        <w:r w:rsidR="001934AC">
          <w:rPr>
            <w:rFonts w:asciiTheme="minorHAnsi" w:hAnsiTheme="minorHAnsi"/>
            <w:noProof/>
            <w:sz w:val="22"/>
            <w:szCs w:val="22"/>
            <w:lang w:bidi="ar-SA"/>
          </w:rPr>
          <w:tab/>
        </w:r>
        <w:r w:rsidR="001934AC" w:rsidRPr="004C263E">
          <w:rPr>
            <w:rStyle w:val="Hyperlink"/>
            <w:noProof/>
          </w:rPr>
          <w:t>Limits</w:t>
        </w:r>
        <w:r w:rsidR="001934AC">
          <w:rPr>
            <w:noProof/>
            <w:webHidden/>
          </w:rPr>
          <w:tab/>
        </w:r>
        <w:r w:rsidR="000E239B">
          <w:rPr>
            <w:noProof/>
            <w:webHidden/>
          </w:rPr>
          <w:fldChar w:fldCharType="begin"/>
        </w:r>
        <w:r w:rsidR="001934AC">
          <w:rPr>
            <w:noProof/>
            <w:webHidden/>
          </w:rPr>
          <w:instrText xml:space="preserve"> PAGEREF _Toc372538746 \h </w:instrText>
        </w:r>
        <w:r w:rsidR="000E239B">
          <w:rPr>
            <w:noProof/>
            <w:webHidden/>
          </w:rPr>
        </w:r>
        <w:r w:rsidR="000E239B">
          <w:rPr>
            <w:noProof/>
            <w:webHidden/>
          </w:rPr>
          <w:fldChar w:fldCharType="separate"/>
        </w:r>
        <w:r>
          <w:rPr>
            <w:noProof/>
            <w:webHidden/>
          </w:rPr>
          <w:t>61</w:t>
        </w:r>
        <w:r w:rsidR="000E239B">
          <w:rPr>
            <w:noProof/>
            <w:webHidden/>
          </w:rPr>
          <w:fldChar w:fldCharType="end"/>
        </w:r>
      </w:hyperlink>
    </w:p>
    <w:p w:rsidR="001934AC" w:rsidRDefault="002E77C7">
      <w:pPr>
        <w:pStyle w:val="TOC4"/>
        <w:tabs>
          <w:tab w:val="left" w:pos="2080"/>
        </w:tabs>
        <w:rPr>
          <w:rFonts w:asciiTheme="minorHAnsi" w:hAnsiTheme="minorHAnsi"/>
          <w:noProof/>
          <w:sz w:val="22"/>
          <w:szCs w:val="22"/>
          <w:lang w:bidi="ar-SA"/>
        </w:rPr>
      </w:pPr>
      <w:hyperlink w:anchor="_Toc372538747" w:history="1">
        <w:r w:rsidR="001934AC" w:rsidRPr="004C263E">
          <w:rPr>
            <w:rStyle w:val="Hyperlink"/>
            <w:noProof/>
          </w:rPr>
          <w:t>4.3.4.15</w:t>
        </w:r>
        <w:r w:rsidR="001934AC">
          <w:rPr>
            <w:rFonts w:asciiTheme="minorHAnsi" w:hAnsiTheme="minorHAnsi"/>
            <w:noProof/>
            <w:sz w:val="22"/>
            <w:szCs w:val="22"/>
            <w:lang w:bidi="ar-SA"/>
          </w:rPr>
          <w:tab/>
        </w:r>
        <w:r w:rsidR="001934AC" w:rsidRPr="004C263E">
          <w:rPr>
            <w:rStyle w:val="Hyperlink"/>
            <w:noProof/>
          </w:rPr>
          <w:t>Proof of applicability</w:t>
        </w:r>
        <w:r w:rsidR="001934AC">
          <w:rPr>
            <w:noProof/>
            <w:webHidden/>
          </w:rPr>
          <w:tab/>
        </w:r>
        <w:r w:rsidR="000E239B">
          <w:rPr>
            <w:noProof/>
            <w:webHidden/>
          </w:rPr>
          <w:fldChar w:fldCharType="begin"/>
        </w:r>
        <w:r w:rsidR="001934AC">
          <w:rPr>
            <w:noProof/>
            <w:webHidden/>
          </w:rPr>
          <w:instrText xml:space="preserve"> PAGEREF _Toc372538747 \h </w:instrText>
        </w:r>
        <w:r w:rsidR="000E239B">
          <w:rPr>
            <w:noProof/>
            <w:webHidden/>
          </w:rPr>
        </w:r>
        <w:r w:rsidR="000E239B">
          <w:rPr>
            <w:noProof/>
            <w:webHidden/>
          </w:rPr>
          <w:fldChar w:fldCharType="separate"/>
        </w:r>
        <w:r>
          <w:rPr>
            <w:noProof/>
            <w:webHidden/>
          </w:rPr>
          <w:t>61</w:t>
        </w:r>
        <w:r w:rsidR="000E239B">
          <w:rPr>
            <w:noProof/>
            <w:webHidden/>
          </w:rPr>
          <w:fldChar w:fldCharType="end"/>
        </w:r>
      </w:hyperlink>
    </w:p>
    <w:p w:rsidR="001934AC" w:rsidRDefault="002E77C7">
      <w:pPr>
        <w:pStyle w:val="TOC2"/>
        <w:rPr>
          <w:rFonts w:asciiTheme="minorHAnsi" w:hAnsiTheme="minorHAnsi"/>
          <w:bCs w:val="0"/>
          <w:noProof/>
          <w:sz w:val="22"/>
          <w:szCs w:val="22"/>
          <w:lang w:bidi="ar-SA"/>
        </w:rPr>
      </w:pPr>
      <w:hyperlink w:anchor="_Toc372538748" w:history="1">
        <w:r w:rsidR="001934AC" w:rsidRPr="004C263E">
          <w:rPr>
            <w:rStyle w:val="Hyperlink"/>
            <w:noProof/>
          </w:rPr>
          <w:t>4.4</w:t>
        </w:r>
        <w:r w:rsidR="001934AC">
          <w:rPr>
            <w:rFonts w:asciiTheme="minorHAnsi" w:hAnsiTheme="minorHAnsi"/>
            <w:bCs w:val="0"/>
            <w:noProof/>
            <w:sz w:val="22"/>
            <w:szCs w:val="22"/>
            <w:lang w:bidi="ar-SA"/>
          </w:rPr>
          <w:tab/>
        </w:r>
        <w:r w:rsidR="001934AC" w:rsidRPr="004C263E">
          <w:rPr>
            <w:rStyle w:val="Hyperlink"/>
            <w:noProof/>
          </w:rPr>
          <w:t>Results and Discussion</w:t>
        </w:r>
        <w:r w:rsidR="001934AC">
          <w:rPr>
            <w:noProof/>
            <w:webHidden/>
          </w:rPr>
          <w:tab/>
        </w:r>
        <w:r w:rsidR="000E239B">
          <w:rPr>
            <w:noProof/>
            <w:webHidden/>
          </w:rPr>
          <w:fldChar w:fldCharType="begin"/>
        </w:r>
        <w:r w:rsidR="001934AC">
          <w:rPr>
            <w:noProof/>
            <w:webHidden/>
          </w:rPr>
          <w:instrText xml:space="preserve"> PAGEREF _Toc372538748 \h </w:instrText>
        </w:r>
        <w:r w:rsidR="000E239B">
          <w:rPr>
            <w:noProof/>
            <w:webHidden/>
          </w:rPr>
        </w:r>
        <w:r w:rsidR="000E239B">
          <w:rPr>
            <w:noProof/>
            <w:webHidden/>
          </w:rPr>
          <w:fldChar w:fldCharType="separate"/>
        </w:r>
        <w:r>
          <w:rPr>
            <w:noProof/>
            <w:webHidden/>
          </w:rPr>
          <w:t>61</w:t>
        </w:r>
        <w:r w:rsidR="000E239B">
          <w:rPr>
            <w:noProof/>
            <w:webHidden/>
          </w:rPr>
          <w:fldChar w:fldCharType="end"/>
        </w:r>
      </w:hyperlink>
    </w:p>
    <w:p w:rsidR="001934AC" w:rsidRDefault="002E77C7">
      <w:pPr>
        <w:pStyle w:val="TOC3"/>
        <w:tabs>
          <w:tab w:val="left" w:pos="1540"/>
        </w:tabs>
        <w:rPr>
          <w:rFonts w:asciiTheme="minorHAnsi" w:hAnsiTheme="minorHAnsi"/>
          <w:noProof/>
          <w:sz w:val="22"/>
          <w:szCs w:val="22"/>
          <w:lang w:bidi="ar-SA"/>
        </w:rPr>
      </w:pPr>
      <w:hyperlink w:anchor="_Toc372538749" w:history="1">
        <w:r w:rsidR="001934AC" w:rsidRPr="004C263E">
          <w:rPr>
            <w:rStyle w:val="Hyperlink"/>
            <w:noProof/>
          </w:rPr>
          <w:t>4.4.1</w:t>
        </w:r>
        <w:r w:rsidR="001934AC">
          <w:rPr>
            <w:rFonts w:asciiTheme="minorHAnsi" w:hAnsiTheme="minorHAnsi"/>
            <w:noProof/>
            <w:sz w:val="22"/>
            <w:szCs w:val="22"/>
            <w:lang w:bidi="ar-SA"/>
          </w:rPr>
          <w:tab/>
        </w:r>
        <w:r w:rsidR="001934AC" w:rsidRPr="004C263E">
          <w:rPr>
            <w:rStyle w:val="Hyperlink"/>
            <w:noProof/>
          </w:rPr>
          <w:t>LC-MS/MS analysis</w:t>
        </w:r>
        <w:r w:rsidR="001934AC">
          <w:rPr>
            <w:noProof/>
            <w:webHidden/>
          </w:rPr>
          <w:tab/>
        </w:r>
        <w:r w:rsidR="000E239B">
          <w:rPr>
            <w:noProof/>
            <w:webHidden/>
          </w:rPr>
          <w:fldChar w:fldCharType="begin"/>
        </w:r>
        <w:r w:rsidR="001934AC">
          <w:rPr>
            <w:noProof/>
            <w:webHidden/>
          </w:rPr>
          <w:instrText xml:space="preserve"> PAGEREF _Toc372538749 \h </w:instrText>
        </w:r>
        <w:r w:rsidR="000E239B">
          <w:rPr>
            <w:noProof/>
            <w:webHidden/>
          </w:rPr>
        </w:r>
        <w:r w:rsidR="000E239B">
          <w:rPr>
            <w:noProof/>
            <w:webHidden/>
          </w:rPr>
          <w:fldChar w:fldCharType="separate"/>
        </w:r>
        <w:r>
          <w:rPr>
            <w:noProof/>
            <w:webHidden/>
          </w:rPr>
          <w:t>61</w:t>
        </w:r>
        <w:r w:rsidR="000E239B">
          <w:rPr>
            <w:noProof/>
            <w:webHidden/>
          </w:rPr>
          <w:fldChar w:fldCharType="end"/>
        </w:r>
      </w:hyperlink>
    </w:p>
    <w:p w:rsidR="001934AC" w:rsidRDefault="002E77C7">
      <w:pPr>
        <w:pStyle w:val="TOC3"/>
        <w:tabs>
          <w:tab w:val="left" w:pos="1540"/>
        </w:tabs>
        <w:rPr>
          <w:rFonts w:asciiTheme="minorHAnsi" w:hAnsiTheme="minorHAnsi"/>
          <w:noProof/>
          <w:sz w:val="22"/>
          <w:szCs w:val="22"/>
          <w:lang w:bidi="ar-SA"/>
        </w:rPr>
      </w:pPr>
      <w:hyperlink w:anchor="_Toc372538750" w:history="1">
        <w:r w:rsidR="001934AC" w:rsidRPr="004C263E">
          <w:rPr>
            <w:rStyle w:val="Hyperlink"/>
            <w:noProof/>
          </w:rPr>
          <w:t>4.4.2</w:t>
        </w:r>
        <w:r w:rsidR="001934AC">
          <w:rPr>
            <w:rFonts w:asciiTheme="minorHAnsi" w:hAnsiTheme="minorHAnsi"/>
            <w:noProof/>
            <w:sz w:val="22"/>
            <w:szCs w:val="22"/>
            <w:lang w:bidi="ar-SA"/>
          </w:rPr>
          <w:tab/>
        </w:r>
        <w:r w:rsidR="001934AC" w:rsidRPr="004C263E">
          <w:rPr>
            <w:rStyle w:val="Hyperlink"/>
            <w:noProof/>
          </w:rPr>
          <w:t>Assay validation</w:t>
        </w:r>
        <w:r w:rsidR="001934AC">
          <w:rPr>
            <w:noProof/>
            <w:webHidden/>
          </w:rPr>
          <w:tab/>
        </w:r>
        <w:r w:rsidR="000E239B">
          <w:rPr>
            <w:noProof/>
            <w:webHidden/>
          </w:rPr>
          <w:fldChar w:fldCharType="begin"/>
        </w:r>
        <w:r w:rsidR="001934AC">
          <w:rPr>
            <w:noProof/>
            <w:webHidden/>
          </w:rPr>
          <w:instrText xml:space="preserve"> PAGEREF _Toc372538750 \h </w:instrText>
        </w:r>
        <w:r w:rsidR="000E239B">
          <w:rPr>
            <w:noProof/>
            <w:webHidden/>
          </w:rPr>
        </w:r>
        <w:r w:rsidR="000E239B">
          <w:rPr>
            <w:noProof/>
            <w:webHidden/>
          </w:rPr>
          <w:fldChar w:fldCharType="separate"/>
        </w:r>
        <w:r>
          <w:rPr>
            <w:noProof/>
            <w:webHidden/>
          </w:rPr>
          <w:t>63</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51" w:history="1">
        <w:r w:rsidR="001934AC" w:rsidRPr="004C263E">
          <w:rPr>
            <w:rStyle w:val="Hyperlink"/>
            <w:noProof/>
          </w:rPr>
          <w:t>4.4.2.1</w:t>
        </w:r>
        <w:r w:rsidR="001934AC">
          <w:rPr>
            <w:rFonts w:asciiTheme="minorHAnsi" w:hAnsiTheme="minorHAnsi"/>
            <w:noProof/>
            <w:sz w:val="22"/>
            <w:szCs w:val="22"/>
            <w:lang w:bidi="ar-SA"/>
          </w:rPr>
          <w:tab/>
        </w:r>
        <w:r w:rsidR="001934AC" w:rsidRPr="004C263E">
          <w:rPr>
            <w:rStyle w:val="Hyperlink"/>
            <w:noProof/>
          </w:rPr>
          <w:t>Selectivity</w:t>
        </w:r>
        <w:r w:rsidR="001934AC">
          <w:rPr>
            <w:noProof/>
            <w:webHidden/>
          </w:rPr>
          <w:tab/>
        </w:r>
        <w:r w:rsidR="000E239B">
          <w:rPr>
            <w:noProof/>
            <w:webHidden/>
          </w:rPr>
          <w:fldChar w:fldCharType="begin"/>
        </w:r>
        <w:r w:rsidR="001934AC">
          <w:rPr>
            <w:noProof/>
            <w:webHidden/>
          </w:rPr>
          <w:instrText xml:space="preserve"> PAGEREF _Toc372538751 \h </w:instrText>
        </w:r>
        <w:r w:rsidR="000E239B">
          <w:rPr>
            <w:noProof/>
            <w:webHidden/>
          </w:rPr>
        </w:r>
        <w:r w:rsidR="000E239B">
          <w:rPr>
            <w:noProof/>
            <w:webHidden/>
          </w:rPr>
          <w:fldChar w:fldCharType="separate"/>
        </w:r>
        <w:r>
          <w:rPr>
            <w:noProof/>
            <w:webHidden/>
          </w:rPr>
          <w:t>63</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52" w:history="1">
        <w:r w:rsidR="001934AC" w:rsidRPr="004C263E">
          <w:rPr>
            <w:rStyle w:val="Hyperlink"/>
            <w:noProof/>
          </w:rPr>
          <w:t>4.4.2.2</w:t>
        </w:r>
        <w:r w:rsidR="001934AC">
          <w:rPr>
            <w:rFonts w:asciiTheme="minorHAnsi" w:hAnsiTheme="minorHAnsi"/>
            <w:noProof/>
            <w:sz w:val="22"/>
            <w:szCs w:val="22"/>
            <w:lang w:bidi="ar-SA"/>
          </w:rPr>
          <w:tab/>
        </w:r>
        <w:r w:rsidR="001934AC" w:rsidRPr="004C263E">
          <w:rPr>
            <w:rStyle w:val="Hyperlink"/>
            <w:noProof/>
          </w:rPr>
          <w:t>Matrix effects, recovery, and process efficiency</w:t>
        </w:r>
        <w:r w:rsidR="001934AC">
          <w:rPr>
            <w:noProof/>
            <w:webHidden/>
          </w:rPr>
          <w:tab/>
        </w:r>
        <w:r w:rsidR="000E239B">
          <w:rPr>
            <w:noProof/>
            <w:webHidden/>
          </w:rPr>
          <w:fldChar w:fldCharType="begin"/>
        </w:r>
        <w:r w:rsidR="001934AC">
          <w:rPr>
            <w:noProof/>
            <w:webHidden/>
          </w:rPr>
          <w:instrText xml:space="preserve"> PAGEREF _Toc372538752 \h </w:instrText>
        </w:r>
        <w:r w:rsidR="000E239B">
          <w:rPr>
            <w:noProof/>
            <w:webHidden/>
          </w:rPr>
        </w:r>
        <w:r w:rsidR="000E239B">
          <w:rPr>
            <w:noProof/>
            <w:webHidden/>
          </w:rPr>
          <w:fldChar w:fldCharType="separate"/>
        </w:r>
        <w:r>
          <w:rPr>
            <w:noProof/>
            <w:webHidden/>
          </w:rPr>
          <w:t>63</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53" w:history="1">
        <w:r w:rsidR="001934AC" w:rsidRPr="004C263E">
          <w:rPr>
            <w:rStyle w:val="Hyperlink"/>
            <w:noProof/>
          </w:rPr>
          <w:t>4.4.2.3</w:t>
        </w:r>
        <w:r w:rsidR="001934AC">
          <w:rPr>
            <w:rFonts w:asciiTheme="minorHAnsi" w:hAnsiTheme="minorHAnsi"/>
            <w:noProof/>
            <w:sz w:val="22"/>
            <w:szCs w:val="22"/>
            <w:lang w:bidi="ar-SA"/>
          </w:rPr>
          <w:tab/>
        </w:r>
        <w:r w:rsidR="001934AC" w:rsidRPr="004C263E">
          <w:rPr>
            <w:rStyle w:val="Hyperlink"/>
            <w:noProof/>
          </w:rPr>
          <w:t>Processed sample stability</w:t>
        </w:r>
        <w:r w:rsidR="001934AC">
          <w:rPr>
            <w:noProof/>
            <w:webHidden/>
          </w:rPr>
          <w:tab/>
        </w:r>
        <w:r w:rsidR="000E239B">
          <w:rPr>
            <w:noProof/>
            <w:webHidden/>
          </w:rPr>
          <w:fldChar w:fldCharType="begin"/>
        </w:r>
        <w:r w:rsidR="001934AC">
          <w:rPr>
            <w:noProof/>
            <w:webHidden/>
          </w:rPr>
          <w:instrText xml:space="preserve"> PAGEREF _Toc372538753 \h </w:instrText>
        </w:r>
        <w:r w:rsidR="000E239B">
          <w:rPr>
            <w:noProof/>
            <w:webHidden/>
          </w:rPr>
        </w:r>
        <w:r w:rsidR="000E239B">
          <w:rPr>
            <w:noProof/>
            <w:webHidden/>
          </w:rPr>
          <w:fldChar w:fldCharType="separate"/>
        </w:r>
        <w:r>
          <w:rPr>
            <w:noProof/>
            <w:webHidden/>
          </w:rPr>
          <w:t>65</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54" w:history="1">
        <w:r w:rsidR="001934AC" w:rsidRPr="004C263E">
          <w:rPr>
            <w:rStyle w:val="Hyperlink"/>
            <w:noProof/>
          </w:rPr>
          <w:t>4.4.2.4</w:t>
        </w:r>
        <w:r w:rsidR="001934AC">
          <w:rPr>
            <w:rFonts w:asciiTheme="minorHAnsi" w:hAnsiTheme="minorHAnsi"/>
            <w:noProof/>
            <w:sz w:val="22"/>
            <w:szCs w:val="22"/>
            <w:lang w:bidi="ar-SA"/>
          </w:rPr>
          <w:tab/>
        </w:r>
        <w:r w:rsidR="001934AC" w:rsidRPr="004C263E">
          <w:rPr>
            <w:rStyle w:val="Hyperlink"/>
            <w:noProof/>
          </w:rPr>
          <w:t>Linearity of calibration</w:t>
        </w:r>
        <w:r w:rsidR="001934AC">
          <w:rPr>
            <w:noProof/>
            <w:webHidden/>
          </w:rPr>
          <w:tab/>
        </w:r>
        <w:r w:rsidR="000E239B">
          <w:rPr>
            <w:noProof/>
            <w:webHidden/>
          </w:rPr>
          <w:fldChar w:fldCharType="begin"/>
        </w:r>
        <w:r w:rsidR="001934AC">
          <w:rPr>
            <w:noProof/>
            <w:webHidden/>
          </w:rPr>
          <w:instrText xml:space="preserve"> PAGEREF _Toc372538754 \h </w:instrText>
        </w:r>
        <w:r w:rsidR="000E239B">
          <w:rPr>
            <w:noProof/>
            <w:webHidden/>
          </w:rPr>
        </w:r>
        <w:r w:rsidR="000E239B">
          <w:rPr>
            <w:noProof/>
            <w:webHidden/>
          </w:rPr>
          <w:fldChar w:fldCharType="separate"/>
        </w:r>
        <w:r>
          <w:rPr>
            <w:noProof/>
            <w:webHidden/>
          </w:rPr>
          <w:t>66</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55" w:history="1">
        <w:r w:rsidR="001934AC" w:rsidRPr="004C263E">
          <w:rPr>
            <w:rStyle w:val="Hyperlink"/>
            <w:noProof/>
          </w:rPr>
          <w:t>4.4.2.5</w:t>
        </w:r>
        <w:r w:rsidR="001934AC">
          <w:rPr>
            <w:rFonts w:asciiTheme="minorHAnsi" w:hAnsiTheme="minorHAnsi"/>
            <w:noProof/>
            <w:sz w:val="22"/>
            <w:szCs w:val="22"/>
            <w:lang w:bidi="ar-SA"/>
          </w:rPr>
          <w:tab/>
        </w:r>
        <w:r w:rsidR="001934AC" w:rsidRPr="004C263E">
          <w:rPr>
            <w:rStyle w:val="Hyperlink"/>
            <w:noProof/>
          </w:rPr>
          <w:t>Precision and accuracy</w:t>
        </w:r>
        <w:r w:rsidR="001934AC">
          <w:rPr>
            <w:noProof/>
            <w:webHidden/>
          </w:rPr>
          <w:tab/>
        </w:r>
        <w:r w:rsidR="000E239B">
          <w:rPr>
            <w:noProof/>
            <w:webHidden/>
          </w:rPr>
          <w:fldChar w:fldCharType="begin"/>
        </w:r>
        <w:r w:rsidR="001934AC">
          <w:rPr>
            <w:noProof/>
            <w:webHidden/>
          </w:rPr>
          <w:instrText xml:space="preserve"> PAGEREF _Toc372538755 \h </w:instrText>
        </w:r>
        <w:r w:rsidR="000E239B">
          <w:rPr>
            <w:noProof/>
            <w:webHidden/>
          </w:rPr>
        </w:r>
        <w:r w:rsidR="000E239B">
          <w:rPr>
            <w:noProof/>
            <w:webHidden/>
          </w:rPr>
          <w:fldChar w:fldCharType="separate"/>
        </w:r>
        <w:r>
          <w:rPr>
            <w:noProof/>
            <w:webHidden/>
          </w:rPr>
          <w:t>67</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56" w:history="1">
        <w:r w:rsidR="001934AC" w:rsidRPr="004C263E">
          <w:rPr>
            <w:rStyle w:val="Hyperlink"/>
            <w:noProof/>
          </w:rPr>
          <w:t>4.4.2.6</w:t>
        </w:r>
        <w:r w:rsidR="001934AC">
          <w:rPr>
            <w:rFonts w:asciiTheme="minorHAnsi" w:hAnsiTheme="minorHAnsi"/>
            <w:noProof/>
            <w:sz w:val="22"/>
            <w:szCs w:val="22"/>
            <w:lang w:bidi="ar-SA"/>
          </w:rPr>
          <w:tab/>
        </w:r>
        <w:r w:rsidR="001934AC" w:rsidRPr="004C263E">
          <w:rPr>
            <w:rStyle w:val="Hyperlink"/>
            <w:noProof/>
          </w:rPr>
          <w:t>Freeze-thaw stability</w:t>
        </w:r>
        <w:r w:rsidR="001934AC">
          <w:rPr>
            <w:noProof/>
            <w:webHidden/>
          </w:rPr>
          <w:tab/>
        </w:r>
        <w:r w:rsidR="000E239B">
          <w:rPr>
            <w:noProof/>
            <w:webHidden/>
          </w:rPr>
          <w:fldChar w:fldCharType="begin"/>
        </w:r>
        <w:r w:rsidR="001934AC">
          <w:rPr>
            <w:noProof/>
            <w:webHidden/>
          </w:rPr>
          <w:instrText xml:space="preserve"> PAGEREF _Toc372538756 \h </w:instrText>
        </w:r>
        <w:r w:rsidR="000E239B">
          <w:rPr>
            <w:noProof/>
            <w:webHidden/>
          </w:rPr>
        </w:r>
        <w:r w:rsidR="000E239B">
          <w:rPr>
            <w:noProof/>
            <w:webHidden/>
          </w:rPr>
          <w:fldChar w:fldCharType="separate"/>
        </w:r>
        <w:r>
          <w:rPr>
            <w:noProof/>
            <w:webHidden/>
          </w:rPr>
          <w:t>68</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57" w:history="1">
        <w:r w:rsidR="001934AC" w:rsidRPr="004C263E">
          <w:rPr>
            <w:rStyle w:val="Hyperlink"/>
            <w:noProof/>
          </w:rPr>
          <w:t>4.4.2.7</w:t>
        </w:r>
        <w:r w:rsidR="001934AC">
          <w:rPr>
            <w:rFonts w:asciiTheme="minorHAnsi" w:hAnsiTheme="minorHAnsi"/>
            <w:noProof/>
            <w:sz w:val="22"/>
            <w:szCs w:val="22"/>
            <w:lang w:bidi="ar-SA"/>
          </w:rPr>
          <w:tab/>
        </w:r>
        <w:r w:rsidR="001934AC" w:rsidRPr="004C263E">
          <w:rPr>
            <w:rStyle w:val="Hyperlink"/>
            <w:noProof/>
          </w:rPr>
          <w:t>Limits</w:t>
        </w:r>
        <w:r w:rsidR="001934AC">
          <w:rPr>
            <w:noProof/>
            <w:webHidden/>
          </w:rPr>
          <w:tab/>
        </w:r>
        <w:r w:rsidR="000E239B">
          <w:rPr>
            <w:noProof/>
            <w:webHidden/>
          </w:rPr>
          <w:fldChar w:fldCharType="begin"/>
        </w:r>
        <w:r w:rsidR="001934AC">
          <w:rPr>
            <w:noProof/>
            <w:webHidden/>
          </w:rPr>
          <w:instrText xml:space="preserve"> PAGEREF _Toc372538757 \h </w:instrText>
        </w:r>
        <w:r w:rsidR="000E239B">
          <w:rPr>
            <w:noProof/>
            <w:webHidden/>
          </w:rPr>
        </w:r>
        <w:r w:rsidR="000E239B">
          <w:rPr>
            <w:noProof/>
            <w:webHidden/>
          </w:rPr>
          <w:fldChar w:fldCharType="separate"/>
        </w:r>
        <w:r>
          <w:rPr>
            <w:noProof/>
            <w:webHidden/>
          </w:rPr>
          <w:t>69</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58" w:history="1">
        <w:r w:rsidR="001934AC" w:rsidRPr="004C263E">
          <w:rPr>
            <w:rStyle w:val="Hyperlink"/>
            <w:noProof/>
          </w:rPr>
          <w:t>4.4.2.8</w:t>
        </w:r>
        <w:r w:rsidR="001934AC">
          <w:rPr>
            <w:rFonts w:asciiTheme="minorHAnsi" w:hAnsiTheme="minorHAnsi"/>
            <w:noProof/>
            <w:sz w:val="22"/>
            <w:szCs w:val="22"/>
            <w:lang w:bidi="ar-SA"/>
          </w:rPr>
          <w:tab/>
        </w:r>
        <w:r w:rsidR="001934AC" w:rsidRPr="004C263E">
          <w:rPr>
            <w:rStyle w:val="Hyperlink"/>
            <w:noProof/>
          </w:rPr>
          <w:t>Proof of applicability</w:t>
        </w:r>
        <w:r w:rsidR="001934AC">
          <w:rPr>
            <w:noProof/>
            <w:webHidden/>
          </w:rPr>
          <w:tab/>
        </w:r>
        <w:r w:rsidR="000E239B">
          <w:rPr>
            <w:noProof/>
            <w:webHidden/>
          </w:rPr>
          <w:fldChar w:fldCharType="begin"/>
        </w:r>
        <w:r w:rsidR="001934AC">
          <w:rPr>
            <w:noProof/>
            <w:webHidden/>
          </w:rPr>
          <w:instrText xml:space="preserve"> PAGEREF _Toc372538758 \h </w:instrText>
        </w:r>
        <w:r w:rsidR="000E239B">
          <w:rPr>
            <w:noProof/>
            <w:webHidden/>
          </w:rPr>
        </w:r>
        <w:r w:rsidR="000E239B">
          <w:rPr>
            <w:noProof/>
            <w:webHidden/>
          </w:rPr>
          <w:fldChar w:fldCharType="separate"/>
        </w:r>
        <w:r>
          <w:rPr>
            <w:noProof/>
            <w:webHidden/>
          </w:rPr>
          <w:t>70</w:t>
        </w:r>
        <w:r w:rsidR="000E239B">
          <w:rPr>
            <w:noProof/>
            <w:webHidden/>
          </w:rPr>
          <w:fldChar w:fldCharType="end"/>
        </w:r>
      </w:hyperlink>
    </w:p>
    <w:p w:rsidR="001934AC" w:rsidRDefault="002E77C7">
      <w:pPr>
        <w:pStyle w:val="TOC2"/>
        <w:rPr>
          <w:rFonts w:asciiTheme="minorHAnsi" w:hAnsiTheme="minorHAnsi"/>
          <w:bCs w:val="0"/>
          <w:noProof/>
          <w:sz w:val="22"/>
          <w:szCs w:val="22"/>
          <w:lang w:bidi="ar-SA"/>
        </w:rPr>
      </w:pPr>
      <w:hyperlink w:anchor="_Toc372538759" w:history="1">
        <w:r w:rsidR="001934AC" w:rsidRPr="004C263E">
          <w:rPr>
            <w:rStyle w:val="Hyperlink"/>
            <w:noProof/>
          </w:rPr>
          <w:t>4.5</w:t>
        </w:r>
        <w:r w:rsidR="001934AC">
          <w:rPr>
            <w:rFonts w:asciiTheme="minorHAnsi" w:hAnsiTheme="minorHAnsi"/>
            <w:bCs w:val="0"/>
            <w:noProof/>
            <w:sz w:val="22"/>
            <w:szCs w:val="22"/>
            <w:lang w:bidi="ar-SA"/>
          </w:rPr>
          <w:tab/>
        </w:r>
        <w:r w:rsidR="001934AC" w:rsidRPr="004C263E">
          <w:rPr>
            <w:rStyle w:val="Hyperlink"/>
            <w:noProof/>
          </w:rPr>
          <w:t>Conclusions</w:t>
        </w:r>
        <w:r w:rsidR="001934AC">
          <w:rPr>
            <w:noProof/>
            <w:webHidden/>
          </w:rPr>
          <w:tab/>
        </w:r>
        <w:r w:rsidR="000E239B">
          <w:rPr>
            <w:noProof/>
            <w:webHidden/>
          </w:rPr>
          <w:fldChar w:fldCharType="begin"/>
        </w:r>
        <w:r w:rsidR="001934AC">
          <w:rPr>
            <w:noProof/>
            <w:webHidden/>
          </w:rPr>
          <w:instrText xml:space="preserve"> PAGEREF _Toc372538759 \h </w:instrText>
        </w:r>
        <w:r w:rsidR="000E239B">
          <w:rPr>
            <w:noProof/>
            <w:webHidden/>
          </w:rPr>
        </w:r>
        <w:r w:rsidR="000E239B">
          <w:rPr>
            <w:noProof/>
            <w:webHidden/>
          </w:rPr>
          <w:fldChar w:fldCharType="separate"/>
        </w:r>
        <w:r>
          <w:rPr>
            <w:noProof/>
            <w:webHidden/>
          </w:rPr>
          <w:t>74</w:t>
        </w:r>
        <w:r w:rsidR="000E239B">
          <w:rPr>
            <w:noProof/>
            <w:webHidden/>
          </w:rPr>
          <w:fldChar w:fldCharType="end"/>
        </w:r>
      </w:hyperlink>
    </w:p>
    <w:p w:rsidR="001934AC" w:rsidRDefault="002E77C7">
      <w:pPr>
        <w:pStyle w:val="TOC1"/>
        <w:rPr>
          <w:rFonts w:asciiTheme="minorHAnsi" w:hAnsiTheme="minorHAnsi"/>
          <w:bCs w:val="0"/>
          <w:caps w:val="0"/>
          <w:noProof/>
          <w:sz w:val="22"/>
          <w:szCs w:val="22"/>
          <w:lang w:bidi="ar-SA"/>
        </w:rPr>
      </w:pPr>
      <w:hyperlink w:anchor="_Toc372538760" w:history="1">
        <w:r w:rsidR="001934AC" w:rsidRPr="004C263E">
          <w:rPr>
            <w:rStyle w:val="Hyperlink"/>
            <w:noProof/>
          </w:rPr>
          <w:t>5.</w:t>
        </w:r>
        <w:r w:rsidR="001934AC">
          <w:rPr>
            <w:rFonts w:asciiTheme="minorHAnsi" w:hAnsiTheme="minorHAnsi"/>
            <w:bCs w:val="0"/>
            <w:caps w:val="0"/>
            <w:noProof/>
            <w:sz w:val="22"/>
            <w:szCs w:val="22"/>
            <w:lang w:bidi="ar-SA"/>
          </w:rPr>
          <w:tab/>
        </w:r>
        <w:r w:rsidR="001934AC" w:rsidRPr="004C263E">
          <w:rPr>
            <w:rStyle w:val="Hyperlink"/>
            <w:noProof/>
          </w:rPr>
          <w:t>ANALYSIS OF FORENSIC CASE SAMPLES</w:t>
        </w:r>
        <w:r w:rsidR="001934AC">
          <w:rPr>
            <w:noProof/>
            <w:webHidden/>
          </w:rPr>
          <w:tab/>
        </w:r>
        <w:r w:rsidR="000E239B">
          <w:rPr>
            <w:noProof/>
            <w:webHidden/>
          </w:rPr>
          <w:fldChar w:fldCharType="begin"/>
        </w:r>
        <w:r w:rsidR="001934AC">
          <w:rPr>
            <w:noProof/>
            <w:webHidden/>
          </w:rPr>
          <w:instrText xml:space="preserve"> PAGEREF _Toc372538760 \h </w:instrText>
        </w:r>
        <w:r w:rsidR="000E239B">
          <w:rPr>
            <w:noProof/>
            <w:webHidden/>
          </w:rPr>
        </w:r>
        <w:r w:rsidR="000E239B">
          <w:rPr>
            <w:noProof/>
            <w:webHidden/>
          </w:rPr>
          <w:fldChar w:fldCharType="separate"/>
        </w:r>
        <w:r>
          <w:rPr>
            <w:noProof/>
            <w:webHidden/>
          </w:rPr>
          <w:t>75</w:t>
        </w:r>
        <w:r w:rsidR="000E239B">
          <w:rPr>
            <w:noProof/>
            <w:webHidden/>
          </w:rPr>
          <w:fldChar w:fldCharType="end"/>
        </w:r>
      </w:hyperlink>
    </w:p>
    <w:p w:rsidR="001934AC" w:rsidRDefault="002E77C7">
      <w:pPr>
        <w:pStyle w:val="TOC2"/>
        <w:rPr>
          <w:rFonts w:asciiTheme="minorHAnsi" w:hAnsiTheme="minorHAnsi"/>
          <w:bCs w:val="0"/>
          <w:noProof/>
          <w:sz w:val="22"/>
          <w:szCs w:val="22"/>
          <w:lang w:bidi="ar-SA"/>
        </w:rPr>
      </w:pPr>
      <w:hyperlink w:anchor="_Toc372538761" w:history="1">
        <w:r w:rsidR="001934AC" w:rsidRPr="004C263E">
          <w:rPr>
            <w:rStyle w:val="Hyperlink"/>
            <w:noProof/>
          </w:rPr>
          <w:t>5.1</w:t>
        </w:r>
        <w:r w:rsidR="001934AC">
          <w:rPr>
            <w:rFonts w:asciiTheme="minorHAnsi" w:hAnsiTheme="minorHAnsi"/>
            <w:bCs w:val="0"/>
            <w:noProof/>
            <w:sz w:val="22"/>
            <w:szCs w:val="22"/>
            <w:lang w:bidi="ar-SA"/>
          </w:rPr>
          <w:tab/>
        </w:r>
        <w:r w:rsidR="001934AC" w:rsidRPr="004C263E">
          <w:rPr>
            <w:rStyle w:val="Hyperlink"/>
            <w:noProof/>
          </w:rPr>
          <w:t>Overview</w:t>
        </w:r>
        <w:r w:rsidR="001934AC">
          <w:rPr>
            <w:noProof/>
            <w:webHidden/>
          </w:rPr>
          <w:tab/>
        </w:r>
        <w:r w:rsidR="000E239B">
          <w:rPr>
            <w:noProof/>
            <w:webHidden/>
          </w:rPr>
          <w:fldChar w:fldCharType="begin"/>
        </w:r>
        <w:r w:rsidR="001934AC">
          <w:rPr>
            <w:noProof/>
            <w:webHidden/>
          </w:rPr>
          <w:instrText xml:space="preserve"> PAGEREF _Toc372538761 \h </w:instrText>
        </w:r>
        <w:r w:rsidR="000E239B">
          <w:rPr>
            <w:noProof/>
            <w:webHidden/>
          </w:rPr>
        </w:r>
        <w:r w:rsidR="000E239B">
          <w:rPr>
            <w:noProof/>
            <w:webHidden/>
          </w:rPr>
          <w:fldChar w:fldCharType="separate"/>
        </w:r>
        <w:r>
          <w:rPr>
            <w:noProof/>
            <w:webHidden/>
          </w:rPr>
          <w:t>75</w:t>
        </w:r>
        <w:r w:rsidR="000E239B">
          <w:rPr>
            <w:noProof/>
            <w:webHidden/>
          </w:rPr>
          <w:fldChar w:fldCharType="end"/>
        </w:r>
      </w:hyperlink>
    </w:p>
    <w:p w:rsidR="001934AC" w:rsidRDefault="002E77C7">
      <w:pPr>
        <w:pStyle w:val="TOC2"/>
        <w:rPr>
          <w:rFonts w:asciiTheme="minorHAnsi" w:hAnsiTheme="minorHAnsi"/>
          <w:bCs w:val="0"/>
          <w:noProof/>
          <w:sz w:val="22"/>
          <w:szCs w:val="22"/>
          <w:lang w:bidi="ar-SA"/>
        </w:rPr>
      </w:pPr>
      <w:hyperlink w:anchor="_Toc372538762" w:history="1">
        <w:r w:rsidR="001934AC" w:rsidRPr="004C263E">
          <w:rPr>
            <w:rStyle w:val="Hyperlink"/>
            <w:noProof/>
          </w:rPr>
          <w:t>5.2</w:t>
        </w:r>
        <w:r w:rsidR="001934AC">
          <w:rPr>
            <w:rFonts w:asciiTheme="minorHAnsi" w:hAnsiTheme="minorHAnsi"/>
            <w:bCs w:val="0"/>
            <w:noProof/>
            <w:sz w:val="22"/>
            <w:szCs w:val="22"/>
            <w:lang w:bidi="ar-SA"/>
          </w:rPr>
          <w:tab/>
        </w:r>
        <w:r w:rsidR="001934AC" w:rsidRPr="004C263E">
          <w:rPr>
            <w:rStyle w:val="Hyperlink"/>
            <w:noProof/>
          </w:rPr>
          <w:t>Introduction</w:t>
        </w:r>
        <w:r w:rsidR="001934AC">
          <w:rPr>
            <w:noProof/>
            <w:webHidden/>
          </w:rPr>
          <w:tab/>
        </w:r>
        <w:r w:rsidR="000E239B">
          <w:rPr>
            <w:noProof/>
            <w:webHidden/>
          </w:rPr>
          <w:fldChar w:fldCharType="begin"/>
        </w:r>
        <w:r w:rsidR="001934AC">
          <w:rPr>
            <w:noProof/>
            <w:webHidden/>
          </w:rPr>
          <w:instrText xml:space="preserve"> PAGEREF _Toc372538762 \h </w:instrText>
        </w:r>
        <w:r w:rsidR="000E239B">
          <w:rPr>
            <w:noProof/>
            <w:webHidden/>
          </w:rPr>
        </w:r>
        <w:r w:rsidR="000E239B">
          <w:rPr>
            <w:noProof/>
            <w:webHidden/>
          </w:rPr>
          <w:fldChar w:fldCharType="separate"/>
        </w:r>
        <w:r>
          <w:rPr>
            <w:noProof/>
            <w:webHidden/>
          </w:rPr>
          <w:t>75</w:t>
        </w:r>
        <w:r w:rsidR="000E239B">
          <w:rPr>
            <w:noProof/>
            <w:webHidden/>
          </w:rPr>
          <w:fldChar w:fldCharType="end"/>
        </w:r>
      </w:hyperlink>
    </w:p>
    <w:p w:rsidR="001934AC" w:rsidRDefault="002E77C7">
      <w:pPr>
        <w:pStyle w:val="TOC2"/>
        <w:rPr>
          <w:rFonts w:asciiTheme="minorHAnsi" w:hAnsiTheme="minorHAnsi"/>
          <w:bCs w:val="0"/>
          <w:noProof/>
          <w:sz w:val="22"/>
          <w:szCs w:val="22"/>
          <w:lang w:bidi="ar-SA"/>
        </w:rPr>
      </w:pPr>
      <w:hyperlink w:anchor="_Toc372538763" w:history="1">
        <w:r w:rsidR="001934AC" w:rsidRPr="004C263E">
          <w:rPr>
            <w:rStyle w:val="Hyperlink"/>
            <w:noProof/>
          </w:rPr>
          <w:t>5.3</w:t>
        </w:r>
        <w:r w:rsidR="001934AC">
          <w:rPr>
            <w:rFonts w:asciiTheme="minorHAnsi" w:hAnsiTheme="minorHAnsi"/>
            <w:bCs w:val="0"/>
            <w:noProof/>
            <w:sz w:val="22"/>
            <w:szCs w:val="22"/>
            <w:lang w:bidi="ar-SA"/>
          </w:rPr>
          <w:tab/>
        </w:r>
        <w:r w:rsidR="001934AC" w:rsidRPr="004C263E">
          <w:rPr>
            <w:rStyle w:val="Hyperlink"/>
            <w:noProof/>
          </w:rPr>
          <w:t>Materials and Methods</w:t>
        </w:r>
        <w:r w:rsidR="001934AC">
          <w:rPr>
            <w:noProof/>
            <w:webHidden/>
          </w:rPr>
          <w:tab/>
        </w:r>
        <w:r w:rsidR="000E239B">
          <w:rPr>
            <w:noProof/>
            <w:webHidden/>
          </w:rPr>
          <w:fldChar w:fldCharType="begin"/>
        </w:r>
        <w:r w:rsidR="001934AC">
          <w:rPr>
            <w:noProof/>
            <w:webHidden/>
          </w:rPr>
          <w:instrText xml:space="preserve"> PAGEREF _Toc372538763 \h </w:instrText>
        </w:r>
        <w:r w:rsidR="000E239B">
          <w:rPr>
            <w:noProof/>
            <w:webHidden/>
          </w:rPr>
        </w:r>
        <w:r w:rsidR="000E239B">
          <w:rPr>
            <w:noProof/>
            <w:webHidden/>
          </w:rPr>
          <w:fldChar w:fldCharType="separate"/>
        </w:r>
        <w:r>
          <w:rPr>
            <w:noProof/>
            <w:webHidden/>
          </w:rPr>
          <w:t>75</w:t>
        </w:r>
        <w:r w:rsidR="000E239B">
          <w:rPr>
            <w:noProof/>
            <w:webHidden/>
          </w:rPr>
          <w:fldChar w:fldCharType="end"/>
        </w:r>
      </w:hyperlink>
    </w:p>
    <w:p w:rsidR="001934AC" w:rsidRDefault="002E77C7">
      <w:pPr>
        <w:pStyle w:val="TOC3"/>
        <w:tabs>
          <w:tab w:val="left" w:pos="1540"/>
        </w:tabs>
        <w:rPr>
          <w:rFonts w:asciiTheme="minorHAnsi" w:hAnsiTheme="minorHAnsi"/>
          <w:noProof/>
          <w:sz w:val="22"/>
          <w:szCs w:val="22"/>
          <w:lang w:bidi="ar-SA"/>
        </w:rPr>
      </w:pPr>
      <w:hyperlink w:anchor="_Toc372538764" w:history="1">
        <w:r w:rsidR="001934AC" w:rsidRPr="004C263E">
          <w:rPr>
            <w:rStyle w:val="Hyperlink"/>
            <w:noProof/>
          </w:rPr>
          <w:t>5.3.1</w:t>
        </w:r>
        <w:r w:rsidR="001934AC">
          <w:rPr>
            <w:rFonts w:asciiTheme="minorHAnsi" w:hAnsiTheme="minorHAnsi"/>
            <w:noProof/>
            <w:sz w:val="22"/>
            <w:szCs w:val="22"/>
            <w:lang w:bidi="ar-SA"/>
          </w:rPr>
          <w:tab/>
        </w:r>
        <w:r w:rsidR="001934AC" w:rsidRPr="004C263E">
          <w:rPr>
            <w:rStyle w:val="Hyperlink"/>
            <w:noProof/>
          </w:rPr>
          <w:t>Materials</w:t>
        </w:r>
        <w:r w:rsidR="001934AC">
          <w:rPr>
            <w:noProof/>
            <w:webHidden/>
          </w:rPr>
          <w:tab/>
        </w:r>
        <w:r w:rsidR="000E239B">
          <w:rPr>
            <w:noProof/>
            <w:webHidden/>
          </w:rPr>
          <w:fldChar w:fldCharType="begin"/>
        </w:r>
        <w:r w:rsidR="001934AC">
          <w:rPr>
            <w:noProof/>
            <w:webHidden/>
          </w:rPr>
          <w:instrText xml:space="preserve"> PAGEREF _Toc372538764 \h </w:instrText>
        </w:r>
        <w:r w:rsidR="000E239B">
          <w:rPr>
            <w:noProof/>
            <w:webHidden/>
          </w:rPr>
        </w:r>
        <w:r w:rsidR="000E239B">
          <w:rPr>
            <w:noProof/>
            <w:webHidden/>
          </w:rPr>
          <w:fldChar w:fldCharType="separate"/>
        </w:r>
        <w:r>
          <w:rPr>
            <w:noProof/>
            <w:webHidden/>
          </w:rPr>
          <w:t>75</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65" w:history="1">
        <w:r w:rsidR="001934AC" w:rsidRPr="004C263E">
          <w:rPr>
            <w:rStyle w:val="Hyperlink"/>
            <w:noProof/>
          </w:rPr>
          <w:t>5.3.1.1</w:t>
        </w:r>
        <w:r w:rsidR="001934AC">
          <w:rPr>
            <w:rFonts w:asciiTheme="minorHAnsi" w:hAnsiTheme="minorHAnsi"/>
            <w:noProof/>
            <w:sz w:val="22"/>
            <w:szCs w:val="22"/>
            <w:lang w:bidi="ar-SA"/>
          </w:rPr>
          <w:tab/>
        </w:r>
        <w:r w:rsidR="001934AC" w:rsidRPr="004C263E">
          <w:rPr>
            <w:rStyle w:val="Hyperlink"/>
            <w:noProof/>
          </w:rPr>
          <w:t>Chemicals</w:t>
        </w:r>
        <w:r w:rsidR="001934AC">
          <w:rPr>
            <w:noProof/>
            <w:webHidden/>
          </w:rPr>
          <w:tab/>
        </w:r>
        <w:r w:rsidR="000E239B">
          <w:rPr>
            <w:noProof/>
            <w:webHidden/>
          </w:rPr>
          <w:fldChar w:fldCharType="begin"/>
        </w:r>
        <w:r w:rsidR="001934AC">
          <w:rPr>
            <w:noProof/>
            <w:webHidden/>
          </w:rPr>
          <w:instrText xml:space="preserve"> PAGEREF _Toc372538765 \h </w:instrText>
        </w:r>
        <w:r w:rsidR="000E239B">
          <w:rPr>
            <w:noProof/>
            <w:webHidden/>
          </w:rPr>
        </w:r>
        <w:r w:rsidR="000E239B">
          <w:rPr>
            <w:noProof/>
            <w:webHidden/>
          </w:rPr>
          <w:fldChar w:fldCharType="separate"/>
        </w:r>
        <w:r>
          <w:rPr>
            <w:noProof/>
            <w:webHidden/>
          </w:rPr>
          <w:t>75</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66" w:history="1">
        <w:r w:rsidR="001934AC" w:rsidRPr="004C263E">
          <w:rPr>
            <w:rStyle w:val="Hyperlink"/>
            <w:noProof/>
          </w:rPr>
          <w:t>5.3.1.2</w:t>
        </w:r>
        <w:r w:rsidR="001934AC">
          <w:rPr>
            <w:rFonts w:asciiTheme="minorHAnsi" w:hAnsiTheme="minorHAnsi"/>
            <w:noProof/>
            <w:sz w:val="22"/>
            <w:szCs w:val="22"/>
            <w:lang w:bidi="ar-SA"/>
          </w:rPr>
          <w:tab/>
        </w:r>
        <w:r w:rsidR="001934AC" w:rsidRPr="004C263E">
          <w:rPr>
            <w:rStyle w:val="Hyperlink"/>
            <w:noProof/>
          </w:rPr>
          <w:t>ELISAs</w:t>
        </w:r>
        <w:r w:rsidR="001934AC">
          <w:rPr>
            <w:noProof/>
            <w:webHidden/>
          </w:rPr>
          <w:tab/>
        </w:r>
        <w:r w:rsidR="000E239B">
          <w:rPr>
            <w:noProof/>
            <w:webHidden/>
          </w:rPr>
          <w:fldChar w:fldCharType="begin"/>
        </w:r>
        <w:r w:rsidR="001934AC">
          <w:rPr>
            <w:noProof/>
            <w:webHidden/>
          </w:rPr>
          <w:instrText xml:space="preserve"> PAGEREF _Toc372538766 \h </w:instrText>
        </w:r>
        <w:r w:rsidR="000E239B">
          <w:rPr>
            <w:noProof/>
            <w:webHidden/>
          </w:rPr>
        </w:r>
        <w:r w:rsidR="000E239B">
          <w:rPr>
            <w:noProof/>
            <w:webHidden/>
          </w:rPr>
          <w:fldChar w:fldCharType="separate"/>
        </w:r>
        <w:r>
          <w:rPr>
            <w:noProof/>
            <w:webHidden/>
          </w:rPr>
          <w:t>77</w:t>
        </w:r>
        <w:r w:rsidR="000E239B">
          <w:rPr>
            <w:noProof/>
            <w:webHidden/>
          </w:rPr>
          <w:fldChar w:fldCharType="end"/>
        </w:r>
      </w:hyperlink>
    </w:p>
    <w:p w:rsidR="001934AC" w:rsidRDefault="002E77C7">
      <w:pPr>
        <w:pStyle w:val="TOC3"/>
        <w:tabs>
          <w:tab w:val="left" w:pos="1540"/>
        </w:tabs>
        <w:rPr>
          <w:rFonts w:asciiTheme="minorHAnsi" w:hAnsiTheme="minorHAnsi"/>
          <w:noProof/>
          <w:sz w:val="22"/>
          <w:szCs w:val="22"/>
          <w:lang w:bidi="ar-SA"/>
        </w:rPr>
      </w:pPr>
      <w:hyperlink w:anchor="_Toc372538767" w:history="1">
        <w:r w:rsidR="001934AC" w:rsidRPr="004C263E">
          <w:rPr>
            <w:rStyle w:val="Hyperlink"/>
            <w:noProof/>
          </w:rPr>
          <w:t>5.3.2</w:t>
        </w:r>
        <w:r w:rsidR="001934AC">
          <w:rPr>
            <w:rFonts w:asciiTheme="minorHAnsi" w:hAnsiTheme="minorHAnsi"/>
            <w:noProof/>
            <w:sz w:val="22"/>
            <w:szCs w:val="22"/>
            <w:lang w:bidi="ar-SA"/>
          </w:rPr>
          <w:tab/>
        </w:r>
        <w:r w:rsidR="001934AC" w:rsidRPr="004C263E">
          <w:rPr>
            <w:rStyle w:val="Hyperlink"/>
            <w:noProof/>
          </w:rPr>
          <w:t>Samples</w:t>
        </w:r>
        <w:r w:rsidR="001934AC">
          <w:rPr>
            <w:noProof/>
            <w:webHidden/>
          </w:rPr>
          <w:tab/>
        </w:r>
        <w:r w:rsidR="000E239B">
          <w:rPr>
            <w:noProof/>
            <w:webHidden/>
          </w:rPr>
          <w:fldChar w:fldCharType="begin"/>
        </w:r>
        <w:r w:rsidR="001934AC">
          <w:rPr>
            <w:noProof/>
            <w:webHidden/>
          </w:rPr>
          <w:instrText xml:space="preserve"> PAGEREF _Toc372538767 \h </w:instrText>
        </w:r>
        <w:r w:rsidR="000E239B">
          <w:rPr>
            <w:noProof/>
            <w:webHidden/>
          </w:rPr>
        </w:r>
        <w:r w:rsidR="000E239B">
          <w:rPr>
            <w:noProof/>
            <w:webHidden/>
          </w:rPr>
          <w:fldChar w:fldCharType="separate"/>
        </w:r>
        <w:r>
          <w:rPr>
            <w:noProof/>
            <w:webHidden/>
          </w:rPr>
          <w:t>78</w:t>
        </w:r>
        <w:r w:rsidR="000E239B">
          <w:rPr>
            <w:noProof/>
            <w:webHidden/>
          </w:rPr>
          <w:fldChar w:fldCharType="end"/>
        </w:r>
      </w:hyperlink>
    </w:p>
    <w:p w:rsidR="001934AC" w:rsidRDefault="002E77C7">
      <w:pPr>
        <w:pStyle w:val="TOC3"/>
        <w:tabs>
          <w:tab w:val="left" w:pos="1540"/>
        </w:tabs>
        <w:rPr>
          <w:rFonts w:asciiTheme="minorHAnsi" w:hAnsiTheme="minorHAnsi"/>
          <w:noProof/>
          <w:sz w:val="22"/>
          <w:szCs w:val="22"/>
          <w:lang w:bidi="ar-SA"/>
        </w:rPr>
      </w:pPr>
      <w:hyperlink w:anchor="_Toc372538768" w:history="1">
        <w:r w:rsidR="001934AC" w:rsidRPr="004C263E">
          <w:rPr>
            <w:rStyle w:val="Hyperlink"/>
            <w:noProof/>
          </w:rPr>
          <w:t>5.3.3</w:t>
        </w:r>
        <w:r w:rsidR="001934AC">
          <w:rPr>
            <w:rFonts w:asciiTheme="minorHAnsi" w:hAnsiTheme="minorHAnsi"/>
            <w:noProof/>
            <w:sz w:val="22"/>
            <w:szCs w:val="22"/>
            <w:lang w:bidi="ar-SA"/>
          </w:rPr>
          <w:tab/>
        </w:r>
        <w:r w:rsidR="001934AC" w:rsidRPr="004C263E">
          <w:rPr>
            <w:rStyle w:val="Hyperlink"/>
            <w:noProof/>
          </w:rPr>
          <w:t>Sample preparation</w:t>
        </w:r>
        <w:r w:rsidR="001934AC">
          <w:rPr>
            <w:noProof/>
            <w:webHidden/>
          </w:rPr>
          <w:tab/>
        </w:r>
        <w:r w:rsidR="000E239B">
          <w:rPr>
            <w:noProof/>
            <w:webHidden/>
          </w:rPr>
          <w:fldChar w:fldCharType="begin"/>
        </w:r>
        <w:r w:rsidR="001934AC">
          <w:rPr>
            <w:noProof/>
            <w:webHidden/>
          </w:rPr>
          <w:instrText xml:space="preserve"> PAGEREF _Toc372538768 \h </w:instrText>
        </w:r>
        <w:r w:rsidR="000E239B">
          <w:rPr>
            <w:noProof/>
            <w:webHidden/>
          </w:rPr>
        </w:r>
        <w:r w:rsidR="000E239B">
          <w:rPr>
            <w:noProof/>
            <w:webHidden/>
          </w:rPr>
          <w:fldChar w:fldCharType="separate"/>
        </w:r>
        <w:r>
          <w:rPr>
            <w:noProof/>
            <w:webHidden/>
          </w:rPr>
          <w:t>80</w:t>
        </w:r>
        <w:r w:rsidR="000E239B">
          <w:rPr>
            <w:noProof/>
            <w:webHidden/>
          </w:rPr>
          <w:fldChar w:fldCharType="end"/>
        </w:r>
      </w:hyperlink>
    </w:p>
    <w:p w:rsidR="001934AC" w:rsidRDefault="002E77C7">
      <w:pPr>
        <w:pStyle w:val="TOC3"/>
        <w:tabs>
          <w:tab w:val="left" w:pos="1540"/>
        </w:tabs>
        <w:rPr>
          <w:rFonts w:asciiTheme="minorHAnsi" w:hAnsiTheme="minorHAnsi"/>
          <w:noProof/>
          <w:sz w:val="22"/>
          <w:szCs w:val="22"/>
          <w:lang w:bidi="ar-SA"/>
        </w:rPr>
      </w:pPr>
      <w:hyperlink w:anchor="_Toc372538769" w:history="1">
        <w:r w:rsidR="001934AC" w:rsidRPr="004C263E">
          <w:rPr>
            <w:rStyle w:val="Hyperlink"/>
            <w:noProof/>
          </w:rPr>
          <w:t>5.3.4</w:t>
        </w:r>
        <w:r w:rsidR="001934AC">
          <w:rPr>
            <w:rFonts w:asciiTheme="minorHAnsi" w:hAnsiTheme="minorHAnsi"/>
            <w:noProof/>
            <w:sz w:val="22"/>
            <w:szCs w:val="22"/>
            <w:lang w:bidi="ar-SA"/>
          </w:rPr>
          <w:tab/>
        </w:r>
        <w:r w:rsidR="001934AC" w:rsidRPr="004C263E">
          <w:rPr>
            <w:rStyle w:val="Hyperlink"/>
            <w:noProof/>
          </w:rPr>
          <w:t>Instrumentation</w:t>
        </w:r>
        <w:r w:rsidR="001934AC">
          <w:rPr>
            <w:noProof/>
            <w:webHidden/>
          </w:rPr>
          <w:tab/>
        </w:r>
        <w:r w:rsidR="000E239B">
          <w:rPr>
            <w:noProof/>
            <w:webHidden/>
          </w:rPr>
          <w:fldChar w:fldCharType="begin"/>
        </w:r>
        <w:r w:rsidR="001934AC">
          <w:rPr>
            <w:noProof/>
            <w:webHidden/>
          </w:rPr>
          <w:instrText xml:space="preserve"> PAGEREF _Toc372538769 \h </w:instrText>
        </w:r>
        <w:r w:rsidR="000E239B">
          <w:rPr>
            <w:noProof/>
            <w:webHidden/>
          </w:rPr>
        </w:r>
        <w:r w:rsidR="000E239B">
          <w:rPr>
            <w:noProof/>
            <w:webHidden/>
          </w:rPr>
          <w:fldChar w:fldCharType="separate"/>
        </w:r>
        <w:r>
          <w:rPr>
            <w:noProof/>
            <w:webHidden/>
          </w:rPr>
          <w:t>81</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70" w:history="1">
        <w:r w:rsidR="001934AC" w:rsidRPr="004C263E">
          <w:rPr>
            <w:rStyle w:val="Hyperlink"/>
            <w:noProof/>
          </w:rPr>
          <w:t>5.3.4.1</w:t>
        </w:r>
        <w:r w:rsidR="001934AC">
          <w:rPr>
            <w:rFonts w:asciiTheme="minorHAnsi" w:hAnsiTheme="minorHAnsi"/>
            <w:noProof/>
            <w:sz w:val="22"/>
            <w:szCs w:val="22"/>
            <w:lang w:bidi="ar-SA"/>
          </w:rPr>
          <w:tab/>
        </w:r>
        <w:r w:rsidR="001934AC" w:rsidRPr="004C263E">
          <w:rPr>
            <w:rStyle w:val="Hyperlink"/>
            <w:noProof/>
          </w:rPr>
          <w:t>ELISA</w:t>
        </w:r>
        <w:r w:rsidR="001934AC">
          <w:rPr>
            <w:noProof/>
            <w:webHidden/>
          </w:rPr>
          <w:tab/>
        </w:r>
        <w:r w:rsidR="000E239B">
          <w:rPr>
            <w:noProof/>
            <w:webHidden/>
          </w:rPr>
          <w:fldChar w:fldCharType="begin"/>
        </w:r>
        <w:r w:rsidR="001934AC">
          <w:rPr>
            <w:noProof/>
            <w:webHidden/>
          </w:rPr>
          <w:instrText xml:space="preserve"> PAGEREF _Toc372538770 \h </w:instrText>
        </w:r>
        <w:r w:rsidR="000E239B">
          <w:rPr>
            <w:noProof/>
            <w:webHidden/>
          </w:rPr>
        </w:r>
        <w:r w:rsidR="000E239B">
          <w:rPr>
            <w:noProof/>
            <w:webHidden/>
          </w:rPr>
          <w:fldChar w:fldCharType="separate"/>
        </w:r>
        <w:r>
          <w:rPr>
            <w:noProof/>
            <w:webHidden/>
          </w:rPr>
          <w:t>81</w:t>
        </w:r>
        <w:r w:rsidR="000E239B">
          <w:rPr>
            <w:noProof/>
            <w:webHidden/>
          </w:rPr>
          <w:fldChar w:fldCharType="end"/>
        </w:r>
      </w:hyperlink>
    </w:p>
    <w:p w:rsidR="001934AC" w:rsidRDefault="002E77C7">
      <w:pPr>
        <w:pStyle w:val="TOC4"/>
        <w:tabs>
          <w:tab w:val="left" w:pos="1960"/>
        </w:tabs>
        <w:rPr>
          <w:rFonts w:asciiTheme="minorHAnsi" w:hAnsiTheme="minorHAnsi"/>
          <w:noProof/>
          <w:sz w:val="22"/>
          <w:szCs w:val="22"/>
          <w:lang w:bidi="ar-SA"/>
        </w:rPr>
      </w:pPr>
      <w:hyperlink w:anchor="_Toc372538771" w:history="1">
        <w:r w:rsidR="001934AC" w:rsidRPr="004C263E">
          <w:rPr>
            <w:rStyle w:val="Hyperlink"/>
            <w:noProof/>
          </w:rPr>
          <w:t>5.3.4.2</w:t>
        </w:r>
        <w:r w:rsidR="001934AC">
          <w:rPr>
            <w:rFonts w:asciiTheme="minorHAnsi" w:hAnsiTheme="minorHAnsi"/>
            <w:noProof/>
            <w:sz w:val="22"/>
            <w:szCs w:val="22"/>
            <w:lang w:bidi="ar-SA"/>
          </w:rPr>
          <w:tab/>
        </w:r>
        <w:r w:rsidR="001934AC" w:rsidRPr="004C263E">
          <w:rPr>
            <w:rStyle w:val="Hyperlink"/>
            <w:noProof/>
          </w:rPr>
          <w:t>LC-MS</w:t>
        </w:r>
        <w:r w:rsidR="001934AC">
          <w:rPr>
            <w:noProof/>
            <w:webHidden/>
          </w:rPr>
          <w:tab/>
        </w:r>
        <w:r w:rsidR="000E239B">
          <w:rPr>
            <w:noProof/>
            <w:webHidden/>
          </w:rPr>
          <w:fldChar w:fldCharType="begin"/>
        </w:r>
        <w:r w:rsidR="001934AC">
          <w:rPr>
            <w:noProof/>
            <w:webHidden/>
          </w:rPr>
          <w:instrText xml:space="preserve"> PAGEREF _Toc372538771 \h </w:instrText>
        </w:r>
        <w:r w:rsidR="000E239B">
          <w:rPr>
            <w:noProof/>
            <w:webHidden/>
          </w:rPr>
        </w:r>
        <w:r w:rsidR="000E239B">
          <w:rPr>
            <w:noProof/>
            <w:webHidden/>
          </w:rPr>
          <w:fldChar w:fldCharType="separate"/>
        </w:r>
        <w:r>
          <w:rPr>
            <w:noProof/>
            <w:webHidden/>
          </w:rPr>
          <w:t>81</w:t>
        </w:r>
        <w:r w:rsidR="000E239B">
          <w:rPr>
            <w:noProof/>
            <w:webHidden/>
          </w:rPr>
          <w:fldChar w:fldCharType="end"/>
        </w:r>
      </w:hyperlink>
    </w:p>
    <w:p w:rsidR="001934AC" w:rsidRDefault="002E77C7">
      <w:pPr>
        <w:pStyle w:val="TOC3"/>
        <w:tabs>
          <w:tab w:val="left" w:pos="1540"/>
        </w:tabs>
        <w:rPr>
          <w:rFonts w:asciiTheme="minorHAnsi" w:hAnsiTheme="minorHAnsi"/>
          <w:noProof/>
          <w:sz w:val="22"/>
          <w:szCs w:val="22"/>
          <w:lang w:bidi="ar-SA"/>
        </w:rPr>
      </w:pPr>
      <w:hyperlink w:anchor="_Toc372538772" w:history="1">
        <w:r w:rsidR="001934AC" w:rsidRPr="004C263E">
          <w:rPr>
            <w:rStyle w:val="Hyperlink"/>
            <w:noProof/>
          </w:rPr>
          <w:t>5.3.5</w:t>
        </w:r>
        <w:r w:rsidR="001934AC">
          <w:rPr>
            <w:rFonts w:asciiTheme="minorHAnsi" w:hAnsiTheme="minorHAnsi"/>
            <w:noProof/>
            <w:sz w:val="22"/>
            <w:szCs w:val="22"/>
            <w:lang w:bidi="ar-SA"/>
          </w:rPr>
          <w:tab/>
        </w:r>
        <w:r w:rsidR="001934AC" w:rsidRPr="004C263E">
          <w:rPr>
            <w:rStyle w:val="Hyperlink"/>
            <w:noProof/>
          </w:rPr>
          <w:t>QC Samples</w:t>
        </w:r>
        <w:r w:rsidR="001934AC">
          <w:rPr>
            <w:noProof/>
            <w:webHidden/>
          </w:rPr>
          <w:tab/>
        </w:r>
        <w:r w:rsidR="000E239B">
          <w:rPr>
            <w:noProof/>
            <w:webHidden/>
          </w:rPr>
          <w:fldChar w:fldCharType="begin"/>
        </w:r>
        <w:r w:rsidR="001934AC">
          <w:rPr>
            <w:noProof/>
            <w:webHidden/>
          </w:rPr>
          <w:instrText xml:space="preserve"> PAGEREF _Toc372538772 \h </w:instrText>
        </w:r>
        <w:r w:rsidR="000E239B">
          <w:rPr>
            <w:noProof/>
            <w:webHidden/>
          </w:rPr>
        </w:r>
        <w:r w:rsidR="000E239B">
          <w:rPr>
            <w:noProof/>
            <w:webHidden/>
          </w:rPr>
          <w:fldChar w:fldCharType="separate"/>
        </w:r>
        <w:r>
          <w:rPr>
            <w:noProof/>
            <w:webHidden/>
          </w:rPr>
          <w:t>83</w:t>
        </w:r>
        <w:r w:rsidR="000E239B">
          <w:rPr>
            <w:noProof/>
            <w:webHidden/>
          </w:rPr>
          <w:fldChar w:fldCharType="end"/>
        </w:r>
      </w:hyperlink>
    </w:p>
    <w:p w:rsidR="001934AC" w:rsidRDefault="002E77C7">
      <w:pPr>
        <w:pStyle w:val="TOC2"/>
        <w:rPr>
          <w:rFonts w:asciiTheme="minorHAnsi" w:hAnsiTheme="minorHAnsi"/>
          <w:bCs w:val="0"/>
          <w:noProof/>
          <w:sz w:val="22"/>
          <w:szCs w:val="22"/>
          <w:lang w:bidi="ar-SA"/>
        </w:rPr>
      </w:pPr>
      <w:hyperlink w:anchor="_Toc372538773" w:history="1">
        <w:r w:rsidR="001934AC" w:rsidRPr="004C263E">
          <w:rPr>
            <w:rStyle w:val="Hyperlink"/>
            <w:noProof/>
          </w:rPr>
          <w:t>5.4</w:t>
        </w:r>
        <w:r w:rsidR="001934AC">
          <w:rPr>
            <w:rFonts w:asciiTheme="minorHAnsi" w:hAnsiTheme="minorHAnsi"/>
            <w:bCs w:val="0"/>
            <w:noProof/>
            <w:sz w:val="22"/>
            <w:szCs w:val="22"/>
            <w:lang w:bidi="ar-SA"/>
          </w:rPr>
          <w:tab/>
        </w:r>
        <w:r w:rsidR="001934AC" w:rsidRPr="004C263E">
          <w:rPr>
            <w:rStyle w:val="Hyperlink"/>
            <w:noProof/>
          </w:rPr>
          <w:t>Results and Discussion</w:t>
        </w:r>
        <w:r w:rsidR="001934AC">
          <w:rPr>
            <w:noProof/>
            <w:webHidden/>
          </w:rPr>
          <w:tab/>
        </w:r>
        <w:r w:rsidR="000E239B">
          <w:rPr>
            <w:noProof/>
            <w:webHidden/>
          </w:rPr>
          <w:fldChar w:fldCharType="begin"/>
        </w:r>
        <w:r w:rsidR="001934AC">
          <w:rPr>
            <w:noProof/>
            <w:webHidden/>
          </w:rPr>
          <w:instrText xml:space="preserve"> PAGEREF _Toc372538773 \h </w:instrText>
        </w:r>
        <w:r w:rsidR="000E239B">
          <w:rPr>
            <w:noProof/>
            <w:webHidden/>
          </w:rPr>
        </w:r>
        <w:r w:rsidR="000E239B">
          <w:rPr>
            <w:noProof/>
            <w:webHidden/>
          </w:rPr>
          <w:fldChar w:fldCharType="separate"/>
        </w:r>
        <w:r>
          <w:rPr>
            <w:noProof/>
            <w:webHidden/>
          </w:rPr>
          <w:t>83</w:t>
        </w:r>
        <w:r w:rsidR="000E239B">
          <w:rPr>
            <w:noProof/>
            <w:webHidden/>
          </w:rPr>
          <w:fldChar w:fldCharType="end"/>
        </w:r>
      </w:hyperlink>
    </w:p>
    <w:p w:rsidR="001934AC" w:rsidRDefault="002E77C7">
      <w:pPr>
        <w:pStyle w:val="TOC2"/>
        <w:rPr>
          <w:rFonts w:asciiTheme="minorHAnsi" w:hAnsiTheme="minorHAnsi"/>
          <w:bCs w:val="0"/>
          <w:noProof/>
          <w:sz w:val="22"/>
          <w:szCs w:val="22"/>
          <w:lang w:bidi="ar-SA"/>
        </w:rPr>
      </w:pPr>
      <w:hyperlink w:anchor="_Toc372538774" w:history="1">
        <w:r w:rsidR="001934AC" w:rsidRPr="004C263E">
          <w:rPr>
            <w:rStyle w:val="Hyperlink"/>
            <w:noProof/>
          </w:rPr>
          <w:t>5.5</w:t>
        </w:r>
        <w:r w:rsidR="001934AC">
          <w:rPr>
            <w:rFonts w:asciiTheme="minorHAnsi" w:hAnsiTheme="minorHAnsi"/>
            <w:bCs w:val="0"/>
            <w:noProof/>
            <w:sz w:val="22"/>
            <w:szCs w:val="22"/>
            <w:lang w:bidi="ar-SA"/>
          </w:rPr>
          <w:tab/>
        </w:r>
        <w:r w:rsidR="001934AC" w:rsidRPr="004C263E">
          <w:rPr>
            <w:rStyle w:val="Hyperlink"/>
            <w:noProof/>
          </w:rPr>
          <w:t>Conclusions</w:t>
        </w:r>
        <w:r w:rsidR="001934AC">
          <w:rPr>
            <w:noProof/>
            <w:webHidden/>
          </w:rPr>
          <w:tab/>
        </w:r>
        <w:r w:rsidR="000E239B">
          <w:rPr>
            <w:noProof/>
            <w:webHidden/>
          </w:rPr>
          <w:fldChar w:fldCharType="begin"/>
        </w:r>
        <w:r w:rsidR="001934AC">
          <w:rPr>
            <w:noProof/>
            <w:webHidden/>
          </w:rPr>
          <w:instrText xml:space="preserve"> PAGEREF _Toc372538774 \h </w:instrText>
        </w:r>
        <w:r w:rsidR="000E239B">
          <w:rPr>
            <w:noProof/>
            <w:webHidden/>
          </w:rPr>
        </w:r>
        <w:r w:rsidR="000E239B">
          <w:rPr>
            <w:noProof/>
            <w:webHidden/>
          </w:rPr>
          <w:fldChar w:fldCharType="separate"/>
        </w:r>
        <w:r>
          <w:rPr>
            <w:noProof/>
            <w:webHidden/>
          </w:rPr>
          <w:t>88</w:t>
        </w:r>
        <w:r w:rsidR="000E239B">
          <w:rPr>
            <w:noProof/>
            <w:webHidden/>
          </w:rPr>
          <w:fldChar w:fldCharType="end"/>
        </w:r>
      </w:hyperlink>
    </w:p>
    <w:p w:rsidR="001934AC" w:rsidRDefault="002E77C7">
      <w:pPr>
        <w:pStyle w:val="TOC1"/>
        <w:rPr>
          <w:rFonts w:asciiTheme="minorHAnsi" w:hAnsiTheme="minorHAnsi"/>
          <w:bCs w:val="0"/>
          <w:caps w:val="0"/>
          <w:noProof/>
          <w:sz w:val="22"/>
          <w:szCs w:val="22"/>
          <w:lang w:bidi="ar-SA"/>
        </w:rPr>
      </w:pPr>
      <w:hyperlink w:anchor="_Toc372538775" w:history="1">
        <w:r w:rsidR="001934AC" w:rsidRPr="004C263E">
          <w:rPr>
            <w:rStyle w:val="Hyperlink"/>
            <w:noProof/>
          </w:rPr>
          <w:t>6.</w:t>
        </w:r>
        <w:r w:rsidR="001934AC">
          <w:rPr>
            <w:rFonts w:asciiTheme="minorHAnsi" w:hAnsiTheme="minorHAnsi"/>
            <w:bCs w:val="0"/>
            <w:caps w:val="0"/>
            <w:noProof/>
            <w:sz w:val="22"/>
            <w:szCs w:val="22"/>
            <w:lang w:bidi="ar-SA"/>
          </w:rPr>
          <w:tab/>
        </w:r>
        <w:r w:rsidR="001934AC" w:rsidRPr="004C263E">
          <w:rPr>
            <w:rStyle w:val="Hyperlink"/>
            <w:noProof/>
          </w:rPr>
          <w:t>SUMMARY AND PROSPECT</w:t>
        </w:r>
        <w:r w:rsidR="001934AC">
          <w:rPr>
            <w:noProof/>
            <w:webHidden/>
          </w:rPr>
          <w:tab/>
        </w:r>
        <w:r w:rsidR="000E239B">
          <w:rPr>
            <w:noProof/>
            <w:webHidden/>
          </w:rPr>
          <w:fldChar w:fldCharType="begin"/>
        </w:r>
        <w:r w:rsidR="001934AC">
          <w:rPr>
            <w:noProof/>
            <w:webHidden/>
          </w:rPr>
          <w:instrText xml:space="preserve"> PAGEREF _Toc372538775 \h </w:instrText>
        </w:r>
        <w:r w:rsidR="000E239B">
          <w:rPr>
            <w:noProof/>
            <w:webHidden/>
          </w:rPr>
        </w:r>
        <w:r w:rsidR="000E239B">
          <w:rPr>
            <w:noProof/>
            <w:webHidden/>
          </w:rPr>
          <w:fldChar w:fldCharType="separate"/>
        </w:r>
        <w:r>
          <w:rPr>
            <w:noProof/>
            <w:webHidden/>
          </w:rPr>
          <w:t>89</w:t>
        </w:r>
        <w:r w:rsidR="000E239B">
          <w:rPr>
            <w:noProof/>
            <w:webHidden/>
          </w:rPr>
          <w:fldChar w:fldCharType="end"/>
        </w:r>
      </w:hyperlink>
    </w:p>
    <w:p w:rsidR="001934AC" w:rsidRDefault="002E77C7">
      <w:pPr>
        <w:pStyle w:val="TOC1"/>
        <w:rPr>
          <w:rFonts w:asciiTheme="minorHAnsi" w:hAnsiTheme="minorHAnsi"/>
          <w:bCs w:val="0"/>
          <w:caps w:val="0"/>
          <w:noProof/>
          <w:sz w:val="22"/>
          <w:szCs w:val="22"/>
          <w:lang w:bidi="ar-SA"/>
        </w:rPr>
      </w:pPr>
      <w:hyperlink w:anchor="_Toc372538776" w:history="1">
        <w:r w:rsidR="001934AC" w:rsidRPr="004C263E">
          <w:rPr>
            <w:rStyle w:val="Hyperlink"/>
            <w:noProof/>
          </w:rPr>
          <w:t>REFERENCES</w:t>
        </w:r>
        <w:r w:rsidR="001934AC">
          <w:rPr>
            <w:noProof/>
            <w:webHidden/>
          </w:rPr>
          <w:tab/>
        </w:r>
        <w:r w:rsidR="000E239B">
          <w:rPr>
            <w:noProof/>
            <w:webHidden/>
          </w:rPr>
          <w:fldChar w:fldCharType="begin"/>
        </w:r>
        <w:r w:rsidR="001934AC">
          <w:rPr>
            <w:noProof/>
            <w:webHidden/>
          </w:rPr>
          <w:instrText xml:space="preserve"> PAGEREF _Toc372538776 \h </w:instrText>
        </w:r>
        <w:r w:rsidR="000E239B">
          <w:rPr>
            <w:noProof/>
            <w:webHidden/>
          </w:rPr>
        </w:r>
        <w:r w:rsidR="000E239B">
          <w:rPr>
            <w:noProof/>
            <w:webHidden/>
          </w:rPr>
          <w:fldChar w:fldCharType="separate"/>
        </w:r>
        <w:r>
          <w:rPr>
            <w:noProof/>
            <w:webHidden/>
          </w:rPr>
          <w:t>91</w:t>
        </w:r>
        <w:r w:rsidR="000E239B">
          <w:rPr>
            <w:noProof/>
            <w:webHidden/>
          </w:rPr>
          <w:fldChar w:fldCharType="end"/>
        </w:r>
      </w:hyperlink>
    </w:p>
    <w:p w:rsidR="001934AC" w:rsidRDefault="002E77C7">
      <w:pPr>
        <w:pStyle w:val="TOC1"/>
        <w:rPr>
          <w:rFonts w:asciiTheme="minorHAnsi" w:hAnsiTheme="minorHAnsi"/>
          <w:bCs w:val="0"/>
          <w:caps w:val="0"/>
          <w:noProof/>
          <w:sz w:val="22"/>
          <w:szCs w:val="22"/>
          <w:lang w:bidi="ar-SA"/>
        </w:rPr>
      </w:pPr>
      <w:hyperlink w:anchor="_Toc372538777" w:history="1">
        <w:r w:rsidR="001934AC" w:rsidRPr="004C263E">
          <w:rPr>
            <w:rStyle w:val="Hyperlink"/>
            <w:noProof/>
          </w:rPr>
          <w:t>APPENDICES</w:t>
        </w:r>
        <w:r w:rsidR="001934AC">
          <w:rPr>
            <w:noProof/>
            <w:webHidden/>
          </w:rPr>
          <w:tab/>
        </w:r>
        <w:r w:rsidR="000E239B">
          <w:rPr>
            <w:noProof/>
            <w:webHidden/>
          </w:rPr>
          <w:fldChar w:fldCharType="begin"/>
        </w:r>
        <w:r w:rsidR="001934AC">
          <w:rPr>
            <w:noProof/>
            <w:webHidden/>
          </w:rPr>
          <w:instrText xml:space="preserve"> PAGEREF _Toc372538777 \h </w:instrText>
        </w:r>
        <w:r w:rsidR="000E239B">
          <w:rPr>
            <w:noProof/>
            <w:webHidden/>
          </w:rPr>
        </w:r>
        <w:r w:rsidR="000E239B">
          <w:rPr>
            <w:noProof/>
            <w:webHidden/>
          </w:rPr>
          <w:fldChar w:fldCharType="separate"/>
        </w:r>
        <w:r>
          <w:rPr>
            <w:noProof/>
            <w:webHidden/>
          </w:rPr>
          <w:t>106</w:t>
        </w:r>
        <w:r w:rsidR="000E239B">
          <w:rPr>
            <w:noProof/>
            <w:webHidden/>
          </w:rPr>
          <w:fldChar w:fldCharType="end"/>
        </w:r>
      </w:hyperlink>
    </w:p>
    <w:p w:rsidR="001934AC" w:rsidRDefault="002E77C7">
      <w:pPr>
        <w:pStyle w:val="TOC1"/>
        <w:rPr>
          <w:rFonts w:asciiTheme="minorHAnsi" w:hAnsiTheme="minorHAnsi"/>
          <w:bCs w:val="0"/>
          <w:caps w:val="0"/>
          <w:noProof/>
          <w:sz w:val="22"/>
          <w:szCs w:val="22"/>
          <w:lang w:bidi="ar-SA"/>
        </w:rPr>
      </w:pPr>
      <w:hyperlink w:anchor="_Toc372538778" w:history="1">
        <w:r w:rsidR="001934AC" w:rsidRPr="004C263E">
          <w:rPr>
            <w:rStyle w:val="Hyperlink"/>
            <w:noProof/>
          </w:rPr>
          <w:t>VITA</w:t>
        </w:r>
        <w:r w:rsidR="001934AC">
          <w:rPr>
            <w:noProof/>
            <w:webHidden/>
          </w:rPr>
          <w:tab/>
        </w:r>
        <w:r w:rsidR="000E239B">
          <w:rPr>
            <w:noProof/>
            <w:webHidden/>
          </w:rPr>
          <w:fldChar w:fldCharType="begin"/>
        </w:r>
        <w:r w:rsidR="001934AC">
          <w:rPr>
            <w:noProof/>
            <w:webHidden/>
          </w:rPr>
          <w:instrText xml:space="preserve"> PAGEREF _Toc372538778 \h </w:instrText>
        </w:r>
        <w:r w:rsidR="000E239B">
          <w:rPr>
            <w:noProof/>
            <w:webHidden/>
          </w:rPr>
        </w:r>
        <w:r w:rsidR="000E239B">
          <w:rPr>
            <w:noProof/>
            <w:webHidden/>
          </w:rPr>
          <w:fldChar w:fldCharType="separate"/>
        </w:r>
        <w:r>
          <w:rPr>
            <w:noProof/>
            <w:webHidden/>
          </w:rPr>
          <w:t>126</w:t>
        </w:r>
        <w:r w:rsidR="000E239B">
          <w:rPr>
            <w:noProof/>
            <w:webHidden/>
          </w:rPr>
          <w:fldChar w:fldCharType="end"/>
        </w:r>
      </w:hyperlink>
    </w:p>
    <w:p w:rsidR="00593C41" w:rsidRPr="00F97B2D" w:rsidRDefault="000E239B">
      <w:pPr>
        <w:rPr>
          <w:szCs w:val="24"/>
        </w:rPr>
      </w:pPr>
      <w:r>
        <w:fldChar w:fldCharType="end"/>
      </w:r>
      <w:r w:rsidR="00593C41" w:rsidRPr="00F97B2D">
        <w:rPr>
          <w:szCs w:val="24"/>
        </w:rPr>
        <w:br w:type="page"/>
      </w:r>
    </w:p>
    <w:p w:rsidR="00F96293" w:rsidRDefault="00D10C11" w:rsidP="00861B70">
      <w:pPr>
        <w:jc w:val="center"/>
        <w:rPr>
          <w:szCs w:val="24"/>
        </w:rPr>
      </w:pPr>
      <w:r w:rsidRPr="00F97B2D">
        <w:rPr>
          <w:szCs w:val="24"/>
        </w:rPr>
        <w:t>LIST OF TABLES</w:t>
      </w:r>
      <w:bookmarkStart w:id="2" w:name="_Toc354740986"/>
      <w:bookmarkStart w:id="3" w:name="_Toc354742743"/>
      <w:bookmarkEnd w:id="0"/>
      <w:bookmarkEnd w:id="1"/>
    </w:p>
    <w:p w:rsidR="00D661C3" w:rsidRPr="00F97B2D" w:rsidRDefault="00D661C3" w:rsidP="00D661C3">
      <w:pPr>
        <w:rPr>
          <w:rFonts w:cs="Times New Roman"/>
          <w:szCs w:val="24"/>
        </w:rPr>
      </w:pPr>
      <w:r>
        <w:rPr>
          <w:szCs w:val="24"/>
        </w:rPr>
        <w:t>TABLE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PAGE</w:t>
      </w:r>
    </w:p>
    <w:bookmarkStart w:id="4" w:name="_Toc354740987"/>
    <w:bookmarkStart w:id="5" w:name="_Toc354742744"/>
    <w:bookmarkEnd w:id="2"/>
    <w:bookmarkEnd w:id="3"/>
    <w:p w:rsidR="00420938" w:rsidRDefault="000E239B">
      <w:pPr>
        <w:pStyle w:val="TableofFigures"/>
        <w:tabs>
          <w:tab w:val="right" w:leader="dot" w:pos="8630"/>
        </w:tabs>
        <w:rPr>
          <w:rFonts w:asciiTheme="minorHAnsi" w:hAnsiTheme="minorHAnsi"/>
          <w:noProof/>
          <w:sz w:val="22"/>
          <w:lang w:bidi="ar-SA"/>
        </w:rPr>
      </w:pPr>
      <w:r>
        <w:rPr>
          <w:szCs w:val="24"/>
        </w:rPr>
        <w:fldChar w:fldCharType="begin"/>
      </w:r>
      <w:r w:rsidR="00A61D75">
        <w:rPr>
          <w:szCs w:val="24"/>
        </w:rPr>
        <w:instrText xml:space="preserve"> TOC \h \z \c "Table" </w:instrText>
      </w:r>
      <w:r>
        <w:rPr>
          <w:szCs w:val="24"/>
        </w:rPr>
        <w:fldChar w:fldCharType="separate"/>
      </w:r>
      <w:hyperlink w:anchor="_Toc372536116" w:history="1">
        <w:r w:rsidR="00420938" w:rsidRPr="00C71C21">
          <w:rPr>
            <w:rStyle w:val="Hyperlink"/>
            <w:noProof/>
          </w:rPr>
          <w:t>Table 1: Designer Drug Abbreviations and Chemical Names</w:t>
        </w:r>
        <w:r w:rsidR="00420938">
          <w:rPr>
            <w:noProof/>
            <w:webHidden/>
          </w:rPr>
          <w:tab/>
        </w:r>
        <w:r>
          <w:rPr>
            <w:noProof/>
            <w:webHidden/>
          </w:rPr>
          <w:fldChar w:fldCharType="begin"/>
        </w:r>
        <w:r w:rsidR="00420938">
          <w:rPr>
            <w:noProof/>
            <w:webHidden/>
          </w:rPr>
          <w:instrText xml:space="preserve"> PAGEREF _Toc372536116 \h </w:instrText>
        </w:r>
        <w:r>
          <w:rPr>
            <w:noProof/>
            <w:webHidden/>
          </w:rPr>
        </w:r>
        <w:r>
          <w:rPr>
            <w:noProof/>
            <w:webHidden/>
          </w:rPr>
          <w:fldChar w:fldCharType="separate"/>
        </w:r>
        <w:r w:rsidR="002E77C7">
          <w:rPr>
            <w:noProof/>
            <w:webHidden/>
          </w:rPr>
          <w:t>5</w:t>
        </w:r>
        <w:r>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17" w:history="1">
        <w:r w:rsidR="00420938" w:rsidRPr="00C71C21">
          <w:rPr>
            <w:rStyle w:val="Hyperlink"/>
            <w:noProof/>
          </w:rPr>
          <w:t>Table 2: Commercial ELISAs</w:t>
        </w:r>
        <w:r w:rsidR="00420938">
          <w:rPr>
            <w:noProof/>
            <w:webHidden/>
          </w:rPr>
          <w:tab/>
        </w:r>
        <w:r w:rsidR="000E239B">
          <w:rPr>
            <w:noProof/>
            <w:webHidden/>
          </w:rPr>
          <w:fldChar w:fldCharType="begin"/>
        </w:r>
        <w:r w:rsidR="00420938">
          <w:rPr>
            <w:noProof/>
            <w:webHidden/>
          </w:rPr>
          <w:instrText xml:space="preserve"> PAGEREF _Toc372536117 \h </w:instrText>
        </w:r>
        <w:r w:rsidR="000E239B">
          <w:rPr>
            <w:noProof/>
            <w:webHidden/>
          </w:rPr>
        </w:r>
        <w:r w:rsidR="000E239B">
          <w:rPr>
            <w:noProof/>
            <w:webHidden/>
          </w:rPr>
          <w:fldChar w:fldCharType="separate"/>
        </w:r>
        <w:r>
          <w:rPr>
            <w:noProof/>
            <w:webHidden/>
          </w:rPr>
          <w:t>32</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18" w:history="1">
        <w:r w:rsidR="00420938" w:rsidRPr="00C71C21">
          <w:rPr>
            <w:rStyle w:val="Hyperlink"/>
            <w:noProof/>
          </w:rPr>
          <w:t>Table 3: Commercial EMITs</w:t>
        </w:r>
        <w:r w:rsidR="00420938">
          <w:rPr>
            <w:noProof/>
            <w:webHidden/>
          </w:rPr>
          <w:tab/>
        </w:r>
        <w:r w:rsidR="000E239B">
          <w:rPr>
            <w:noProof/>
            <w:webHidden/>
          </w:rPr>
          <w:fldChar w:fldCharType="begin"/>
        </w:r>
        <w:r w:rsidR="00420938">
          <w:rPr>
            <w:noProof/>
            <w:webHidden/>
          </w:rPr>
          <w:instrText xml:space="preserve"> PAGEREF _Toc372536118 \h </w:instrText>
        </w:r>
        <w:r w:rsidR="000E239B">
          <w:rPr>
            <w:noProof/>
            <w:webHidden/>
          </w:rPr>
        </w:r>
        <w:r w:rsidR="000E239B">
          <w:rPr>
            <w:noProof/>
            <w:webHidden/>
          </w:rPr>
          <w:fldChar w:fldCharType="separate"/>
        </w:r>
        <w:r>
          <w:rPr>
            <w:noProof/>
            <w:webHidden/>
          </w:rPr>
          <w:t>33</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19" w:history="1">
        <w:r w:rsidR="00420938" w:rsidRPr="00C71C21">
          <w:rPr>
            <w:rStyle w:val="Hyperlink"/>
            <w:noProof/>
          </w:rPr>
          <w:t>Table 4: Summary of Cross-Reactivity Data by Assay</w:t>
        </w:r>
        <w:r w:rsidR="00420938">
          <w:rPr>
            <w:noProof/>
            <w:webHidden/>
          </w:rPr>
          <w:tab/>
        </w:r>
        <w:r w:rsidR="000E239B">
          <w:rPr>
            <w:noProof/>
            <w:webHidden/>
          </w:rPr>
          <w:fldChar w:fldCharType="begin"/>
        </w:r>
        <w:r w:rsidR="00420938">
          <w:rPr>
            <w:noProof/>
            <w:webHidden/>
          </w:rPr>
          <w:instrText xml:space="preserve"> PAGEREF _Toc372536119 \h </w:instrText>
        </w:r>
        <w:r w:rsidR="000E239B">
          <w:rPr>
            <w:noProof/>
            <w:webHidden/>
          </w:rPr>
        </w:r>
        <w:r w:rsidR="000E239B">
          <w:rPr>
            <w:noProof/>
            <w:webHidden/>
          </w:rPr>
          <w:fldChar w:fldCharType="separate"/>
        </w:r>
        <w:r>
          <w:rPr>
            <w:noProof/>
            <w:webHidden/>
          </w:rPr>
          <w:t>42</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20" w:history="1">
        <w:r w:rsidR="00420938" w:rsidRPr="00C71C21">
          <w:rPr>
            <w:rStyle w:val="Hyperlink"/>
            <w:noProof/>
          </w:rPr>
          <w:t>Table 5: Cross-Reactivity Data for EMITs</w:t>
        </w:r>
        <w:r w:rsidR="00420938">
          <w:rPr>
            <w:noProof/>
            <w:webHidden/>
          </w:rPr>
          <w:tab/>
        </w:r>
        <w:r w:rsidR="000E239B">
          <w:rPr>
            <w:noProof/>
            <w:webHidden/>
          </w:rPr>
          <w:fldChar w:fldCharType="begin"/>
        </w:r>
        <w:r w:rsidR="00420938">
          <w:rPr>
            <w:noProof/>
            <w:webHidden/>
          </w:rPr>
          <w:instrText xml:space="preserve"> PAGEREF _Toc372536120 \h </w:instrText>
        </w:r>
        <w:r w:rsidR="000E239B">
          <w:rPr>
            <w:noProof/>
            <w:webHidden/>
          </w:rPr>
        </w:r>
        <w:r w:rsidR="000E239B">
          <w:rPr>
            <w:noProof/>
            <w:webHidden/>
          </w:rPr>
          <w:fldChar w:fldCharType="separate"/>
        </w:r>
        <w:r>
          <w:rPr>
            <w:noProof/>
            <w:webHidden/>
          </w:rPr>
          <w:t>46</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21" w:history="1">
        <w:r w:rsidR="00420938" w:rsidRPr="00C71C21">
          <w:rPr>
            <w:rStyle w:val="Hyperlink"/>
            <w:noProof/>
          </w:rPr>
          <w:t>Table 6: Structures of Deuterated Internal Standards</w:t>
        </w:r>
        <w:r w:rsidR="00420938">
          <w:rPr>
            <w:noProof/>
            <w:webHidden/>
          </w:rPr>
          <w:tab/>
        </w:r>
        <w:r w:rsidR="000E239B">
          <w:rPr>
            <w:noProof/>
            <w:webHidden/>
          </w:rPr>
          <w:fldChar w:fldCharType="begin"/>
        </w:r>
        <w:r w:rsidR="00420938">
          <w:rPr>
            <w:noProof/>
            <w:webHidden/>
          </w:rPr>
          <w:instrText xml:space="preserve"> PAGEREF _Toc372536121 \h </w:instrText>
        </w:r>
        <w:r w:rsidR="000E239B">
          <w:rPr>
            <w:noProof/>
            <w:webHidden/>
          </w:rPr>
        </w:r>
        <w:r w:rsidR="000E239B">
          <w:rPr>
            <w:noProof/>
            <w:webHidden/>
          </w:rPr>
          <w:fldChar w:fldCharType="separate"/>
        </w:r>
        <w:r>
          <w:rPr>
            <w:noProof/>
            <w:webHidden/>
          </w:rPr>
          <w:t>52</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22" w:history="1">
        <w:r w:rsidR="00420938" w:rsidRPr="00C71C21">
          <w:rPr>
            <w:rStyle w:val="Hyperlink"/>
            <w:noProof/>
          </w:rPr>
          <w:t>Table 7: Summary of Validation Experiments</w:t>
        </w:r>
        <w:r w:rsidR="00420938">
          <w:rPr>
            <w:noProof/>
            <w:webHidden/>
          </w:rPr>
          <w:tab/>
        </w:r>
        <w:r w:rsidR="000E239B">
          <w:rPr>
            <w:noProof/>
            <w:webHidden/>
          </w:rPr>
          <w:fldChar w:fldCharType="begin"/>
        </w:r>
        <w:r w:rsidR="00420938">
          <w:rPr>
            <w:noProof/>
            <w:webHidden/>
          </w:rPr>
          <w:instrText xml:space="preserve"> PAGEREF _Toc372536122 \h </w:instrText>
        </w:r>
        <w:r w:rsidR="000E239B">
          <w:rPr>
            <w:noProof/>
            <w:webHidden/>
          </w:rPr>
        </w:r>
        <w:r w:rsidR="000E239B">
          <w:rPr>
            <w:noProof/>
            <w:webHidden/>
          </w:rPr>
          <w:fldChar w:fldCharType="separate"/>
        </w:r>
        <w:r>
          <w:rPr>
            <w:noProof/>
            <w:webHidden/>
          </w:rPr>
          <w:t>60</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23" w:history="1">
        <w:r w:rsidR="00420938" w:rsidRPr="00C71C21">
          <w:rPr>
            <w:rStyle w:val="Hyperlink"/>
            <w:noProof/>
          </w:rPr>
          <w:t>Table 8: Freeze-Thaw Stability of Targeted Analytes</w:t>
        </w:r>
        <w:r w:rsidR="00420938">
          <w:rPr>
            <w:noProof/>
            <w:webHidden/>
          </w:rPr>
          <w:tab/>
        </w:r>
        <w:r w:rsidR="000E239B">
          <w:rPr>
            <w:noProof/>
            <w:webHidden/>
          </w:rPr>
          <w:fldChar w:fldCharType="begin"/>
        </w:r>
        <w:r w:rsidR="00420938">
          <w:rPr>
            <w:noProof/>
            <w:webHidden/>
          </w:rPr>
          <w:instrText xml:space="preserve"> PAGEREF _Toc372536123 \h </w:instrText>
        </w:r>
        <w:r w:rsidR="000E239B">
          <w:rPr>
            <w:noProof/>
            <w:webHidden/>
          </w:rPr>
        </w:r>
        <w:r w:rsidR="000E239B">
          <w:rPr>
            <w:noProof/>
            <w:webHidden/>
          </w:rPr>
          <w:fldChar w:fldCharType="separate"/>
        </w:r>
        <w:r>
          <w:rPr>
            <w:noProof/>
            <w:webHidden/>
          </w:rPr>
          <w:t>69</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24" w:history="1">
        <w:r w:rsidR="00420938" w:rsidRPr="00C71C21">
          <w:rPr>
            <w:rStyle w:val="Hyperlink"/>
            <w:noProof/>
          </w:rPr>
          <w:t>Table 9: Summary of Quantitative Results for Case Samples</w:t>
        </w:r>
        <w:r w:rsidR="00420938">
          <w:rPr>
            <w:noProof/>
            <w:webHidden/>
          </w:rPr>
          <w:tab/>
        </w:r>
        <w:r w:rsidR="000E239B">
          <w:rPr>
            <w:noProof/>
            <w:webHidden/>
          </w:rPr>
          <w:fldChar w:fldCharType="begin"/>
        </w:r>
        <w:r w:rsidR="00420938">
          <w:rPr>
            <w:noProof/>
            <w:webHidden/>
          </w:rPr>
          <w:instrText xml:space="preserve"> PAGEREF _Toc372536124 \h </w:instrText>
        </w:r>
        <w:r w:rsidR="000E239B">
          <w:rPr>
            <w:noProof/>
            <w:webHidden/>
          </w:rPr>
        </w:r>
        <w:r w:rsidR="000E239B">
          <w:rPr>
            <w:noProof/>
            <w:webHidden/>
          </w:rPr>
          <w:fldChar w:fldCharType="separate"/>
        </w:r>
        <w:r>
          <w:rPr>
            <w:noProof/>
            <w:webHidden/>
          </w:rPr>
          <w:t>71</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25" w:history="1">
        <w:r w:rsidR="00420938" w:rsidRPr="00C71C21">
          <w:rPr>
            <w:rStyle w:val="Hyperlink"/>
            <w:noProof/>
          </w:rPr>
          <w:t>Table 10: Composition of Serum Samples Spiked in Blind Study</w:t>
        </w:r>
        <w:r w:rsidR="00420938">
          <w:rPr>
            <w:noProof/>
            <w:webHidden/>
          </w:rPr>
          <w:tab/>
        </w:r>
        <w:r w:rsidR="000E239B">
          <w:rPr>
            <w:noProof/>
            <w:webHidden/>
          </w:rPr>
          <w:fldChar w:fldCharType="begin"/>
        </w:r>
        <w:r w:rsidR="00420938">
          <w:rPr>
            <w:noProof/>
            <w:webHidden/>
          </w:rPr>
          <w:instrText xml:space="preserve"> PAGEREF _Toc372536125 \h </w:instrText>
        </w:r>
        <w:r w:rsidR="000E239B">
          <w:rPr>
            <w:noProof/>
            <w:webHidden/>
          </w:rPr>
        </w:r>
        <w:r w:rsidR="000E239B">
          <w:rPr>
            <w:noProof/>
            <w:webHidden/>
          </w:rPr>
          <w:fldChar w:fldCharType="separate"/>
        </w:r>
        <w:r>
          <w:rPr>
            <w:noProof/>
            <w:webHidden/>
          </w:rPr>
          <w:t>79</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26" w:history="1">
        <w:r w:rsidR="00420938" w:rsidRPr="00C71C21">
          <w:rPr>
            <w:rStyle w:val="Hyperlink"/>
            <w:noProof/>
          </w:rPr>
          <w:t>Table 11: LC-QTOF Data for Blind Spiked Samples</w:t>
        </w:r>
        <w:r w:rsidR="00420938">
          <w:rPr>
            <w:noProof/>
            <w:webHidden/>
          </w:rPr>
          <w:tab/>
        </w:r>
        <w:r w:rsidR="000E239B">
          <w:rPr>
            <w:noProof/>
            <w:webHidden/>
          </w:rPr>
          <w:fldChar w:fldCharType="begin"/>
        </w:r>
        <w:r w:rsidR="00420938">
          <w:rPr>
            <w:noProof/>
            <w:webHidden/>
          </w:rPr>
          <w:instrText xml:space="preserve"> PAGEREF _Toc372536126 \h </w:instrText>
        </w:r>
        <w:r w:rsidR="000E239B">
          <w:rPr>
            <w:noProof/>
            <w:webHidden/>
          </w:rPr>
        </w:r>
        <w:r w:rsidR="000E239B">
          <w:rPr>
            <w:noProof/>
            <w:webHidden/>
          </w:rPr>
          <w:fldChar w:fldCharType="separate"/>
        </w:r>
        <w:r>
          <w:rPr>
            <w:noProof/>
            <w:webHidden/>
          </w:rPr>
          <w:t>86</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27" w:history="1">
        <w:r w:rsidR="00420938" w:rsidRPr="00C71C21">
          <w:rPr>
            <w:rStyle w:val="Hyperlink"/>
            <w:noProof/>
          </w:rPr>
          <w:t>Table 12: LC-QTOF Data for PBSO Samples</w:t>
        </w:r>
        <w:r w:rsidR="00420938">
          <w:rPr>
            <w:noProof/>
            <w:webHidden/>
          </w:rPr>
          <w:tab/>
        </w:r>
        <w:r w:rsidR="000E239B">
          <w:rPr>
            <w:noProof/>
            <w:webHidden/>
          </w:rPr>
          <w:fldChar w:fldCharType="begin"/>
        </w:r>
        <w:r w:rsidR="00420938">
          <w:rPr>
            <w:noProof/>
            <w:webHidden/>
          </w:rPr>
          <w:instrText xml:space="preserve"> PAGEREF _Toc372536127 \h </w:instrText>
        </w:r>
        <w:r w:rsidR="000E239B">
          <w:rPr>
            <w:noProof/>
            <w:webHidden/>
          </w:rPr>
        </w:r>
        <w:r w:rsidR="000E239B">
          <w:rPr>
            <w:noProof/>
            <w:webHidden/>
          </w:rPr>
          <w:fldChar w:fldCharType="separate"/>
        </w:r>
        <w:r>
          <w:rPr>
            <w:noProof/>
            <w:webHidden/>
          </w:rPr>
          <w:t>88</w:t>
        </w:r>
        <w:r w:rsidR="000E239B">
          <w:rPr>
            <w:noProof/>
            <w:webHidden/>
          </w:rPr>
          <w:fldChar w:fldCharType="end"/>
        </w:r>
      </w:hyperlink>
    </w:p>
    <w:p w:rsidR="00C749BC" w:rsidRPr="00F97B2D" w:rsidRDefault="000E239B" w:rsidP="000C222E">
      <w:pPr>
        <w:jc w:val="center"/>
        <w:rPr>
          <w:szCs w:val="24"/>
        </w:rPr>
      </w:pPr>
      <w:r>
        <w:rPr>
          <w:szCs w:val="24"/>
        </w:rPr>
        <w:fldChar w:fldCharType="end"/>
      </w:r>
    </w:p>
    <w:p w:rsidR="00C749BC" w:rsidRPr="00F97B2D" w:rsidRDefault="00C749BC">
      <w:pPr>
        <w:rPr>
          <w:szCs w:val="24"/>
        </w:rPr>
      </w:pPr>
      <w:r w:rsidRPr="00F97B2D">
        <w:rPr>
          <w:szCs w:val="24"/>
        </w:rPr>
        <w:br w:type="page"/>
      </w:r>
    </w:p>
    <w:p w:rsidR="00352426" w:rsidRDefault="00352426" w:rsidP="00C749BC">
      <w:pPr>
        <w:jc w:val="center"/>
        <w:rPr>
          <w:szCs w:val="24"/>
        </w:rPr>
      </w:pPr>
      <w:r w:rsidRPr="00F97B2D">
        <w:rPr>
          <w:szCs w:val="24"/>
        </w:rPr>
        <w:t>LIST OF FIGURES</w:t>
      </w:r>
      <w:bookmarkEnd w:id="4"/>
      <w:bookmarkEnd w:id="5"/>
    </w:p>
    <w:p w:rsidR="00D661C3" w:rsidRPr="00F97B2D" w:rsidRDefault="00D661C3" w:rsidP="00D661C3">
      <w:pPr>
        <w:rPr>
          <w:szCs w:val="24"/>
        </w:rPr>
      </w:pPr>
      <w:r>
        <w:rPr>
          <w:szCs w:val="24"/>
        </w:rPr>
        <w:t>FIGURE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PAGE</w:t>
      </w:r>
    </w:p>
    <w:p w:rsidR="00420938" w:rsidRDefault="000E239B">
      <w:pPr>
        <w:pStyle w:val="TableofFigures"/>
        <w:tabs>
          <w:tab w:val="right" w:leader="dot" w:pos="8630"/>
        </w:tabs>
        <w:rPr>
          <w:rFonts w:asciiTheme="minorHAnsi" w:hAnsiTheme="minorHAnsi"/>
          <w:noProof/>
          <w:sz w:val="22"/>
          <w:lang w:bidi="ar-SA"/>
        </w:rPr>
      </w:pPr>
      <w:r w:rsidRPr="00F97B2D">
        <w:rPr>
          <w:rFonts w:cs="Times New Roman"/>
          <w:szCs w:val="24"/>
        </w:rPr>
        <w:fldChar w:fldCharType="begin"/>
      </w:r>
      <w:r w:rsidR="00C749BC" w:rsidRPr="00F97B2D">
        <w:rPr>
          <w:rFonts w:cs="Times New Roman"/>
          <w:szCs w:val="24"/>
        </w:rPr>
        <w:instrText xml:space="preserve"> TOC \h \z \c "Figure" </w:instrText>
      </w:r>
      <w:r w:rsidRPr="00F97B2D">
        <w:rPr>
          <w:rFonts w:cs="Times New Roman"/>
          <w:szCs w:val="24"/>
        </w:rPr>
        <w:fldChar w:fldCharType="separate"/>
      </w:r>
      <w:hyperlink w:anchor="_Toc372536128" w:history="1">
        <w:r w:rsidR="00420938" w:rsidRPr="008D0197">
          <w:rPr>
            <w:rStyle w:val="Hyperlink"/>
            <w:noProof/>
          </w:rPr>
          <w:t>Figure 1: Designer Drug Classes</w:t>
        </w:r>
        <w:r w:rsidR="00420938" w:rsidRPr="008D0197">
          <w:rPr>
            <w:rStyle w:val="Hyperlink"/>
            <w:noProof/>
            <w:vertAlign w:val="superscript"/>
          </w:rPr>
          <w:t>(20)</w:t>
        </w:r>
        <w:r w:rsidR="00420938">
          <w:rPr>
            <w:noProof/>
            <w:webHidden/>
          </w:rPr>
          <w:tab/>
        </w:r>
        <w:r>
          <w:rPr>
            <w:noProof/>
            <w:webHidden/>
          </w:rPr>
          <w:fldChar w:fldCharType="begin"/>
        </w:r>
        <w:r w:rsidR="00420938">
          <w:rPr>
            <w:noProof/>
            <w:webHidden/>
          </w:rPr>
          <w:instrText xml:space="preserve"> PAGEREF _Toc372536128 \h </w:instrText>
        </w:r>
        <w:r>
          <w:rPr>
            <w:noProof/>
            <w:webHidden/>
          </w:rPr>
        </w:r>
        <w:r>
          <w:rPr>
            <w:noProof/>
            <w:webHidden/>
          </w:rPr>
          <w:fldChar w:fldCharType="separate"/>
        </w:r>
        <w:r w:rsidR="002E77C7">
          <w:rPr>
            <w:noProof/>
            <w:webHidden/>
          </w:rPr>
          <w:t>8</w:t>
        </w:r>
        <w:r>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29" w:history="1">
        <w:r w:rsidR="00420938" w:rsidRPr="008D0197">
          <w:rPr>
            <w:rStyle w:val="Hyperlink"/>
            <w:noProof/>
          </w:rPr>
          <w:t>Figure 2: Step by Step Process of an ELISA</w:t>
        </w:r>
        <w:r w:rsidR="00420938">
          <w:rPr>
            <w:noProof/>
            <w:webHidden/>
          </w:rPr>
          <w:tab/>
        </w:r>
        <w:r w:rsidR="000E239B">
          <w:rPr>
            <w:noProof/>
            <w:webHidden/>
          </w:rPr>
          <w:fldChar w:fldCharType="begin"/>
        </w:r>
        <w:r w:rsidR="00420938">
          <w:rPr>
            <w:noProof/>
            <w:webHidden/>
          </w:rPr>
          <w:instrText xml:space="preserve"> PAGEREF _Toc372536129 \h </w:instrText>
        </w:r>
        <w:r w:rsidR="000E239B">
          <w:rPr>
            <w:noProof/>
            <w:webHidden/>
          </w:rPr>
        </w:r>
        <w:r w:rsidR="000E239B">
          <w:rPr>
            <w:noProof/>
            <w:webHidden/>
          </w:rPr>
          <w:fldChar w:fldCharType="separate"/>
        </w:r>
        <w:r>
          <w:rPr>
            <w:noProof/>
            <w:webHidden/>
          </w:rPr>
          <w:t>14</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30" w:history="1">
        <w:r w:rsidR="00420938" w:rsidRPr="008D0197">
          <w:rPr>
            <w:rStyle w:val="Hyperlink"/>
            <w:noProof/>
          </w:rPr>
          <w:t xml:space="preserve">Figure 3: Diagram of an EMIT system </w:t>
        </w:r>
        <w:r w:rsidR="00420938" w:rsidRPr="008D0197">
          <w:rPr>
            <w:rStyle w:val="Hyperlink"/>
            <w:noProof/>
            <w:vertAlign w:val="superscript"/>
          </w:rPr>
          <w:t>(65)</w:t>
        </w:r>
        <w:r w:rsidR="00420938">
          <w:rPr>
            <w:noProof/>
            <w:webHidden/>
          </w:rPr>
          <w:tab/>
        </w:r>
        <w:r w:rsidR="000E239B">
          <w:rPr>
            <w:noProof/>
            <w:webHidden/>
          </w:rPr>
          <w:fldChar w:fldCharType="begin"/>
        </w:r>
        <w:r w:rsidR="00420938">
          <w:rPr>
            <w:noProof/>
            <w:webHidden/>
          </w:rPr>
          <w:instrText xml:space="preserve"> PAGEREF _Toc372536130 \h </w:instrText>
        </w:r>
        <w:r w:rsidR="000E239B">
          <w:rPr>
            <w:noProof/>
            <w:webHidden/>
          </w:rPr>
        </w:r>
        <w:r w:rsidR="000E239B">
          <w:rPr>
            <w:noProof/>
            <w:webHidden/>
          </w:rPr>
          <w:fldChar w:fldCharType="separate"/>
        </w:r>
        <w:r>
          <w:rPr>
            <w:noProof/>
            <w:webHidden/>
          </w:rPr>
          <w:t>16</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31" w:history="1">
        <w:r w:rsidR="00420938" w:rsidRPr="008D0197">
          <w:rPr>
            <w:rStyle w:val="Hyperlink"/>
            <w:noProof/>
          </w:rPr>
          <w:t>Figure 4: Structures of Target Compounds for ELISAs</w:t>
        </w:r>
        <w:r w:rsidR="00420938">
          <w:rPr>
            <w:noProof/>
            <w:webHidden/>
          </w:rPr>
          <w:tab/>
        </w:r>
        <w:r w:rsidR="000E239B">
          <w:rPr>
            <w:noProof/>
            <w:webHidden/>
          </w:rPr>
          <w:fldChar w:fldCharType="begin"/>
        </w:r>
        <w:r w:rsidR="00420938">
          <w:rPr>
            <w:noProof/>
            <w:webHidden/>
          </w:rPr>
          <w:instrText xml:space="preserve"> PAGEREF _Toc372536131 \h </w:instrText>
        </w:r>
        <w:r w:rsidR="000E239B">
          <w:rPr>
            <w:noProof/>
            <w:webHidden/>
          </w:rPr>
        </w:r>
        <w:r w:rsidR="000E239B">
          <w:rPr>
            <w:noProof/>
            <w:webHidden/>
          </w:rPr>
          <w:fldChar w:fldCharType="separate"/>
        </w:r>
        <w:r>
          <w:rPr>
            <w:noProof/>
            <w:webHidden/>
          </w:rPr>
          <w:t>30</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32" w:history="1">
        <w:r w:rsidR="00420938" w:rsidRPr="008D0197">
          <w:rPr>
            <w:rStyle w:val="Hyperlink"/>
            <w:noProof/>
          </w:rPr>
          <w:t>Figure 5: Ketamine Dose Response Curve</w:t>
        </w:r>
        <w:r w:rsidR="00420938">
          <w:rPr>
            <w:noProof/>
            <w:webHidden/>
          </w:rPr>
          <w:tab/>
        </w:r>
        <w:r w:rsidR="000E239B">
          <w:rPr>
            <w:noProof/>
            <w:webHidden/>
          </w:rPr>
          <w:fldChar w:fldCharType="begin"/>
        </w:r>
        <w:r w:rsidR="00420938">
          <w:rPr>
            <w:noProof/>
            <w:webHidden/>
          </w:rPr>
          <w:instrText xml:space="preserve"> PAGEREF _Toc372536132 \h </w:instrText>
        </w:r>
        <w:r w:rsidR="000E239B">
          <w:rPr>
            <w:noProof/>
            <w:webHidden/>
          </w:rPr>
        </w:r>
        <w:r w:rsidR="000E239B">
          <w:rPr>
            <w:noProof/>
            <w:webHidden/>
          </w:rPr>
          <w:fldChar w:fldCharType="separate"/>
        </w:r>
        <w:r>
          <w:rPr>
            <w:noProof/>
            <w:webHidden/>
          </w:rPr>
          <w:t>39</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33" w:history="1">
        <w:r w:rsidR="00420938" w:rsidRPr="008D0197">
          <w:rPr>
            <w:rStyle w:val="Hyperlink"/>
            <w:noProof/>
          </w:rPr>
          <w:t>Figure 6: Chromatogram of Primary MRM Transitions for 32 Analytes</w:t>
        </w:r>
        <w:r w:rsidR="00420938">
          <w:rPr>
            <w:noProof/>
            <w:webHidden/>
          </w:rPr>
          <w:tab/>
        </w:r>
        <w:r w:rsidR="000E239B">
          <w:rPr>
            <w:noProof/>
            <w:webHidden/>
          </w:rPr>
          <w:fldChar w:fldCharType="begin"/>
        </w:r>
        <w:r w:rsidR="00420938">
          <w:rPr>
            <w:noProof/>
            <w:webHidden/>
          </w:rPr>
          <w:instrText xml:space="preserve"> PAGEREF _Toc372536133 \h </w:instrText>
        </w:r>
        <w:r w:rsidR="000E239B">
          <w:rPr>
            <w:noProof/>
            <w:webHidden/>
          </w:rPr>
        </w:r>
        <w:r w:rsidR="000E239B">
          <w:rPr>
            <w:noProof/>
            <w:webHidden/>
          </w:rPr>
          <w:fldChar w:fldCharType="separate"/>
        </w:r>
        <w:r>
          <w:rPr>
            <w:noProof/>
            <w:webHidden/>
          </w:rPr>
          <w:t>62</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34" w:history="1">
        <w:r w:rsidR="00420938" w:rsidRPr="008D0197">
          <w:rPr>
            <w:rStyle w:val="Hyperlink"/>
            <w:noProof/>
          </w:rPr>
          <w:t>Figure 7: Processed Sample Stability for Methylone</w:t>
        </w:r>
        <w:r w:rsidR="00420938">
          <w:rPr>
            <w:noProof/>
            <w:webHidden/>
          </w:rPr>
          <w:tab/>
        </w:r>
        <w:r w:rsidR="000E239B">
          <w:rPr>
            <w:noProof/>
            <w:webHidden/>
          </w:rPr>
          <w:fldChar w:fldCharType="begin"/>
        </w:r>
        <w:r w:rsidR="00420938">
          <w:rPr>
            <w:noProof/>
            <w:webHidden/>
          </w:rPr>
          <w:instrText xml:space="preserve"> PAGEREF _Toc372536134 \h </w:instrText>
        </w:r>
        <w:r w:rsidR="000E239B">
          <w:rPr>
            <w:noProof/>
            <w:webHidden/>
          </w:rPr>
        </w:r>
        <w:r w:rsidR="000E239B">
          <w:rPr>
            <w:noProof/>
            <w:webHidden/>
          </w:rPr>
          <w:fldChar w:fldCharType="separate"/>
        </w:r>
        <w:r>
          <w:rPr>
            <w:noProof/>
            <w:webHidden/>
          </w:rPr>
          <w:t>66</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35" w:history="1">
        <w:r w:rsidR="00420938" w:rsidRPr="008D0197">
          <w:rPr>
            <w:rStyle w:val="Hyperlink"/>
            <w:noProof/>
          </w:rPr>
          <w:t>Figure 8: Chromatogram of Case 1 (counts vs. acquisition time)</w:t>
        </w:r>
        <w:r w:rsidR="00420938">
          <w:rPr>
            <w:noProof/>
            <w:webHidden/>
          </w:rPr>
          <w:tab/>
        </w:r>
        <w:r w:rsidR="000E239B">
          <w:rPr>
            <w:noProof/>
            <w:webHidden/>
          </w:rPr>
          <w:fldChar w:fldCharType="begin"/>
        </w:r>
        <w:r w:rsidR="00420938">
          <w:rPr>
            <w:noProof/>
            <w:webHidden/>
          </w:rPr>
          <w:instrText xml:space="preserve"> PAGEREF _Toc372536135 \h </w:instrText>
        </w:r>
        <w:r w:rsidR="000E239B">
          <w:rPr>
            <w:noProof/>
            <w:webHidden/>
          </w:rPr>
        </w:r>
        <w:r w:rsidR="000E239B">
          <w:rPr>
            <w:noProof/>
            <w:webHidden/>
          </w:rPr>
          <w:fldChar w:fldCharType="separate"/>
        </w:r>
        <w:r>
          <w:rPr>
            <w:noProof/>
            <w:webHidden/>
          </w:rPr>
          <w:t>72</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36" w:history="1">
        <w:r w:rsidR="00420938" w:rsidRPr="008D0197">
          <w:rPr>
            <w:rStyle w:val="Hyperlink"/>
            <w:noProof/>
          </w:rPr>
          <w:t>Figure 9: Chromatogram of Case 2 (counts vs. acquisition time)</w:t>
        </w:r>
        <w:r w:rsidR="00420938">
          <w:rPr>
            <w:noProof/>
            <w:webHidden/>
          </w:rPr>
          <w:tab/>
        </w:r>
        <w:r w:rsidR="000E239B">
          <w:rPr>
            <w:noProof/>
            <w:webHidden/>
          </w:rPr>
          <w:fldChar w:fldCharType="begin"/>
        </w:r>
        <w:r w:rsidR="00420938">
          <w:rPr>
            <w:noProof/>
            <w:webHidden/>
          </w:rPr>
          <w:instrText xml:space="preserve"> PAGEREF _Toc372536136 \h </w:instrText>
        </w:r>
        <w:r w:rsidR="000E239B">
          <w:rPr>
            <w:noProof/>
            <w:webHidden/>
          </w:rPr>
        </w:r>
        <w:r w:rsidR="000E239B">
          <w:rPr>
            <w:noProof/>
            <w:webHidden/>
          </w:rPr>
          <w:fldChar w:fldCharType="separate"/>
        </w:r>
        <w:r>
          <w:rPr>
            <w:noProof/>
            <w:webHidden/>
          </w:rPr>
          <w:t>73</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37" w:history="1">
        <w:r w:rsidR="00420938" w:rsidRPr="008D0197">
          <w:rPr>
            <w:rStyle w:val="Hyperlink"/>
            <w:noProof/>
          </w:rPr>
          <w:t>Figure 10: Extracted Ion Chromatogram and Library Match for Sample 1</w:t>
        </w:r>
        <w:r w:rsidR="00420938">
          <w:rPr>
            <w:noProof/>
            <w:webHidden/>
          </w:rPr>
          <w:tab/>
        </w:r>
        <w:r w:rsidR="000E239B">
          <w:rPr>
            <w:noProof/>
            <w:webHidden/>
          </w:rPr>
          <w:fldChar w:fldCharType="begin"/>
        </w:r>
        <w:r w:rsidR="00420938">
          <w:rPr>
            <w:noProof/>
            <w:webHidden/>
          </w:rPr>
          <w:instrText xml:space="preserve"> PAGEREF _Toc372536137 \h </w:instrText>
        </w:r>
        <w:r w:rsidR="000E239B">
          <w:rPr>
            <w:noProof/>
            <w:webHidden/>
          </w:rPr>
        </w:r>
        <w:r w:rsidR="000E239B">
          <w:rPr>
            <w:noProof/>
            <w:webHidden/>
          </w:rPr>
          <w:fldChar w:fldCharType="separate"/>
        </w:r>
        <w:r>
          <w:rPr>
            <w:noProof/>
            <w:webHidden/>
          </w:rPr>
          <w:t>85</w:t>
        </w:r>
        <w:r w:rsidR="000E239B">
          <w:rPr>
            <w:noProof/>
            <w:webHidden/>
          </w:rPr>
          <w:fldChar w:fldCharType="end"/>
        </w:r>
      </w:hyperlink>
    </w:p>
    <w:p w:rsidR="00352426" w:rsidRPr="00F97B2D" w:rsidRDefault="000E239B" w:rsidP="00CB0ADF">
      <w:pPr>
        <w:spacing w:after="0"/>
        <w:rPr>
          <w:rFonts w:cs="Times New Roman"/>
          <w:szCs w:val="24"/>
        </w:rPr>
      </w:pPr>
      <w:r w:rsidRPr="00F97B2D">
        <w:rPr>
          <w:rFonts w:cs="Times New Roman"/>
          <w:szCs w:val="24"/>
        </w:rPr>
        <w:fldChar w:fldCharType="end"/>
      </w:r>
    </w:p>
    <w:p w:rsidR="00C749BC" w:rsidRPr="00F97B2D" w:rsidRDefault="00C749BC" w:rsidP="00CB0ADF">
      <w:pPr>
        <w:spacing w:after="0"/>
        <w:rPr>
          <w:rFonts w:cs="Times New Roman"/>
          <w:szCs w:val="24"/>
        </w:rPr>
      </w:pPr>
    </w:p>
    <w:p w:rsidR="00C749BC" w:rsidRPr="00F97B2D" w:rsidRDefault="00C749BC">
      <w:pPr>
        <w:rPr>
          <w:szCs w:val="24"/>
        </w:rPr>
      </w:pPr>
      <w:bookmarkStart w:id="6" w:name="_Toc354740989"/>
      <w:bookmarkStart w:id="7" w:name="_Toc354742746"/>
      <w:r w:rsidRPr="00F97B2D">
        <w:rPr>
          <w:szCs w:val="24"/>
        </w:rPr>
        <w:br w:type="page"/>
      </w:r>
    </w:p>
    <w:p w:rsidR="0091504F" w:rsidRDefault="0091504F" w:rsidP="000C5D38">
      <w:pPr>
        <w:jc w:val="center"/>
        <w:rPr>
          <w:szCs w:val="24"/>
        </w:rPr>
      </w:pPr>
      <w:r w:rsidRPr="00F97B2D">
        <w:rPr>
          <w:szCs w:val="24"/>
        </w:rPr>
        <w:t>LIST OF APPENDICES</w:t>
      </w:r>
      <w:bookmarkEnd w:id="6"/>
      <w:bookmarkEnd w:id="7"/>
    </w:p>
    <w:p w:rsidR="00D661C3" w:rsidRPr="00F97B2D" w:rsidRDefault="00D661C3" w:rsidP="00D661C3">
      <w:pPr>
        <w:rPr>
          <w:szCs w:val="24"/>
        </w:rPr>
      </w:pPr>
      <w:r>
        <w:rPr>
          <w:szCs w:val="24"/>
        </w:rPr>
        <w:t>APPENDIX</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PAGE</w:t>
      </w:r>
    </w:p>
    <w:p w:rsidR="00420938" w:rsidRDefault="000E239B">
      <w:pPr>
        <w:pStyle w:val="TableofFigures"/>
        <w:tabs>
          <w:tab w:val="right" w:leader="dot" w:pos="8630"/>
        </w:tabs>
        <w:rPr>
          <w:rFonts w:asciiTheme="minorHAnsi" w:hAnsiTheme="minorHAnsi"/>
          <w:noProof/>
          <w:sz w:val="22"/>
          <w:lang w:bidi="ar-SA"/>
        </w:rPr>
      </w:pPr>
      <w:r w:rsidRPr="00F97B2D">
        <w:rPr>
          <w:rFonts w:cs="Times New Roman"/>
          <w:szCs w:val="24"/>
        </w:rPr>
        <w:fldChar w:fldCharType="begin"/>
      </w:r>
      <w:r w:rsidR="00C749BC" w:rsidRPr="00F97B2D">
        <w:rPr>
          <w:rFonts w:cs="Times New Roman"/>
          <w:szCs w:val="24"/>
        </w:rPr>
        <w:instrText xml:space="preserve"> TOC \h \z \c "Appendix" </w:instrText>
      </w:r>
      <w:r w:rsidRPr="00F97B2D">
        <w:rPr>
          <w:rFonts w:cs="Times New Roman"/>
          <w:szCs w:val="24"/>
        </w:rPr>
        <w:fldChar w:fldCharType="separate"/>
      </w:r>
      <w:hyperlink w:anchor="_Toc372536138" w:history="1">
        <w:r w:rsidR="00420938" w:rsidRPr="00F73C7A">
          <w:rPr>
            <w:rStyle w:val="Hyperlink"/>
            <w:noProof/>
          </w:rPr>
          <w:t>Appendix 1: Designer Drugs by Class and Sub-class</w:t>
        </w:r>
        <w:r w:rsidR="00420938">
          <w:rPr>
            <w:noProof/>
            <w:webHidden/>
          </w:rPr>
          <w:tab/>
        </w:r>
        <w:r>
          <w:rPr>
            <w:noProof/>
            <w:webHidden/>
          </w:rPr>
          <w:fldChar w:fldCharType="begin"/>
        </w:r>
        <w:r w:rsidR="00420938">
          <w:rPr>
            <w:noProof/>
            <w:webHidden/>
          </w:rPr>
          <w:instrText xml:space="preserve"> PAGEREF _Toc372536138 \h </w:instrText>
        </w:r>
        <w:r>
          <w:rPr>
            <w:noProof/>
            <w:webHidden/>
          </w:rPr>
        </w:r>
        <w:r>
          <w:rPr>
            <w:noProof/>
            <w:webHidden/>
          </w:rPr>
          <w:fldChar w:fldCharType="separate"/>
        </w:r>
        <w:r w:rsidR="002E77C7">
          <w:rPr>
            <w:noProof/>
            <w:webHidden/>
          </w:rPr>
          <w:t>106</w:t>
        </w:r>
        <w:r>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39" w:history="1">
        <w:r w:rsidR="00420938" w:rsidRPr="00F73C7A">
          <w:rPr>
            <w:rStyle w:val="Hyperlink"/>
            <w:noProof/>
          </w:rPr>
          <w:t>Appendix 2: Designer Drugs of Interest by Structure</w:t>
        </w:r>
        <w:r w:rsidR="00420938">
          <w:rPr>
            <w:noProof/>
            <w:webHidden/>
          </w:rPr>
          <w:tab/>
        </w:r>
        <w:r w:rsidR="000E239B">
          <w:rPr>
            <w:noProof/>
            <w:webHidden/>
          </w:rPr>
          <w:fldChar w:fldCharType="begin"/>
        </w:r>
        <w:r w:rsidR="00420938">
          <w:rPr>
            <w:noProof/>
            <w:webHidden/>
          </w:rPr>
          <w:instrText xml:space="preserve"> PAGEREF _Toc372536139 \h </w:instrText>
        </w:r>
        <w:r w:rsidR="000E239B">
          <w:rPr>
            <w:noProof/>
            <w:webHidden/>
          </w:rPr>
        </w:r>
        <w:r w:rsidR="000E239B">
          <w:rPr>
            <w:noProof/>
            <w:webHidden/>
          </w:rPr>
          <w:fldChar w:fldCharType="separate"/>
        </w:r>
        <w:r>
          <w:rPr>
            <w:noProof/>
            <w:webHidden/>
          </w:rPr>
          <w:t>109</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40" w:history="1">
        <w:r w:rsidR="00420938" w:rsidRPr="00F73C7A">
          <w:rPr>
            <w:rStyle w:val="Hyperlink"/>
            <w:noProof/>
          </w:rPr>
          <w:t>Appendix 3: Test Procedures for ELISA Analysis</w:t>
        </w:r>
        <w:r w:rsidR="00420938">
          <w:rPr>
            <w:noProof/>
            <w:webHidden/>
          </w:rPr>
          <w:tab/>
        </w:r>
        <w:r w:rsidR="000E239B">
          <w:rPr>
            <w:noProof/>
            <w:webHidden/>
          </w:rPr>
          <w:fldChar w:fldCharType="begin"/>
        </w:r>
        <w:r w:rsidR="00420938">
          <w:rPr>
            <w:noProof/>
            <w:webHidden/>
          </w:rPr>
          <w:instrText xml:space="preserve"> PAGEREF _Toc372536140 \h </w:instrText>
        </w:r>
        <w:r w:rsidR="000E239B">
          <w:rPr>
            <w:noProof/>
            <w:webHidden/>
          </w:rPr>
        </w:r>
        <w:r w:rsidR="000E239B">
          <w:rPr>
            <w:noProof/>
            <w:webHidden/>
          </w:rPr>
          <w:fldChar w:fldCharType="separate"/>
        </w:r>
        <w:r>
          <w:rPr>
            <w:noProof/>
            <w:webHidden/>
          </w:rPr>
          <w:t>111</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41" w:history="1">
        <w:r w:rsidR="00420938" w:rsidRPr="00F73C7A">
          <w:rPr>
            <w:rStyle w:val="Hyperlink"/>
            <w:noProof/>
          </w:rPr>
          <w:t>Appendix 4: Cross-Reactivity Data for ELISAs</w:t>
        </w:r>
        <w:r w:rsidR="00420938">
          <w:rPr>
            <w:noProof/>
            <w:webHidden/>
          </w:rPr>
          <w:tab/>
        </w:r>
        <w:r w:rsidR="000E239B">
          <w:rPr>
            <w:noProof/>
            <w:webHidden/>
          </w:rPr>
          <w:fldChar w:fldCharType="begin"/>
        </w:r>
        <w:r w:rsidR="00420938">
          <w:rPr>
            <w:noProof/>
            <w:webHidden/>
          </w:rPr>
          <w:instrText xml:space="preserve"> PAGEREF _Toc372536141 \h </w:instrText>
        </w:r>
        <w:r w:rsidR="000E239B">
          <w:rPr>
            <w:noProof/>
            <w:webHidden/>
          </w:rPr>
        </w:r>
        <w:r w:rsidR="000E239B">
          <w:rPr>
            <w:noProof/>
            <w:webHidden/>
          </w:rPr>
          <w:fldChar w:fldCharType="separate"/>
        </w:r>
        <w:r>
          <w:rPr>
            <w:noProof/>
            <w:webHidden/>
          </w:rPr>
          <w:t>112</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42" w:history="1">
        <w:r w:rsidR="00420938" w:rsidRPr="00F73C7A">
          <w:rPr>
            <w:rStyle w:val="Hyperlink"/>
            <w:noProof/>
          </w:rPr>
          <w:t>Appendix 5: Dynamic MRM MS Parameters</w:t>
        </w:r>
        <w:r w:rsidR="00420938">
          <w:rPr>
            <w:noProof/>
            <w:webHidden/>
          </w:rPr>
          <w:tab/>
        </w:r>
        <w:r w:rsidR="000E239B">
          <w:rPr>
            <w:noProof/>
            <w:webHidden/>
          </w:rPr>
          <w:fldChar w:fldCharType="begin"/>
        </w:r>
        <w:r w:rsidR="00420938">
          <w:rPr>
            <w:noProof/>
            <w:webHidden/>
          </w:rPr>
          <w:instrText xml:space="preserve"> PAGEREF _Toc372536142 \h </w:instrText>
        </w:r>
        <w:r w:rsidR="000E239B">
          <w:rPr>
            <w:noProof/>
            <w:webHidden/>
          </w:rPr>
        </w:r>
        <w:r w:rsidR="000E239B">
          <w:rPr>
            <w:noProof/>
            <w:webHidden/>
          </w:rPr>
          <w:fldChar w:fldCharType="separate"/>
        </w:r>
        <w:r>
          <w:rPr>
            <w:noProof/>
            <w:webHidden/>
          </w:rPr>
          <w:t>117</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43" w:history="1">
        <w:r w:rsidR="00420938" w:rsidRPr="00F73C7A">
          <w:rPr>
            <w:rStyle w:val="Hyperlink"/>
            <w:noProof/>
          </w:rPr>
          <w:t>Appendix 6: Matrix Effects, Recovery, and Process Efficiency</w:t>
        </w:r>
        <w:r w:rsidR="00420938">
          <w:rPr>
            <w:noProof/>
            <w:webHidden/>
          </w:rPr>
          <w:tab/>
        </w:r>
        <w:r w:rsidR="000E239B">
          <w:rPr>
            <w:noProof/>
            <w:webHidden/>
          </w:rPr>
          <w:fldChar w:fldCharType="begin"/>
        </w:r>
        <w:r w:rsidR="00420938">
          <w:rPr>
            <w:noProof/>
            <w:webHidden/>
          </w:rPr>
          <w:instrText xml:space="preserve"> PAGEREF _Toc372536143 \h </w:instrText>
        </w:r>
        <w:r w:rsidR="000E239B">
          <w:rPr>
            <w:noProof/>
            <w:webHidden/>
          </w:rPr>
        </w:r>
        <w:r w:rsidR="000E239B">
          <w:rPr>
            <w:noProof/>
            <w:webHidden/>
          </w:rPr>
          <w:fldChar w:fldCharType="separate"/>
        </w:r>
        <w:r>
          <w:rPr>
            <w:noProof/>
            <w:webHidden/>
          </w:rPr>
          <w:t>119</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44" w:history="1">
        <w:r w:rsidR="00420938" w:rsidRPr="00F73C7A">
          <w:rPr>
            <w:rStyle w:val="Hyperlink"/>
            <w:noProof/>
          </w:rPr>
          <w:t>Appendix 7: Processed Sample Stability at Two Concentrations</w:t>
        </w:r>
        <w:r w:rsidR="00420938">
          <w:rPr>
            <w:noProof/>
            <w:webHidden/>
          </w:rPr>
          <w:tab/>
        </w:r>
        <w:r w:rsidR="000E239B">
          <w:rPr>
            <w:noProof/>
            <w:webHidden/>
          </w:rPr>
          <w:fldChar w:fldCharType="begin"/>
        </w:r>
        <w:r w:rsidR="00420938">
          <w:rPr>
            <w:noProof/>
            <w:webHidden/>
          </w:rPr>
          <w:instrText xml:space="preserve"> PAGEREF _Toc372536144 \h </w:instrText>
        </w:r>
        <w:r w:rsidR="000E239B">
          <w:rPr>
            <w:noProof/>
            <w:webHidden/>
          </w:rPr>
        </w:r>
        <w:r w:rsidR="000E239B">
          <w:rPr>
            <w:noProof/>
            <w:webHidden/>
          </w:rPr>
          <w:fldChar w:fldCharType="separate"/>
        </w:r>
        <w:r>
          <w:rPr>
            <w:noProof/>
            <w:webHidden/>
          </w:rPr>
          <w:t>121</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45" w:history="1">
        <w:r w:rsidR="00420938" w:rsidRPr="00F73C7A">
          <w:rPr>
            <w:rStyle w:val="Hyperlink"/>
            <w:noProof/>
          </w:rPr>
          <w:t>Appendix 8: Summary of Precision and Accuracy Data for at Four Concentrations</w:t>
        </w:r>
        <w:r w:rsidR="00420938">
          <w:rPr>
            <w:noProof/>
            <w:webHidden/>
          </w:rPr>
          <w:tab/>
        </w:r>
        <w:r w:rsidR="000E239B">
          <w:rPr>
            <w:noProof/>
            <w:webHidden/>
          </w:rPr>
          <w:fldChar w:fldCharType="begin"/>
        </w:r>
        <w:r w:rsidR="00420938">
          <w:rPr>
            <w:noProof/>
            <w:webHidden/>
          </w:rPr>
          <w:instrText xml:space="preserve"> PAGEREF _Toc372536145 \h </w:instrText>
        </w:r>
        <w:r w:rsidR="000E239B">
          <w:rPr>
            <w:noProof/>
            <w:webHidden/>
          </w:rPr>
        </w:r>
        <w:r w:rsidR="000E239B">
          <w:rPr>
            <w:noProof/>
            <w:webHidden/>
          </w:rPr>
          <w:fldChar w:fldCharType="separate"/>
        </w:r>
        <w:r>
          <w:rPr>
            <w:noProof/>
            <w:webHidden/>
          </w:rPr>
          <w:t>123</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46" w:history="1">
        <w:r w:rsidR="00420938" w:rsidRPr="00F73C7A">
          <w:rPr>
            <w:rStyle w:val="Hyperlink"/>
            <w:noProof/>
          </w:rPr>
          <w:t>Appendix 9: Blind Spiked Sample Analysis by ELISA</w:t>
        </w:r>
        <w:r w:rsidR="00420938">
          <w:rPr>
            <w:noProof/>
            <w:webHidden/>
          </w:rPr>
          <w:tab/>
        </w:r>
        <w:r w:rsidR="000E239B">
          <w:rPr>
            <w:noProof/>
            <w:webHidden/>
          </w:rPr>
          <w:fldChar w:fldCharType="begin"/>
        </w:r>
        <w:r w:rsidR="00420938">
          <w:rPr>
            <w:noProof/>
            <w:webHidden/>
          </w:rPr>
          <w:instrText xml:space="preserve"> PAGEREF _Toc372536146 \h </w:instrText>
        </w:r>
        <w:r w:rsidR="000E239B">
          <w:rPr>
            <w:noProof/>
            <w:webHidden/>
          </w:rPr>
        </w:r>
        <w:r w:rsidR="000E239B">
          <w:rPr>
            <w:noProof/>
            <w:webHidden/>
          </w:rPr>
          <w:fldChar w:fldCharType="separate"/>
        </w:r>
        <w:r>
          <w:rPr>
            <w:noProof/>
            <w:webHidden/>
          </w:rPr>
          <w:t>124</w:t>
        </w:r>
        <w:r w:rsidR="000E239B">
          <w:rPr>
            <w:noProof/>
            <w:webHidden/>
          </w:rPr>
          <w:fldChar w:fldCharType="end"/>
        </w:r>
      </w:hyperlink>
    </w:p>
    <w:p w:rsidR="00420938" w:rsidRDefault="002E77C7">
      <w:pPr>
        <w:pStyle w:val="TableofFigures"/>
        <w:tabs>
          <w:tab w:val="right" w:leader="dot" w:pos="8630"/>
        </w:tabs>
        <w:rPr>
          <w:rFonts w:asciiTheme="minorHAnsi" w:hAnsiTheme="minorHAnsi"/>
          <w:noProof/>
          <w:sz w:val="22"/>
          <w:lang w:bidi="ar-SA"/>
        </w:rPr>
      </w:pPr>
      <w:hyperlink w:anchor="_Toc372536147" w:history="1">
        <w:r w:rsidR="00420938" w:rsidRPr="00F73C7A">
          <w:rPr>
            <w:rStyle w:val="Hyperlink"/>
            <w:noProof/>
          </w:rPr>
          <w:t>Appendix 10: PBSO Sample Analysis by ELISA</w:t>
        </w:r>
        <w:r w:rsidR="00420938">
          <w:rPr>
            <w:noProof/>
            <w:webHidden/>
          </w:rPr>
          <w:tab/>
        </w:r>
        <w:r w:rsidR="000E239B">
          <w:rPr>
            <w:noProof/>
            <w:webHidden/>
          </w:rPr>
          <w:fldChar w:fldCharType="begin"/>
        </w:r>
        <w:r w:rsidR="00420938">
          <w:rPr>
            <w:noProof/>
            <w:webHidden/>
          </w:rPr>
          <w:instrText xml:space="preserve"> PAGEREF _Toc372536147 \h </w:instrText>
        </w:r>
        <w:r w:rsidR="000E239B">
          <w:rPr>
            <w:noProof/>
            <w:webHidden/>
          </w:rPr>
        </w:r>
        <w:r w:rsidR="000E239B">
          <w:rPr>
            <w:noProof/>
            <w:webHidden/>
          </w:rPr>
          <w:fldChar w:fldCharType="separate"/>
        </w:r>
        <w:r>
          <w:rPr>
            <w:noProof/>
            <w:webHidden/>
          </w:rPr>
          <w:t>125</w:t>
        </w:r>
        <w:r w:rsidR="000E239B">
          <w:rPr>
            <w:noProof/>
            <w:webHidden/>
          </w:rPr>
          <w:fldChar w:fldCharType="end"/>
        </w:r>
      </w:hyperlink>
    </w:p>
    <w:p w:rsidR="0091504F" w:rsidRPr="00F97B2D" w:rsidRDefault="000E239B" w:rsidP="000C5D38">
      <w:pPr>
        <w:rPr>
          <w:rFonts w:cs="Times New Roman"/>
          <w:szCs w:val="24"/>
        </w:rPr>
      </w:pPr>
      <w:r w:rsidRPr="00F97B2D">
        <w:rPr>
          <w:rFonts w:cs="Times New Roman"/>
          <w:szCs w:val="24"/>
        </w:rPr>
        <w:fldChar w:fldCharType="end"/>
      </w:r>
    </w:p>
    <w:p w:rsidR="00C749BC" w:rsidRPr="00F97B2D" w:rsidRDefault="00C749BC" w:rsidP="000C5D38">
      <w:pPr>
        <w:rPr>
          <w:rFonts w:cs="Times New Roman"/>
          <w:szCs w:val="24"/>
        </w:rPr>
      </w:pPr>
      <w:bookmarkStart w:id="8" w:name="_Toc354740991"/>
      <w:bookmarkStart w:id="9" w:name="_Toc354742748"/>
      <w:r w:rsidRPr="00F97B2D">
        <w:rPr>
          <w:rFonts w:cs="Times New Roman"/>
          <w:szCs w:val="24"/>
        </w:rPr>
        <w:br w:type="page"/>
      </w:r>
    </w:p>
    <w:p w:rsidR="00352426" w:rsidRPr="00F97B2D" w:rsidRDefault="00352426" w:rsidP="00C749BC">
      <w:pPr>
        <w:jc w:val="center"/>
        <w:rPr>
          <w:szCs w:val="24"/>
        </w:rPr>
      </w:pPr>
      <w:r w:rsidRPr="00F97B2D">
        <w:rPr>
          <w:szCs w:val="24"/>
        </w:rPr>
        <w:t xml:space="preserve">LIST OF </w:t>
      </w:r>
      <w:r w:rsidR="00D661C3">
        <w:rPr>
          <w:szCs w:val="24"/>
        </w:rPr>
        <w:t>ABBREVIATIONS</w:t>
      </w:r>
      <w:r w:rsidR="00EA6426">
        <w:rPr>
          <w:szCs w:val="24"/>
        </w:rPr>
        <w:t xml:space="preserve">, </w:t>
      </w:r>
      <w:r w:rsidRPr="00F97B2D">
        <w:rPr>
          <w:szCs w:val="24"/>
        </w:rPr>
        <w:t>ACRONYM</w:t>
      </w:r>
      <w:r w:rsidR="00EA6426">
        <w:rPr>
          <w:szCs w:val="24"/>
        </w:rPr>
        <w:t>S, AND SYMBOLS</w:t>
      </w:r>
      <w:bookmarkEnd w:id="8"/>
      <w:bookmarkEnd w:id="9"/>
    </w:p>
    <w:p w:rsidR="00810B1A" w:rsidRPr="00F97B2D" w:rsidRDefault="00810B1A" w:rsidP="00F96293">
      <w:pPr>
        <w:rPr>
          <w:szCs w:val="24"/>
        </w:rPr>
      </w:pPr>
      <w:proofErr w:type="gramStart"/>
      <w:r w:rsidRPr="00F97B2D">
        <w:rPr>
          <w:rFonts w:cs="Times New Roman"/>
          <w:szCs w:val="24"/>
        </w:rPr>
        <w:t>Δ</w:t>
      </w:r>
      <w:r w:rsidRPr="00F97B2D">
        <w:rPr>
          <w:szCs w:val="24"/>
        </w:rPr>
        <w:t>t</w:t>
      </w:r>
      <w:proofErr w:type="gramEnd"/>
      <w:r w:rsidRPr="00F97B2D">
        <w:rPr>
          <w:szCs w:val="24"/>
          <w:vertAlign w:val="subscript"/>
        </w:rPr>
        <w:tab/>
      </w:r>
      <w:r w:rsidRPr="00F97B2D">
        <w:rPr>
          <w:szCs w:val="24"/>
          <w:vertAlign w:val="subscript"/>
        </w:rPr>
        <w:tab/>
      </w:r>
      <w:r w:rsidRPr="00F97B2D">
        <w:rPr>
          <w:szCs w:val="24"/>
        </w:rPr>
        <w:t>Retention time window</w:t>
      </w:r>
    </w:p>
    <w:p w:rsidR="00FA2445" w:rsidRPr="00F97B2D" w:rsidRDefault="00FA2445" w:rsidP="00F96293">
      <w:pPr>
        <w:rPr>
          <w:szCs w:val="24"/>
        </w:rPr>
      </w:pPr>
      <w:r w:rsidRPr="00F97B2D">
        <w:rPr>
          <w:szCs w:val="24"/>
        </w:rPr>
        <w:t>AA</w:t>
      </w:r>
      <w:r w:rsidRPr="00F97B2D">
        <w:rPr>
          <w:szCs w:val="24"/>
        </w:rPr>
        <w:tab/>
      </w:r>
      <w:r w:rsidRPr="00F97B2D">
        <w:rPr>
          <w:szCs w:val="24"/>
        </w:rPr>
        <w:tab/>
        <w:t>Acetic anhydride</w:t>
      </w:r>
    </w:p>
    <w:p w:rsidR="00FA2445" w:rsidRPr="00F97B2D" w:rsidRDefault="00F97B2D" w:rsidP="00F96293">
      <w:pPr>
        <w:rPr>
          <w:szCs w:val="24"/>
        </w:rPr>
      </w:pPr>
      <w:r>
        <w:rPr>
          <w:szCs w:val="24"/>
        </w:rPr>
        <w:t>AAPCC</w:t>
      </w:r>
      <w:r>
        <w:rPr>
          <w:szCs w:val="24"/>
        </w:rPr>
        <w:tab/>
      </w:r>
      <w:r w:rsidR="00FA2445" w:rsidRPr="00F97B2D">
        <w:rPr>
          <w:szCs w:val="24"/>
        </w:rPr>
        <w:t>American Association of Poison Control Centers</w:t>
      </w:r>
    </w:p>
    <w:p w:rsidR="00FA2445" w:rsidRPr="00F97B2D" w:rsidRDefault="00FA2445" w:rsidP="00F96293">
      <w:pPr>
        <w:rPr>
          <w:szCs w:val="24"/>
        </w:rPr>
      </w:pPr>
      <w:r w:rsidRPr="00F97B2D">
        <w:rPr>
          <w:szCs w:val="24"/>
        </w:rPr>
        <w:t>ANOVA</w:t>
      </w:r>
      <w:r w:rsidRPr="00F97B2D">
        <w:rPr>
          <w:szCs w:val="24"/>
        </w:rPr>
        <w:tab/>
        <w:t>Analysis of variance</w:t>
      </w:r>
    </w:p>
    <w:p w:rsidR="00FA2445" w:rsidRPr="00F97B2D" w:rsidRDefault="00FA2445" w:rsidP="00F96293">
      <w:pPr>
        <w:rPr>
          <w:szCs w:val="24"/>
        </w:rPr>
      </w:pPr>
      <w:r w:rsidRPr="00F97B2D">
        <w:rPr>
          <w:szCs w:val="24"/>
        </w:rPr>
        <w:t>DAD</w:t>
      </w:r>
      <w:r w:rsidRPr="00F97B2D">
        <w:rPr>
          <w:szCs w:val="24"/>
        </w:rPr>
        <w:tab/>
      </w:r>
      <w:r w:rsidRPr="00F97B2D">
        <w:rPr>
          <w:szCs w:val="24"/>
        </w:rPr>
        <w:tab/>
        <w:t>Diode array detection</w:t>
      </w:r>
    </w:p>
    <w:p w:rsidR="00FA2445" w:rsidRPr="00F97B2D" w:rsidRDefault="00FA2445" w:rsidP="00F96293">
      <w:pPr>
        <w:rPr>
          <w:szCs w:val="24"/>
        </w:rPr>
      </w:pPr>
      <w:r w:rsidRPr="00F97B2D">
        <w:rPr>
          <w:szCs w:val="24"/>
        </w:rPr>
        <w:t>DEA</w:t>
      </w:r>
      <w:r w:rsidRPr="00F97B2D">
        <w:rPr>
          <w:szCs w:val="24"/>
        </w:rPr>
        <w:tab/>
      </w:r>
      <w:r w:rsidRPr="00F97B2D">
        <w:rPr>
          <w:szCs w:val="24"/>
        </w:rPr>
        <w:tab/>
        <w:t>Drug Enforcement Agency</w:t>
      </w:r>
    </w:p>
    <w:p w:rsidR="00FA2445" w:rsidRDefault="00FA2445" w:rsidP="00F96293">
      <w:pPr>
        <w:rPr>
          <w:szCs w:val="24"/>
        </w:rPr>
      </w:pPr>
      <w:r w:rsidRPr="00F97B2D">
        <w:rPr>
          <w:szCs w:val="24"/>
        </w:rPr>
        <w:t>DI</w:t>
      </w:r>
      <w:r w:rsidRPr="00F97B2D">
        <w:rPr>
          <w:szCs w:val="24"/>
        </w:rPr>
        <w:tab/>
      </w:r>
      <w:r w:rsidRPr="00F97B2D">
        <w:rPr>
          <w:szCs w:val="24"/>
        </w:rPr>
        <w:tab/>
        <w:t>Deionized</w:t>
      </w:r>
    </w:p>
    <w:p w:rsidR="007947F9" w:rsidRDefault="007947F9" w:rsidP="00F96293">
      <w:pPr>
        <w:rPr>
          <w:szCs w:val="24"/>
        </w:rPr>
      </w:pPr>
      <w:r>
        <w:rPr>
          <w:szCs w:val="24"/>
        </w:rPr>
        <w:t>DUI</w:t>
      </w:r>
      <w:r>
        <w:rPr>
          <w:szCs w:val="24"/>
        </w:rPr>
        <w:tab/>
      </w:r>
      <w:r>
        <w:rPr>
          <w:szCs w:val="24"/>
        </w:rPr>
        <w:tab/>
        <w:t>Driving under the influence</w:t>
      </w:r>
    </w:p>
    <w:p w:rsidR="007947F9" w:rsidRPr="00F97B2D" w:rsidRDefault="007947F9" w:rsidP="00F96293">
      <w:pPr>
        <w:rPr>
          <w:szCs w:val="24"/>
        </w:rPr>
      </w:pPr>
      <w:r>
        <w:rPr>
          <w:szCs w:val="24"/>
        </w:rPr>
        <w:t>DUID</w:t>
      </w:r>
      <w:r>
        <w:rPr>
          <w:szCs w:val="24"/>
        </w:rPr>
        <w:tab/>
      </w:r>
      <w:r>
        <w:rPr>
          <w:szCs w:val="24"/>
        </w:rPr>
        <w:tab/>
        <w:t>Driving under the influence of drugs</w:t>
      </w:r>
    </w:p>
    <w:p w:rsidR="00FA2445" w:rsidRPr="00F97B2D" w:rsidRDefault="00FA2445" w:rsidP="00F96293">
      <w:pPr>
        <w:rPr>
          <w:szCs w:val="24"/>
        </w:rPr>
      </w:pPr>
      <w:r w:rsidRPr="00F97B2D">
        <w:rPr>
          <w:szCs w:val="24"/>
        </w:rPr>
        <w:t>EC</w:t>
      </w:r>
      <w:r w:rsidRPr="00F97B2D">
        <w:rPr>
          <w:szCs w:val="24"/>
          <w:vertAlign w:val="subscript"/>
        </w:rPr>
        <w:t>50</w:t>
      </w:r>
      <w:r w:rsidRPr="00F97B2D">
        <w:rPr>
          <w:szCs w:val="24"/>
        </w:rPr>
        <w:tab/>
      </w:r>
      <w:r w:rsidRPr="00F97B2D">
        <w:rPr>
          <w:szCs w:val="24"/>
        </w:rPr>
        <w:tab/>
        <w:t>Half-maximal effective concentration</w:t>
      </w:r>
    </w:p>
    <w:p w:rsidR="00FA2445" w:rsidRPr="00F97B2D" w:rsidRDefault="00FA2445" w:rsidP="00F96293">
      <w:pPr>
        <w:rPr>
          <w:szCs w:val="24"/>
        </w:rPr>
      </w:pPr>
      <w:r w:rsidRPr="00F97B2D">
        <w:rPr>
          <w:szCs w:val="24"/>
        </w:rPr>
        <w:t>EI</w:t>
      </w:r>
      <w:r w:rsidRPr="00F97B2D">
        <w:rPr>
          <w:szCs w:val="24"/>
        </w:rPr>
        <w:tab/>
      </w:r>
      <w:r w:rsidRPr="00F97B2D">
        <w:rPr>
          <w:szCs w:val="24"/>
        </w:rPr>
        <w:tab/>
        <w:t>Electron impact ionization</w:t>
      </w:r>
    </w:p>
    <w:p w:rsidR="00FA2445" w:rsidRPr="00F97B2D" w:rsidRDefault="00FA2445" w:rsidP="00F96293">
      <w:pPr>
        <w:rPr>
          <w:szCs w:val="24"/>
        </w:rPr>
      </w:pPr>
      <w:r w:rsidRPr="00F97B2D">
        <w:rPr>
          <w:szCs w:val="24"/>
        </w:rPr>
        <w:t>ELISA</w:t>
      </w:r>
      <w:r w:rsidRPr="00F97B2D">
        <w:rPr>
          <w:szCs w:val="24"/>
        </w:rPr>
        <w:tab/>
      </w:r>
      <w:r w:rsidRPr="00F97B2D">
        <w:rPr>
          <w:szCs w:val="24"/>
        </w:rPr>
        <w:tab/>
        <w:t>Enzyme-linked immunosorbent assay</w:t>
      </w:r>
    </w:p>
    <w:p w:rsidR="00FA2445" w:rsidRPr="00F97B2D" w:rsidRDefault="00FA2445" w:rsidP="00F96293">
      <w:pPr>
        <w:rPr>
          <w:szCs w:val="24"/>
        </w:rPr>
      </w:pPr>
      <w:r w:rsidRPr="00F97B2D">
        <w:rPr>
          <w:szCs w:val="24"/>
        </w:rPr>
        <w:t>EMIT</w:t>
      </w:r>
      <w:r w:rsidRPr="00F97B2D">
        <w:rPr>
          <w:szCs w:val="24"/>
        </w:rPr>
        <w:tab/>
      </w:r>
      <w:r w:rsidRPr="00F97B2D">
        <w:rPr>
          <w:szCs w:val="24"/>
        </w:rPr>
        <w:tab/>
        <w:t>Enzyme multiplied immunoassay technique</w:t>
      </w:r>
    </w:p>
    <w:p w:rsidR="00FA2445" w:rsidRDefault="00FA2445" w:rsidP="00F96293">
      <w:pPr>
        <w:rPr>
          <w:szCs w:val="24"/>
        </w:rPr>
      </w:pPr>
      <w:r w:rsidRPr="00F97B2D">
        <w:rPr>
          <w:szCs w:val="24"/>
        </w:rPr>
        <w:t>ESI</w:t>
      </w:r>
      <w:r w:rsidRPr="00F97B2D">
        <w:rPr>
          <w:szCs w:val="24"/>
        </w:rPr>
        <w:tab/>
      </w:r>
      <w:r w:rsidRPr="00F97B2D">
        <w:rPr>
          <w:szCs w:val="24"/>
        </w:rPr>
        <w:tab/>
        <w:t>Electrospray ionization</w:t>
      </w:r>
    </w:p>
    <w:p w:rsidR="007947F9" w:rsidRPr="00F97B2D" w:rsidRDefault="007947F9" w:rsidP="00F96293">
      <w:pPr>
        <w:rPr>
          <w:szCs w:val="24"/>
        </w:rPr>
      </w:pPr>
      <w:r>
        <w:rPr>
          <w:szCs w:val="24"/>
        </w:rPr>
        <w:t>G6PDH</w:t>
      </w:r>
      <w:r>
        <w:rPr>
          <w:szCs w:val="24"/>
        </w:rPr>
        <w:tab/>
        <w:t>Glucose-6-phosphate dehydrogenase</w:t>
      </w:r>
    </w:p>
    <w:p w:rsidR="00FA2445" w:rsidRPr="00F97B2D" w:rsidRDefault="00FA2445" w:rsidP="00F96293">
      <w:pPr>
        <w:rPr>
          <w:szCs w:val="24"/>
        </w:rPr>
      </w:pPr>
      <w:r w:rsidRPr="00F97B2D">
        <w:rPr>
          <w:szCs w:val="24"/>
        </w:rPr>
        <w:t>GC</w:t>
      </w:r>
      <w:r w:rsidRPr="00F97B2D">
        <w:rPr>
          <w:szCs w:val="24"/>
        </w:rPr>
        <w:tab/>
      </w:r>
      <w:r w:rsidRPr="00F97B2D">
        <w:rPr>
          <w:szCs w:val="24"/>
        </w:rPr>
        <w:tab/>
        <w:t>Gas chromatography</w:t>
      </w:r>
    </w:p>
    <w:p w:rsidR="00FA2445" w:rsidRPr="00F97B2D" w:rsidRDefault="00FA2445" w:rsidP="00F96293">
      <w:pPr>
        <w:rPr>
          <w:szCs w:val="24"/>
        </w:rPr>
      </w:pPr>
      <w:r w:rsidRPr="00F97B2D">
        <w:rPr>
          <w:szCs w:val="24"/>
        </w:rPr>
        <w:t>HFBA</w:t>
      </w:r>
      <w:r w:rsidRPr="00F97B2D">
        <w:rPr>
          <w:szCs w:val="24"/>
        </w:rPr>
        <w:tab/>
      </w:r>
      <w:r w:rsidRPr="00F97B2D">
        <w:rPr>
          <w:szCs w:val="24"/>
        </w:rPr>
        <w:tab/>
        <w:t>Heptafluorobutyric anhydride</w:t>
      </w:r>
    </w:p>
    <w:p w:rsidR="00810B1A" w:rsidRPr="00F97B2D" w:rsidRDefault="00810B1A" w:rsidP="00F96293">
      <w:pPr>
        <w:rPr>
          <w:szCs w:val="24"/>
        </w:rPr>
      </w:pPr>
      <w:r w:rsidRPr="00F97B2D">
        <w:rPr>
          <w:szCs w:val="24"/>
        </w:rPr>
        <w:t>HRP</w:t>
      </w:r>
      <w:r w:rsidRPr="00F97B2D">
        <w:rPr>
          <w:szCs w:val="24"/>
        </w:rPr>
        <w:tab/>
      </w:r>
      <w:r w:rsidRPr="00F97B2D">
        <w:rPr>
          <w:szCs w:val="24"/>
        </w:rPr>
        <w:tab/>
        <w:t>Horseradish peroxidase</w:t>
      </w:r>
    </w:p>
    <w:p w:rsidR="00FA2445" w:rsidRPr="00F97B2D" w:rsidRDefault="00FA2445" w:rsidP="00F96293">
      <w:pPr>
        <w:rPr>
          <w:szCs w:val="24"/>
        </w:rPr>
      </w:pPr>
      <w:r w:rsidRPr="00F97B2D">
        <w:rPr>
          <w:szCs w:val="24"/>
        </w:rPr>
        <w:t>IPA</w:t>
      </w:r>
      <w:r w:rsidRPr="00F97B2D">
        <w:rPr>
          <w:szCs w:val="24"/>
        </w:rPr>
        <w:tab/>
      </w:r>
      <w:r w:rsidRPr="00F97B2D">
        <w:rPr>
          <w:szCs w:val="24"/>
        </w:rPr>
        <w:tab/>
        <w:t>Isopropanol, 2-propanol</w:t>
      </w:r>
    </w:p>
    <w:p w:rsidR="00FA2445" w:rsidRPr="00F97B2D" w:rsidRDefault="00FA2445" w:rsidP="00F96293">
      <w:pPr>
        <w:rPr>
          <w:szCs w:val="24"/>
        </w:rPr>
      </w:pPr>
      <w:r w:rsidRPr="00F97B2D">
        <w:rPr>
          <w:szCs w:val="24"/>
        </w:rPr>
        <w:t>IS</w:t>
      </w:r>
      <w:r w:rsidRPr="00F97B2D">
        <w:rPr>
          <w:szCs w:val="24"/>
        </w:rPr>
        <w:tab/>
      </w:r>
      <w:r w:rsidRPr="00F97B2D">
        <w:rPr>
          <w:szCs w:val="24"/>
        </w:rPr>
        <w:tab/>
        <w:t>Internal standard</w:t>
      </w:r>
    </w:p>
    <w:p w:rsidR="00FA2445" w:rsidRPr="00F97B2D" w:rsidRDefault="00FA2445" w:rsidP="00F96293">
      <w:pPr>
        <w:rPr>
          <w:szCs w:val="24"/>
        </w:rPr>
      </w:pPr>
      <w:bookmarkStart w:id="10" w:name="_Toc354740993"/>
      <w:bookmarkStart w:id="11" w:name="_Toc354742750"/>
      <w:r w:rsidRPr="00F97B2D">
        <w:rPr>
          <w:szCs w:val="24"/>
        </w:rPr>
        <w:t>LC</w:t>
      </w:r>
      <w:r w:rsidRPr="00F97B2D">
        <w:rPr>
          <w:szCs w:val="24"/>
        </w:rPr>
        <w:tab/>
      </w:r>
      <w:r w:rsidRPr="00F97B2D">
        <w:rPr>
          <w:szCs w:val="24"/>
        </w:rPr>
        <w:tab/>
        <w:t>Liquid chromatography</w:t>
      </w:r>
      <w:bookmarkEnd w:id="10"/>
      <w:bookmarkEnd w:id="11"/>
    </w:p>
    <w:p w:rsidR="00FA2445" w:rsidRPr="00F97B2D" w:rsidRDefault="00FA2445" w:rsidP="00F96293">
      <w:pPr>
        <w:rPr>
          <w:szCs w:val="24"/>
        </w:rPr>
      </w:pPr>
      <w:r w:rsidRPr="00F97B2D">
        <w:rPr>
          <w:szCs w:val="24"/>
        </w:rPr>
        <w:t>LLE</w:t>
      </w:r>
      <w:r w:rsidRPr="00F97B2D">
        <w:rPr>
          <w:szCs w:val="24"/>
        </w:rPr>
        <w:tab/>
      </w:r>
      <w:r w:rsidRPr="00F97B2D">
        <w:rPr>
          <w:szCs w:val="24"/>
        </w:rPr>
        <w:tab/>
        <w:t>Liquid-liquid extraction</w:t>
      </w:r>
    </w:p>
    <w:p w:rsidR="00FA2445" w:rsidRPr="00F97B2D" w:rsidRDefault="00FA2445" w:rsidP="00F96293">
      <w:pPr>
        <w:rPr>
          <w:szCs w:val="24"/>
        </w:rPr>
      </w:pPr>
      <w:r w:rsidRPr="00F97B2D">
        <w:rPr>
          <w:szCs w:val="24"/>
        </w:rPr>
        <w:t>LOD</w:t>
      </w:r>
      <w:r w:rsidRPr="00F97B2D">
        <w:rPr>
          <w:szCs w:val="24"/>
        </w:rPr>
        <w:tab/>
      </w:r>
      <w:r w:rsidRPr="00F97B2D">
        <w:rPr>
          <w:szCs w:val="24"/>
        </w:rPr>
        <w:tab/>
        <w:t>Limit of detection</w:t>
      </w:r>
    </w:p>
    <w:p w:rsidR="00FA2445" w:rsidRPr="00F97B2D" w:rsidRDefault="00E951CA" w:rsidP="00F96293">
      <w:pPr>
        <w:rPr>
          <w:szCs w:val="24"/>
        </w:rPr>
      </w:pPr>
      <w:r>
        <w:rPr>
          <w:szCs w:val="24"/>
        </w:rPr>
        <w:t>LOQ</w:t>
      </w:r>
      <w:r>
        <w:rPr>
          <w:szCs w:val="24"/>
        </w:rPr>
        <w:tab/>
      </w:r>
      <w:r>
        <w:rPr>
          <w:szCs w:val="24"/>
        </w:rPr>
        <w:tab/>
        <w:t>Limit of quantific</w:t>
      </w:r>
      <w:r w:rsidR="00FA2445" w:rsidRPr="00F97B2D">
        <w:rPr>
          <w:szCs w:val="24"/>
        </w:rPr>
        <w:t>ation</w:t>
      </w:r>
    </w:p>
    <w:p w:rsidR="00FA2445" w:rsidRPr="00F97B2D" w:rsidRDefault="00F97B2D" w:rsidP="00F96293">
      <w:pPr>
        <w:rPr>
          <w:szCs w:val="24"/>
        </w:rPr>
      </w:pPr>
      <w:r>
        <w:rPr>
          <w:szCs w:val="24"/>
        </w:rPr>
        <w:t>MBTFA</w:t>
      </w:r>
      <w:r>
        <w:rPr>
          <w:szCs w:val="24"/>
        </w:rPr>
        <w:tab/>
      </w:r>
      <w:r w:rsidR="00FA2445" w:rsidRPr="00F97B2D">
        <w:rPr>
          <w:szCs w:val="24"/>
        </w:rPr>
        <w:t>N-methyl-</w:t>
      </w:r>
      <w:proofErr w:type="gramStart"/>
      <w:r w:rsidR="00FA2445" w:rsidRPr="00F97B2D">
        <w:rPr>
          <w:szCs w:val="24"/>
        </w:rPr>
        <w:t>bis(</w:t>
      </w:r>
      <w:proofErr w:type="gramEnd"/>
      <w:r w:rsidR="00FA2445" w:rsidRPr="00F97B2D">
        <w:rPr>
          <w:szCs w:val="24"/>
        </w:rPr>
        <w:t>trifluoroacetamide)</w:t>
      </w:r>
    </w:p>
    <w:p w:rsidR="00FA2445" w:rsidRPr="00F97B2D" w:rsidRDefault="00F97B2D" w:rsidP="00F96293">
      <w:pPr>
        <w:rPr>
          <w:szCs w:val="24"/>
        </w:rPr>
      </w:pPr>
      <w:r>
        <w:rPr>
          <w:szCs w:val="24"/>
        </w:rPr>
        <w:t>MDMA</w:t>
      </w:r>
      <w:r>
        <w:rPr>
          <w:szCs w:val="24"/>
        </w:rPr>
        <w:tab/>
      </w:r>
      <w:r w:rsidR="00FA2445" w:rsidRPr="00F97B2D">
        <w:rPr>
          <w:szCs w:val="24"/>
        </w:rPr>
        <w:t>3</w:t>
      </w:r>
      <w:proofErr w:type="gramStart"/>
      <w:r w:rsidR="00FA2445" w:rsidRPr="00F97B2D">
        <w:rPr>
          <w:szCs w:val="24"/>
        </w:rPr>
        <w:t>,4</w:t>
      </w:r>
      <w:proofErr w:type="gramEnd"/>
      <w:r w:rsidR="00FA2445" w:rsidRPr="00F97B2D">
        <w:rPr>
          <w:szCs w:val="24"/>
        </w:rPr>
        <w:t>-methylenedioxymethamphetamine, Ecstasy</w:t>
      </w:r>
    </w:p>
    <w:p w:rsidR="00FA2445" w:rsidRPr="00F97B2D" w:rsidRDefault="00FA2445" w:rsidP="00F96293">
      <w:pPr>
        <w:rPr>
          <w:szCs w:val="24"/>
        </w:rPr>
      </w:pPr>
      <w:r w:rsidRPr="00F97B2D">
        <w:rPr>
          <w:szCs w:val="24"/>
        </w:rPr>
        <w:t>ME</w:t>
      </w:r>
      <w:r w:rsidRPr="00F97B2D">
        <w:rPr>
          <w:szCs w:val="24"/>
        </w:rPr>
        <w:tab/>
      </w:r>
      <w:r w:rsidRPr="00F97B2D">
        <w:rPr>
          <w:szCs w:val="24"/>
        </w:rPr>
        <w:tab/>
        <w:t>Matrix effect</w:t>
      </w:r>
    </w:p>
    <w:p w:rsidR="00FA2445" w:rsidRPr="00F97B2D" w:rsidRDefault="00FA2445" w:rsidP="00F96293">
      <w:pPr>
        <w:rPr>
          <w:szCs w:val="24"/>
        </w:rPr>
      </w:pPr>
      <w:r w:rsidRPr="00F97B2D">
        <w:rPr>
          <w:szCs w:val="24"/>
        </w:rPr>
        <w:t>MRM</w:t>
      </w:r>
      <w:r w:rsidRPr="00F97B2D">
        <w:rPr>
          <w:szCs w:val="24"/>
        </w:rPr>
        <w:tab/>
      </w:r>
      <w:r w:rsidRPr="00F97B2D">
        <w:rPr>
          <w:szCs w:val="24"/>
        </w:rPr>
        <w:tab/>
        <w:t>Multiple reaction monitoring</w:t>
      </w:r>
    </w:p>
    <w:p w:rsidR="00FA2445" w:rsidRPr="00F97B2D" w:rsidRDefault="00FA2445" w:rsidP="00F96293">
      <w:pPr>
        <w:rPr>
          <w:szCs w:val="24"/>
        </w:rPr>
      </w:pPr>
      <w:r w:rsidRPr="00F97B2D">
        <w:rPr>
          <w:szCs w:val="24"/>
        </w:rPr>
        <w:t>MS</w:t>
      </w:r>
      <w:r w:rsidRPr="00F97B2D">
        <w:rPr>
          <w:szCs w:val="24"/>
        </w:rPr>
        <w:tab/>
      </w:r>
      <w:r w:rsidRPr="00F97B2D">
        <w:rPr>
          <w:szCs w:val="24"/>
        </w:rPr>
        <w:tab/>
        <w:t>Mass spectrometry</w:t>
      </w:r>
    </w:p>
    <w:p w:rsidR="00FA2445" w:rsidRPr="00F97B2D" w:rsidRDefault="00F97B2D" w:rsidP="00F96293">
      <w:pPr>
        <w:rPr>
          <w:szCs w:val="24"/>
        </w:rPr>
      </w:pPr>
      <w:r>
        <w:rPr>
          <w:szCs w:val="24"/>
        </w:rPr>
        <w:t>MS/MS</w:t>
      </w:r>
      <w:r>
        <w:rPr>
          <w:szCs w:val="24"/>
        </w:rPr>
        <w:tab/>
      </w:r>
      <w:r w:rsidR="00FA2445" w:rsidRPr="00F97B2D">
        <w:rPr>
          <w:szCs w:val="24"/>
        </w:rPr>
        <w:t>Tandem mass spectrometry</w:t>
      </w:r>
    </w:p>
    <w:p w:rsidR="00FA2445" w:rsidRPr="00F97B2D" w:rsidRDefault="00FA2445" w:rsidP="00F96293">
      <w:pPr>
        <w:rPr>
          <w:szCs w:val="24"/>
        </w:rPr>
      </w:pPr>
      <w:r w:rsidRPr="00F97B2D">
        <w:rPr>
          <w:szCs w:val="24"/>
        </w:rPr>
        <w:t>MSD</w:t>
      </w:r>
      <w:r w:rsidRPr="00F97B2D">
        <w:rPr>
          <w:szCs w:val="24"/>
        </w:rPr>
        <w:tab/>
      </w:r>
      <w:r w:rsidRPr="00F97B2D">
        <w:rPr>
          <w:szCs w:val="24"/>
        </w:rPr>
        <w:tab/>
        <w:t>Mass selective detector</w:t>
      </w:r>
    </w:p>
    <w:p w:rsidR="00810B1A" w:rsidRPr="00F97B2D" w:rsidRDefault="00810B1A" w:rsidP="00F96293">
      <w:pPr>
        <w:rPr>
          <w:szCs w:val="24"/>
        </w:rPr>
      </w:pPr>
      <w:r w:rsidRPr="00F97B2D">
        <w:rPr>
          <w:szCs w:val="24"/>
        </w:rPr>
        <w:t>NAD+</w:t>
      </w:r>
      <w:r w:rsidR="007947F9">
        <w:rPr>
          <w:szCs w:val="24"/>
        </w:rPr>
        <w:tab/>
      </w:r>
      <w:r w:rsidR="007947F9">
        <w:rPr>
          <w:szCs w:val="24"/>
        </w:rPr>
        <w:tab/>
        <w:t xml:space="preserve">Oxidized nicotinamide adenine dinucleotide </w:t>
      </w:r>
    </w:p>
    <w:p w:rsidR="00810B1A" w:rsidRPr="00F97B2D" w:rsidRDefault="007947F9" w:rsidP="00F96293">
      <w:pPr>
        <w:rPr>
          <w:szCs w:val="24"/>
        </w:rPr>
      </w:pPr>
      <w:r>
        <w:rPr>
          <w:szCs w:val="24"/>
        </w:rPr>
        <w:t>NADH</w:t>
      </w:r>
      <w:r>
        <w:rPr>
          <w:szCs w:val="24"/>
        </w:rPr>
        <w:tab/>
      </w:r>
      <w:r>
        <w:rPr>
          <w:szCs w:val="24"/>
        </w:rPr>
        <w:tab/>
        <w:t>Reduced nicotinamide adenine dinucleotide</w:t>
      </w:r>
    </w:p>
    <w:p w:rsidR="00FA2445" w:rsidRPr="00F97B2D" w:rsidRDefault="00FA2445" w:rsidP="00F96293">
      <w:pPr>
        <w:rPr>
          <w:szCs w:val="24"/>
        </w:rPr>
      </w:pPr>
      <w:r w:rsidRPr="00F97B2D">
        <w:rPr>
          <w:szCs w:val="24"/>
        </w:rPr>
        <w:t>NCSL</w:t>
      </w:r>
      <w:r w:rsidRPr="00F97B2D">
        <w:rPr>
          <w:szCs w:val="24"/>
        </w:rPr>
        <w:tab/>
      </w:r>
      <w:r w:rsidRPr="00F97B2D">
        <w:rPr>
          <w:szCs w:val="24"/>
        </w:rPr>
        <w:tab/>
        <w:t>National Conference of State Legislatures</w:t>
      </w:r>
    </w:p>
    <w:p w:rsidR="00FA2445" w:rsidRDefault="00FA2445" w:rsidP="00F96293">
      <w:pPr>
        <w:rPr>
          <w:szCs w:val="24"/>
        </w:rPr>
      </w:pPr>
      <w:r w:rsidRPr="00F97B2D">
        <w:rPr>
          <w:szCs w:val="24"/>
        </w:rPr>
        <w:t>PBS</w:t>
      </w:r>
      <w:r w:rsidRPr="00F97B2D">
        <w:rPr>
          <w:szCs w:val="24"/>
        </w:rPr>
        <w:tab/>
      </w:r>
      <w:r w:rsidRPr="00F97B2D">
        <w:rPr>
          <w:szCs w:val="24"/>
        </w:rPr>
        <w:tab/>
        <w:t>Phosphate buffered saline</w:t>
      </w:r>
    </w:p>
    <w:p w:rsidR="00C56A19" w:rsidRPr="00F97B2D" w:rsidRDefault="00C56A19" w:rsidP="00F96293">
      <w:pPr>
        <w:rPr>
          <w:szCs w:val="24"/>
        </w:rPr>
      </w:pPr>
      <w:r>
        <w:rPr>
          <w:szCs w:val="24"/>
        </w:rPr>
        <w:t>PBSO</w:t>
      </w:r>
      <w:r>
        <w:rPr>
          <w:szCs w:val="24"/>
        </w:rPr>
        <w:tab/>
      </w:r>
      <w:r>
        <w:rPr>
          <w:szCs w:val="24"/>
        </w:rPr>
        <w:tab/>
        <w:t>Palm Beach County Sheriff’s Office</w:t>
      </w:r>
    </w:p>
    <w:p w:rsidR="00FA2445" w:rsidRPr="00F97B2D" w:rsidRDefault="00FA2445" w:rsidP="00F96293">
      <w:pPr>
        <w:rPr>
          <w:szCs w:val="24"/>
        </w:rPr>
      </w:pPr>
      <w:r w:rsidRPr="00F97B2D">
        <w:rPr>
          <w:szCs w:val="24"/>
        </w:rPr>
        <w:t>PE</w:t>
      </w:r>
      <w:r w:rsidRPr="00F97B2D">
        <w:rPr>
          <w:szCs w:val="24"/>
        </w:rPr>
        <w:tab/>
      </w:r>
      <w:r w:rsidRPr="00F97B2D">
        <w:rPr>
          <w:szCs w:val="24"/>
        </w:rPr>
        <w:tab/>
        <w:t>Process efficiency</w:t>
      </w:r>
    </w:p>
    <w:p w:rsidR="007947F9" w:rsidRPr="00F97B2D" w:rsidRDefault="00FA2445" w:rsidP="00F96293">
      <w:pPr>
        <w:rPr>
          <w:szCs w:val="24"/>
        </w:rPr>
      </w:pPr>
      <w:r w:rsidRPr="00F97B2D">
        <w:rPr>
          <w:szCs w:val="24"/>
        </w:rPr>
        <w:t>PFPA</w:t>
      </w:r>
      <w:r w:rsidRPr="00F97B2D">
        <w:rPr>
          <w:szCs w:val="24"/>
        </w:rPr>
        <w:tab/>
      </w:r>
      <w:r w:rsidRPr="00F97B2D">
        <w:rPr>
          <w:szCs w:val="24"/>
        </w:rPr>
        <w:tab/>
        <w:t>Pentafluoropropionic anhydride</w:t>
      </w:r>
    </w:p>
    <w:p w:rsidR="00FA2445" w:rsidRPr="00F97B2D" w:rsidRDefault="00FA2445" w:rsidP="00F96293">
      <w:pPr>
        <w:rPr>
          <w:szCs w:val="24"/>
        </w:rPr>
      </w:pPr>
      <w:r w:rsidRPr="00F97B2D">
        <w:rPr>
          <w:szCs w:val="24"/>
        </w:rPr>
        <w:t>QC</w:t>
      </w:r>
      <w:r w:rsidRPr="00F97B2D">
        <w:rPr>
          <w:szCs w:val="24"/>
        </w:rPr>
        <w:tab/>
      </w:r>
      <w:r w:rsidRPr="00F97B2D">
        <w:rPr>
          <w:szCs w:val="24"/>
        </w:rPr>
        <w:tab/>
        <w:t>Quality control</w:t>
      </w:r>
    </w:p>
    <w:p w:rsidR="00FA2445" w:rsidRPr="00F97B2D" w:rsidRDefault="00FA2445" w:rsidP="00F96293">
      <w:pPr>
        <w:rPr>
          <w:szCs w:val="24"/>
        </w:rPr>
      </w:pPr>
      <w:r w:rsidRPr="00F97B2D">
        <w:rPr>
          <w:szCs w:val="24"/>
        </w:rPr>
        <w:t>QQQ</w:t>
      </w:r>
      <w:r w:rsidRPr="00F97B2D">
        <w:rPr>
          <w:szCs w:val="24"/>
        </w:rPr>
        <w:tab/>
      </w:r>
      <w:r w:rsidRPr="00F97B2D">
        <w:rPr>
          <w:szCs w:val="24"/>
        </w:rPr>
        <w:tab/>
        <w:t>Triple-quadrupole mass spectrometer</w:t>
      </w:r>
    </w:p>
    <w:p w:rsidR="00FA2445" w:rsidRPr="00F97B2D" w:rsidRDefault="00FA2445" w:rsidP="00F96293">
      <w:pPr>
        <w:rPr>
          <w:szCs w:val="24"/>
        </w:rPr>
      </w:pPr>
      <w:r w:rsidRPr="00F97B2D">
        <w:rPr>
          <w:szCs w:val="24"/>
        </w:rPr>
        <w:t>QTOF</w:t>
      </w:r>
      <w:r w:rsidRPr="00F97B2D">
        <w:rPr>
          <w:szCs w:val="24"/>
        </w:rPr>
        <w:tab/>
      </w:r>
      <w:r w:rsidRPr="00F97B2D">
        <w:rPr>
          <w:szCs w:val="24"/>
        </w:rPr>
        <w:tab/>
        <w:t>Quadrupole time-of-flight mass spectrometer</w:t>
      </w:r>
    </w:p>
    <w:p w:rsidR="00FA2445" w:rsidRPr="00F97B2D" w:rsidRDefault="00FA2445" w:rsidP="00F96293">
      <w:pPr>
        <w:rPr>
          <w:szCs w:val="24"/>
        </w:rPr>
      </w:pPr>
      <w:r w:rsidRPr="00F97B2D">
        <w:rPr>
          <w:szCs w:val="24"/>
        </w:rPr>
        <w:t>RE</w:t>
      </w:r>
      <w:r w:rsidRPr="00F97B2D">
        <w:rPr>
          <w:szCs w:val="24"/>
        </w:rPr>
        <w:tab/>
      </w:r>
      <w:r w:rsidRPr="00F97B2D">
        <w:rPr>
          <w:szCs w:val="24"/>
        </w:rPr>
        <w:tab/>
        <w:t>Extraction recovery</w:t>
      </w:r>
    </w:p>
    <w:p w:rsidR="00FA2445" w:rsidRPr="00F97B2D" w:rsidRDefault="00FA2445" w:rsidP="00F96293">
      <w:pPr>
        <w:rPr>
          <w:szCs w:val="24"/>
        </w:rPr>
      </w:pPr>
      <w:r w:rsidRPr="00F97B2D">
        <w:rPr>
          <w:szCs w:val="24"/>
        </w:rPr>
        <w:t>RSD</w:t>
      </w:r>
      <w:r w:rsidRPr="00F97B2D">
        <w:rPr>
          <w:szCs w:val="24"/>
        </w:rPr>
        <w:tab/>
      </w:r>
      <w:r w:rsidRPr="00F97B2D">
        <w:rPr>
          <w:szCs w:val="24"/>
        </w:rPr>
        <w:tab/>
        <w:t>Relative standard deviation</w:t>
      </w:r>
    </w:p>
    <w:p w:rsidR="00FA2445" w:rsidRPr="00F97B2D" w:rsidRDefault="00FA2445" w:rsidP="00F96293">
      <w:pPr>
        <w:rPr>
          <w:szCs w:val="24"/>
        </w:rPr>
      </w:pPr>
      <w:r w:rsidRPr="00F97B2D">
        <w:rPr>
          <w:szCs w:val="24"/>
        </w:rPr>
        <w:t>SIM</w:t>
      </w:r>
      <w:r w:rsidRPr="00F97B2D">
        <w:rPr>
          <w:szCs w:val="24"/>
        </w:rPr>
        <w:tab/>
      </w:r>
      <w:r w:rsidRPr="00F97B2D">
        <w:rPr>
          <w:szCs w:val="24"/>
        </w:rPr>
        <w:tab/>
        <w:t>Single ion monitoring</w:t>
      </w:r>
    </w:p>
    <w:p w:rsidR="00FA2445" w:rsidRPr="00F97B2D" w:rsidRDefault="00FA2445" w:rsidP="00F96293">
      <w:pPr>
        <w:rPr>
          <w:szCs w:val="24"/>
        </w:rPr>
      </w:pPr>
      <w:r w:rsidRPr="00F97B2D">
        <w:rPr>
          <w:szCs w:val="24"/>
        </w:rPr>
        <w:t>SPE</w:t>
      </w:r>
      <w:r w:rsidRPr="00F97B2D">
        <w:rPr>
          <w:szCs w:val="24"/>
        </w:rPr>
        <w:tab/>
      </w:r>
      <w:r w:rsidRPr="00F97B2D">
        <w:rPr>
          <w:szCs w:val="24"/>
        </w:rPr>
        <w:tab/>
        <w:t>Solid-phase extraction</w:t>
      </w:r>
    </w:p>
    <w:p w:rsidR="00FA2445" w:rsidRPr="00F97B2D" w:rsidRDefault="00FA2445" w:rsidP="00F96293">
      <w:pPr>
        <w:rPr>
          <w:szCs w:val="24"/>
        </w:rPr>
      </w:pPr>
      <w:r w:rsidRPr="00F97B2D">
        <w:rPr>
          <w:szCs w:val="24"/>
        </w:rPr>
        <w:t>SPME</w:t>
      </w:r>
      <w:r w:rsidRPr="00F97B2D">
        <w:rPr>
          <w:szCs w:val="24"/>
        </w:rPr>
        <w:tab/>
      </w:r>
      <w:r w:rsidRPr="00F97B2D">
        <w:rPr>
          <w:szCs w:val="24"/>
        </w:rPr>
        <w:tab/>
        <w:t>Solid-phase microextraction</w:t>
      </w:r>
    </w:p>
    <w:p w:rsidR="00FA2445" w:rsidRDefault="00FA2445" w:rsidP="00F96293">
      <w:pPr>
        <w:rPr>
          <w:szCs w:val="24"/>
        </w:rPr>
      </w:pPr>
      <w:r w:rsidRPr="00F97B2D">
        <w:rPr>
          <w:szCs w:val="24"/>
        </w:rPr>
        <w:t>TFAA</w:t>
      </w:r>
      <w:r w:rsidRPr="00F97B2D">
        <w:rPr>
          <w:szCs w:val="24"/>
        </w:rPr>
        <w:tab/>
      </w:r>
      <w:r w:rsidRPr="00F97B2D">
        <w:rPr>
          <w:szCs w:val="24"/>
        </w:rPr>
        <w:tab/>
        <w:t>Trifluoroacetic anhydride</w:t>
      </w:r>
    </w:p>
    <w:p w:rsidR="007947F9" w:rsidRPr="00F97B2D" w:rsidRDefault="007947F9" w:rsidP="00F96293">
      <w:pPr>
        <w:rPr>
          <w:szCs w:val="24"/>
        </w:rPr>
      </w:pPr>
      <w:r>
        <w:rPr>
          <w:szCs w:val="24"/>
        </w:rPr>
        <w:t>TMB</w:t>
      </w:r>
      <w:r>
        <w:rPr>
          <w:szCs w:val="24"/>
        </w:rPr>
        <w:tab/>
      </w:r>
      <w:r>
        <w:rPr>
          <w:szCs w:val="24"/>
        </w:rPr>
        <w:tab/>
        <w:t>3</w:t>
      </w:r>
      <w:proofErr w:type="gramStart"/>
      <w:r>
        <w:rPr>
          <w:szCs w:val="24"/>
        </w:rPr>
        <w:t>,3’,5,5’</w:t>
      </w:r>
      <w:proofErr w:type="gramEnd"/>
      <w:r>
        <w:rPr>
          <w:szCs w:val="24"/>
        </w:rPr>
        <w:t>-tetramethylbenzidine</w:t>
      </w:r>
    </w:p>
    <w:p w:rsidR="00FA2445" w:rsidRPr="00F97B2D" w:rsidRDefault="00FA2445" w:rsidP="00F96293">
      <w:pPr>
        <w:rPr>
          <w:szCs w:val="24"/>
        </w:rPr>
      </w:pPr>
      <w:r w:rsidRPr="00F97B2D">
        <w:rPr>
          <w:szCs w:val="24"/>
        </w:rPr>
        <w:t>TOF</w:t>
      </w:r>
      <w:r w:rsidRPr="00F97B2D">
        <w:rPr>
          <w:szCs w:val="24"/>
        </w:rPr>
        <w:tab/>
      </w:r>
      <w:r w:rsidRPr="00F97B2D">
        <w:rPr>
          <w:szCs w:val="24"/>
        </w:rPr>
        <w:tab/>
        <w:t>Time-of-flight mass spectrometer</w:t>
      </w:r>
    </w:p>
    <w:p w:rsidR="00FA2445" w:rsidRPr="00F97B2D" w:rsidRDefault="00FA2445" w:rsidP="00F96293">
      <w:pPr>
        <w:rPr>
          <w:szCs w:val="24"/>
        </w:rPr>
      </w:pPr>
      <w:r w:rsidRPr="00F97B2D">
        <w:rPr>
          <w:szCs w:val="24"/>
        </w:rPr>
        <w:t>UPLC</w:t>
      </w:r>
      <w:r w:rsidRPr="00F97B2D">
        <w:rPr>
          <w:szCs w:val="24"/>
        </w:rPr>
        <w:tab/>
      </w:r>
      <w:r w:rsidRPr="00F97B2D">
        <w:rPr>
          <w:szCs w:val="24"/>
        </w:rPr>
        <w:tab/>
        <w:t>Ultra-performance liquid chromatography</w:t>
      </w:r>
    </w:p>
    <w:p w:rsidR="0042097C" w:rsidRPr="00F97B2D" w:rsidRDefault="0042097C" w:rsidP="00CB0ADF">
      <w:pPr>
        <w:spacing w:after="0" w:line="480" w:lineRule="auto"/>
        <w:outlineLvl w:val="0"/>
        <w:rPr>
          <w:rFonts w:cs="Times New Roman"/>
          <w:szCs w:val="24"/>
        </w:rPr>
      </w:pPr>
    </w:p>
    <w:p w:rsidR="00675F47" w:rsidRPr="00F97B2D" w:rsidRDefault="00675F47" w:rsidP="00CB0ADF">
      <w:pPr>
        <w:spacing w:after="0" w:line="480" w:lineRule="auto"/>
        <w:outlineLvl w:val="0"/>
        <w:rPr>
          <w:rFonts w:cs="Times New Roman"/>
          <w:szCs w:val="24"/>
        </w:rPr>
        <w:sectPr w:rsidR="00675F47" w:rsidRPr="00F97B2D" w:rsidSect="00B36AB5">
          <w:footerReference w:type="default" r:id="rId9"/>
          <w:footerReference w:type="first" r:id="rId10"/>
          <w:type w:val="continuous"/>
          <w:pgSz w:w="12240" w:h="15840" w:code="1"/>
          <w:pgMar w:top="1440" w:right="1440" w:bottom="1800" w:left="2160" w:header="720" w:footer="805" w:gutter="0"/>
          <w:pgNumType w:fmt="lowerRoman" w:start="1"/>
          <w:cols w:space="0"/>
          <w:titlePg/>
          <w:docGrid w:linePitch="360"/>
        </w:sectPr>
      </w:pPr>
    </w:p>
    <w:p w:rsidR="00352426" w:rsidRPr="00F97B2D" w:rsidRDefault="00352426" w:rsidP="00CB0ADF">
      <w:pPr>
        <w:spacing w:after="0"/>
        <w:rPr>
          <w:rFonts w:cs="Times New Roman"/>
          <w:szCs w:val="24"/>
        </w:rPr>
      </w:pPr>
      <w:r w:rsidRPr="00F97B2D">
        <w:rPr>
          <w:rFonts w:cs="Times New Roman"/>
          <w:szCs w:val="24"/>
        </w:rPr>
        <w:br w:type="page"/>
      </w:r>
    </w:p>
    <w:p w:rsidR="006F0C84" w:rsidRPr="00F97B2D" w:rsidRDefault="006F0C84" w:rsidP="00A47D80">
      <w:pPr>
        <w:pStyle w:val="ListParagraph"/>
        <w:numPr>
          <w:ilvl w:val="0"/>
          <w:numId w:val="6"/>
        </w:numPr>
        <w:spacing w:after="0" w:line="480" w:lineRule="auto"/>
        <w:ind w:left="360" w:hanging="360"/>
        <w:outlineLvl w:val="0"/>
        <w:rPr>
          <w:rFonts w:cs="Times New Roman"/>
          <w:b/>
          <w:szCs w:val="24"/>
        </w:rPr>
        <w:sectPr w:rsidR="006F0C84" w:rsidRPr="00F97B2D" w:rsidSect="006F0C84">
          <w:footerReference w:type="default" r:id="rId11"/>
          <w:type w:val="continuous"/>
          <w:pgSz w:w="12240" w:h="15840" w:code="1"/>
          <w:pgMar w:top="1440" w:right="1440" w:bottom="1800" w:left="2160" w:header="720" w:footer="720" w:gutter="0"/>
          <w:pgNumType w:start="0"/>
          <w:cols w:space="720"/>
          <w:titlePg/>
          <w:docGrid w:linePitch="360"/>
        </w:sectPr>
      </w:pPr>
    </w:p>
    <w:p w:rsidR="00A74057" w:rsidRPr="00F97B2D" w:rsidRDefault="00546B9D" w:rsidP="00F97B2D">
      <w:pPr>
        <w:pStyle w:val="Heading1"/>
      </w:pPr>
      <w:bookmarkStart w:id="12" w:name="_Toc354740998"/>
      <w:bookmarkStart w:id="13" w:name="_Toc354742755"/>
      <w:bookmarkStart w:id="14" w:name="_Toc372536024"/>
      <w:bookmarkStart w:id="15" w:name="_Toc372538687"/>
      <w:r w:rsidRPr="00F97B2D">
        <w:t>INTRODUCTION</w:t>
      </w:r>
      <w:bookmarkEnd w:id="12"/>
      <w:bookmarkEnd w:id="13"/>
      <w:bookmarkEnd w:id="14"/>
      <w:bookmarkEnd w:id="15"/>
    </w:p>
    <w:p w:rsidR="00A74057" w:rsidRPr="00F97B2D" w:rsidRDefault="00A74057" w:rsidP="00F97B2D">
      <w:pPr>
        <w:pStyle w:val="Heading2"/>
      </w:pPr>
      <w:bookmarkStart w:id="16" w:name="_Toc372536025"/>
      <w:bookmarkStart w:id="17" w:name="_Toc372538688"/>
      <w:r w:rsidRPr="00F97B2D">
        <w:t>Statement of the Problem</w:t>
      </w:r>
      <w:bookmarkEnd w:id="16"/>
      <w:bookmarkEnd w:id="17"/>
    </w:p>
    <w:p w:rsidR="004F628F" w:rsidRPr="00F97B2D" w:rsidRDefault="004F628F" w:rsidP="0035433A">
      <w:pPr>
        <w:spacing w:after="0" w:line="480" w:lineRule="auto"/>
        <w:ind w:firstLine="720"/>
        <w:contextualSpacing/>
        <w:rPr>
          <w:szCs w:val="24"/>
        </w:rPr>
      </w:pPr>
      <w:r w:rsidRPr="00F97B2D">
        <w:rPr>
          <w:szCs w:val="24"/>
        </w:rPr>
        <w:t>The “designer drugs” are analogs or derivatives of controlled substances that are sold on the street in an attempt to circumvent the legal restrictions placed on scheduled drugs</w:t>
      </w:r>
      <w:r w:rsidR="004D105F">
        <w:rPr>
          <w:szCs w:val="24"/>
        </w:rPr>
        <w:t xml:space="preserve"> (www.dea.gov)</w:t>
      </w:r>
      <w:r w:rsidRPr="00F97B2D">
        <w:rPr>
          <w:szCs w:val="24"/>
        </w:rPr>
        <w:t>.  New designer drugs are constantly emerging onto the ill</w:t>
      </w:r>
      <w:r w:rsidR="007C6973">
        <w:rPr>
          <w:szCs w:val="24"/>
        </w:rPr>
        <w:t>icit drug market and it is</w:t>
      </w:r>
      <w:r w:rsidRPr="00F97B2D">
        <w:rPr>
          <w:szCs w:val="24"/>
        </w:rPr>
        <w:t xml:space="preserve"> difficult to validate and maintain comprehensive analytical methods for accurate detection of these compounds.  Chemical modifications in these substances can be very subtle, leading to virtually unlimited structural variation.  As a consequence, there are many hundreds of such entities that have been identified to date.  Generally, forensic toxicology </w:t>
      </w:r>
      <w:r w:rsidR="00C06AE3">
        <w:rPr>
          <w:szCs w:val="24"/>
        </w:rPr>
        <w:t>laboratories</w:t>
      </w:r>
      <w:r w:rsidRPr="00F97B2D">
        <w:rPr>
          <w:szCs w:val="24"/>
        </w:rPr>
        <w:t xml:space="preserve"> utilize a screening method, such as immunoassay, for the presumptive identification of drugs of abuse. </w:t>
      </w:r>
      <w:r w:rsidR="00566301">
        <w:rPr>
          <w:szCs w:val="24"/>
        </w:rPr>
        <w:t xml:space="preserve"> </w:t>
      </w:r>
      <w:r w:rsidRPr="00F97B2D">
        <w:rPr>
          <w:szCs w:val="24"/>
        </w:rPr>
        <w:t>When a positive result occurs, confirmatory methods, such as gas chromatography (GC) or liquid chromatography (LC) coupled with mass spectrometry (MS), are required for more sensitive and specific qualitative and quantitative analyses.  In recent years, the need to study the activities of these compounds in screening assays as well as to develop confirmatory techniques to detect them in biological s</w:t>
      </w:r>
      <w:r w:rsidR="00595F04" w:rsidRPr="00F97B2D">
        <w:rPr>
          <w:szCs w:val="24"/>
        </w:rPr>
        <w:t>pecimens has been recognized</w:t>
      </w:r>
      <w:r w:rsidR="0035433A" w:rsidRPr="00F97B2D">
        <w:rPr>
          <w:szCs w:val="24"/>
        </w:rPr>
        <w:t>.</w:t>
      </w:r>
      <w:sdt>
        <w:sdtPr>
          <w:rPr>
            <w:szCs w:val="24"/>
            <w:vertAlign w:val="superscript"/>
          </w:rPr>
          <w:id w:val="-2067161883"/>
          <w:citation/>
        </w:sdtPr>
        <w:sdtEndPr/>
        <w:sdtContent>
          <w:r w:rsidR="000E239B" w:rsidRPr="00420938">
            <w:rPr>
              <w:rStyle w:val="In-TextCitation"/>
            </w:rPr>
            <w:fldChar w:fldCharType="begin"/>
          </w:r>
          <w:r w:rsidR="00677B36" w:rsidRPr="00420938">
            <w:rPr>
              <w:rStyle w:val="In-TextCitation"/>
            </w:rPr>
            <w:instrText xml:space="preserve"> CITATION MCo12 \l 1033 </w:instrText>
          </w:r>
          <w:r w:rsidR="000E239B" w:rsidRPr="00420938">
            <w:rPr>
              <w:rStyle w:val="In-TextCitation"/>
            </w:rPr>
            <w:fldChar w:fldCharType="separate"/>
          </w:r>
          <w:r w:rsidR="00420938" w:rsidRPr="00420938">
            <w:rPr>
              <w:rStyle w:val="In-TextCitation"/>
            </w:rPr>
            <w:t>(</w:t>
          </w:r>
          <w:hyperlink w:anchor="MCo12" w:history="1">
            <w:r w:rsidR="00420938" w:rsidRPr="00420938">
              <w:rPr>
                <w:rStyle w:val="In-TextCitation"/>
              </w:rPr>
              <w:t>1</w:t>
            </w:r>
          </w:hyperlink>
          <w:r w:rsidR="00420938" w:rsidRPr="00420938">
            <w:rPr>
              <w:rStyle w:val="In-TextCitation"/>
            </w:rPr>
            <w:t>)</w:t>
          </w:r>
          <w:r w:rsidR="000E239B" w:rsidRPr="00420938">
            <w:rPr>
              <w:rStyle w:val="In-TextCitation"/>
            </w:rPr>
            <w:fldChar w:fldCharType="end"/>
          </w:r>
        </w:sdtContent>
      </w:sdt>
    </w:p>
    <w:p w:rsidR="0035433A" w:rsidRPr="00F97B2D" w:rsidRDefault="004F628F" w:rsidP="0035433A">
      <w:pPr>
        <w:pStyle w:val="Bibliography"/>
        <w:spacing w:after="0" w:line="480" w:lineRule="auto"/>
        <w:ind w:firstLine="720"/>
        <w:rPr>
          <w:szCs w:val="24"/>
        </w:rPr>
      </w:pPr>
      <w:r w:rsidRPr="00F97B2D">
        <w:rPr>
          <w:szCs w:val="24"/>
        </w:rPr>
        <w:t>Designer drugs have been a major topic of concern in Europe for some time and this issue has also become increasingly important in the United States.  The United States Drug Enforcement Agency (DEA) has scheduled, emergency scheduled, and even unscheduled a number of these compounds</w:t>
      </w:r>
      <w:r w:rsidR="004D105F">
        <w:rPr>
          <w:szCs w:val="24"/>
        </w:rPr>
        <w:t xml:space="preserve"> (www.dea.gov)</w:t>
      </w:r>
      <w:r w:rsidRPr="00F97B2D">
        <w:rPr>
          <w:szCs w:val="24"/>
        </w:rPr>
        <w:t>.  For example, DEA recently scheduled 26 designer drugs in the cathinone, phenethylamine, and synthetic cannabinoid classes under the Synthetic Drug Abuse Prevention Act of 2012.  In addition to the federal legislation, 43 states and Puerto Rico have outlawed synthetic cathinones as of November 2012, according to the National Conference of State Legislatures (NCSL).  Many of the states have enacted laws more stringent than those in place at the federal level, with some states banning cathinones as a general class of compounds.   Most recently, severe intoxications and fatalities have been reported with new and emerging design</w:t>
      </w:r>
      <w:r w:rsidR="00B16FD5">
        <w:rPr>
          <w:szCs w:val="24"/>
        </w:rPr>
        <w:t xml:space="preserve">er drugs, presenting </w:t>
      </w:r>
      <w:r w:rsidRPr="00F97B2D">
        <w:rPr>
          <w:szCs w:val="24"/>
        </w:rPr>
        <w:t xml:space="preserve">challenges for </w:t>
      </w:r>
      <w:r w:rsidR="00711EC7">
        <w:rPr>
          <w:szCs w:val="24"/>
        </w:rPr>
        <w:t xml:space="preserve">toxicologists involved with the </w:t>
      </w:r>
      <w:r w:rsidRPr="00F97B2D">
        <w:rPr>
          <w:szCs w:val="24"/>
        </w:rPr>
        <w:t>detection and identification of such novel compoun</w:t>
      </w:r>
      <w:r w:rsidR="00946E26" w:rsidRPr="00F97B2D">
        <w:rPr>
          <w:szCs w:val="24"/>
        </w:rPr>
        <w:t>ds</w:t>
      </w:r>
      <w:proofErr w:type="gramStart"/>
      <w:r w:rsidR="0035433A" w:rsidRPr="00F97B2D">
        <w:rPr>
          <w:szCs w:val="24"/>
        </w:rPr>
        <w:t>.</w:t>
      </w:r>
      <w:r w:rsidR="00D15572">
        <w:rPr>
          <w:rStyle w:val="In-TextCitation"/>
        </w:rPr>
        <w:t>(</w:t>
      </w:r>
      <w:proofErr w:type="gramEnd"/>
      <w:r w:rsidR="00D15572">
        <w:rPr>
          <w:rStyle w:val="In-TextCitation"/>
        </w:rPr>
        <w:t>1-19)</w:t>
      </w:r>
    </w:p>
    <w:p w:rsidR="00A74057" w:rsidRPr="00F97B2D" w:rsidRDefault="00A74057" w:rsidP="00F97B2D">
      <w:pPr>
        <w:pStyle w:val="Heading2"/>
      </w:pPr>
      <w:bookmarkStart w:id="18" w:name="_Toc372536026"/>
      <w:bookmarkStart w:id="19" w:name="_Toc372538689"/>
      <w:r w:rsidRPr="00F97B2D">
        <w:t>Rationale for Research</w:t>
      </w:r>
      <w:bookmarkEnd w:id="18"/>
      <w:bookmarkEnd w:id="19"/>
    </w:p>
    <w:p w:rsidR="00B16FD5" w:rsidRDefault="004D105F" w:rsidP="00BC6935">
      <w:pPr>
        <w:spacing w:after="0" w:line="480" w:lineRule="auto"/>
        <w:ind w:firstLine="720"/>
        <w:contextualSpacing/>
        <w:rPr>
          <w:szCs w:val="24"/>
        </w:rPr>
      </w:pPr>
      <w:r>
        <w:rPr>
          <w:szCs w:val="24"/>
        </w:rPr>
        <w:t>On the basis of</w:t>
      </w:r>
      <w:r w:rsidR="004F628F" w:rsidRPr="00F97B2D">
        <w:rPr>
          <w:szCs w:val="24"/>
        </w:rPr>
        <w:t xml:space="preserve"> the above data, there is a critical need in the field of forensic toxicology for reliable screening assays for multiple designer drugs, in addition to analytical methods optimized for comprehensive screening and confirmation of such drugs in a variety of human specimens for both ante- and</w:t>
      </w:r>
      <w:r w:rsidR="00B16FD5">
        <w:rPr>
          <w:szCs w:val="24"/>
        </w:rPr>
        <w:t xml:space="preserve"> post-mortem investigation.  A</w:t>
      </w:r>
      <w:r w:rsidR="004F628F" w:rsidRPr="00F97B2D">
        <w:rPr>
          <w:szCs w:val="24"/>
        </w:rPr>
        <w:t xml:space="preserve"> major goal of the </w:t>
      </w:r>
      <w:r w:rsidR="008B5345" w:rsidRPr="00F97B2D">
        <w:rPr>
          <w:szCs w:val="24"/>
        </w:rPr>
        <w:t>research presented</w:t>
      </w:r>
      <w:r w:rsidR="004F628F" w:rsidRPr="00F97B2D">
        <w:rPr>
          <w:szCs w:val="24"/>
        </w:rPr>
        <w:t xml:space="preserve"> </w:t>
      </w:r>
      <w:r w:rsidR="006A3C4E">
        <w:rPr>
          <w:szCs w:val="24"/>
        </w:rPr>
        <w:t xml:space="preserve">here </w:t>
      </w:r>
      <w:r w:rsidR="004F628F" w:rsidRPr="00F97B2D">
        <w:rPr>
          <w:szCs w:val="24"/>
        </w:rPr>
        <w:t>was to evaluate the performance of commercially available screening immunoassays for detecting a wide range of designer drugs.  Since each manufacturer is likely to employ different antibodies, specificity for individual drugs cannot always be predicted or compared among other types of immunoassays (</w:t>
      </w:r>
      <w:r w:rsidR="004F628F" w:rsidRPr="00F97B2D">
        <w:rPr>
          <w:i/>
          <w:szCs w:val="24"/>
        </w:rPr>
        <w:t>e.g.</w:t>
      </w:r>
      <w:r w:rsidR="004F628F" w:rsidRPr="00F97B2D">
        <w:rPr>
          <w:szCs w:val="24"/>
        </w:rPr>
        <w:t>, EMIT), different matrices (</w:t>
      </w:r>
      <w:r w:rsidR="004F628F" w:rsidRPr="00F97B2D">
        <w:rPr>
          <w:i/>
          <w:szCs w:val="24"/>
        </w:rPr>
        <w:t>i.e.</w:t>
      </w:r>
      <w:r w:rsidR="004F628F" w:rsidRPr="00F97B2D">
        <w:rPr>
          <w:szCs w:val="24"/>
        </w:rPr>
        <w:t xml:space="preserve">, meconium, whole blood, oral fluid), or different manufacturers.  Regardless of any cross-reactivity that may occur, it is </w:t>
      </w:r>
      <w:r w:rsidR="00741757" w:rsidRPr="00F97B2D">
        <w:rPr>
          <w:szCs w:val="24"/>
        </w:rPr>
        <w:t xml:space="preserve">crucial </w:t>
      </w:r>
      <w:r w:rsidR="004F628F" w:rsidRPr="00F97B2D">
        <w:rPr>
          <w:szCs w:val="24"/>
        </w:rPr>
        <w:t xml:space="preserve">that the forensic analytical toxicology community be made aware of the results, as screening techniques are </w:t>
      </w:r>
      <w:r w:rsidR="00E73A76">
        <w:rPr>
          <w:szCs w:val="24"/>
        </w:rPr>
        <w:t xml:space="preserve">currently </w:t>
      </w:r>
      <w:r w:rsidR="004F628F" w:rsidRPr="00F97B2D">
        <w:rPr>
          <w:szCs w:val="24"/>
        </w:rPr>
        <w:t>limited for designer drugs, particularly the cathinone derivatives.</w:t>
      </w:r>
      <w:r w:rsidR="008B5345" w:rsidRPr="00F97B2D">
        <w:rPr>
          <w:szCs w:val="24"/>
        </w:rPr>
        <w:t xml:space="preserve">  </w:t>
      </w:r>
    </w:p>
    <w:p w:rsidR="004F628F" w:rsidRPr="00F97B2D" w:rsidRDefault="00B16FD5" w:rsidP="00BC6935">
      <w:pPr>
        <w:spacing w:after="0" w:line="480" w:lineRule="auto"/>
        <w:ind w:firstLine="720"/>
        <w:contextualSpacing/>
        <w:rPr>
          <w:szCs w:val="24"/>
        </w:rPr>
      </w:pPr>
      <w:r>
        <w:rPr>
          <w:szCs w:val="24"/>
        </w:rPr>
        <w:t>In addition, it was also imperative to develop a MS confirmatory assay capable of rapid analysis of multiple designer drugs in a single run with high specificity at trace (</w:t>
      </w:r>
      <w:r w:rsidRPr="00B16FD5">
        <w:rPr>
          <w:i/>
          <w:szCs w:val="24"/>
        </w:rPr>
        <w:t>i.e.</w:t>
      </w:r>
      <w:r w:rsidR="004D105F">
        <w:rPr>
          <w:i/>
          <w:szCs w:val="24"/>
        </w:rPr>
        <w:t>,</w:t>
      </w:r>
      <w:r>
        <w:rPr>
          <w:szCs w:val="24"/>
        </w:rPr>
        <w:t xml:space="preserve"> p</w:t>
      </w:r>
      <w:r w:rsidR="004D105F">
        <w:rPr>
          <w:szCs w:val="24"/>
        </w:rPr>
        <w:t xml:space="preserve">arts </w:t>
      </w:r>
      <w:r>
        <w:rPr>
          <w:szCs w:val="24"/>
        </w:rPr>
        <w:t>p</w:t>
      </w:r>
      <w:r w:rsidR="004D105F">
        <w:rPr>
          <w:szCs w:val="24"/>
        </w:rPr>
        <w:t xml:space="preserve">er </w:t>
      </w:r>
      <w:r>
        <w:rPr>
          <w:szCs w:val="24"/>
        </w:rPr>
        <w:t>t</w:t>
      </w:r>
      <w:r w:rsidR="004D105F">
        <w:rPr>
          <w:szCs w:val="24"/>
        </w:rPr>
        <w:t>rillion</w:t>
      </w:r>
      <w:r>
        <w:rPr>
          <w:szCs w:val="24"/>
        </w:rPr>
        <w:t xml:space="preserve"> to low p</w:t>
      </w:r>
      <w:r w:rsidR="004D105F">
        <w:rPr>
          <w:szCs w:val="24"/>
        </w:rPr>
        <w:t xml:space="preserve">arts </w:t>
      </w:r>
      <w:r>
        <w:rPr>
          <w:szCs w:val="24"/>
        </w:rPr>
        <w:t>p</w:t>
      </w:r>
      <w:r w:rsidR="004D105F">
        <w:rPr>
          <w:szCs w:val="24"/>
        </w:rPr>
        <w:t xml:space="preserve">er </w:t>
      </w:r>
      <w:r>
        <w:rPr>
          <w:szCs w:val="24"/>
        </w:rPr>
        <w:t>b</w:t>
      </w:r>
      <w:r w:rsidR="004D105F">
        <w:rPr>
          <w:szCs w:val="24"/>
        </w:rPr>
        <w:t>illion</w:t>
      </w:r>
      <w:r>
        <w:rPr>
          <w:szCs w:val="24"/>
        </w:rPr>
        <w:t xml:space="preserve">) levels.  </w:t>
      </w:r>
      <w:r w:rsidR="008B5345" w:rsidRPr="00F97B2D">
        <w:rPr>
          <w:szCs w:val="24"/>
        </w:rPr>
        <w:t>In order to</w:t>
      </w:r>
      <w:r>
        <w:rPr>
          <w:szCs w:val="24"/>
        </w:rPr>
        <w:t xml:space="preserve"> achieve this goal</w:t>
      </w:r>
      <w:r w:rsidR="008B5345" w:rsidRPr="00F97B2D">
        <w:rPr>
          <w:szCs w:val="24"/>
        </w:rPr>
        <w:t xml:space="preserve"> and confirm cross-reactivity</w:t>
      </w:r>
      <w:r w:rsidR="00711EC7">
        <w:rPr>
          <w:szCs w:val="24"/>
        </w:rPr>
        <w:t xml:space="preserve"> findings</w:t>
      </w:r>
      <w:r w:rsidR="008B5345" w:rsidRPr="00F97B2D">
        <w:rPr>
          <w:szCs w:val="24"/>
        </w:rPr>
        <w:t xml:space="preserve">, </w:t>
      </w:r>
      <w:r w:rsidR="00711EC7">
        <w:rPr>
          <w:szCs w:val="24"/>
        </w:rPr>
        <w:t>a rapid, sensitive, and specific</w:t>
      </w:r>
      <w:r w:rsidR="008B5345" w:rsidRPr="00F97B2D">
        <w:rPr>
          <w:szCs w:val="24"/>
        </w:rPr>
        <w:t xml:space="preserve"> LC-MS</w:t>
      </w:r>
      <w:r w:rsidR="00711EC7">
        <w:rPr>
          <w:szCs w:val="24"/>
        </w:rPr>
        <w:t xml:space="preserve"> analytical </w:t>
      </w:r>
      <w:r w:rsidR="008B5345" w:rsidRPr="00F97B2D">
        <w:rPr>
          <w:szCs w:val="24"/>
        </w:rPr>
        <w:t>method was also developed.</w:t>
      </w:r>
      <w:r w:rsidR="009A1AE5" w:rsidRPr="00F97B2D">
        <w:rPr>
          <w:szCs w:val="24"/>
        </w:rPr>
        <w:t xml:space="preserve">  </w:t>
      </w:r>
      <w:r w:rsidR="00711EC7">
        <w:rPr>
          <w:szCs w:val="24"/>
        </w:rPr>
        <w:t xml:space="preserve">It is anticipated that </w:t>
      </w:r>
      <w:r w:rsidR="00711EC7">
        <w:rPr>
          <w:rFonts w:cs="Times New Roman"/>
          <w:szCs w:val="24"/>
          <w:lang w:bidi="ar-SA"/>
        </w:rPr>
        <w:t>s</w:t>
      </w:r>
      <w:r w:rsidR="009A1AE5" w:rsidRPr="00F97B2D">
        <w:rPr>
          <w:rFonts w:cs="Times New Roman"/>
          <w:szCs w:val="24"/>
          <w:lang w:bidi="ar-SA"/>
        </w:rPr>
        <w:t xml:space="preserve">uccessful achievement of these goals will provide working forensic toxicology </w:t>
      </w:r>
      <w:r w:rsidR="00C06AE3">
        <w:rPr>
          <w:rFonts w:cs="Times New Roman"/>
          <w:szCs w:val="24"/>
          <w:lang w:bidi="ar-SA"/>
        </w:rPr>
        <w:t>laboratories</w:t>
      </w:r>
      <w:r w:rsidR="009A1AE5" w:rsidRPr="00F97B2D">
        <w:rPr>
          <w:rFonts w:cs="Times New Roman"/>
          <w:szCs w:val="24"/>
          <w:lang w:bidi="ar-SA"/>
        </w:rPr>
        <w:t xml:space="preserve"> with important new</w:t>
      </w:r>
      <w:r w:rsidR="00711EC7">
        <w:rPr>
          <w:rFonts w:cs="Times New Roman"/>
          <w:szCs w:val="24"/>
          <w:lang w:bidi="ar-SA"/>
        </w:rPr>
        <w:t xml:space="preserve"> data and</w:t>
      </w:r>
      <w:r w:rsidR="009A1AE5" w:rsidRPr="00F97B2D">
        <w:rPr>
          <w:rFonts w:cs="Times New Roman"/>
          <w:szCs w:val="24"/>
          <w:lang w:bidi="ar-SA"/>
        </w:rPr>
        <w:t xml:space="preserve"> tools for analysis of this class of drugs.</w:t>
      </w:r>
      <w:r w:rsidR="008B5345" w:rsidRPr="00F97B2D">
        <w:rPr>
          <w:szCs w:val="24"/>
        </w:rPr>
        <w:t xml:space="preserve">  </w:t>
      </w:r>
    </w:p>
    <w:p w:rsidR="004F628F" w:rsidRPr="00F97B2D" w:rsidRDefault="004F628F" w:rsidP="008B5345">
      <w:pPr>
        <w:spacing w:after="0" w:line="480" w:lineRule="auto"/>
        <w:ind w:firstLine="576"/>
        <w:contextualSpacing/>
        <w:rPr>
          <w:szCs w:val="24"/>
        </w:rPr>
      </w:pPr>
      <w:r w:rsidRPr="00F97B2D">
        <w:rPr>
          <w:bCs/>
          <w:iCs/>
          <w:szCs w:val="24"/>
        </w:rPr>
        <w:t>T</w:t>
      </w:r>
      <w:r w:rsidRPr="00F97B2D">
        <w:rPr>
          <w:szCs w:val="24"/>
        </w:rPr>
        <w:t xml:space="preserve">wo </w:t>
      </w:r>
      <w:r w:rsidRPr="00F97B2D">
        <w:rPr>
          <w:bCs/>
          <w:iCs/>
          <w:szCs w:val="24"/>
        </w:rPr>
        <w:t xml:space="preserve">primary </w:t>
      </w:r>
      <w:r w:rsidRPr="00F97B2D">
        <w:rPr>
          <w:szCs w:val="24"/>
        </w:rPr>
        <w:t xml:space="preserve">hypotheses </w:t>
      </w:r>
      <w:r w:rsidRPr="00F97B2D">
        <w:rPr>
          <w:bCs/>
          <w:iCs/>
          <w:szCs w:val="24"/>
        </w:rPr>
        <w:t>were tested in this</w:t>
      </w:r>
      <w:r w:rsidRPr="00F97B2D">
        <w:rPr>
          <w:szCs w:val="24"/>
        </w:rPr>
        <w:t xml:space="preserve"> project: 1) Some amphetamine-like designer compounds </w:t>
      </w:r>
      <w:r w:rsidRPr="00F97B2D">
        <w:rPr>
          <w:bCs/>
          <w:iCs/>
          <w:szCs w:val="24"/>
        </w:rPr>
        <w:t>would</w:t>
      </w:r>
      <w:r w:rsidRPr="00F97B2D">
        <w:rPr>
          <w:szCs w:val="24"/>
        </w:rPr>
        <w:t xml:space="preserve"> not be detected using conventional assays, even when multiple immunoassay platforms </w:t>
      </w:r>
      <w:r w:rsidRPr="00F97B2D">
        <w:rPr>
          <w:bCs/>
          <w:iCs/>
          <w:szCs w:val="24"/>
        </w:rPr>
        <w:t>were</w:t>
      </w:r>
      <w:r w:rsidRPr="00F97B2D">
        <w:rPr>
          <w:szCs w:val="24"/>
        </w:rPr>
        <w:t xml:space="preserve"> utilized (</w:t>
      </w:r>
      <w:r w:rsidRPr="00F97B2D">
        <w:rPr>
          <w:i/>
          <w:szCs w:val="24"/>
        </w:rPr>
        <w:t>i.e.</w:t>
      </w:r>
      <w:r w:rsidRPr="00F97B2D">
        <w:rPr>
          <w:szCs w:val="24"/>
        </w:rPr>
        <w:t xml:space="preserve">, false negatives) and 2) some designer compounds </w:t>
      </w:r>
      <w:r w:rsidRPr="00F97B2D">
        <w:rPr>
          <w:bCs/>
          <w:iCs/>
          <w:szCs w:val="24"/>
        </w:rPr>
        <w:t>would</w:t>
      </w:r>
      <w:r w:rsidRPr="00F97B2D">
        <w:rPr>
          <w:szCs w:val="24"/>
        </w:rPr>
        <w:t xml:space="preserve"> be detected in assays that theoretically target only amphetamine and methamphetamine (</w:t>
      </w:r>
      <w:r w:rsidRPr="00F97B2D">
        <w:rPr>
          <w:i/>
          <w:szCs w:val="24"/>
        </w:rPr>
        <w:t>i.e.</w:t>
      </w:r>
      <w:r w:rsidRPr="00F97B2D">
        <w:rPr>
          <w:szCs w:val="24"/>
        </w:rPr>
        <w:t xml:space="preserve">, false positives).  In a working toxicology </w:t>
      </w:r>
      <w:r w:rsidR="00C06AE3">
        <w:rPr>
          <w:szCs w:val="24"/>
        </w:rPr>
        <w:t>laboratory</w:t>
      </w:r>
      <w:r w:rsidRPr="00F97B2D">
        <w:rPr>
          <w:szCs w:val="24"/>
        </w:rPr>
        <w:t xml:space="preserve">, a negative result as in (1) would generally not be further analyzed or confirmed with other methods, with the result that the drugs may be overlooked.  In contrast, a positive result as in (2) would trigger a confirmatory analysis, although an unknown designer drug would generally not be identified without proper reference standards or a comprehensive chromatographic method.  A focus was placed on amphetamine or methamphetamine/MDMA </w:t>
      </w:r>
      <w:r w:rsidR="00932348">
        <w:rPr>
          <w:szCs w:val="24"/>
        </w:rPr>
        <w:t>assay</w:t>
      </w:r>
      <w:r w:rsidRPr="00F97B2D">
        <w:rPr>
          <w:szCs w:val="24"/>
        </w:rPr>
        <w:t xml:space="preserve">s, as one or both of these types of assays are used in routine drug screens by a majority of </w:t>
      </w:r>
      <w:r w:rsidR="00C06AE3">
        <w:rPr>
          <w:szCs w:val="24"/>
        </w:rPr>
        <w:t>laboratories</w:t>
      </w:r>
      <w:r w:rsidRPr="00F97B2D">
        <w:rPr>
          <w:szCs w:val="24"/>
        </w:rPr>
        <w:t>.  Since presumptive methods, like ELISA and EMIT, are the first line of screening methods fo</w:t>
      </w:r>
      <w:r w:rsidR="00711EC7">
        <w:rPr>
          <w:szCs w:val="24"/>
        </w:rPr>
        <w:t>r detecting drugs of abuse, it wa</w:t>
      </w:r>
      <w:r w:rsidRPr="00F97B2D">
        <w:rPr>
          <w:szCs w:val="24"/>
        </w:rPr>
        <w:t xml:space="preserve">s necessary to understand how these important drugs can be detected, if at all, by currently available immunoassays, even where cross-reactivity is not expected.      </w:t>
      </w:r>
    </w:p>
    <w:p w:rsidR="002D24E3" w:rsidRPr="00F97B2D" w:rsidRDefault="00A74057" w:rsidP="00F97B2D">
      <w:pPr>
        <w:pStyle w:val="Heading2"/>
      </w:pPr>
      <w:bookmarkStart w:id="20" w:name="_Toc372536027"/>
      <w:bookmarkStart w:id="21" w:name="_Toc372538690"/>
      <w:r w:rsidRPr="00F97B2D">
        <w:t>Significance of Study</w:t>
      </w:r>
      <w:bookmarkEnd w:id="20"/>
      <w:bookmarkEnd w:id="21"/>
    </w:p>
    <w:p w:rsidR="00741757" w:rsidRPr="00F97B2D" w:rsidRDefault="00741757" w:rsidP="00741757">
      <w:pPr>
        <w:autoSpaceDE w:val="0"/>
        <w:autoSpaceDN w:val="0"/>
        <w:adjustRightInd w:val="0"/>
        <w:spacing w:after="0" w:line="480" w:lineRule="auto"/>
        <w:ind w:firstLine="720"/>
        <w:rPr>
          <w:rFonts w:cs="Times New Roman"/>
          <w:szCs w:val="24"/>
          <w:lang w:bidi="ar-SA"/>
        </w:rPr>
      </w:pPr>
      <w:r w:rsidRPr="00F97B2D">
        <w:rPr>
          <w:rFonts w:cs="Times New Roman"/>
          <w:szCs w:val="24"/>
          <w:lang w:bidi="ar-SA"/>
        </w:rPr>
        <w:t>Th</w:t>
      </w:r>
      <w:r w:rsidR="004D105F">
        <w:rPr>
          <w:rFonts w:cs="Times New Roman"/>
          <w:szCs w:val="24"/>
          <w:lang w:bidi="ar-SA"/>
        </w:rPr>
        <w:t>e</w:t>
      </w:r>
      <w:r w:rsidRPr="00F97B2D">
        <w:rPr>
          <w:rFonts w:cs="Times New Roman"/>
          <w:szCs w:val="24"/>
          <w:lang w:bidi="ar-SA"/>
        </w:rPr>
        <w:t xml:space="preserve"> comprehensive study has applicability to forensic science, toxicology, law enforcement, and clinical medicine. </w:t>
      </w:r>
      <w:r w:rsidR="009A1AE5" w:rsidRPr="00F97B2D">
        <w:rPr>
          <w:rFonts w:cs="Times New Roman"/>
          <w:szCs w:val="24"/>
          <w:lang w:bidi="ar-SA"/>
        </w:rPr>
        <w:t xml:space="preserve"> </w:t>
      </w:r>
      <w:r w:rsidRPr="00F97B2D">
        <w:rPr>
          <w:rFonts w:cs="Times New Roman"/>
          <w:szCs w:val="24"/>
          <w:lang w:bidi="ar-SA"/>
        </w:rPr>
        <w:t xml:space="preserve">The research </w:t>
      </w:r>
      <w:r w:rsidR="009A1AE5" w:rsidRPr="00F97B2D">
        <w:rPr>
          <w:rFonts w:cs="Times New Roman"/>
          <w:szCs w:val="24"/>
          <w:lang w:bidi="ar-SA"/>
        </w:rPr>
        <w:t>addresses</w:t>
      </w:r>
      <w:r w:rsidRPr="00F97B2D">
        <w:rPr>
          <w:rFonts w:cs="Times New Roman"/>
          <w:szCs w:val="24"/>
          <w:lang w:bidi="ar-SA"/>
        </w:rPr>
        <w:t xml:space="preserve"> issues of ultra-trace analysis, multiple-analyte samples, detection of novel drugs of abuse across different classes, and cross-reactivities of such drugs in widely used immunoassay</w:t>
      </w:r>
      <w:r w:rsidR="004C746F">
        <w:rPr>
          <w:rFonts w:cs="Times New Roman"/>
          <w:szCs w:val="24"/>
          <w:lang w:bidi="ar-SA"/>
        </w:rPr>
        <w:t>s</w:t>
      </w:r>
      <w:r w:rsidRPr="00F97B2D">
        <w:rPr>
          <w:rFonts w:cs="Times New Roman"/>
          <w:szCs w:val="24"/>
          <w:lang w:bidi="ar-SA"/>
        </w:rPr>
        <w:t xml:space="preserve">. </w:t>
      </w:r>
      <w:r w:rsidR="009A1AE5" w:rsidRPr="00F97B2D">
        <w:rPr>
          <w:rFonts w:cs="Times New Roman"/>
          <w:szCs w:val="24"/>
          <w:lang w:bidi="ar-SA"/>
        </w:rPr>
        <w:t xml:space="preserve"> A c</w:t>
      </w:r>
      <w:r w:rsidRPr="00F97B2D">
        <w:rPr>
          <w:rFonts w:cs="Times New Roman"/>
          <w:szCs w:val="24"/>
          <w:lang w:bidi="ar-SA"/>
        </w:rPr>
        <w:t>omprehensive</w:t>
      </w:r>
      <w:r w:rsidR="009A1AE5" w:rsidRPr="00F97B2D">
        <w:rPr>
          <w:rFonts w:cs="Times New Roman"/>
          <w:szCs w:val="24"/>
          <w:lang w:bidi="ar-SA"/>
        </w:rPr>
        <w:t xml:space="preserve"> confirmatory analytical method</w:t>
      </w:r>
      <w:r w:rsidRPr="00F97B2D">
        <w:rPr>
          <w:rFonts w:cs="Times New Roman"/>
          <w:szCs w:val="24"/>
          <w:lang w:bidi="ar-SA"/>
        </w:rPr>
        <w:t xml:space="preserve"> for the identification of at least 30 designer drug entities in a short analysis period </w:t>
      </w:r>
      <w:r w:rsidR="009A1AE5" w:rsidRPr="00F97B2D">
        <w:rPr>
          <w:rFonts w:cs="Times New Roman"/>
          <w:szCs w:val="24"/>
          <w:lang w:bidi="ar-SA"/>
        </w:rPr>
        <w:t>was</w:t>
      </w:r>
      <w:r w:rsidRPr="00F97B2D">
        <w:rPr>
          <w:rFonts w:cs="Times New Roman"/>
          <w:szCs w:val="24"/>
          <w:lang w:bidi="ar-SA"/>
        </w:rPr>
        <w:t xml:space="preserve"> developed. </w:t>
      </w:r>
      <w:r w:rsidR="009A1AE5" w:rsidRPr="00F97B2D">
        <w:rPr>
          <w:rFonts w:cs="Times New Roman"/>
          <w:szCs w:val="24"/>
          <w:lang w:bidi="ar-SA"/>
        </w:rPr>
        <w:t xml:space="preserve"> </w:t>
      </w:r>
    </w:p>
    <w:p w:rsidR="009A1AE5" w:rsidRDefault="009A1AE5" w:rsidP="00A944B9">
      <w:pPr>
        <w:autoSpaceDE w:val="0"/>
        <w:autoSpaceDN w:val="0"/>
        <w:adjustRightInd w:val="0"/>
        <w:spacing w:after="0" w:line="480" w:lineRule="auto"/>
        <w:ind w:firstLine="720"/>
        <w:rPr>
          <w:rFonts w:cs="Times New Roman"/>
          <w:szCs w:val="24"/>
          <w:lang w:bidi="ar-SA"/>
        </w:rPr>
      </w:pPr>
      <w:r w:rsidRPr="00F97B2D">
        <w:rPr>
          <w:rFonts w:cs="Times New Roman"/>
          <w:szCs w:val="24"/>
          <w:lang w:bidi="ar-SA"/>
        </w:rPr>
        <w:t>For the completion of the research, d</w:t>
      </w:r>
      <w:r w:rsidR="00741757" w:rsidRPr="00F97B2D">
        <w:rPr>
          <w:rFonts w:cs="Times New Roman"/>
          <w:szCs w:val="24"/>
          <w:lang w:bidi="ar-SA"/>
        </w:rPr>
        <w:t xml:space="preserve">rugs were chosen based on prevalence in literature reports, DEA schedule, and availability as standards.  </w:t>
      </w:r>
      <w:r w:rsidRPr="00F97B2D">
        <w:rPr>
          <w:rFonts w:cs="Times New Roman"/>
          <w:szCs w:val="24"/>
          <w:lang w:bidi="ar-SA"/>
        </w:rPr>
        <w:t>Focus was placed on cathinone derivatives, or “bath salts</w:t>
      </w:r>
      <w:r w:rsidR="004D105F">
        <w:rPr>
          <w:rFonts w:cs="Times New Roman"/>
          <w:szCs w:val="24"/>
          <w:lang w:bidi="ar-SA"/>
        </w:rPr>
        <w:t>,</w:t>
      </w:r>
      <w:r w:rsidRPr="00F97B2D">
        <w:rPr>
          <w:rFonts w:cs="Times New Roman"/>
          <w:szCs w:val="24"/>
          <w:lang w:bidi="ar-SA"/>
        </w:rPr>
        <w:t xml:space="preserve">” as their occurrence in society has been on the rise.  </w:t>
      </w:r>
      <w:r w:rsidR="002E77C7">
        <w:fldChar w:fldCharType="begin"/>
      </w:r>
      <w:r w:rsidR="002E77C7">
        <w:instrText xml:space="preserve"> REF _Ref362611478 \h  \* MERGEFORMAT </w:instrText>
      </w:r>
      <w:r w:rsidR="002E77C7">
        <w:fldChar w:fldCharType="separate"/>
      </w:r>
      <w:r w:rsidR="00E37796" w:rsidRPr="00E37796">
        <w:rPr>
          <w:szCs w:val="24"/>
        </w:rPr>
        <w:t>Table 1</w:t>
      </w:r>
      <w:r w:rsidR="002E77C7">
        <w:fldChar w:fldCharType="end"/>
      </w:r>
      <w:r w:rsidR="00741757" w:rsidRPr="00F97B2D">
        <w:rPr>
          <w:rFonts w:cs="Times New Roman"/>
          <w:szCs w:val="24"/>
          <w:lang w:bidi="ar-SA"/>
        </w:rPr>
        <w:t xml:space="preserve"> details the names and abbreviations for the </w:t>
      </w:r>
      <w:r w:rsidR="00711EC7">
        <w:rPr>
          <w:rFonts w:cs="Times New Roman"/>
          <w:szCs w:val="24"/>
          <w:lang w:bidi="ar-SA"/>
        </w:rPr>
        <w:t>32</w:t>
      </w:r>
      <w:r w:rsidR="00741757" w:rsidRPr="00F97B2D">
        <w:rPr>
          <w:rFonts w:cs="Times New Roman"/>
          <w:szCs w:val="24"/>
          <w:lang w:bidi="ar-SA"/>
        </w:rPr>
        <w:t xml:space="preserve"> analytes chosen</w:t>
      </w:r>
      <w:r w:rsidR="00711EC7">
        <w:rPr>
          <w:rFonts w:cs="Times New Roman"/>
          <w:szCs w:val="24"/>
          <w:lang w:bidi="ar-SA"/>
        </w:rPr>
        <w:t xml:space="preserve"> for inclusion in the study</w:t>
      </w:r>
      <w:r w:rsidR="00741757" w:rsidRPr="00F97B2D">
        <w:rPr>
          <w:rFonts w:cs="Times New Roman"/>
          <w:szCs w:val="24"/>
          <w:lang w:bidi="ar-SA"/>
        </w:rPr>
        <w:t xml:space="preserve">.  Additional information, including class and structure, can be found in </w:t>
      </w:r>
      <w:r w:rsidR="002E77C7">
        <w:fldChar w:fldCharType="begin"/>
      </w:r>
      <w:r w:rsidR="002E77C7">
        <w:instrText xml:space="preserve"> REF _Ref362611954 \h  \* MERGEFORMAT </w:instrText>
      </w:r>
      <w:r w:rsidR="002E77C7">
        <w:fldChar w:fldCharType="separate"/>
      </w:r>
      <w:r w:rsidR="00E37796" w:rsidRPr="00E37796">
        <w:rPr>
          <w:szCs w:val="24"/>
        </w:rPr>
        <w:t>Appendix 1</w:t>
      </w:r>
      <w:r w:rsidR="002E77C7">
        <w:fldChar w:fldCharType="end"/>
      </w:r>
      <w:r w:rsidR="00741757" w:rsidRPr="00F97B2D">
        <w:rPr>
          <w:rFonts w:cs="Times New Roman"/>
          <w:szCs w:val="24"/>
          <w:lang w:bidi="ar-SA"/>
        </w:rPr>
        <w:t>.</w:t>
      </w:r>
    </w:p>
    <w:p w:rsidR="00281DAC" w:rsidRDefault="00281DAC" w:rsidP="00A944B9">
      <w:pPr>
        <w:autoSpaceDE w:val="0"/>
        <w:autoSpaceDN w:val="0"/>
        <w:adjustRightInd w:val="0"/>
        <w:spacing w:after="0" w:line="480" w:lineRule="auto"/>
        <w:ind w:firstLine="720"/>
        <w:rPr>
          <w:rFonts w:cs="Times New Roman"/>
          <w:szCs w:val="24"/>
          <w:lang w:bidi="ar-SA"/>
        </w:rPr>
      </w:pPr>
    </w:p>
    <w:p w:rsidR="00281DAC" w:rsidRDefault="00281DAC" w:rsidP="00A944B9">
      <w:pPr>
        <w:autoSpaceDE w:val="0"/>
        <w:autoSpaceDN w:val="0"/>
        <w:adjustRightInd w:val="0"/>
        <w:spacing w:after="0" w:line="480" w:lineRule="auto"/>
        <w:ind w:firstLine="720"/>
        <w:rPr>
          <w:rFonts w:cs="Times New Roman"/>
          <w:szCs w:val="24"/>
          <w:lang w:bidi="ar-SA"/>
        </w:rPr>
      </w:pPr>
    </w:p>
    <w:p w:rsidR="00281DAC" w:rsidRDefault="00281DAC" w:rsidP="00A944B9">
      <w:pPr>
        <w:autoSpaceDE w:val="0"/>
        <w:autoSpaceDN w:val="0"/>
        <w:adjustRightInd w:val="0"/>
        <w:spacing w:after="0" w:line="480" w:lineRule="auto"/>
        <w:ind w:firstLine="720"/>
        <w:rPr>
          <w:rFonts w:cs="Times New Roman"/>
          <w:szCs w:val="24"/>
          <w:lang w:bidi="ar-SA"/>
        </w:rPr>
      </w:pPr>
    </w:p>
    <w:p w:rsidR="00281DAC" w:rsidRDefault="00281DAC" w:rsidP="00A944B9">
      <w:pPr>
        <w:autoSpaceDE w:val="0"/>
        <w:autoSpaceDN w:val="0"/>
        <w:adjustRightInd w:val="0"/>
        <w:spacing w:after="0" w:line="480" w:lineRule="auto"/>
        <w:ind w:firstLine="720"/>
        <w:rPr>
          <w:rFonts w:cs="Times New Roman"/>
          <w:szCs w:val="24"/>
          <w:lang w:bidi="ar-SA"/>
        </w:rPr>
      </w:pPr>
    </w:p>
    <w:p w:rsidR="00281DAC" w:rsidRDefault="00281DAC" w:rsidP="00A944B9">
      <w:pPr>
        <w:autoSpaceDE w:val="0"/>
        <w:autoSpaceDN w:val="0"/>
        <w:adjustRightInd w:val="0"/>
        <w:spacing w:after="0" w:line="480" w:lineRule="auto"/>
        <w:ind w:firstLine="720"/>
        <w:rPr>
          <w:rFonts w:cs="Times New Roman"/>
          <w:szCs w:val="24"/>
          <w:lang w:bidi="ar-SA"/>
        </w:rPr>
      </w:pPr>
    </w:p>
    <w:p w:rsidR="00281DAC" w:rsidRDefault="00281DAC" w:rsidP="00A944B9">
      <w:pPr>
        <w:autoSpaceDE w:val="0"/>
        <w:autoSpaceDN w:val="0"/>
        <w:adjustRightInd w:val="0"/>
        <w:spacing w:after="0" w:line="480" w:lineRule="auto"/>
        <w:ind w:firstLine="720"/>
        <w:rPr>
          <w:rFonts w:cs="Times New Roman"/>
          <w:szCs w:val="24"/>
          <w:lang w:bidi="ar-SA"/>
        </w:rPr>
      </w:pPr>
    </w:p>
    <w:p w:rsidR="00281DAC" w:rsidRDefault="00281DAC" w:rsidP="00A944B9">
      <w:pPr>
        <w:autoSpaceDE w:val="0"/>
        <w:autoSpaceDN w:val="0"/>
        <w:adjustRightInd w:val="0"/>
        <w:spacing w:after="0" w:line="480" w:lineRule="auto"/>
        <w:ind w:firstLine="720"/>
        <w:rPr>
          <w:rFonts w:cs="Times New Roman"/>
          <w:szCs w:val="24"/>
          <w:lang w:bidi="ar-SA"/>
        </w:rPr>
      </w:pPr>
    </w:p>
    <w:p w:rsidR="00281DAC" w:rsidRDefault="00281DAC" w:rsidP="00A944B9">
      <w:pPr>
        <w:autoSpaceDE w:val="0"/>
        <w:autoSpaceDN w:val="0"/>
        <w:adjustRightInd w:val="0"/>
        <w:spacing w:after="0" w:line="480" w:lineRule="auto"/>
        <w:ind w:firstLine="720"/>
        <w:rPr>
          <w:rFonts w:cs="Times New Roman"/>
          <w:szCs w:val="24"/>
          <w:lang w:bidi="ar-SA"/>
        </w:rPr>
      </w:pPr>
    </w:p>
    <w:p w:rsidR="00281DAC" w:rsidRDefault="00281DAC" w:rsidP="00A944B9">
      <w:pPr>
        <w:autoSpaceDE w:val="0"/>
        <w:autoSpaceDN w:val="0"/>
        <w:adjustRightInd w:val="0"/>
        <w:spacing w:after="0" w:line="480" w:lineRule="auto"/>
        <w:ind w:firstLine="720"/>
        <w:rPr>
          <w:rFonts w:cs="Times New Roman"/>
          <w:szCs w:val="24"/>
          <w:lang w:bidi="ar-SA"/>
        </w:rPr>
      </w:pPr>
    </w:p>
    <w:p w:rsidR="00281DAC" w:rsidRDefault="00281DAC" w:rsidP="00A944B9">
      <w:pPr>
        <w:autoSpaceDE w:val="0"/>
        <w:autoSpaceDN w:val="0"/>
        <w:adjustRightInd w:val="0"/>
        <w:spacing w:after="0" w:line="480" w:lineRule="auto"/>
        <w:ind w:firstLine="720"/>
        <w:rPr>
          <w:rFonts w:cs="Times New Roman"/>
          <w:szCs w:val="24"/>
          <w:lang w:bidi="ar-SA"/>
        </w:rPr>
      </w:pPr>
    </w:p>
    <w:p w:rsidR="00281DAC" w:rsidRDefault="00281DAC" w:rsidP="00A944B9">
      <w:pPr>
        <w:autoSpaceDE w:val="0"/>
        <w:autoSpaceDN w:val="0"/>
        <w:adjustRightInd w:val="0"/>
        <w:spacing w:after="0" w:line="480" w:lineRule="auto"/>
        <w:ind w:firstLine="720"/>
        <w:rPr>
          <w:rFonts w:cs="Times New Roman"/>
          <w:szCs w:val="24"/>
          <w:lang w:bidi="ar-SA"/>
        </w:rPr>
      </w:pPr>
    </w:p>
    <w:p w:rsidR="00281DAC" w:rsidRDefault="00281DAC" w:rsidP="00A944B9">
      <w:pPr>
        <w:autoSpaceDE w:val="0"/>
        <w:autoSpaceDN w:val="0"/>
        <w:adjustRightInd w:val="0"/>
        <w:spacing w:after="0" w:line="480" w:lineRule="auto"/>
        <w:ind w:firstLine="720"/>
        <w:rPr>
          <w:rFonts w:cs="Times New Roman"/>
          <w:szCs w:val="24"/>
          <w:lang w:bidi="ar-SA"/>
        </w:rPr>
      </w:pPr>
    </w:p>
    <w:p w:rsidR="00281DAC" w:rsidRDefault="00281DAC" w:rsidP="00A944B9">
      <w:pPr>
        <w:autoSpaceDE w:val="0"/>
        <w:autoSpaceDN w:val="0"/>
        <w:adjustRightInd w:val="0"/>
        <w:spacing w:after="0" w:line="480" w:lineRule="auto"/>
        <w:ind w:firstLine="720"/>
        <w:rPr>
          <w:rFonts w:cs="Times New Roman"/>
          <w:szCs w:val="24"/>
          <w:lang w:bidi="ar-SA"/>
        </w:rPr>
      </w:pPr>
    </w:p>
    <w:p w:rsidR="00281DAC" w:rsidRDefault="00281DAC" w:rsidP="00A944B9">
      <w:pPr>
        <w:autoSpaceDE w:val="0"/>
        <w:autoSpaceDN w:val="0"/>
        <w:adjustRightInd w:val="0"/>
        <w:spacing w:after="0" w:line="480" w:lineRule="auto"/>
        <w:ind w:firstLine="720"/>
        <w:rPr>
          <w:rFonts w:cs="Times New Roman"/>
          <w:szCs w:val="24"/>
          <w:lang w:bidi="ar-SA"/>
        </w:rPr>
      </w:pPr>
    </w:p>
    <w:p w:rsidR="00281DAC" w:rsidRPr="00F97B2D" w:rsidRDefault="00281DAC" w:rsidP="00A944B9">
      <w:pPr>
        <w:autoSpaceDE w:val="0"/>
        <w:autoSpaceDN w:val="0"/>
        <w:adjustRightInd w:val="0"/>
        <w:spacing w:after="0" w:line="480" w:lineRule="auto"/>
        <w:ind w:firstLine="720"/>
        <w:rPr>
          <w:rFonts w:cs="Times New Roman"/>
          <w:szCs w:val="24"/>
          <w:lang w:bidi="ar-SA"/>
        </w:rPr>
      </w:pPr>
    </w:p>
    <w:p w:rsidR="0028722F" w:rsidRPr="00F97B2D" w:rsidRDefault="0028722F" w:rsidP="00F97B2D">
      <w:pPr>
        <w:pStyle w:val="Caption"/>
      </w:pPr>
      <w:bookmarkStart w:id="22" w:name="_Ref362611478"/>
      <w:bookmarkStart w:id="23" w:name="_Toc372536116"/>
      <w:r w:rsidRPr="00F97B2D">
        <w:t xml:space="preserve">Table </w:t>
      </w:r>
      <w:r w:rsidR="000E239B" w:rsidRPr="00F97B2D">
        <w:fldChar w:fldCharType="begin"/>
      </w:r>
      <w:r w:rsidR="00B2107A" w:rsidRPr="00F97B2D">
        <w:instrText xml:space="preserve"> SEQ Table \* ARABIC </w:instrText>
      </w:r>
      <w:r w:rsidR="000E239B" w:rsidRPr="00F97B2D">
        <w:fldChar w:fldCharType="separate"/>
      </w:r>
      <w:r w:rsidR="00E37796">
        <w:rPr>
          <w:noProof/>
        </w:rPr>
        <w:t>1</w:t>
      </w:r>
      <w:r w:rsidR="000E239B" w:rsidRPr="00F97B2D">
        <w:rPr>
          <w:noProof/>
        </w:rPr>
        <w:fldChar w:fldCharType="end"/>
      </w:r>
      <w:bookmarkEnd w:id="22"/>
      <w:r w:rsidRPr="00F97B2D">
        <w:t>: Designer Drug Abbreviations and Chemical Names</w:t>
      </w:r>
      <w:bookmarkEnd w:id="23"/>
    </w:p>
    <w:tbl>
      <w:tblPr>
        <w:tblStyle w:val="TableGrid"/>
        <w:tblW w:w="0" w:type="auto"/>
        <w:tblLook w:val="04A0" w:firstRow="1" w:lastRow="0" w:firstColumn="1" w:lastColumn="0" w:noHBand="0" w:noVBand="1"/>
      </w:tblPr>
      <w:tblGrid>
        <w:gridCol w:w="3530"/>
        <w:gridCol w:w="4795"/>
      </w:tblGrid>
      <w:tr w:rsidR="0028722F" w:rsidRPr="00F97B2D" w:rsidTr="00F97B2D">
        <w:trPr>
          <w:tblHeader/>
        </w:trPr>
        <w:tc>
          <w:tcPr>
            <w:tcW w:w="0" w:type="auto"/>
          </w:tcPr>
          <w:p w:rsidR="0028722F" w:rsidRPr="00F97B2D" w:rsidRDefault="0028722F" w:rsidP="0028722F">
            <w:pPr>
              <w:jc w:val="center"/>
              <w:rPr>
                <w:rFonts w:cs="Times New Roman"/>
                <w:b/>
                <w:szCs w:val="24"/>
              </w:rPr>
            </w:pPr>
            <w:r w:rsidRPr="00F97B2D">
              <w:rPr>
                <w:rFonts w:cs="Times New Roman"/>
                <w:b/>
                <w:szCs w:val="24"/>
              </w:rPr>
              <w:t>Abbreviation or Common Name</w:t>
            </w:r>
          </w:p>
        </w:tc>
        <w:tc>
          <w:tcPr>
            <w:tcW w:w="0" w:type="auto"/>
          </w:tcPr>
          <w:p w:rsidR="0028722F" w:rsidRPr="00F97B2D" w:rsidRDefault="0028722F" w:rsidP="0028722F">
            <w:pPr>
              <w:jc w:val="center"/>
              <w:rPr>
                <w:rFonts w:cs="Times New Roman"/>
                <w:b/>
                <w:szCs w:val="24"/>
              </w:rPr>
            </w:pPr>
            <w:r w:rsidRPr="00F97B2D">
              <w:rPr>
                <w:rFonts w:cs="Times New Roman"/>
                <w:b/>
                <w:szCs w:val="24"/>
              </w:rPr>
              <w:t>Chemical Name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2C-B</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2,5-dimethoxy-4-bromophenethylamine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2C-E</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2,5-dimethoxy-4-ethylphenethylamine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2C-I</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2,5-dimethoxy-4-iodophenethylamine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2C-T-4</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2,5-dimethoxy-4-(i)-propylthiophenethylamine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2C-T-7</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2,5-dimethoxy-4-(n)-propylthiophenethylamine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4-FMC, Flephedrone</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4-fluoromethcathinone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4-MEC</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4-methylethcathinone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4-MMC, Mephedrone</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 xml:space="preserve">4-methylmethcathinone </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5-MeO-DiPT</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5-methoxy-diisopropyltryptamine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5-MeO-DMT</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5-methoxy-dimethyltryptamine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AMT</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α-methyltryptamine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bk-MBDB, Butylone</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3,4-methylenedioxyethcathinone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bk-MDMA, Methylone</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3,4-methylenedioxymethcathinone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bk-PMMA, PMMC, Methedrone,</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4-methoxymethcathinone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BZP</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benzylpiperazine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Cathinone</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α-aminopropiophenone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DBZP</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dibenzylpiperazine</w:t>
            </w:r>
          </w:p>
        </w:tc>
      </w:tr>
      <w:tr w:rsidR="0028722F" w:rsidRPr="00F97B2D" w:rsidTr="00F97B2D">
        <w:trPr>
          <w:trHeight w:val="70"/>
        </w:trPr>
        <w:tc>
          <w:tcPr>
            <w:tcW w:w="0" w:type="auto"/>
            <w:vAlign w:val="center"/>
          </w:tcPr>
          <w:p w:rsidR="0028722F" w:rsidRPr="00F97B2D" w:rsidRDefault="0028722F" w:rsidP="0028722F">
            <w:pPr>
              <w:rPr>
                <w:rFonts w:cs="Times New Roman"/>
                <w:szCs w:val="24"/>
              </w:rPr>
            </w:pPr>
            <w:r w:rsidRPr="00F97B2D">
              <w:rPr>
                <w:rFonts w:cs="Times New Roman"/>
                <w:color w:val="000000"/>
                <w:szCs w:val="24"/>
              </w:rPr>
              <w:t>DMT</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dimethyltryptamine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DOB</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2,5-dimethoxy-4-bromoamphetamine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DOET</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2,5-dimethoxy-4-ethylamphetamine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DOM</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2,5-dimethoxy-4-methylamphetamine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mCPP</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3-chlorophenylpiperazine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MDA</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3,4-methylenedioxyamphetamine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MDEA</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3,4-methylenedioxyethylamphetamine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MDMA, Ecstasy</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3,4-methylenedioxymethamphetamine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MDPV</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3,4-methylenedioxypyrovalerone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Methcathinone</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2-methylaminopropiophenone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TFMPP</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3-trifluoromethylphenylpiperazine</w:t>
            </w:r>
          </w:p>
        </w:tc>
      </w:tr>
      <w:tr w:rsidR="0028722F" w:rsidRPr="00F97B2D" w:rsidTr="00F97B2D">
        <w:tc>
          <w:tcPr>
            <w:tcW w:w="0" w:type="auto"/>
            <w:vAlign w:val="center"/>
          </w:tcPr>
          <w:p w:rsidR="0028722F" w:rsidRPr="00F97B2D" w:rsidRDefault="0028722F" w:rsidP="0028722F">
            <w:pPr>
              <w:rPr>
                <w:rFonts w:cs="Times New Roman"/>
                <w:szCs w:val="24"/>
              </w:rPr>
            </w:pPr>
            <w:r w:rsidRPr="00F97B2D">
              <w:rPr>
                <w:rFonts w:cs="Times New Roman"/>
                <w:color w:val="000000"/>
                <w:szCs w:val="24"/>
              </w:rPr>
              <w:t>TMA</w:t>
            </w:r>
          </w:p>
        </w:tc>
        <w:tc>
          <w:tcPr>
            <w:tcW w:w="0" w:type="auto"/>
            <w:vAlign w:val="center"/>
          </w:tcPr>
          <w:p w:rsidR="0028722F" w:rsidRPr="00F97B2D" w:rsidRDefault="0028722F" w:rsidP="0028722F">
            <w:pPr>
              <w:rPr>
                <w:rFonts w:cs="Times New Roman"/>
                <w:szCs w:val="24"/>
              </w:rPr>
            </w:pPr>
            <w:r w:rsidRPr="00F97B2D">
              <w:rPr>
                <w:rFonts w:cs="Times New Roman"/>
                <w:color w:val="000000"/>
                <w:szCs w:val="24"/>
              </w:rPr>
              <w:t>3,4,5-trimethoxyamphetamine</w:t>
            </w:r>
          </w:p>
        </w:tc>
      </w:tr>
    </w:tbl>
    <w:p w:rsidR="00281DAC" w:rsidRDefault="00281DAC" w:rsidP="007929FE">
      <w:pPr>
        <w:spacing w:line="480" w:lineRule="auto"/>
        <w:ind w:firstLine="720"/>
        <w:rPr>
          <w:szCs w:val="24"/>
        </w:rPr>
      </w:pPr>
    </w:p>
    <w:p w:rsidR="00281DAC" w:rsidRDefault="00281DAC" w:rsidP="007929FE">
      <w:pPr>
        <w:spacing w:line="480" w:lineRule="auto"/>
        <w:ind w:firstLine="720"/>
        <w:rPr>
          <w:szCs w:val="24"/>
        </w:rPr>
      </w:pPr>
    </w:p>
    <w:p w:rsidR="00281DAC" w:rsidRDefault="00281DAC" w:rsidP="007929FE">
      <w:pPr>
        <w:spacing w:line="480" w:lineRule="auto"/>
        <w:ind w:firstLine="720"/>
        <w:rPr>
          <w:szCs w:val="24"/>
        </w:rPr>
      </w:pPr>
    </w:p>
    <w:p w:rsidR="00281DAC" w:rsidRDefault="00281DAC" w:rsidP="007929FE">
      <w:pPr>
        <w:spacing w:line="480" w:lineRule="auto"/>
        <w:ind w:firstLine="720"/>
        <w:rPr>
          <w:szCs w:val="24"/>
        </w:rPr>
      </w:pPr>
    </w:p>
    <w:p w:rsidR="007E598C" w:rsidRPr="00F97B2D" w:rsidRDefault="008B5345" w:rsidP="007929FE">
      <w:pPr>
        <w:spacing w:line="480" w:lineRule="auto"/>
        <w:ind w:firstLine="720"/>
        <w:rPr>
          <w:szCs w:val="24"/>
        </w:rPr>
      </w:pPr>
      <w:r w:rsidRPr="00F97B2D">
        <w:rPr>
          <w:szCs w:val="24"/>
        </w:rPr>
        <w:t>In order to fully test the proposed hypotheses, the research was</w:t>
      </w:r>
      <w:r w:rsidR="009A1AE5" w:rsidRPr="00F97B2D">
        <w:rPr>
          <w:szCs w:val="24"/>
        </w:rPr>
        <w:t xml:space="preserve"> divided into three major tasks.  </w:t>
      </w:r>
    </w:p>
    <w:p w:rsidR="002D24E3" w:rsidRPr="00F97B2D" w:rsidRDefault="00711EC7" w:rsidP="00F97B2D">
      <w:pPr>
        <w:pStyle w:val="Heading3"/>
      </w:pPr>
      <w:bookmarkStart w:id="24" w:name="_Toc372536028"/>
      <w:bookmarkStart w:id="25" w:name="_Toc372538691"/>
      <w:r>
        <w:t xml:space="preserve">Task 1 - </w:t>
      </w:r>
      <w:r w:rsidR="00694CE8" w:rsidRPr="00F97B2D">
        <w:t>Determination of cross-reactivity of designer drugs</w:t>
      </w:r>
      <w:bookmarkEnd w:id="24"/>
      <w:bookmarkEnd w:id="25"/>
    </w:p>
    <w:p w:rsidR="008B5345" w:rsidRPr="00F97B2D" w:rsidRDefault="008B5345" w:rsidP="008B5345">
      <w:pPr>
        <w:spacing w:line="480" w:lineRule="auto"/>
        <w:ind w:firstLine="720"/>
        <w:rPr>
          <w:szCs w:val="24"/>
        </w:rPr>
      </w:pPr>
      <w:r w:rsidRPr="00F97B2D">
        <w:rPr>
          <w:szCs w:val="24"/>
        </w:rPr>
        <w:t xml:space="preserve">In order to determine if structural analogs of drugs of abuse can be detected by immunoassays, cross-reactivity must be determined to examine if false positives or false negatives occur.  </w:t>
      </w:r>
      <w:r w:rsidR="00E73A76">
        <w:rPr>
          <w:szCs w:val="24"/>
        </w:rPr>
        <w:t>Th</w:t>
      </w:r>
      <w:r w:rsidR="004D105F">
        <w:rPr>
          <w:szCs w:val="24"/>
        </w:rPr>
        <w:t>e current</w:t>
      </w:r>
      <w:r w:rsidRPr="00F97B2D">
        <w:rPr>
          <w:szCs w:val="24"/>
        </w:rPr>
        <w:t xml:space="preserve"> report details </w:t>
      </w:r>
      <w:r w:rsidR="00711EC7">
        <w:rPr>
          <w:szCs w:val="24"/>
        </w:rPr>
        <w:t xml:space="preserve">the design </w:t>
      </w:r>
      <w:r w:rsidR="00E73A76">
        <w:rPr>
          <w:szCs w:val="24"/>
        </w:rPr>
        <w:t xml:space="preserve">and results </w:t>
      </w:r>
      <w:r w:rsidR="00711EC7">
        <w:rPr>
          <w:szCs w:val="24"/>
        </w:rPr>
        <w:t>of a comprehensive study to</w:t>
      </w:r>
      <w:r w:rsidR="002A268A" w:rsidRPr="00F97B2D">
        <w:rPr>
          <w:szCs w:val="24"/>
        </w:rPr>
        <w:t xml:space="preserve"> examine cross-reactivity of thirty designer drugs in both </w:t>
      </w:r>
      <w:r w:rsidR="00711EC7">
        <w:rPr>
          <w:szCs w:val="24"/>
        </w:rPr>
        <w:t>serum and urine amongst 18</w:t>
      </w:r>
      <w:r w:rsidR="002A268A" w:rsidRPr="00F97B2D">
        <w:rPr>
          <w:szCs w:val="24"/>
        </w:rPr>
        <w:t xml:space="preserve"> commercial immunoassays.</w:t>
      </w:r>
    </w:p>
    <w:p w:rsidR="002D24E3" w:rsidRPr="00F97B2D" w:rsidRDefault="00711EC7" w:rsidP="00F97B2D">
      <w:pPr>
        <w:pStyle w:val="Heading3"/>
      </w:pPr>
      <w:bookmarkStart w:id="26" w:name="_Toc372536029"/>
      <w:bookmarkStart w:id="27" w:name="_Toc372538692"/>
      <w:r>
        <w:t xml:space="preserve">Task 2 - </w:t>
      </w:r>
      <w:r w:rsidR="00694CE8" w:rsidRPr="00F97B2D">
        <w:t>Development of a comprehensive LC-MS method</w:t>
      </w:r>
      <w:bookmarkEnd w:id="26"/>
      <w:bookmarkEnd w:id="27"/>
      <w:r w:rsidR="00694CE8" w:rsidRPr="00F97B2D">
        <w:t xml:space="preserve"> </w:t>
      </w:r>
    </w:p>
    <w:p w:rsidR="002A268A" w:rsidRPr="00F97B2D" w:rsidRDefault="002A268A" w:rsidP="002A268A">
      <w:pPr>
        <w:spacing w:line="480" w:lineRule="auto"/>
        <w:ind w:firstLine="720"/>
        <w:rPr>
          <w:szCs w:val="24"/>
        </w:rPr>
      </w:pPr>
      <w:r w:rsidRPr="00F97B2D">
        <w:rPr>
          <w:szCs w:val="24"/>
        </w:rPr>
        <w:t xml:space="preserve">Since immunoassays are employed as presumptive, screening methods, a comprehensive analytical method was developed to confirm and quantify any drugs present in the samples.  In addition, the method was fully validated </w:t>
      </w:r>
      <w:r w:rsidR="00711EC7">
        <w:rPr>
          <w:szCs w:val="24"/>
        </w:rPr>
        <w:t>according to accepted analytical method development practices</w:t>
      </w:r>
      <w:r w:rsidRPr="00F97B2D">
        <w:rPr>
          <w:szCs w:val="24"/>
        </w:rPr>
        <w:t xml:space="preserve">.    </w:t>
      </w:r>
    </w:p>
    <w:p w:rsidR="00694CE8" w:rsidRPr="00F97B2D" w:rsidRDefault="00711EC7" w:rsidP="00F97B2D">
      <w:pPr>
        <w:pStyle w:val="Heading3"/>
      </w:pPr>
      <w:bookmarkStart w:id="28" w:name="_Toc372536030"/>
      <w:bookmarkStart w:id="29" w:name="_Toc372538693"/>
      <w:r>
        <w:t xml:space="preserve">Task 3 - </w:t>
      </w:r>
      <w:r w:rsidR="00694CE8" w:rsidRPr="00F97B2D">
        <w:t>Application of</w:t>
      </w:r>
      <w:r w:rsidR="004478D7" w:rsidRPr="00F97B2D">
        <w:t xml:space="preserve"> the developed techniques to</w:t>
      </w:r>
      <w:r w:rsidR="00A61D75">
        <w:t xml:space="preserve"> forensic </w:t>
      </w:r>
      <w:r w:rsidR="00694CE8" w:rsidRPr="00F97B2D">
        <w:t>samples</w:t>
      </w:r>
      <w:bookmarkEnd w:id="28"/>
      <w:bookmarkEnd w:id="29"/>
      <w:r w:rsidR="00694CE8" w:rsidRPr="00F97B2D">
        <w:t xml:space="preserve">  </w:t>
      </w:r>
    </w:p>
    <w:p w:rsidR="002A268A" w:rsidRPr="00F97B2D" w:rsidRDefault="005541BF" w:rsidP="002A268A">
      <w:pPr>
        <w:spacing w:line="480" w:lineRule="auto"/>
        <w:ind w:firstLine="720"/>
        <w:rPr>
          <w:szCs w:val="24"/>
        </w:rPr>
      </w:pPr>
      <w:r w:rsidRPr="00F97B2D">
        <w:rPr>
          <w:szCs w:val="24"/>
        </w:rPr>
        <w:t>In forensic s</w:t>
      </w:r>
      <w:r w:rsidR="002A268A" w:rsidRPr="00F97B2D">
        <w:rPr>
          <w:szCs w:val="24"/>
        </w:rPr>
        <w:t xml:space="preserve">cience, one of the most important tasks in regard to method development is the application.  In </w:t>
      </w:r>
      <w:r w:rsidR="004D105F">
        <w:rPr>
          <w:szCs w:val="24"/>
        </w:rPr>
        <w:t>Task 3</w:t>
      </w:r>
      <w:r w:rsidR="002A268A" w:rsidRPr="00F97B2D">
        <w:rPr>
          <w:szCs w:val="24"/>
        </w:rPr>
        <w:t>, forensic specimens were analyzed by both immunoassays and the confirmatory LC-MS method.  Th</w:t>
      </w:r>
      <w:r w:rsidR="004D105F">
        <w:rPr>
          <w:szCs w:val="24"/>
        </w:rPr>
        <w:t>e</w:t>
      </w:r>
      <w:r w:rsidR="002A268A" w:rsidRPr="00F97B2D">
        <w:rPr>
          <w:szCs w:val="24"/>
        </w:rPr>
        <w:t xml:space="preserve"> dual-analysis allowed for true comparison of the two techniques (immunoassay and LC-MS) as well as assessment of the comprehensive LC-MS method when applied towards forensic case samples.</w:t>
      </w:r>
    </w:p>
    <w:p w:rsidR="00FA4DB2" w:rsidRPr="00F97B2D" w:rsidRDefault="00FA4DB2" w:rsidP="00F97B2D">
      <w:pPr>
        <w:pStyle w:val="Heading2"/>
        <w:sectPr w:rsidR="00FA4DB2" w:rsidRPr="00F97B2D" w:rsidSect="00005A65">
          <w:footerReference w:type="first" r:id="rId12"/>
          <w:pgSz w:w="12240" w:h="15840" w:code="1"/>
          <w:pgMar w:top="1440" w:right="1440" w:bottom="1800" w:left="2160" w:header="720" w:footer="720" w:gutter="0"/>
          <w:cols w:space="720"/>
          <w:docGrid w:linePitch="360"/>
        </w:sectPr>
      </w:pPr>
    </w:p>
    <w:p w:rsidR="00BC6935" w:rsidRPr="00F97B2D" w:rsidRDefault="00A74057" w:rsidP="00F97B2D">
      <w:pPr>
        <w:pStyle w:val="Heading1"/>
      </w:pPr>
      <w:bookmarkStart w:id="30" w:name="_Toc372536031"/>
      <w:bookmarkStart w:id="31" w:name="_Toc372538694"/>
      <w:r w:rsidRPr="00F97B2D">
        <w:t>BACKGROUND</w:t>
      </w:r>
      <w:bookmarkStart w:id="32" w:name="_Toc361671145"/>
      <w:bookmarkStart w:id="33" w:name="_Toc361671468"/>
      <w:bookmarkStart w:id="34" w:name="_Toc361672043"/>
      <w:bookmarkStart w:id="35" w:name="_Toc361672115"/>
      <w:bookmarkStart w:id="36" w:name="_Toc361672369"/>
      <w:bookmarkStart w:id="37" w:name="_Toc361672582"/>
      <w:bookmarkStart w:id="38" w:name="_Toc361672597"/>
      <w:bookmarkStart w:id="39" w:name="_Toc361673726"/>
      <w:bookmarkStart w:id="40" w:name="_Toc361674043"/>
      <w:bookmarkStart w:id="41" w:name="_Toc361674499"/>
      <w:bookmarkStart w:id="42" w:name="_Toc361674692"/>
      <w:bookmarkStart w:id="43" w:name="_Toc362428752"/>
      <w:bookmarkStart w:id="44" w:name="_Toc362429951"/>
      <w:bookmarkStart w:id="45" w:name="_Toc362430086"/>
      <w:bookmarkStart w:id="46" w:name="_Toc362430223"/>
      <w:bookmarkStart w:id="47" w:name="_Toc362430264"/>
      <w:bookmarkStart w:id="48" w:name="_Toc362430305"/>
      <w:bookmarkStart w:id="49" w:name="_Toc362513774"/>
      <w:bookmarkStart w:id="50" w:name="_Toc362530156"/>
      <w:bookmarkStart w:id="51" w:name="_Toc362530597"/>
      <w:bookmarkStart w:id="52" w:name="_Toc362531867"/>
      <w:bookmarkStart w:id="53" w:name="_Toc362531924"/>
      <w:bookmarkStart w:id="54" w:name="_Toc362531980"/>
      <w:bookmarkStart w:id="55" w:name="_Toc362532035"/>
      <w:bookmarkStart w:id="56" w:name="_Toc362534722"/>
      <w:bookmarkStart w:id="57" w:name="_Toc362534918"/>
      <w:bookmarkStart w:id="58" w:name="_Toc362534979"/>
      <w:bookmarkStart w:id="59" w:name="_Toc362535167"/>
      <w:bookmarkStart w:id="60" w:name="_Toc362535701"/>
      <w:bookmarkStart w:id="61" w:name="_Toc362535761"/>
      <w:bookmarkStart w:id="62" w:name="_Toc362535822"/>
      <w:bookmarkStart w:id="63" w:name="_Toc362535905"/>
      <w:bookmarkStart w:id="64" w:name="_Toc362535971"/>
      <w:bookmarkStart w:id="65" w:name="_Toc362536037"/>
      <w:bookmarkStart w:id="66" w:name="_Toc362536171"/>
      <w:bookmarkStart w:id="67" w:name="_Toc362536686"/>
      <w:bookmarkStart w:id="68" w:name="_Toc362595645"/>
      <w:bookmarkStart w:id="69" w:name="_Toc362596245"/>
      <w:bookmarkStart w:id="70" w:name="_Toc362598469"/>
      <w:bookmarkStart w:id="71" w:name="_Toc362598632"/>
      <w:bookmarkStart w:id="72" w:name="_Toc362621768"/>
      <w:bookmarkStart w:id="73" w:name="_Toc362622171"/>
      <w:bookmarkStart w:id="74" w:name="_Toc36287193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30"/>
      <w:bookmarkEnd w:id="31"/>
    </w:p>
    <w:p w:rsidR="00010CBC" w:rsidRPr="00F97B2D" w:rsidRDefault="00BC6935" w:rsidP="00F97B2D">
      <w:pPr>
        <w:pStyle w:val="Heading2"/>
      </w:pPr>
      <w:bookmarkStart w:id="75" w:name="_Toc372536032"/>
      <w:bookmarkStart w:id="76" w:name="_Toc372538695"/>
      <w:r w:rsidRPr="00F97B2D">
        <w:t>Designer Drugs</w:t>
      </w:r>
      <w:bookmarkEnd w:id="75"/>
      <w:bookmarkEnd w:id="76"/>
    </w:p>
    <w:p w:rsidR="009A1AE5" w:rsidRPr="00F97B2D" w:rsidRDefault="002A268A" w:rsidP="00C30A04">
      <w:pPr>
        <w:spacing w:after="0" w:line="480" w:lineRule="auto"/>
        <w:ind w:firstLine="720"/>
        <w:rPr>
          <w:rFonts w:cs="Times New Roman"/>
          <w:color w:val="131413"/>
          <w:szCs w:val="24"/>
          <w:lang w:bidi="ar-SA"/>
        </w:rPr>
      </w:pPr>
      <w:r w:rsidRPr="00F97B2D">
        <w:rPr>
          <w:rFonts w:cs="Times New Roman"/>
          <w:szCs w:val="24"/>
        </w:rPr>
        <w:t>A designer drug is a compound which is psychotropic in nature and can be a synthetically altered natural compound, a structural modification of an existing xenobiotic, or a new chemical entirely.</w:t>
      </w:r>
      <w:sdt>
        <w:sdtPr>
          <w:rPr>
            <w:rFonts w:cs="Times New Roman"/>
            <w:szCs w:val="24"/>
          </w:rPr>
          <w:id w:val="344872072"/>
          <w:citation/>
        </w:sdtPr>
        <w:sdtEndPr/>
        <w:sdtContent>
          <w:r w:rsidR="000E239B" w:rsidRPr="00420938">
            <w:rPr>
              <w:rStyle w:val="In-TextCitation"/>
            </w:rPr>
            <w:fldChar w:fldCharType="begin"/>
          </w:r>
          <w:r w:rsidRPr="00420938">
            <w:rPr>
              <w:rStyle w:val="In-TextCitation"/>
            </w:rPr>
            <w:instrText xml:space="preserve"> CITATION AWo10 \l 1033 </w:instrText>
          </w:r>
          <w:r w:rsidR="000E239B" w:rsidRPr="00420938">
            <w:rPr>
              <w:rStyle w:val="In-TextCitation"/>
            </w:rPr>
            <w:fldChar w:fldCharType="separate"/>
          </w:r>
          <w:r w:rsidR="00420938" w:rsidRPr="00420938">
            <w:rPr>
              <w:rStyle w:val="In-TextCitation"/>
            </w:rPr>
            <w:t>(</w:t>
          </w:r>
          <w:hyperlink w:anchor="AWo10" w:history="1">
            <w:r w:rsidR="00420938" w:rsidRPr="00420938">
              <w:rPr>
                <w:rStyle w:val="In-TextCitation"/>
              </w:rPr>
              <w:t>20</w:t>
            </w:r>
          </w:hyperlink>
          <w:r w:rsidR="00420938" w:rsidRPr="00420938">
            <w:rPr>
              <w:rStyle w:val="In-TextCitation"/>
            </w:rPr>
            <w:t>)</w:t>
          </w:r>
          <w:r w:rsidR="000E239B" w:rsidRPr="00420938">
            <w:rPr>
              <w:rStyle w:val="In-TextCitation"/>
            </w:rPr>
            <w:fldChar w:fldCharType="end"/>
          </w:r>
        </w:sdtContent>
      </w:sdt>
      <w:r w:rsidRPr="00F97B2D">
        <w:rPr>
          <w:rFonts w:cs="Times New Roman"/>
          <w:szCs w:val="24"/>
        </w:rPr>
        <w:t xml:space="preserve">  The term</w:t>
      </w:r>
      <w:r w:rsidR="009A1AE5" w:rsidRPr="00F97B2D">
        <w:rPr>
          <w:rFonts w:cs="Times New Roman"/>
          <w:szCs w:val="24"/>
        </w:rPr>
        <w:t xml:space="preserve"> “designer drug” was first coined </w:t>
      </w:r>
      <w:r w:rsidR="009A1AE5" w:rsidRPr="00F97B2D">
        <w:rPr>
          <w:rFonts w:cs="Times New Roman"/>
          <w:color w:val="131413"/>
          <w:szCs w:val="24"/>
          <w:lang w:bidi="ar-SA"/>
        </w:rPr>
        <w:t xml:space="preserve">by </w:t>
      </w:r>
      <w:r w:rsidR="00C06AE3">
        <w:rPr>
          <w:rFonts w:cs="Times New Roman"/>
          <w:color w:val="131413"/>
          <w:szCs w:val="24"/>
          <w:lang w:bidi="ar-SA"/>
        </w:rPr>
        <w:t>Dr. Gary Henderson</w:t>
      </w:r>
      <w:r w:rsidR="009A1AE5" w:rsidRPr="00F97B2D">
        <w:rPr>
          <w:rFonts w:cs="Times New Roman"/>
          <w:color w:val="131413"/>
          <w:szCs w:val="24"/>
          <w:lang w:bidi="ar-SA"/>
        </w:rPr>
        <w:t xml:space="preserve"> in the 1980s when </w:t>
      </w:r>
      <w:r w:rsidR="00C06AE3">
        <w:rPr>
          <w:rFonts w:cs="Times New Roman"/>
          <w:color w:val="131413"/>
          <w:szCs w:val="24"/>
          <w:lang w:bidi="ar-SA"/>
        </w:rPr>
        <w:t>fentanyl analogs</w:t>
      </w:r>
      <w:r w:rsidR="009A1AE5" w:rsidRPr="00F97B2D">
        <w:rPr>
          <w:rFonts w:cs="Times New Roman"/>
          <w:color w:val="131413"/>
          <w:szCs w:val="24"/>
          <w:lang w:bidi="ar-SA"/>
        </w:rPr>
        <w:t xml:space="preserve"> began creeping</w:t>
      </w:r>
      <w:r w:rsidR="009A1AE5" w:rsidRPr="00F97B2D">
        <w:rPr>
          <w:rFonts w:cs="Times New Roman"/>
          <w:szCs w:val="24"/>
        </w:rPr>
        <w:t xml:space="preserve"> </w:t>
      </w:r>
      <w:r w:rsidR="009A1AE5" w:rsidRPr="00F97B2D">
        <w:rPr>
          <w:rFonts w:cs="Times New Roman"/>
          <w:color w:val="131413"/>
          <w:szCs w:val="24"/>
          <w:lang w:bidi="ar-SA"/>
        </w:rPr>
        <w:t xml:space="preserve">into the </w:t>
      </w:r>
      <w:r w:rsidR="00C06AE3">
        <w:rPr>
          <w:rFonts w:cs="Times New Roman"/>
          <w:color w:val="131413"/>
          <w:szCs w:val="24"/>
          <w:lang w:bidi="ar-SA"/>
        </w:rPr>
        <w:t xml:space="preserve">drug </w:t>
      </w:r>
      <w:r w:rsidR="009A1AE5" w:rsidRPr="00F97B2D">
        <w:rPr>
          <w:rFonts w:cs="Times New Roman"/>
          <w:color w:val="131413"/>
          <w:szCs w:val="24"/>
          <w:lang w:bidi="ar-SA"/>
        </w:rPr>
        <w:t>market</w:t>
      </w:r>
      <w:r w:rsidR="00C06AE3">
        <w:rPr>
          <w:rFonts w:cs="Times New Roman"/>
          <w:color w:val="131413"/>
          <w:szCs w:val="24"/>
          <w:lang w:bidi="ar-SA"/>
        </w:rPr>
        <w:t xml:space="preserve"> as “China White” heroin</w:t>
      </w:r>
      <w:r w:rsidR="009A1AE5" w:rsidRPr="00F97B2D">
        <w:rPr>
          <w:rFonts w:cs="Times New Roman"/>
          <w:color w:val="131413"/>
          <w:szCs w:val="24"/>
          <w:lang w:bidi="ar-SA"/>
        </w:rPr>
        <w:t xml:space="preserve"> after passage of the Comprehensive Drug</w:t>
      </w:r>
      <w:r w:rsidR="009A1AE5" w:rsidRPr="00F97B2D">
        <w:rPr>
          <w:rFonts w:cs="Times New Roman"/>
          <w:szCs w:val="24"/>
        </w:rPr>
        <w:t xml:space="preserve"> </w:t>
      </w:r>
      <w:r w:rsidR="009A1AE5" w:rsidRPr="00F97B2D">
        <w:rPr>
          <w:rFonts w:cs="Times New Roman"/>
          <w:color w:val="131413"/>
          <w:szCs w:val="24"/>
          <w:lang w:bidi="ar-SA"/>
        </w:rPr>
        <w:t>Abuse Prevention and Control Act of 1970.</w:t>
      </w:r>
      <w:sdt>
        <w:sdtPr>
          <w:rPr>
            <w:rFonts w:cs="Times New Roman"/>
            <w:color w:val="131413"/>
            <w:szCs w:val="24"/>
            <w:lang w:bidi="ar-SA"/>
          </w:rPr>
          <w:id w:val="344872088"/>
          <w:citation/>
        </w:sdtPr>
        <w:sdtEndPr/>
        <w:sdtContent>
          <w:r w:rsidR="000E239B" w:rsidRPr="00420938">
            <w:rPr>
              <w:rStyle w:val="In-TextCitation"/>
            </w:rPr>
            <w:fldChar w:fldCharType="begin"/>
          </w:r>
          <w:r w:rsidR="009A1AE5" w:rsidRPr="00420938">
            <w:rPr>
              <w:rStyle w:val="In-TextCitation"/>
            </w:rPr>
            <w:instrText xml:space="preserve"> CITATION Hen88 \l 1033 </w:instrText>
          </w:r>
          <w:r w:rsidR="000E239B" w:rsidRPr="00420938">
            <w:rPr>
              <w:rStyle w:val="In-TextCitation"/>
            </w:rPr>
            <w:fldChar w:fldCharType="separate"/>
          </w:r>
          <w:r w:rsidR="00420938" w:rsidRPr="00420938">
            <w:rPr>
              <w:rStyle w:val="In-TextCitation"/>
            </w:rPr>
            <w:t>(</w:t>
          </w:r>
          <w:hyperlink w:anchor="Hen88" w:history="1">
            <w:r w:rsidR="00420938" w:rsidRPr="00420938">
              <w:rPr>
                <w:rStyle w:val="In-TextCitation"/>
              </w:rPr>
              <w:t>21</w:t>
            </w:r>
          </w:hyperlink>
          <w:r w:rsidR="00420938" w:rsidRPr="00420938">
            <w:rPr>
              <w:rStyle w:val="In-TextCitation"/>
            </w:rPr>
            <w:t>)</w:t>
          </w:r>
          <w:r w:rsidR="000E239B" w:rsidRPr="00420938">
            <w:rPr>
              <w:rStyle w:val="In-TextCitation"/>
            </w:rPr>
            <w:fldChar w:fldCharType="end"/>
          </w:r>
        </w:sdtContent>
      </w:sdt>
      <w:r w:rsidR="009A1AE5" w:rsidRPr="00F97B2D">
        <w:rPr>
          <w:rFonts w:cs="Times New Roman"/>
          <w:color w:val="131413"/>
          <w:szCs w:val="24"/>
          <w:lang w:bidi="ar-SA"/>
        </w:rPr>
        <w:t xml:space="preserve">  </w:t>
      </w:r>
      <w:r w:rsidR="00711EC7">
        <w:rPr>
          <w:rFonts w:cs="Times New Roman"/>
          <w:color w:val="131413"/>
          <w:szCs w:val="24"/>
          <w:lang w:bidi="ar-SA"/>
        </w:rPr>
        <w:t>In general, designer</w:t>
      </w:r>
      <w:r w:rsidR="009A1AE5" w:rsidRPr="00F97B2D">
        <w:rPr>
          <w:rFonts w:cs="Times New Roman"/>
          <w:color w:val="131413"/>
          <w:szCs w:val="24"/>
          <w:lang w:bidi="ar-SA"/>
        </w:rPr>
        <w:t xml:space="preserve"> drugs</w:t>
      </w:r>
      <w:r w:rsidR="009A1AE5" w:rsidRPr="00F97B2D">
        <w:rPr>
          <w:rFonts w:cs="Times New Roman"/>
          <w:szCs w:val="24"/>
        </w:rPr>
        <w:t xml:space="preserve"> </w:t>
      </w:r>
      <w:r w:rsidR="009A1AE5" w:rsidRPr="00F97B2D">
        <w:rPr>
          <w:rFonts w:cs="Times New Roman"/>
          <w:color w:val="131413"/>
          <w:szCs w:val="24"/>
          <w:lang w:bidi="ar-SA"/>
        </w:rPr>
        <w:t>are structural analogs of Drug Enforcement Agency (DEA)</w:t>
      </w:r>
      <w:r w:rsidR="009A1AE5" w:rsidRPr="00F97B2D">
        <w:rPr>
          <w:rFonts w:cs="Times New Roman"/>
          <w:szCs w:val="24"/>
        </w:rPr>
        <w:t xml:space="preserve"> </w:t>
      </w:r>
      <w:r w:rsidR="009A1AE5" w:rsidRPr="00F97B2D">
        <w:rPr>
          <w:rFonts w:cs="Times New Roman"/>
          <w:color w:val="131413"/>
          <w:szCs w:val="24"/>
          <w:lang w:bidi="ar-SA"/>
        </w:rPr>
        <w:t>Schedule I and II substances that are synthesized to mimic</w:t>
      </w:r>
      <w:r w:rsidR="009A1AE5" w:rsidRPr="00F97B2D">
        <w:rPr>
          <w:rFonts w:cs="Times New Roman"/>
          <w:szCs w:val="24"/>
        </w:rPr>
        <w:t xml:space="preserve"> </w:t>
      </w:r>
      <w:r w:rsidR="009A1AE5" w:rsidRPr="00F97B2D">
        <w:rPr>
          <w:rFonts w:cs="Times New Roman"/>
          <w:color w:val="131413"/>
          <w:szCs w:val="24"/>
          <w:lang w:bidi="ar-SA"/>
        </w:rPr>
        <w:t>the effects of scheduled compounds and to avoid the provisions</w:t>
      </w:r>
      <w:r w:rsidR="009A1AE5" w:rsidRPr="00F97B2D">
        <w:rPr>
          <w:rFonts w:cs="Times New Roman"/>
          <w:szCs w:val="24"/>
        </w:rPr>
        <w:t xml:space="preserve"> </w:t>
      </w:r>
      <w:r w:rsidR="009A1AE5" w:rsidRPr="00F97B2D">
        <w:rPr>
          <w:rFonts w:cs="Times New Roman"/>
          <w:color w:val="131413"/>
          <w:szCs w:val="24"/>
          <w:lang w:bidi="ar-SA"/>
        </w:rPr>
        <w:t>of drug laws.</w:t>
      </w:r>
      <w:sdt>
        <w:sdtPr>
          <w:rPr>
            <w:rFonts w:cs="Times New Roman"/>
            <w:color w:val="131413"/>
            <w:szCs w:val="24"/>
            <w:lang w:bidi="ar-SA"/>
          </w:rPr>
          <w:id w:val="344872089"/>
          <w:citation/>
        </w:sdtPr>
        <w:sdtEndPr/>
        <w:sdtContent>
          <w:r w:rsidR="000E239B" w:rsidRPr="00420938">
            <w:rPr>
              <w:rStyle w:val="In-TextCitation"/>
            </w:rPr>
            <w:fldChar w:fldCharType="begin"/>
          </w:r>
          <w:r w:rsidR="009A1AE5" w:rsidRPr="00420938">
            <w:rPr>
              <w:rStyle w:val="In-TextCitation"/>
            </w:rPr>
            <w:instrText xml:space="preserve"> CITATION Car12 \l 1033 </w:instrText>
          </w:r>
          <w:r w:rsidR="000E239B" w:rsidRPr="00420938">
            <w:rPr>
              <w:rStyle w:val="In-TextCitation"/>
            </w:rPr>
            <w:fldChar w:fldCharType="separate"/>
          </w:r>
          <w:r w:rsidR="00420938" w:rsidRPr="00420938">
            <w:rPr>
              <w:rStyle w:val="In-TextCitation"/>
            </w:rPr>
            <w:t>(</w:t>
          </w:r>
          <w:hyperlink w:anchor="Car12" w:history="1">
            <w:r w:rsidR="00420938" w:rsidRPr="00420938">
              <w:rPr>
                <w:rStyle w:val="In-TextCitation"/>
              </w:rPr>
              <w:t>22</w:t>
            </w:r>
          </w:hyperlink>
          <w:r w:rsidR="00420938" w:rsidRPr="00420938">
            <w:rPr>
              <w:rStyle w:val="In-TextCitation"/>
            </w:rPr>
            <w:t>)</w:t>
          </w:r>
          <w:r w:rsidR="000E239B" w:rsidRPr="00420938">
            <w:rPr>
              <w:rStyle w:val="In-TextCitation"/>
            </w:rPr>
            <w:fldChar w:fldCharType="end"/>
          </w:r>
        </w:sdtContent>
      </w:sdt>
      <w:r w:rsidR="009A1AE5" w:rsidRPr="00F97B2D">
        <w:rPr>
          <w:rFonts w:cs="Times New Roman"/>
          <w:color w:val="131413"/>
          <w:szCs w:val="24"/>
          <w:lang w:bidi="ar-SA"/>
        </w:rPr>
        <w:t xml:space="preserve">  Over the past decade, hundreds of</w:t>
      </w:r>
      <w:r w:rsidR="009A1AE5" w:rsidRPr="00F97B2D">
        <w:rPr>
          <w:rFonts w:cs="Times New Roman"/>
          <w:szCs w:val="24"/>
        </w:rPr>
        <w:t xml:space="preserve"> </w:t>
      </w:r>
      <w:r w:rsidR="009A1AE5" w:rsidRPr="00F97B2D">
        <w:rPr>
          <w:rFonts w:cs="Times New Roman"/>
          <w:color w:val="131413"/>
          <w:szCs w:val="24"/>
          <w:lang w:bidi="ar-SA"/>
        </w:rPr>
        <w:t>such compounds have flooded the illicit drug market under</w:t>
      </w:r>
      <w:r w:rsidR="009A1AE5" w:rsidRPr="00F97B2D">
        <w:rPr>
          <w:rFonts w:cs="Times New Roman"/>
          <w:szCs w:val="24"/>
        </w:rPr>
        <w:t xml:space="preserve"> </w:t>
      </w:r>
      <w:r w:rsidR="009A1AE5" w:rsidRPr="00F97B2D">
        <w:rPr>
          <w:rFonts w:cs="Times New Roman"/>
          <w:color w:val="131413"/>
          <w:szCs w:val="24"/>
          <w:lang w:bidi="ar-SA"/>
        </w:rPr>
        <w:t>the terms “designer drugs” or “research chemicals</w:t>
      </w:r>
      <w:r w:rsidR="004D105F">
        <w:rPr>
          <w:rFonts w:cs="Times New Roman"/>
          <w:color w:val="131413"/>
          <w:szCs w:val="24"/>
          <w:lang w:bidi="ar-SA"/>
        </w:rPr>
        <w:t>.</w:t>
      </w:r>
      <w:r w:rsidR="009A1AE5" w:rsidRPr="00F97B2D">
        <w:rPr>
          <w:rFonts w:cs="Times New Roman"/>
          <w:color w:val="131413"/>
          <w:szCs w:val="24"/>
          <w:lang w:bidi="ar-SA"/>
        </w:rPr>
        <w:t>”  In addition</w:t>
      </w:r>
      <w:r w:rsidR="009A1AE5" w:rsidRPr="00F97B2D">
        <w:rPr>
          <w:rFonts w:cs="Times New Roman"/>
          <w:szCs w:val="24"/>
        </w:rPr>
        <w:t xml:space="preserve"> </w:t>
      </w:r>
      <w:r w:rsidR="009A1AE5" w:rsidRPr="00F97B2D">
        <w:rPr>
          <w:rFonts w:cs="Times New Roman"/>
          <w:color w:val="131413"/>
          <w:szCs w:val="24"/>
          <w:lang w:bidi="ar-SA"/>
        </w:rPr>
        <w:t>to the legal issues, these structurally related drugs</w:t>
      </w:r>
      <w:r w:rsidR="009A1AE5" w:rsidRPr="00F97B2D">
        <w:rPr>
          <w:rFonts w:cs="Times New Roman"/>
          <w:szCs w:val="24"/>
        </w:rPr>
        <w:t xml:space="preserve"> </w:t>
      </w:r>
      <w:r w:rsidR="009A1AE5" w:rsidRPr="00F97B2D">
        <w:rPr>
          <w:rFonts w:cs="Times New Roman"/>
          <w:color w:val="131413"/>
          <w:szCs w:val="24"/>
          <w:lang w:bidi="ar-SA"/>
        </w:rPr>
        <w:t>often carry unknown safety profiles, a high potential for</w:t>
      </w:r>
      <w:r w:rsidR="009A1AE5" w:rsidRPr="00F97B2D">
        <w:rPr>
          <w:rFonts w:cs="Times New Roman"/>
          <w:szCs w:val="24"/>
        </w:rPr>
        <w:t xml:space="preserve"> </w:t>
      </w:r>
      <w:r w:rsidR="009A1AE5" w:rsidRPr="00F97B2D">
        <w:rPr>
          <w:rFonts w:cs="Times New Roman"/>
          <w:color w:val="131413"/>
          <w:szCs w:val="24"/>
          <w:lang w:bidi="ar-SA"/>
        </w:rPr>
        <w:t>abuse, high potency, and serious potential health consequences,</w:t>
      </w:r>
      <w:r w:rsidR="009A1AE5" w:rsidRPr="00F97B2D">
        <w:rPr>
          <w:rFonts w:cs="Times New Roman"/>
          <w:szCs w:val="24"/>
        </w:rPr>
        <w:t xml:space="preserve"> </w:t>
      </w:r>
      <w:r w:rsidR="009A1AE5" w:rsidRPr="00F97B2D">
        <w:rPr>
          <w:rFonts w:cs="Times New Roman"/>
          <w:color w:val="131413"/>
          <w:szCs w:val="24"/>
          <w:lang w:bidi="ar-SA"/>
        </w:rPr>
        <w:t>especially when ingested unknowingly.  Easy</w:t>
      </w:r>
      <w:r w:rsidR="009A1AE5" w:rsidRPr="00F97B2D">
        <w:rPr>
          <w:rFonts w:cs="Times New Roman"/>
          <w:szCs w:val="24"/>
        </w:rPr>
        <w:t xml:space="preserve"> </w:t>
      </w:r>
      <w:r w:rsidR="009A1AE5" w:rsidRPr="00F97B2D">
        <w:rPr>
          <w:rFonts w:cs="Times New Roman"/>
          <w:color w:val="131413"/>
          <w:szCs w:val="24"/>
          <w:lang w:bidi="ar-SA"/>
        </w:rPr>
        <w:t>access via the internet has made such “designer drugs” more</w:t>
      </w:r>
      <w:r w:rsidR="009A1AE5" w:rsidRPr="00F97B2D">
        <w:rPr>
          <w:rFonts w:cs="Times New Roman"/>
          <w:szCs w:val="24"/>
        </w:rPr>
        <w:t xml:space="preserve"> </w:t>
      </w:r>
      <w:r w:rsidR="009A1AE5" w:rsidRPr="00F97B2D">
        <w:rPr>
          <w:rFonts w:cs="Times New Roman"/>
          <w:color w:val="131413"/>
          <w:szCs w:val="24"/>
          <w:lang w:bidi="ar-SA"/>
        </w:rPr>
        <w:t>available to the general public.</w:t>
      </w:r>
    </w:p>
    <w:p w:rsidR="00203EF5" w:rsidRPr="00F97B2D" w:rsidRDefault="00203EF5" w:rsidP="00203EF5">
      <w:pPr>
        <w:keepNext/>
        <w:spacing w:after="0" w:line="480" w:lineRule="auto"/>
        <w:rPr>
          <w:szCs w:val="24"/>
        </w:rPr>
      </w:pPr>
      <w:r w:rsidRPr="00F97B2D">
        <w:rPr>
          <w:rFonts w:ascii="AdvTT3713a231" w:hAnsi="AdvTT3713a231" w:cs="AdvTT3713a231"/>
          <w:noProof/>
          <w:color w:val="131413"/>
          <w:szCs w:val="24"/>
          <w:lang w:bidi="ar-SA"/>
        </w:rPr>
        <w:drawing>
          <wp:inline distT="0" distB="0" distL="0" distR="0">
            <wp:extent cx="5303520" cy="5182184"/>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5303520" cy="5182184"/>
                    </a:xfrm>
                    <a:prstGeom prst="rect">
                      <a:avLst/>
                    </a:prstGeom>
                    <a:noFill/>
                    <a:ln>
                      <a:noFill/>
                    </a:ln>
                  </pic:spPr>
                </pic:pic>
              </a:graphicData>
            </a:graphic>
          </wp:inline>
        </w:drawing>
      </w:r>
    </w:p>
    <w:p w:rsidR="00203EF5" w:rsidRPr="00F97B2D" w:rsidRDefault="00203EF5" w:rsidP="00F97B2D">
      <w:pPr>
        <w:pStyle w:val="Caption"/>
      </w:pPr>
      <w:bookmarkStart w:id="77" w:name="_Ref362878802"/>
      <w:bookmarkStart w:id="78" w:name="_Toc372536128"/>
      <w:r w:rsidRPr="00F97B2D">
        <w:t xml:space="preserve">Figure </w:t>
      </w:r>
      <w:r w:rsidR="000E239B" w:rsidRPr="00F97B2D">
        <w:fldChar w:fldCharType="begin"/>
      </w:r>
      <w:r w:rsidR="00B2107A" w:rsidRPr="00F97B2D">
        <w:instrText xml:space="preserve"> SEQ Figure \* ARABIC </w:instrText>
      </w:r>
      <w:r w:rsidR="000E239B" w:rsidRPr="00F97B2D">
        <w:fldChar w:fldCharType="separate"/>
      </w:r>
      <w:r w:rsidR="00E37796">
        <w:rPr>
          <w:noProof/>
        </w:rPr>
        <w:t>1</w:t>
      </w:r>
      <w:r w:rsidR="000E239B" w:rsidRPr="00F97B2D">
        <w:rPr>
          <w:noProof/>
        </w:rPr>
        <w:fldChar w:fldCharType="end"/>
      </w:r>
      <w:bookmarkEnd w:id="77"/>
      <w:r w:rsidRPr="00F97B2D">
        <w:t>: Designer Drug Classes</w:t>
      </w:r>
      <w:r w:rsidR="001934AC">
        <w:t xml:space="preserve"> </w:t>
      </w:r>
      <w:sdt>
        <w:sdtPr>
          <w:id w:val="344872255"/>
          <w:citation/>
        </w:sdtPr>
        <w:sdtEndPr/>
        <w:sdtContent>
          <w:r w:rsidR="000E239B" w:rsidRPr="00420938">
            <w:rPr>
              <w:rStyle w:val="In-TextCitation"/>
            </w:rPr>
            <w:fldChar w:fldCharType="begin"/>
          </w:r>
          <w:r w:rsidRPr="00420938">
            <w:rPr>
              <w:rStyle w:val="In-TextCitation"/>
            </w:rPr>
            <w:instrText xml:space="preserve"> CITATION AWo10 \l 1033 </w:instrText>
          </w:r>
          <w:r w:rsidR="000E239B" w:rsidRPr="00420938">
            <w:rPr>
              <w:rStyle w:val="In-TextCitation"/>
            </w:rPr>
            <w:fldChar w:fldCharType="separate"/>
          </w:r>
          <w:r w:rsidR="00420938" w:rsidRPr="00420938">
            <w:rPr>
              <w:rStyle w:val="In-TextCitation"/>
            </w:rPr>
            <w:t>(</w:t>
          </w:r>
          <w:hyperlink w:anchor="AWo10" w:history="1">
            <w:r w:rsidR="00420938" w:rsidRPr="00420938">
              <w:rPr>
                <w:rStyle w:val="In-TextCitation"/>
              </w:rPr>
              <w:t>20</w:t>
            </w:r>
          </w:hyperlink>
          <w:r w:rsidR="00420938" w:rsidRPr="00420938">
            <w:rPr>
              <w:rStyle w:val="In-TextCitation"/>
            </w:rPr>
            <w:t>)</w:t>
          </w:r>
          <w:r w:rsidR="000E239B" w:rsidRPr="00420938">
            <w:rPr>
              <w:rStyle w:val="In-TextCitation"/>
            </w:rPr>
            <w:fldChar w:fldCharType="end"/>
          </w:r>
        </w:sdtContent>
      </w:sdt>
      <w:bookmarkEnd w:id="78"/>
    </w:p>
    <w:p w:rsidR="00A944B9" w:rsidRDefault="00A944B9" w:rsidP="00711EC7">
      <w:pPr>
        <w:autoSpaceDE w:val="0"/>
        <w:autoSpaceDN w:val="0"/>
        <w:adjustRightInd w:val="0"/>
        <w:spacing w:after="0" w:line="480" w:lineRule="auto"/>
        <w:rPr>
          <w:rFonts w:cs="Times New Roman"/>
          <w:color w:val="131413"/>
          <w:szCs w:val="24"/>
          <w:lang w:bidi="ar-SA"/>
        </w:rPr>
      </w:pPr>
    </w:p>
    <w:p w:rsidR="00C30A04" w:rsidRPr="00F97B2D" w:rsidRDefault="00711EC7" w:rsidP="001934AC">
      <w:pPr>
        <w:spacing w:after="0" w:line="480" w:lineRule="auto"/>
        <w:ind w:firstLine="720"/>
        <w:rPr>
          <w:rFonts w:cs="Times New Roman"/>
          <w:color w:val="131413"/>
          <w:szCs w:val="24"/>
          <w:lang w:bidi="ar-SA"/>
        </w:rPr>
      </w:pPr>
      <w:r>
        <w:rPr>
          <w:rFonts w:cs="Times New Roman"/>
          <w:color w:val="131413"/>
          <w:szCs w:val="24"/>
          <w:lang w:bidi="ar-SA"/>
        </w:rPr>
        <w:t>Structures of most of the designer stimulant</w:t>
      </w:r>
      <w:r w:rsidR="00C30A04" w:rsidRPr="00F97B2D">
        <w:rPr>
          <w:rFonts w:cs="Times New Roman"/>
          <w:color w:val="131413"/>
          <w:szCs w:val="24"/>
          <w:lang w:bidi="ar-SA"/>
        </w:rPr>
        <w:t xml:space="preserve"> compounds fall into three major classes: phenethylamines, tryptamines, and piperazines</w:t>
      </w:r>
      <w:r w:rsidR="00FA2445" w:rsidRPr="00F97B2D">
        <w:rPr>
          <w:rFonts w:cs="Times New Roman"/>
          <w:color w:val="131413"/>
          <w:szCs w:val="24"/>
          <w:lang w:bidi="ar-SA"/>
        </w:rPr>
        <w:t>, as seen in</w:t>
      </w:r>
      <w:r w:rsidR="001934AC">
        <w:rPr>
          <w:rFonts w:cs="Times New Roman"/>
          <w:color w:val="131413"/>
          <w:szCs w:val="24"/>
          <w:lang w:bidi="ar-SA"/>
        </w:rPr>
        <w:t xml:space="preserve"> Figure 1</w:t>
      </w:r>
      <w:proofErr w:type="gramStart"/>
      <w:r w:rsidR="001934AC">
        <w:rPr>
          <w:rFonts w:cs="Times New Roman"/>
          <w:color w:val="131413"/>
          <w:szCs w:val="24"/>
          <w:lang w:bidi="ar-SA"/>
        </w:rPr>
        <w:t>.</w:t>
      </w:r>
      <w:r w:rsidR="001934AC" w:rsidRPr="001934AC">
        <w:rPr>
          <w:rFonts w:cs="Times New Roman"/>
          <w:color w:val="131413"/>
          <w:szCs w:val="24"/>
          <w:vertAlign w:val="superscript"/>
          <w:lang w:bidi="ar-SA"/>
        </w:rPr>
        <w:t>(</w:t>
      </w:r>
      <w:proofErr w:type="gramEnd"/>
      <w:r w:rsidR="001934AC" w:rsidRPr="001934AC">
        <w:rPr>
          <w:rFonts w:cs="Times New Roman"/>
          <w:color w:val="131413"/>
          <w:szCs w:val="24"/>
          <w:vertAlign w:val="superscript"/>
          <w:lang w:bidi="ar-SA"/>
        </w:rPr>
        <w:t>20)</w:t>
      </w:r>
      <w:r w:rsidR="001934AC">
        <w:rPr>
          <w:rFonts w:cs="Times New Roman"/>
          <w:color w:val="131413"/>
          <w:szCs w:val="24"/>
          <w:lang w:bidi="ar-SA"/>
        </w:rPr>
        <w:t xml:space="preserve">  </w:t>
      </w:r>
      <w:r w:rsidR="00C30A04" w:rsidRPr="00F97B2D">
        <w:rPr>
          <w:rFonts w:cs="Times New Roman"/>
          <w:color w:val="131413"/>
          <w:szCs w:val="24"/>
          <w:lang w:bidi="ar-SA"/>
        </w:rPr>
        <w:t>The β-keto-phenethylamine derivatives, analogs of cathinone, have been on the rise in the last few years, often sold as “bath salts” or “plant foo</w:t>
      </w:r>
      <w:r>
        <w:rPr>
          <w:rFonts w:cs="Times New Roman"/>
          <w:color w:val="131413"/>
          <w:szCs w:val="24"/>
          <w:lang w:bidi="ar-SA"/>
        </w:rPr>
        <w:t xml:space="preserve">d” over the internet or in head </w:t>
      </w:r>
      <w:r w:rsidR="00C30A04" w:rsidRPr="00F97B2D">
        <w:rPr>
          <w:rFonts w:cs="Times New Roman"/>
          <w:color w:val="131413"/>
          <w:szCs w:val="24"/>
          <w:lang w:bidi="ar-SA"/>
        </w:rPr>
        <w:t>shops.</w:t>
      </w:r>
      <w:sdt>
        <w:sdtPr>
          <w:rPr>
            <w:rFonts w:cs="Times New Roman"/>
            <w:color w:val="131413"/>
            <w:szCs w:val="24"/>
            <w:lang w:bidi="ar-SA"/>
          </w:rPr>
          <w:id w:val="344872092"/>
          <w:citation/>
        </w:sdtPr>
        <w:sdtEndPr/>
        <w:sdtContent>
          <w:r w:rsidR="000E239B" w:rsidRPr="00420938">
            <w:rPr>
              <w:rStyle w:val="In-TextCitation"/>
            </w:rPr>
            <w:fldChar w:fldCharType="begin"/>
          </w:r>
          <w:r w:rsidR="00C30A04" w:rsidRPr="00420938">
            <w:rPr>
              <w:rStyle w:val="In-TextCitation"/>
            </w:rPr>
            <w:instrText xml:space="preserve"> CITATION McG11 \l 1033  \m Pro12</w:instrText>
          </w:r>
          <w:r w:rsidR="000E239B" w:rsidRPr="00420938">
            <w:rPr>
              <w:rStyle w:val="In-TextCitation"/>
            </w:rPr>
            <w:fldChar w:fldCharType="separate"/>
          </w:r>
          <w:r w:rsidR="00420938" w:rsidRPr="00420938">
            <w:rPr>
              <w:rStyle w:val="In-TextCitation"/>
            </w:rPr>
            <w:t>(</w:t>
          </w:r>
          <w:hyperlink w:anchor="McG11" w:history="1">
            <w:r w:rsidR="00420938" w:rsidRPr="00420938">
              <w:rPr>
                <w:rStyle w:val="In-TextCitation"/>
              </w:rPr>
              <w:t>23</w:t>
            </w:r>
          </w:hyperlink>
          <w:r w:rsidR="00420938" w:rsidRPr="00420938">
            <w:rPr>
              <w:rStyle w:val="In-TextCitation"/>
            </w:rPr>
            <w:t>,</w:t>
          </w:r>
          <w:hyperlink w:anchor="Pro12" w:history="1">
            <w:r w:rsidR="00420938" w:rsidRPr="00420938">
              <w:rPr>
                <w:rStyle w:val="In-TextCitation"/>
              </w:rPr>
              <w:t>24</w:t>
            </w:r>
          </w:hyperlink>
          <w:r w:rsidR="00420938" w:rsidRPr="00420938">
            <w:rPr>
              <w:rStyle w:val="In-TextCitation"/>
            </w:rPr>
            <w:t>)</w:t>
          </w:r>
          <w:r w:rsidR="000E239B" w:rsidRPr="00420938">
            <w:rPr>
              <w:rStyle w:val="In-TextCitation"/>
            </w:rPr>
            <w:fldChar w:fldCharType="end"/>
          </w:r>
        </w:sdtContent>
      </w:sdt>
      <w:r w:rsidR="00C30A04" w:rsidRPr="00F97B2D">
        <w:rPr>
          <w:rFonts w:cs="Times New Roman"/>
          <w:color w:val="131413"/>
          <w:szCs w:val="24"/>
          <w:lang w:bidi="ar-SA"/>
        </w:rPr>
        <w:t xml:space="preserve"> </w:t>
      </w:r>
      <w:r w:rsidR="00FA2445" w:rsidRPr="00F97B2D">
        <w:rPr>
          <w:rFonts w:cs="Times New Roman"/>
          <w:color w:val="131413"/>
          <w:szCs w:val="24"/>
          <w:lang w:bidi="ar-SA"/>
        </w:rPr>
        <w:t xml:space="preserve">Cathinone itself is a Schedule I drug occurring naturally in the leaves of the khat bush. </w:t>
      </w:r>
      <w:r w:rsidR="0028631B">
        <w:rPr>
          <w:rFonts w:cs="Times New Roman"/>
          <w:color w:val="131413"/>
          <w:szCs w:val="24"/>
          <w:lang w:bidi="ar-SA"/>
        </w:rPr>
        <w:t xml:space="preserve"> Another popular group of emerging designer drugs includes synthetic cannabinoids, originally sold as “K2” or “Spice” as “legal” alternatives to marijuana.  </w:t>
      </w:r>
      <w:r w:rsidR="00C30A04" w:rsidRPr="00F97B2D">
        <w:rPr>
          <w:rFonts w:cs="Times New Roman"/>
          <w:color w:val="131413"/>
          <w:szCs w:val="24"/>
          <w:lang w:bidi="ar-SA"/>
        </w:rPr>
        <w:t xml:space="preserve">In addition, previously available tryptamines such as α-methyltryptamine and 5-methoxydiisopropyltryptamine (“Foxy”) have enjoyed </w:t>
      </w:r>
      <w:r w:rsidR="00FA2445" w:rsidRPr="00F97B2D">
        <w:rPr>
          <w:rFonts w:cs="Times New Roman"/>
          <w:color w:val="131413"/>
          <w:szCs w:val="24"/>
          <w:lang w:bidi="ar-SA"/>
        </w:rPr>
        <w:t>resurgence</w:t>
      </w:r>
      <w:r w:rsidR="00C30A04" w:rsidRPr="00F97B2D">
        <w:rPr>
          <w:rFonts w:cs="Times New Roman"/>
          <w:color w:val="131413"/>
          <w:szCs w:val="24"/>
          <w:lang w:bidi="ar-SA"/>
        </w:rPr>
        <w:t xml:space="preserve"> and have been linked to several deaths in recent years.</w:t>
      </w:r>
      <w:sdt>
        <w:sdtPr>
          <w:rPr>
            <w:rFonts w:cs="Times New Roman"/>
            <w:color w:val="131413"/>
            <w:szCs w:val="24"/>
            <w:lang w:bidi="ar-SA"/>
          </w:rPr>
          <w:id w:val="344872095"/>
          <w:citation/>
        </w:sdtPr>
        <w:sdtEndPr/>
        <w:sdtContent>
          <w:r w:rsidR="000E239B" w:rsidRPr="00420938">
            <w:rPr>
              <w:rStyle w:val="In-TextCitation"/>
            </w:rPr>
            <w:fldChar w:fldCharType="begin"/>
          </w:r>
          <w:r w:rsidR="00C30A04" w:rsidRPr="00420938">
            <w:rPr>
              <w:rStyle w:val="In-TextCitation"/>
            </w:rPr>
            <w:instrText xml:space="preserve"> CITATION ETa06 \l 1033  \m DMB05</w:instrText>
          </w:r>
          <w:r w:rsidR="000E239B" w:rsidRPr="00420938">
            <w:rPr>
              <w:rStyle w:val="In-TextCitation"/>
            </w:rPr>
            <w:fldChar w:fldCharType="separate"/>
          </w:r>
          <w:r w:rsidR="00420938" w:rsidRPr="00420938">
            <w:rPr>
              <w:rStyle w:val="In-TextCitation"/>
            </w:rPr>
            <w:t>(</w:t>
          </w:r>
          <w:hyperlink w:anchor="ETa06" w:history="1">
            <w:r w:rsidR="00420938" w:rsidRPr="00420938">
              <w:rPr>
                <w:rStyle w:val="In-TextCitation"/>
              </w:rPr>
              <w:t>6</w:t>
            </w:r>
          </w:hyperlink>
          <w:r w:rsidR="00420938" w:rsidRPr="00420938">
            <w:rPr>
              <w:rStyle w:val="In-TextCitation"/>
            </w:rPr>
            <w:t>,</w:t>
          </w:r>
          <w:hyperlink w:anchor="DMB05" w:history="1">
            <w:r w:rsidR="00420938" w:rsidRPr="00420938">
              <w:rPr>
                <w:rStyle w:val="In-TextCitation"/>
              </w:rPr>
              <w:t>25</w:t>
            </w:r>
          </w:hyperlink>
          <w:r w:rsidR="00420938" w:rsidRPr="00420938">
            <w:rPr>
              <w:rStyle w:val="In-TextCitation"/>
            </w:rPr>
            <w:t>)</w:t>
          </w:r>
          <w:r w:rsidR="000E239B" w:rsidRPr="00420938">
            <w:rPr>
              <w:rStyle w:val="In-TextCitation"/>
            </w:rPr>
            <w:fldChar w:fldCharType="end"/>
          </w:r>
        </w:sdtContent>
      </w:sdt>
      <w:r w:rsidR="00C30A04" w:rsidRPr="00F97B2D">
        <w:rPr>
          <w:rFonts w:cs="Times New Roman"/>
          <w:color w:val="131413"/>
          <w:szCs w:val="24"/>
          <w:lang w:bidi="ar-SA"/>
        </w:rPr>
        <w:t xml:space="preserve">  Trifluoromethylphenylpiperazine, once banned by the DEA, and benzylpiperazine, often found in combination with each other, have also been cited in several cases.</w:t>
      </w:r>
      <w:sdt>
        <w:sdtPr>
          <w:rPr>
            <w:rFonts w:cs="Times New Roman"/>
            <w:color w:val="131413"/>
            <w:szCs w:val="24"/>
            <w:lang w:bidi="ar-SA"/>
          </w:rPr>
          <w:id w:val="344872096"/>
          <w:citation/>
        </w:sdtPr>
        <w:sdtEndPr/>
        <w:sdtContent>
          <w:r w:rsidR="000E239B" w:rsidRPr="00420938">
            <w:rPr>
              <w:rStyle w:val="In-TextCitation"/>
            </w:rPr>
            <w:fldChar w:fldCharType="begin"/>
          </w:r>
          <w:r w:rsidR="00C30A04" w:rsidRPr="00420938">
            <w:rPr>
              <w:rStyle w:val="In-TextCitation"/>
            </w:rPr>
            <w:instrText xml:space="preserve"> CITATION SEl08 \l 1033 </w:instrText>
          </w:r>
          <w:r w:rsidR="000E239B" w:rsidRPr="00420938">
            <w:rPr>
              <w:rStyle w:val="In-TextCitation"/>
            </w:rPr>
            <w:fldChar w:fldCharType="separate"/>
          </w:r>
          <w:r w:rsidR="00420938" w:rsidRPr="00420938">
            <w:rPr>
              <w:rStyle w:val="In-TextCitation"/>
            </w:rPr>
            <w:t>(</w:t>
          </w:r>
          <w:hyperlink w:anchor="SEl08" w:history="1">
            <w:r w:rsidR="00420938" w:rsidRPr="00420938">
              <w:rPr>
                <w:rStyle w:val="In-TextCitation"/>
              </w:rPr>
              <w:t>2</w:t>
            </w:r>
          </w:hyperlink>
          <w:r w:rsidR="00420938" w:rsidRPr="00420938">
            <w:rPr>
              <w:rStyle w:val="In-TextCitation"/>
            </w:rPr>
            <w:t>)</w:t>
          </w:r>
          <w:r w:rsidR="000E239B" w:rsidRPr="00420938">
            <w:rPr>
              <w:rStyle w:val="In-TextCitation"/>
            </w:rPr>
            <w:fldChar w:fldCharType="end"/>
          </w:r>
        </w:sdtContent>
      </w:sdt>
      <w:r w:rsidR="00C30A04" w:rsidRPr="00F97B2D">
        <w:rPr>
          <w:rFonts w:cs="Times New Roman"/>
          <w:color w:val="131413"/>
          <w:szCs w:val="24"/>
          <w:lang w:bidi="ar-SA"/>
        </w:rPr>
        <w:t xml:space="preserve">  While severe intoxications and even fatalities are not uncommon with abuse of these substances, they can be difficult to identify from a forensic analytical standpoint </w:t>
      </w:r>
      <w:r w:rsidR="004D105F">
        <w:rPr>
          <w:rFonts w:cs="Times New Roman"/>
          <w:color w:val="131413"/>
          <w:szCs w:val="24"/>
          <w:lang w:bidi="ar-SA"/>
        </w:rPr>
        <w:t>because of</w:t>
      </w:r>
      <w:r w:rsidR="00C30A04" w:rsidRPr="00F97B2D">
        <w:rPr>
          <w:rFonts w:cs="Times New Roman"/>
          <w:color w:val="131413"/>
          <w:szCs w:val="24"/>
          <w:lang w:bidi="ar-SA"/>
        </w:rPr>
        <w:t xml:space="preserve"> the large number of potential structures, the constant introduction of novel compounds, inadequate accessibility to standards, and the generally limited frequency of occurrences.</w:t>
      </w:r>
      <w:sdt>
        <w:sdtPr>
          <w:rPr>
            <w:rFonts w:cs="Times New Roman"/>
            <w:color w:val="131413"/>
            <w:szCs w:val="24"/>
            <w:lang w:bidi="ar-SA"/>
          </w:rPr>
          <w:id w:val="344872097"/>
          <w:citation/>
        </w:sdtPr>
        <w:sdtEndPr/>
        <w:sdtContent>
          <w:r w:rsidR="000E239B" w:rsidRPr="00420938">
            <w:rPr>
              <w:rStyle w:val="In-TextCitation"/>
            </w:rPr>
            <w:fldChar w:fldCharType="begin"/>
          </w:r>
          <w:r w:rsidR="00C30A04" w:rsidRPr="00420938">
            <w:rPr>
              <w:rStyle w:val="In-TextCitation"/>
            </w:rPr>
            <w:instrText xml:space="preserve"> CITATION Hil11 \l 1033 </w:instrText>
          </w:r>
          <w:r w:rsidR="000E239B" w:rsidRPr="00420938">
            <w:rPr>
              <w:rStyle w:val="In-TextCitation"/>
            </w:rPr>
            <w:fldChar w:fldCharType="separate"/>
          </w:r>
          <w:r w:rsidR="00420938" w:rsidRPr="00420938">
            <w:rPr>
              <w:rStyle w:val="In-TextCitation"/>
            </w:rPr>
            <w:t>(</w:t>
          </w:r>
          <w:hyperlink w:anchor="Hil11" w:history="1">
            <w:r w:rsidR="00420938" w:rsidRPr="00420938">
              <w:rPr>
                <w:rStyle w:val="In-TextCitation"/>
              </w:rPr>
              <w:t>26</w:t>
            </w:r>
          </w:hyperlink>
          <w:r w:rsidR="00420938" w:rsidRPr="00420938">
            <w:rPr>
              <w:rStyle w:val="In-TextCitation"/>
            </w:rPr>
            <w:t>)</w:t>
          </w:r>
          <w:r w:rsidR="000E239B" w:rsidRPr="00420938">
            <w:rPr>
              <w:rStyle w:val="In-TextCitation"/>
            </w:rPr>
            <w:fldChar w:fldCharType="end"/>
          </w:r>
        </w:sdtContent>
      </w:sdt>
      <w:r w:rsidR="00C30A04" w:rsidRPr="00F97B2D">
        <w:rPr>
          <w:rFonts w:cs="Times New Roman"/>
          <w:color w:val="131413"/>
          <w:szCs w:val="24"/>
          <w:lang w:bidi="ar-SA"/>
        </w:rPr>
        <w:t xml:space="preserve"> </w:t>
      </w:r>
      <w:r w:rsidR="008F4463" w:rsidRPr="00F97B2D">
        <w:rPr>
          <w:rFonts w:cs="Times New Roman"/>
          <w:color w:val="131413"/>
          <w:szCs w:val="24"/>
          <w:lang w:bidi="ar-SA"/>
        </w:rPr>
        <w:t xml:space="preserve"> </w:t>
      </w:r>
      <w:r w:rsidR="00C30A04" w:rsidRPr="00F97B2D">
        <w:rPr>
          <w:rFonts w:cs="Times New Roman"/>
          <w:color w:val="131413"/>
          <w:szCs w:val="24"/>
          <w:lang w:bidi="ar-SA"/>
        </w:rPr>
        <w:t>Most importantly, there is a lack of comprehensive analytical methods available for detection of these compounds, either as screening techniques or for quantification purposes.</w:t>
      </w:r>
    </w:p>
    <w:p w:rsidR="004F383F" w:rsidRPr="00F97B2D" w:rsidRDefault="004F383F" w:rsidP="00F97B2D">
      <w:pPr>
        <w:pStyle w:val="Heading2"/>
      </w:pPr>
      <w:bookmarkStart w:id="79" w:name="_Toc372536033"/>
      <w:bookmarkStart w:id="80" w:name="_Toc372538696"/>
      <w:r w:rsidRPr="00F97B2D">
        <w:t>Presence in Society</w:t>
      </w:r>
      <w:bookmarkEnd w:id="79"/>
      <w:bookmarkEnd w:id="80"/>
    </w:p>
    <w:p w:rsidR="008F4463" w:rsidRPr="00F97B2D" w:rsidRDefault="008F4463" w:rsidP="008F4463">
      <w:pPr>
        <w:spacing w:after="0" w:line="480" w:lineRule="auto"/>
        <w:ind w:firstLine="720"/>
        <w:rPr>
          <w:rFonts w:cs="Times New Roman"/>
          <w:color w:val="131413"/>
          <w:szCs w:val="24"/>
          <w:lang w:bidi="ar-SA"/>
        </w:rPr>
      </w:pPr>
      <w:r w:rsidRPr="00F97B2D">
        <w:rPr>
          <w:rFonts w:cs="Times New Roman"/>
          <w:color w:val="131413"/>
          <w:szCs w:val="24"/>
          <w:lang w:bidi="ar-SA"/>
        </w:rPr>
        <w:t xml:space="preserve">During the 1990s, detailed user reports and steps for manufacturing hundreds of designer drugs were published by a former DEA-licensed chemist, Dr. Alexander Shulgin.  “Phenethylamines I Have Known and Loved” (PiHKAL) and “Tryptamines I Have Known and Loved” (TiHKAL) allowed drug users and manufacturers to have formulas at their fingertips.  As the use of the internet grew, additional resources, such as </w:t>
      </w:r>
      <w:r w:rsidR="00711EC7">
        <w:rPr>
          <w:rFonts w:cs="Times New Roman"/>
          <w:color w:val="131413"/>
          <w:szCs w:val="24"/>
          <w:lang w:bidi="ar-SA"/>
        </w:rPr>
        <w:t xml:space="preserve">the website </w:t>
      </w:r>
      <w:r w:rsidRPr="00F97B2D">
        <w:rPr>
          <w:rFonts w:cs="Times New Roman"/>
          <w:color w:val="131413"/>
          <w:szCs w:val="24"/>
          <w:lang w:bidi="ar-SA"/>
        </w:rPr>
        <w:t>Erowid.org, offered similar forums.</w:t>
      </w:r>
    </w:p>
    <w:p w:rsidR="00137037" w:rsidRPr="00F97B2D" w:rsidRDefault="009A3130" w:rsidP="00137037">
      <w:pPr>
        <w:spacing w:after="0" w:line="480" w:lineRule="auto"/>
        <w:ind w:firstLine="720"/>
        <w:rPr>
          <w:szCs w:val="24"/>
        </w:rPr>
      </w:pPr>
      <w:r w:rsidRPr="00F97B2D">
        <w:rPr>
          <w:szCs w:val="24"/>
        </w:rPr>
        <w:t xml:space="preserve">The </w:t>
      </w:r>
      <w:r w:rsidR="00FA2445" w:rsidRPr="00F97B2D">
        <w:rPr>
          <w:szCs w:val="24"/>
        </w:rPr>
        <w:t>American Association of Poison Control Centers (AAPCC) was the first to ring the alarm about “bath salts</w:t>
      </w:r>
      <w:r w:rsidR="004D105F">
        <w:rPr>
          <w:szCs w:val="24"/>
        </w:rPr>
        <w:t>.</w:t>
      </w:r>
      <w:r w:rsidR="00FA2445" w:rsidRPr="00F97B2D">
        <w:rPr>
          <w:szCs w:val="24"/>
        </w:rPr>
        <w:t>”</w:t>
      </w:r>
      <w:r w:rsidR="00EB2395" w:rsidRPr="00F97B2D">
        <w:rPr>
          <w:szCs w:val="24"/>
        </w:rPr>
        <w:t xml:space="preserve">  In 2011 alone, their 57 call centers received over 6,000 calls about exposures to these compounds, followed by almost 3,000 calls in 2012 (aapcc.org).  The AAPCC has noted that the average users are in their twenties, but they have received calls for children as young as 6 years old and adults as old as 59 years of age.</w:t>
      </w:r>
      <w:r w:rsidR="00AF665B" w:rsidRPr="00F97B2D">
        <w:rPr>
          <w:szCs w:val="24"/>
        </w:rPr>
        <w:t xml:space="preserve">  The merchandise</w:t>
      </w:r>
      <w:r w:rsidR="0050130D" w:rsidRPr="00F97B2D">
        <w:rPr>
          <w:szCs w:val="24"/>
        </w:rPr>
        <w:t>, disgu</w:t>
      </w:r>
      <w:r w:rsidR="00AF665B" w:rsidRPr="00F97B2D">
        <w:rPr>
          <w:szCs w:val="24"/>
        </w:rPr>
        <w:t xml:space="preserve">ised as household products, was </w:t>
      </w:r>
      <w:r w:rsidR="0050130D" w:rsidRPr="00F97B2D">
        <w:rPr>
          <w:szCs w:val="24"/>
        </w:rPr>
        <w:t>sold under brand names such as “Bliss”, “Cloud Nine”, “Ivory Wave”, and “Vanilla Sky” as powders in small foil packages (globaldrugpolicy.org).  In addition to these formulations, cathinone derivatives have also appeared in Ecstasy tablets after a worldwide shortage of MDMA precursors transpired</w:t>
      </w:r>
      <w:r w:rsidR="0028631B">
        <w:rPr>
          <w:szCs w:val="24"/>
        </w:rPr>
        <w:t xml:space="preserve"> in early 2008</w:t>
      </w:r>
      <w:r w:rsidR="0050130D" w:rsidRPr="00F97B2D">
        <w:rPr>
          <w:szCs w:val="24"/>
        </w:rPr>
        <w:t>.</w:t>
      </w:r>
      <w:sdt>
        <w:sdtPr>
          <w:rPr>
            <w:szCs w:val="24"/>
          </w:rPr>
          <w:id w:val="344872341"/>
          <w:citation/>
        </w:sdtPr>
        <w:sdtEndPr/>
        <w:sdtContent>
          <w:r w:rsidR="000E239B" w:rsidRPr="00420938">
            <w:rPr>
              <w:rStyle w:val="In-TextCitation"/>
            </w:rPr>
            <w:fldChar w:fldCharType="begin"/>
          </w:r>
          <w:r w:rsidR="0050130D" w:rsidRPr="00420938">
            <w:rPr>
              <w:rStyle w:val="In-TextCitation"/>
            </w:rPr>
            <w:instrText xml:space="preserve"> CITATION Bru11 \l 1033 </w:instrText>
          </w:r>
          <w:r w:rsidR="000E239B" w:rsidRPr="00420938">
            <w:rPr>
              <w:rStyle w:val="In-TextCitation"/>
            </w:rPr>
            <w:fldChar w:fldCharType="separate"/>
          </w:r>
          <w:r w:rsidR="00420938" w:rsidRPr="00420938">
            <w:rPr>
              <w:rStyle w:val="In-TextCitation"/>
            </w:rPr>
            <w:t>(</w:t>
          </w:r>
          <w:hyperlink w:anchor="Bru11" w:history="1">
            <w:r w:rsidR="00420938" w:rsidRPr="00420938">
              <w:rPr>
                <w:rStyle w:val="In-TextCitation"/>
              </w:rPr>
              <w:t>27</w:t>
            </w:r>
          </w:hyperlink>
          <w:r w:rsidR="00420938" w:rsidRPr="00420938">
            <w:rPr>
              <w:rStyle w:val="In-TextCitation"/>
            </w:rPr>
            <w:t>)</w:t>
          </w:r>
          <w:r w:rsidR="000E239B" w:rsidRPr="00420938">
            <w:rPr>
              <w:rStyle w:val="In-TextCitation"/>
            </w:rPr>
            <w:fldChar w:fldCharType="end"/>
          </w:r>
        </w:sdtContent>
      </w:sdt>
      <w:r w:rsidR="00711EC7">
        <w:rPr>
          <w:szCs w:val="24"/>
        </w:rPr>
        <w:t xml:space="preserve">  </w:t>
      </w:r>
    </w:p>
    <w:p w:rsidR="00D444D5" w:rsidRPr="00F97B2D" w:rsidRDefault="00137037" w:rsidP="00D444D5">
      <w:pPr>
        <w:spacing w:after="0" w:line="480" w:lineRule="auto"/>
        <w:ind w:firstLine="720"/>
        <w:rPr>
          <w:szCs w:val="24"/>
        </w:rPr>
      </w:pPr>
      <w:r w:rsidRPr="00F97B2D">
        <w:rPr>
          <w:szCs w:val="24"/>
        </w:rPr>
        <w:t>In October 2011, the DEA placed three of the most common compounds (methylone, mephedrone, and MDPV) into Schedule I as an emergency action.  In July of 2012, President Obama signed the Synthetic Drug Abuse Prevention Act into law, permanently scheduling mephedrone, MDPV, and the 2C series of analogs</w:t>
      </w:r>
      <w:r w:rsidR="0028631B">
        <w:rPr>
          <w:szCs w:val="24"/>
        </w:rPr>
        <w:t>, among other compounds</w:t>
      </w:r>
      <w:r w:rsidR="00E73A76">
        <w:rPr>
          <w:szCs w:val="24"/>
        </w:rPr>
        <w:t>,</w:t>
      </w:r>
      <w:r w:rsidRPr="00F97B2D">
        <w:rPr>
          <w:szCs w:val="24"/>
        </w:rPr>
        <w:t xml:space="preserve"> as Schedule I</w:t>
      </w:r>
      <w:r w:rsidR="004D105F">
        <w:rPr>
          <w:szCs w:val="24"/>
        </w:rPr>
        <w:t xml:space="preserve"> drugs</w:t>
      </w:r>
      <w:r w:rsidRPr="00F97B2D">
        <w:rPr>
          <w:szCs w:val="24"/>
        </w:rPr>
        <w:t xml:space="preserve">.  </w:t>
      </w:r>
    </w:p>
    <w:p w:rsidR="009A3130" w:rsidRPr="00F97B2D" w:rsidRDefault="00137037" w:rsidP="00745DE6">
      <w:pPr>
        <w:spacing w:line="480" w:lineRule="auto"/>
        <w:ind w:firstLine="720"/>
        <w:rPr>
          <w:szCs w:val="24"/>
        </w:rPr>
      </w:pPr>
      <w:r w:rsidRPr="00F97B2D">
        <w:rPr>
          <w:szCs w:val="24"/>
        </w:rPr>
        <w:t xml:space="preserve">Although the </w:t>
      </w:r>
      <w:r w:rsidR="0028631B">
        <w:rPr>
          <w:szCs w:val="24"/>
        </w:rPr>
        <w:t xml:space="preserve">street </w:t>
      </w:r>
      <w:r w:rsidRPr="00F97B2D">
        <w:rPr>
          <w:szCs w:val="24"/>
        </w:rPr>
        <w:t>products are clearly labeled “not for human consumption</w:t>
      </w:r>
      <w:r w:rsidR="004D105F">
        <w:rPr>
          <w:szCs w:val="24"/>
        </w:rPr>
        <w:t>,</w:t>
      </w:r>
      <w:r w:rsidRPr="00F97B2D">
        <w:rPr>
          <w:szCs w:val="24"/>
        </w:rPr>
        <w:t xml:space="preserve">” the </w:t>
      </w:r>
      <w:r w:rsidR="00D444D5" w:rsidRPr="00F97B2D">
        <w:rPr>
          <w:szCs w:val="24"/>
        </w:rPr>
        <w:t>most common routes of administration are snorting, smoking, injecting, or swallowing</w:t>
      </w:r>
      <w:r w:rsidR="004D105F">
        <w:rPr>
          <w:szCs w:val="24"/>
        </w:rPr>
        <w:t xml:space="preserve"> (dea.gov)</w:t>
      </w:r>
      <w:r w:rsidR="00D444D5" w:rsidRPr="00F97B2D">
        <w:rPr>
          <w:szCs w:val="24"/>
        </w:rPr>
        <w:t>.  With possible high potencies, the number of intoxications and</w:t>
      </w:r>
      <w:r w:rsidR="00DF5714">
        <w:rPr>
          <w:szCs w:val="24"/>
        </w:rPr>
        <w:t xml:space="preserve"> lethal overdoses is rather large</w:t>
      </w:r>
      <w:r w:rsidR="00D444D5" w:rsidRPr="00F97B2D">
        <w:rPr>
          <w:szCs w:val="24"/>
        </w:rPr>
        <w:t>, especially when users</w:t>
      </w:r>
      <w:r w:rsidR="004C38D6">
        <w:rPr>
          <w:szCs w:val="24"/>
        </w:rPr>
        <w:t xml:space="preserve"> </w:t>
      </w:r>
      <w:r w:rsidR="00E73A76">
        <w:rPr>
          <w:szCs w:val="24"/>
        </w:rPr>
        <w:t>also</w:t>
      </w:r>
      <w:r w:rsidR="00D444D5" w:rsidRPr="00F97B2D">
        <w:rPr>
          <w:szCs w:val="24"/>
        </w:rPr>
        <w:t xml:space="preserve"> ingest their typical dose of another drug, such as </w:t>
      </w:r>
      <w:r w:rsidR="004D105F">
        <w:rPr>
          <w:szCs w:val="24"/>
        </w:rPr>
        <w:t>Ecstasy</w:t>
      </w:r>
      <w:r w:rsidR="00D444D5" w:rsidRPr="00F97B2D">
        <w:rPr>
          <w:szCs w:val="24"/>
        </w:rPr>
        <w:t>.</w:t>
      </w:r>
      <w:r w:rsidR="00AF665B" w:rsidRPr="00F97B2D">
        <w:rPr>
          <w:szCs w:val="24"/>
        </w:rPr>
        <w:t xml:space="preserve">  </w:t>
      </w:r>
      <w:r w:rsidR="00E614AE" w:rsidRPr="00F97B2D">
        <w:rPr>
          <w:szCs w:val="24"/>
        </w:rPr>
        <w:t>The physiological and psychological effects of many of these substances somewhat mimic those of amphetamine, methamphetamine, and Ecstasy: increase</w:t>
      </w:r>
      <w:r w:rsidR="007929FE">
        <w:rPr>
          <w:szCs w:val="24"/>
        </w:rPr>
        <w:t xml:space="preserve">d energy, empathy, and </w:t>
      </w:r>
      <w:r w:rsidR="0028631B">
        <w:rPr>
          <w:szCs w:val="24"/>
        </w:rPr>
        <w:t>extroversion</w:t>
      </w:r>
      <w:r w:rsidR="00E614AE" w:rsidRPr="00F97B2D">
        <w:rPr>
          <w:szCs w:val="24"/>
        </w:rPr>
        <w:t>.</w:t>
      </w:r>
      <w:sdt>
        <w:sdtPr>
          <w:rPr>
            <w:szCs w:val="24"/>
          </w:rPr>
          <w:id w:val="258901319"/>
          <w:citation/>
        </w:sdtPr>
        <w:sdtEndPr/>
        <w:sdtContent>
          <w:r w:rsidR="000E239B" w:rsidRPr="00420938">
            <w:rPr>
              <w:rStyle w:val="In-TextCitation"/>
            </w:rPr>
            <w:fldChar w:fldCharType="begin"/>
          </w:r>
          <w:r w:rsidR="007929FE" w:rsidRPr="00420938">
            <w:rPr>
              <w:rStyle w:val="In-TextCitation"/>
            </w:rPr>
            <w:instrText xml:space="preserve"> CITATION Pro12 \l 1033 </w:instrText>
          </w:r>
          <w:r w:rsidR="000E239B" w:rsidRPr="00420938">
            <w:rPr>
              <w:rStyle w:val="In-TextCitation"/>
            </w:rPr>
            <w:fldChar w:fldCharType="separate"/>
          </w:r>
          <w:r w:rsidR="00420938" w:rsidRPr="00420938">
            <w:rPr>
              <w:rStyle w:val="In-TextCitation"/>
            </w:rPr>
            <w:t>(</w:t>
          </w:r>
          <w:hyperlink w:anchor="Pro12" w:history="1">
            <w:r w:rsidR="00420938" w:rsidRPr="00420938">
              <w:rPr>
                <w:rStyle w:val="In-TextCitation"/>
              </w:rPr>
              <w:t>24</w:t>
            </w:r>
          </w:hyperlink>
          <w:r w:rsidR="00420938" w:rsidRPr="00420938">
            <w:rPr>
              <w:rStyle w:val="In-TextCitation"/>
            </w:rPr>
            <w:t>)</w:t>
          </w:r>
          <w:r w:rsidR="000E239B" w:rsidRPr="00420938">
            <w:rPr>
              <w:rStyle w:val="In-TextCitation"/>
            </w:rPr>
            <w:fldChar w:fldCharType="end"/>
          </w:r>
        </w:sdtContent>
      </w:sdt>
      <w:r w:rsidR="00E614AE" w:rsidRPr="00F97B2D">
        <w:rPr>
          <w:szCs w:val="24"/>
        </w:rPr>
        <w:t xml:space="preserve">  In addition, users may also experience </w:t>
      </w:r>
      <w:r w:rsidR="0028631B">
        <w:rPr>
          <w:szCs w:val="24"/>
        </w:rPr>
        <w:t>multiple</w:t>
      </w:r>
      <w:r w:rsidR="00E614AE" w:rsidRPr="00F97B2D">
        <w:rPr>
          <w:szCs w:val="24"/>
        </w:rPr>
        <w:t xml:space="preserve"> adverse effects, including hyperthermia, palpitations, </w:t>
      </w:r>
      <w:r w:rsidR="009563FD" w:rsidRPr="00F97B2D">
        <w:rPr>
          <w:szCs w:val="24"/>
        </w:rPr>
        <w:t xml:space="preserve">agitation, </w:t>
      </w:r>
      <w:r w:rsidR="00E614AE" w:rsidRPr="00F97B2D">
        <w:rPr>
          <w:szCs w:val="24"/>
        </w:rPr>
        <w:t xml:space="preserve">headache, </w:t>
      </w:r>
      <w:r w:rsidR="007929FE">
        <w:rPr>
          <w:szCs w:val="24"/>
        </w:rPr>
        <w:t>nausea, and vomiting</w:t>
      </w:r>
      <w:r w:rsidR="009563FD" w:rsidRPr="00F97B2D">
        <w:rPr>
          <w:szCs w:val="24"/>
        </w:rPr>
        <w:t>.</w:t>
      </w:r>
      <w:sdt>
        <w:sdtPr>
          <w:rPr>
            <w:szCs w:val="24"/>
          </w:rPr>
          <w:id w:val="258901320"/>
          <w:citation/>
        </w:sdtPr>
        <w:sdtEndPr/>
        <w:sdtContent>
          <w:r w:rsidR="000E239B" w:rsidRPr="00420938">
            <w:rPr>
              <w:rStyle w:val="In-TextCitation"/>
            </w:rPr>
            <w:fldChar w:fldCharType="begin"/>
          </w:r>
          <w:r w:rsidR="007929FE" w:rsidRPr="00420938">
            <w:rPr>
              <w:rStyle w:val="In-TextCitation"/>
            </w:rPr>
            <w:instrText xml:space="preserve"> CITATION Pro12 \l 1033 </w:instrText>
          </w:r>
          <w:r w:rsidR="000E239B" w:rsidRPr="00420938">
            <w:rPr>
              <w:rStyle w:val="In-TextCitation"/>
            </w:rPr>
            <w:fldChar w:fldCharType="separate"/>
          </w:r>
          <w:r w:rsidR="00420938" w:rsidRPr="00420938">
            <w:rPr>
              <w:rStyle w:val="In-TextCitation"/>
            </w:rPr>
            <w:t>(</w:t>
          </w:r>
          <w:hyperlink w:anchor="Pro12" w:history="1">
            <w:r w:rsidR="00420938" w:rsidRPr="00420938">
              <w:rPr>
                <w:rStyle w:val="In-TextCitation"/>
              </w:rPr>
              <w:t>24</w:t>
            </w:r>
          </w:hyperlink>
          <w:r w:rsidR="00420938" w:rsidRPr="00420938">
            <w:rPr>
              <w:rStyle w:val="In-TextCitation"/>
            </w:rPr>
            <w:t>)</w:t>
          </w:r>
          <w:r w:rsidR="000E239B" w:rsidRPr="00420938">
            <w:rPr>
              <w:rStyle w:val="In-TextCitation"/>
            </w:rPr>
            <w:fldChar w:fldCharType="end"/>
          </w:r>
        </w:sdtContent>
      </w:sdt>
      <w:r w:rsidR="009563FD" w:rsidRPr="00F97B2D">
        <w:rPr>
          <w:szCs w:val="24"/>
        </w:rPr>
        <w:t xml:space="preserve">  </w:t>
      </w:r>
      <w:r w:rsidR="0028631B">
        <w:rPr>
          <w:szCs w:val="24"/>
        </w:rPr>
        <w:t>Furthermore, c</w:t>
      </w:r>
      <w:r w:rsidR="009563FD" w:rsidRPr="00F97B2D">
        <w:rPr>
          <w:szCs w:val="24"/>
        </w:rPr>
        <w:t>hronic users in online drug forums</w:t>
      </w:r>
      <w:r w:rsidR="0028631B">
        <w:rPr>
          <w:szCs w:val="24"/>
        </w:rPr>
        <w:t xml:space="preserve"> often</w:t>
      </w:r>
      <w:r w:rsidR="009563FD" w:rsidRPr="00F97B2D">
        <w:rPr>
          <w:szCs w:val="24"/>
        </w:rPr>
        <w:t xml:space="preserve"> discuss adding </w:t>
      </w:r>
      <w:r w:rsidR="0028631B">
        <w:rPr>
          <w:szCs w:val="24"/>
        </w:rPr>
        <w:t xml:space="preserve">additional drugs, such as </w:t>
      </w:r>
      <w:r w:rsidR="009563FD" w:rsidRPr="00F97B2D">
        <w:rPr>
          <w:szCs w:val="24"/>
        </w:rPr>
        <w:t xml:space="preserve">ibuprofen or Xanax </w:t>
      </w:r>
      <w:r w:rsidR="00E951CA">
        <w:rPr>
          <w:szCs w:val="24"/>
        </w:rPr>
        <w:t xml:space="preserve">(alprazolam) </w:t>
      </w:r>
      <w:r w:rsidR="0028631B">
        <w:rPr>
          <w:szCs w:val="24"/>
        </w:rPr>
        <w:t>to combat the</w:t>
      </w:r>
      <w:r w:rsidR="009563FD" w:rsidRPr="00F97B2D">
        <w:rPr>
          <w:szCs w:val="24"/>
        </w:rPr>
        <w:t xml:space="preserve">se undesirable effects.  Many individuals have presented to emergency departments and hospitals with </w:t>
      </w:r>
      <w:r w:rsidR="0028631B">
        <w:rPr>
          <w:szCs w:val="24"/>
        </w:rPr>
        <w:t>severe intoxications.  R</w:t>
      </w:r>
      <w:r w:rsidR="009563FD" w:rsidRPr="00F97B2D">
        <w:rPr>
          <w:szCs w:val="24"/>
        </w:rPr>
        <w:t>eports have characterized the more dangerous effects, including s</w:t>
      </w:r>
      <w:r w:rsidR="007929FE">
        <w:rPr>
          <w:szCs w:val="24"/>
        </w:rPr>
        <w:t>uicidal and homicidal ideations</w:t>
      </w:r>
      <w:sdt>
        <w:sdtPr>
          <w:rPr>
            <w:szCs w:val="24"/>
          </w:rPr>
          <w:id w:val="258901321"/>
          <w:citation/>
        </w:sdtPr>
        <w:sdtEndPr/>
        <w:sdtContent>
          <w:r w:rsidR="000E239B" w:rsidRPr="00420938">
            <w:rPr>
              <w:rStyle w:val="In-TextCitation"/>
            </w:rPr>
            <w:fldChar w:fldCharType="begin"/>
          </w:r>
          <w:r w:rsidR="007929FE" w:rsidRPr="00420938">
            <w:rPr>
              <w:rStyle w:val="In-TextCitation"/>
            </w:rPr>
            <w:instrText xml:space="preserve"> CITATION Sto12 \l 1033 </w:instrText>
          </w:r>
          <w:r w:rsidR="000E239B" w:rsidRPr="00420938">
            <w:rPr>
              <w:rStyle w:val="In-TextCitation"/>
            </w:rPr>
            <w:fldChar w:fldCharType="separate"/>
          </w:r>
          <w:r w:rsidR="00420938" w:rsidRPr="00420938">
            <w:rPr>
              <w:rStyle w:val="In-TextCitation"/>
            </w:rPr>
            <w:t>(</w:t>
          </w:r>
          <w:hyperlink w:anchor="Sto12" w:history="1">
            <w:r w:rsidR="00420938" w:rsidRPr="00420938">
              <w:rPr>
                <w:rStyle w:val="In-TextCitation"/>
              </w:rPr>
              <w:t>12</w:t>
            </w:r>
          </w:hyperlink>
          <w:r w:rsidR="00420938" w:rsidRPr="00420938">
            <w:rPr>
              <w:rStyle w:val="In-TextCitation"/>
            </w:rPr>
            <w:t>)</w:t>
          </w:r>
          <w:r w:rsidR="000E239B" w:rsidRPr="00420938">
            <w:rPr>
              <w:rStyle w:val="In-TextCitation"/>
            </w:rPr>
            <w:fldChar w:fldCharType="end"/>
          </w:r>
        </w:sdtContent>
      </w:sdt>
      <w:r w:rsidR="007929FE">
        <w:rPr>
          <w:szCs w:val="24"/>
        </w:rPr>
        <w:t>, psychosis</w:t>
      </w:r>
      <w:sdt>
        <w:sdtPr>
          <w:rPr>
            <w:szCs w:val="24"/>
          </w:rPr>
          <w:id w:val="258901322"/>
          <w:citation/>
        </w:sdtPr>
        <w:sdtEndPr/>
        <w:sdtContent>
          <w:r w:rsidR="000E239B" w:rsidRPr="00420938">
            <w:rPr>
              <w:rStyle w:val="In-TextCitation"/>
            </w:rPr>
            <w:fldChar w:fldCharType="begin"/>
          </w:r>
          <w:r w:rsidR="007929FE" w:rsidRPr="00420938">
            <w:rPr>
              <w:rStyle w:val="In-TextCitation"/>
            </w:rPr>
            <w:instrText xml:space="preserve"> CITATION JMM \l 1033  \m Sad13</w:instrText>
          </w:r>
          <w:r w:rsidR="000E239B" w:rsidRPr="00420938">
            <w:rPr>
              <w:rStyle w:val="In-TextCitation"/>
            </w:rPr>
            <w:fldChar w:fldCharType="separate"/>
          </w:r>
          <w:r w:rsidR="00420938" w:rsidRPr="00420938">
            <w:rPr>
              <w:rStyle w:val="In-TextCitation"/>
            </w:rPr>
            <w:t>(</w:t>
          </w:r>
          <w:hyperlink w:anchor="JMM" w:history="1">
            <w:r w:rsidR="00420938" w:rsidRPr="00420938">
              <w:rPr>
                <w:rStyle w:val="In-TextCitation"/>
              </w:rPr>
              <w:t>4</w:t>
            </w:r>
          </w:hyperlink>
          <w:r w:rsidR="00420938" w:rsidRPr="00420938">
            <w:rPr>
              <w:rStyle w:val="In-TextCitation"/>
            </w:rPr>
            <w:t>,</w:t>
          </w:r>
          <w:hyperlink w:anchor="Sad13" w:history="1">
            <w:r w:rsidR="00420938" w:rsidRPr="00420938">
              <w:rPr>
                <w:rStyle w:val="In-TextCitation"/>
              </w:rPr>
              <w:t>16</w:t>
            </w:r>
          </w:hyperlink>
          <w:r w:rsidR="00420938" w:rsidRPr="00420938">
            <w:rPr>
              <w:rStyle w:val="In-TextCitation"/>
            </w:rPr>
            <w:t>)</w:t>
          </w:r>
          <w:r w:rsidR="000E239B" w:rsidRPr="00420938">
            <w:rPr>
              <w:rStyle w:val="In-TextCitation"/>
            </w:rPr>
            <w:fldChar w:fldCharType="end"/>
          </w:r>
        </w:sdtContent>
      </w:sdt>
      <w:r w:rsidR="00104071" w:rsidRPr="00F97B2D">
        <w:rPr>
          <w:szCs w:val="24"/>
        </w:rPr>
        <w:t>, acute kidney injury</w:t>
      </w:r>
      <w:sdt>
        <w:sdtPr>
          <w:rPr>
            <w:szCs w:val="24"/>
          </w:rPr>
          <w:id w:val="258901323"/>
          <w:citation/>
        </w:sdtPr>
        <w:sdtEndPr/>
        <w:sdtContent>
          <w:r w:rsidR="000E239B" w:rsidRPr="00420938">
            <w:rPr>
              <w:rStyle w:val="In-TextCitation"/>
            </w:rPr>
            <w:fldChar w:fldCharType="begin"/>
          </w:r>
          <w:r w:rsidR="007929FE" w:rsidRPr="00420938">
            <w:rPr>
              <w:rStyle w:val="In-TextCitation"/>
            </w:rPr>
            <w:instrText xml:space="preserve"> CITATION Reg12 \l 1033  \m McC12</w:instrText>
          </w:r>
          <w:r w:rsidR="000E239B" w:rsidRPr="00420938">
            <w:rPr>
              <w:rStyle w:val="In-TextCitation"/>
            </w:rPr>
            <w:fldChar w:fldCharType="separate"/>
          </w:r>
          <w:r w:rsidR="00420938" w:rsidRPr="00420938">
            <w:rPr>
              <w:rStyle w:val="In-TextCitation"/>
            </w:rPr>
            <w:t>(</w:t>
          </w:r>
          <w:hyperlink w:anchor="Reg12" w:history="1">
            <w:r w:rsidR="00420938" w:rsidRPr="00420938">
              <w:rPr>
                <w:rStyle w:val="In-TextCitation"/>
              </w:rPr>
              <w:t>13</w:t>
            </w:r>
          </w:hyperlink>
          <w:r w:rsidR="00420938" w:rsidRPr="00420938">
            <w:rPr>
              <w:rStyle w:val="In-TextCitation"/>
            </w:rPr>
            <w:t>,</w:t>
          </w:r>
          <w:hyperlink w:anchor="McC12" w:history="1">
            <w:r w:rsidR="00420938" w:rsidRPr="00420938">
              <w:rPr>
                <w:rStyle w:val="In-TextCitation"/>
              </w:rPr>
              <w:t>28</w:t>
            </w:r>
          </w:hyperlink>
          <w:r w:rsidR="00420938" w:rsidRPr="00420938">
            <w:rPr>
              <w:rStyle w:val="In-TextCitation"/>
            </w:rPr>
            <w:t>)</w:t>
          </w:r>
          <w:r w:rsidR="000E239B" w:rsidRPr="00420938">
            <w:rPr>
              <w:rStyle w:val="In-TextCitation"/>
            </w:rPr>
            <w:fldChar w:fldCharType="end"/>
          </w:r>
        </w:sdtContent>
      </w:sdt>
      <w:r w:rsidR="00745DE6" w:rsidRPr="00F97B2D">
        <w:rPr>
          <w:szCs w:val="24"/>
        </w:rPr>
        <w:t>, multi-organ failure</w:t>
      </w:r>
      <w:sdt>
        <w:sdtPr>
          <w:rPr>
            <w:szCs w:val="24"/>
          </w:rPr>
          <w:id w:val="258901324"/>
          <w:citation/>
        </w:sdtPr>
        <w:sdtEndPr/>
        <w:sdtContent>
          <w:r w:rsidR="000E239B" w:rsidRPr="00420938">
            <w:rPr>
              <w:rStyle w:val="In-TextCitation"/>
            </w:rPr>
            <w:fldChar w:fldCharType="begin"/>
          </w:r>
          <w:r w:rsidR="00CA38DC" w:rsidRPr="00420938">
            <w:rPr>
              <w:rStyle w:val="In-TextCitation"/>
            </w:rPr>
            <w:instrText xml:space="preserve"> CITATION Bor12 \l 1033 </w:instrText>
          </w:r>
          <w:r w:rsidR="000E239B" w:rsidRPr="00420938">
            <w:rPr>
              <w:rStyle w:val="In-TextCitation"/>
            </w:rPr>
            <w:fldChar w:fldCharType="separate"/>
          </w:r>
          <w:r w:rsidR="00420938" w:rsidRPr="00420938">
            <w:rPr>
              <w:rStyle w:val="In-TextCitation"/>
            </w:rPr>
            <w:t>(</w:t>
          </w:r>
          <w:hyperlink w:anchor="Bor12" w:history="1">
            <w:r w:rsidR="00420938" w:rsidRPr="00420938">
              <w:rPr>
                <w:rStyle w:val="In-TextCitation"/>
              </w:rPr>
              <w:t>29</w:t>
            </w:r>
          </w:hyperlink>
          <w:r w:rsidR="00420938" w:rsidRPr="00420938">
            <w:rPr>
              <w:rStyle w:val="In-TextCitation"/>
            </w:rPr>
            <w:t>)</w:t>
          </w:r>
          <w:r w:rsidR="000E239B" w:rsidRPr="00420938">
            <w:rPr>
              <w:rStyle w:val="In-TextCitation"/>
            </w:rPr>
            <w:fldChar w:fldCharType="end"/>
          </w:r>
        </w:sdtContent>
      </w:sdt>
      <w:r w:rsidR="00CA38DC">
        <w:rPr>
          <w:szCs w:val="24"/>
        </w:rPr>
        <w:t>, seizures</w:t>
      </w:r>
      <w:sdt>
        <w:sdtPr>
          <w:rPr>
            <w:szCs w:val="24"/>
          </w:rPr>
          <w:id w:val="258901325"/>
          <w:citation/>
        </w:sdtPr>
        <w:sdtEndPr/>
        <w:sdtContent>
          <w:r w:rsidR="000E239B" w:rsidRPr="00420938">
            <w:rPr>
              <w:rStyle w:val="In-TextCitation"/>
            </w:rPr>
            <w:fldChar w:fldCharType="begin"/>
          </w:r>
          <w:r w:rsidR="00CA38DC" w:rsidRPr="00420938">
            <w:rPr>
              <w:rStyle w:val="In-TextCitation"/>
            </w:rPr>
            <w:instrText xml:space="preserve"> CITATION Bos13 \l 1033 </w:instrText>
          </w:r>
          <w:r w:rsidR="000E239B" w:rsidRPr="00420938">
            <w:rPr>
              <w:rStyle w:val="In-TextCitation"/>
            </w:rPr>
            <w:fldChar w:fldCharType="separate"/>
          </w:r>
          <w:r w:rsidR="00420938" w:rsidRPr="00420938">
            <w:rPr>
              <w:rStyle w:val="In-TextCitation"/>
            </w:rPr>
            <w:t>(</w:t>
          </w:r>
          <w:hyperlink w:anchor="Bos13" w:history="1">
            <w:r w:rsidR="00420938" w:rsidRPr="00420938">
              <w:rPr>
                <w:rStyle w:val="In-TextCitation"/>
              </w:rPr>
              <w:t>18</w:t>
            </w:r>
          </w:hyperlink>
          <w:r w:rsidR="00420938" w:rsidRPr="00420938">
            <w:rPr>
              <w:rStyle w:val="In-TextCitation"/>
            </w:rPr>
            <w:t>)</w:t>
          </w:r>
          <w:r w:rsidR="000E239B" w:rsidRPr="00420938">
            <w:rPr>
              <w:rStyle w:val="In-TextCitation"/>
            </w:rPr>
            <w:fldChar w:fldCharType="end"/>
          </w:r>
        </w:sdtContent>
      </w:sdt>
      <w:r w:rsidR="00CA38DC">
        <w:rPr>
          <w:szCs w:val="24"/>
        </w:rPr>
        <w:t>, and Serotonin Syndrome</w:t>
      </w:r>
      <w:sdt>
        <w:sdtPr>
          <w:rPr>
            <w:szCs w:val="24"/>
          </w:rPr>
          <w:id w:val="258901326"/>
          <w:citation/>
        </w:sdtPr>
        <w:sdtEndPr/>
        <w:sdtContent>
          <w:r w:rsidR="000E239B" w:rsidRPr="00420938">
            <w:rPr>
              <w:rStyle w:val="In-TextCitation"/>
            </w:rPr>
            <w:fldChar w:fldCharType="begin"/>
          </w:r>
          <w:r w:rsidR="00CA38DC" w:rsidRPr="00420938">
            <w:rPr>
              <w:rStyle w:val="In-TextCitation"/>
            </w:rPr>
            <w:instrText xml:space="preserve"> CITATION Bos13 \l 1033 </w:instrText>
          </w:r>
          <w:r w:rsidR="000E239B" w:rsidRPr="00420938">
            <w:rPr>
              <w:rStyle w:val="In-TextCitation"/>
            </w:rPr>
            <w:fldChar w:fldCharType="separate"/>
          </w:r>
          <w:r w:rsidR="00420938" w:rsidRPr="00420938">
            <w:rPr>
              <w:rStyle w:val="In-TextCitation"/>
            </w:rPr>
            <w:t>(</w:t>
          </w:r>
          <w:hyperlink w:anchor="Bos13" w:history="1">
            <w:r w:rsidR="00420938" w:rsidRPr="00420938">
              <w:rPr>
                <w:rStyle w:val="In-TextCitation"/>
              </w:rPr>
              <w:t>18</w:t>
            </w:r>
          </w:hyperlink>
          <w:r w:rsidR="00420938" w:rsidRPr="00420938">
            <w:rPr>
              <w:rStyle w:val="In-TextCitation"/>
            </w:rPr>
            <w:t>)</w:t>
          </w:r>
          <w:r w:rsidR="000E239B" w:rsidRPr="00420938">
            <w:rPr>
              <w:rStyle w:val="In-TextCitation"/>
            </w:rPr>
            <w:fldChar w:fldCharType="end"/>
          </w:r>
        </w:sdtContent>
      </w:sdt>
      <w:r w:rsidR="00745DE6" w:rsidRPr="00F97B2D">
        <w:rPr>
          <w:szCs w:val="24"/>
        </w:rPr>
        <w:t xml:space="preserve">.  </w:t>
      </w:r>
      <w:r w:rsidR="00104071" w:rsidRPr="00F97B2D">
        <w:rPr>
          <w:szCs w:val="24"/>
        </w:rPr>
        <w:t xml:space="preserve">With regard to fatal intoxications, case reports include </w:t>
      </w:r>
      <w:r w:rsidR="0028631B">
        <w:rPr>
          <w:szCs w:val="24"/>
        </w:rPr>
        <w:t xml:space="preserve">cause of death such as </w:t>
      </w:r>
      <w:r w:rsidR="00104071" w:rsidRPr="00F97B2D">
        <w:rPr>
          <w:szCs w:val="24"/>
        </w:rPr>
        <w:t>disseminated intravascular coagulation</w:t>
      </w:r>
      <w:sdt>
        <w:sdtPr>
          <w:rPr>
            <w:szCs w:val="24"/>
          </w:rPr>
          <w:id w:val="258901327"/>
          <w:citation/>
        </w:sdtPr>
        <w:sdtEndPr/>
        <w:sdtContent>
          <w:r w:rsidR="000E239B" w:rsidRPr="00420938">
            <w:rPr>
              <w:rStyle w:val="In-TextCitation"/>
            </w:rPr>
            <w:fldChar w:fldCharType="begin"/>
          </w:r>
          <w:r w:rsidR="00CA38DC" w:rsidRPr="00420938">
            <w:rPr>
              <w:rStyle w:val="In-TextCitation"/>
            </w:rPr>
            <w:instrText xml:space="preserve"> CITATION You12 \l 1033  \m Pea12</w:instrText>
          </w:r>
          <w:r w:rsidR="000E239B" w:rsidRPr="00420938">
            <w:rPr>
              <w:rStyle w:val="In-TextCitation"/>
            </w:rPr>
            <w:fldChar w:fldCharType="separate"/>
          </w:r>
          <w:r w:rsidR="00420938" w:rsidRPr="00420938">
            <w:rPr>
              <w:rStyle w:val="In-TextCitation"/>
            </w:rPr>
            <w:t>(</w:t>
          </w:r>
          <w:hyperlink w:anchor="You12" w:history="1">
            <w:r w:rsidR="00420938" w:rsidRPr="00420938">
              <w:rPr>
                <w:rStyle w:val="In-TextCitation"/>
              </w:rPr>
              <w:t>30</w:t>
            </w:r>
          </w:hyperlink>
          <w:r w:rsidR="00420938" w:rsidRPr="00420938">
            <w:rPr>
              <w:rStyle w:val="In-TextCitation"/>
            </w:rPr>
            <w:t>,</w:t>
          </w:r>
          <w:hyperlink w:anchor="Pea12" w:history="1">
            <w:r w:rsidR="00420938" w:rsidRPr="00420938">
              <w:rPr>
                <w:rStyle w:val="In-TextCitation"/>
              </w:rPr>
              <w:t>31</w:t>
            </w:r>
          </w:hyperlink>
          <w:r w:rsidR="00420938" w:rsidRPr="00420938">
            <w:rPr>
              <w:rStyle w:val="In-TextCitation"/>
            </w:rPr>
            <w:t>)</w:t>
          </w:r>
          <w:r w:rsidR="000E239B" w:rsidRPr="00420938">
            <w:rPr>
              <w:rStyle w:val="In-TextCitation"/>
            </w:rPr>
            <w:fldChar w:fldCharType="end"/>
          </w:r>
        </w:sdtContent>
      </w:sdt>
      <w:r w:rsidR="00CA38DC">
        <w:rPr>
          <w:szCs w:val="24"/>
        </w:rPr>
        <w:t>, anoxic encephalopathy</w:t>
      </w:r>
      <w:sdt>
        <w:sdtPr>
          <w:rPr>
            <w:szCs w:val="24"/>
          </w:rPr>
          <w:id w:val="258901328"/>
          <w:citation/>
        </w:sdtPr>
        <w:sdtEndPr/>
        <w:sdtContent>
          <w:r w:rsidR="000E239B" w:rsidRPr="00420938">
            <w:rPr>
              <w:rStyle w:val="In-TextCitation"/>
            </w:rPr>
            <w:fldChar w:fldCharType="begin"/>
          </w:r>
          <w:r w:rsidR="00CA38DC" w:rsidRPr="00420938">
            <w:rPr>
              <w:rStyle w:val="In-TextCitation"/>
            </w:rPr>
            <w:instrText xml:space="preserve"> CITATION Pea12 \l 1033 </w:instrText>
          </w:r>
          <w:r w:rsidR="000E239B" w:rsidRPr="00420938">
            <w:rPr>
              <w:rStyle w:val="In-TextCitation"/>
            </w:rPr>
            <w:fldChar w:fldCharType="separate"/>
          </w:r>
          <w:r w:rsidR="00420938" w:rsidRPr="00420938">
            <w:rPr>
              <w:rStyle w:val="In-TextCitation"/>
            </w:rPr>
            <w:t>(</w:t>
          </w:r>
          <w:hyperlink w:anchor="Pea12" w:history="1">
            <w:r w:rsidR="00420938" w:rsidRPr="00420938">
              <w:rPr>
                <w:rStyle w:val="In-TextCitation"/>
              </w:rPr>
              <w:t>31</w:t>
            </w:r>
          </w:hyperlink>
          <w:r w:rsidR="00420938" w:rsidRPr="00420938">
            <w:rPr>
              <w:rStyle w:val="In-TextCitation"/>
            </w:rPr>
            <w:t>)</w:t>
          </w:r>
          <w:r w:rsidR="000E239B" w:rsidRPr="00420938">
            <w:rPr>
              <w:rStyle w:val="In-TextCitation"/>
            </w:rPr>
            <w:fldChar w:fldCharType="end"/>
          </w:r>
        </w:sdtContent>
      </w:sdt>
      <w:r w:rsidR="00CA38DC">
        <w:rPr>
          <w:szCs w:val="24"/>
        </w:rPr>
        <w:t>, cardiac arrest</w:t>
      </w:r>
      <w:sdt>
        <w:sdtPr>
          <w:rPr>
            <w:szCs w:val="24"/>
          </w:rPr>
          <w:id w:val="258901329"/>
          <w:citation/>
        </w:sdtPr>
        <w:sdtEndPr/>
        <w:sdtContent>
          <w:r w:rsidR="000E239B" w:rsidRPr="00420938">
            <w:rPr>
              <w:rStyle w:val="In-TextCitation"/>
            </w:rPr>
            <w:fldChar w:fldCharType="begin"/>
          </w:r>
          <w:r w:rsidR="00CA38DC" w:rsidRPr="00420938">
            <w:rPr>
              <w:rStyle w:val="In-TextCitation"/>
            </w:rPr>
            <w:instrText xml:space="preserve"> CITATION Pea12 \l 1033 </w:instrText>
          </w:r>
          <w:r w:rsidR="000E239B" w:rsidRPr="00420938">
            <w:rPr>
              <w:rStyle w:val="In-TextCitation"/>
            </w:rPr>
            <w:fldChar w:fldCharType="separate"/>
          </w:r>
          <w:r w:rsidR="00420938" w:rsidRPr="00420938">
            <w:rPr>
              <w:rStyle w:val="In-TextCitation"/>
            </w:rPr>
            <w:t>(</w:t>
          </w:r>
          <w:hyperlink w:anchor="Pea12" w:history="1">
            <w:r w:rsidR="00420938" w:rsidRPr="00420938">
              <w:rPr>
                <w:rStyle w:val="In-TextCitation"/>
              </w:rPr>
              <w:t>31</w:t>
            </w:r>
          </w:hyperlink>
          <w:r w:rsidR="00420938" w:rsidRPr="00420938">
            <w:rPr>
              <w:rStyle w:val="In-TextCitation"/>
            </w:rPr>
            <w:t>)</w:t>
          </w:r>
          <w:r w:rsidR="000E239B" w:rsidRPr="00420938">
            <w:rPr>
              <w:rStyle w:val="In-TextCitation"/>
            </w:rPr>
            <w:fldChar w:fldCharType="end"/>
          </w:r>
        </w:sdtContent>
      </w:sdt>
      <w:r w:rsidR="00104071" w:rsidRPr="00F97B2D">
        <w:rPr>
          <w:szCs w:val="24"/>
        </w:rPr>
        <w:t xml:space="preserve">, </w:t>
      </w:r>
      <w:r w:rsidR="00CA38DC">
        <w:rPr>
          <w:szCs w:val="24"/>
        </w:rPr>
        <w:t>acute kidney failure</w:t>
      </w:r>
      <w:sdt>
        <w:sdtPr>
          <w:rPr>
            <w:szCs w:val="24"/>
          </w:rPr>
          <w:id w:val="258901330"/>
          <w:citation/>
        </w:sdtPr>
        <w:sdtEndPr/>
        <w:sdtContent>
          <w:r w:rsidR="000E239B" w:rsidRPr="00420938">
            <w:rPr>
              <w:rStyle w:val="In-TextCitation"/>
            </w:rPr>
            <w:fldChar w:fldCharType="begin"/>
          </w:r>
          <w:r w:rsidR="00CA38DC" w:rsidRPr="00420938">
            <w:rPr>
              <w:rStyle w:val="In-TextCitation"/>
            </w:rPr>
            <w:instrText xml:space="preserve"> CITATION van13 \l 1033 </w:instrText>
          </w:r>
          <w:r w:rsidR="000E239B" w:rsidRPr="00420938">
            <w:rPr>
              <w:rStyle w:val="In-TextCitation"/>
            </w:rPr>
            <w:fldChar w:fldCharType="separate"/>
          </w:r>
          <w:r w:rsidR="00420938" w:rsidRPr="00420938">
            <w:rPr>
              <w:rStyle w:val="In-TextCitation"/>
            </w:rPr>
            <w:t>(</w:t>
          </w:r>
          <w:hyperlink w:anchor="van13" w:history="1">
            <w:r w:rsidR="00420938" w:rsidRPr="00420938">
              <w:rPr>
                <w:rStyle w:val="In-TextCitation"/>
              </w:rPr>
              <w:t>32</w:t>
            </w:r>
          </w:hyperlink>
          <w:r w:rsidR="00420938" w:rsidRPr="00420938">
            <w:rPr>
              <w:rStyle w:val="In-TextCitation"/>
            </w:rPr>
            <w:t>)</w:t>
          </w:r>
          <w:r w:rsidR="000E239B" w:rsidRPr="00420938">
            <w:rPr>
              <w:rStyle w:val="In-TextCitation"/>
            </w:rPr>
            <w:fldChar w:fldCharType="end"/>
          </w:r>
        </w:sdtContent>
      </w:sdt>
      <w:r w:rsidR="00CA38DC">
        <w:rPr>
          <w:szCs w:val="24"/>
        </w:rPr>
        <w:t>, and lethal Serotonin Syndrome</w:t>
      </w:r>
      <w:r w:rsidR="00745DE6" w:rsidRPr="00F97B2D">
        <w:rPr>
          <w:szCs w:val="24"/>
        </w:rPr>
        <w:t>.</w:t>
      </w:r>
      <w:sdt>
        <w:sdtPr>
          <w:rPr>
            <w:szCs w:val="24"/>
          </w:rPr>
          <w:id w:val="258901331"/>
          <w:citation/>
        </w:sdtPr>
        <w:sdtEndPr/>
        <w:sdtContent>
          <w:r w:rsidR="000E239B" w:rsidRPr="00420938">
            <w:rPr>
              <w:rStyle w:val="In-TextCitation"/>
            </w:rPr>
            <w:fldChar w:fldCharType="begin"/>
          </w:r>
          <w:r w:rsidR="00CA38DC" w:rsidRPr="00420938">
            <w:rPr>
              <w:rStyle w:val="In-TextCitation"/>
            </w:rPr>
            <w:instrText xml:space="preserve"> CITATION War12 \l 1033 </w:instrText>
          </w:r>
          <w:r w:rsidR="000E239B" w:rsidRPr="00420938">
            <w:rPr>
              <w:rStyle w:val="In-TextCitation"/>
            </w:rPr>
            <w:fldChar w:fldCharType="separate"/>
          </w:r>
          <w:r w:rsidR="00420938" w:rsidRPr="00420938">
            <w:rPr>
              <w:rStyle w:val="In-TextCitation"/>
            </w:rPr>
            <w:t>(</w:t>
          </w:r>
          <w:hyperlink w:anchor="War12" w:history="1">
            <w:r w:rsidR="00420938" w:rsidRPr="00420938">
              <w:rPr>
                <w:rStyle w:val="In-TextCitation"/>
              </w:rPr>
              <w:t>11</w:t>
            </w:r>
          </w:hyperlink>
          <w:r w:rsidR="00420938" w:rsidRPr="00420938">
            <w:rPr>
              <w:rStyle w:val="In-TextCitation"/>
            </w:rPr>
            <w:t>)</w:t>
          </w:r>
          <w:r w:rsidR="000E239B" w:rsidRPr="00420938">
            <w:rPr>
              <w:rStyle w:val="In-TextCitation"/>
            </w:rPr>
            <w:fldChar w:fldCharType="end"/>
          </w:r>
        </w:sdtContent>
      </w:sdt>
      <w:r w:rsidR="00745DE6" w:rsidRPr="00F97B2D">
        <w:rPr>
          <w:szCs w:val="24"/>
        </w:rPr>
        <w:t xml:space="preserve">  </w:t>
      </w:r>
      <w:r w:rsidR="009563FD" w:rsidRPr="00F97B2D">
        <w:rPr>
          <w:szCs w:val="24"/>
        </w:rPr>
        <w:t xml:space="preserve">   </w:t>
      </w:r>
      <w:r w:rsidR="00E614AE" w:rsidRPr="00F97B2D">
        <w:rPr>
          <w:szCs w:val="24"/>
        </w:rPr>
        <w:t xml:space="preserve">  </w:t>
      </w:r>
      <w:r w:rsidR="00D444D5" w:rsidRPr="00F97B2D">
        <w:rPr>
          <w:szCs w:val="24"/>
        </w:rPr>
        <w:t xml:space="preserve">  </w:t>
      </w:r>
      <w:r w:rsidRPr="00F97B2D">
        <w:rPr>
          <w:szCs w:val="24"/>
        </w:rPr>
        <w:t xml:space="preserve"> </w:t>
      </w:r>
      <w:r w:rsidR="00FA2445" w:rsidRPr="00F97B2D">
        <w:rPr>
          <w:szCs w:val="24"/>
        </w:rPr>
        <w:t xml:space="preserve">  </w:t>
      </w:r>
    </w:p>
    <w:p w:rsidR="004F383F" w:rsidRPr="00F97B2D" w:rsidRDefault="004F383F" w:rsidP="00F97B2D">
      <w:pPr>
        <w:pStyle w:val="Heading2"/>
      </w:pPr>
      <w:bookmarkStart w:id="81" w:name="_Toc372536034"/>
      <w:bookmarkStart w:id="82" w:name="_Toc372538697"/>
      <w:r w:rsidRPr="00F97B2D">
        <w:t>Analysis of Drugs of Abuse</w:t>
      </w:r>
      <w:r w:rsidR="00AC66EF" w:rsidRPr="00F97B2D">
        <w:t xml:space="preserve"> in Biological Specimens</w:t>
      </w:r>
      <w:bookmarkEnd w:id="81"/>
      <w:bookmarkEnd w:id="82"/>
    </w:p>
    <w:p w:rsidR="004F7655" w:rsidRPr="00F97B2D" w:rsidRDefault="004F7655" w:rsidP="00DB4A88">
      <w:pPr>
        <w:spacing w:after="0" w:line="480" w:lineRule="auto"/>
        <w:ind w:firstLine="720"/>
        <w:rPr>
          <w:szCs w:val="24"/>
        </w:rPr>
      </w:pPr>
      <w:r w:rsidRPr="00F97B2D">
        <w:rPr>
          <w:szCs w:val="24"/>
        </w:rPr>
        <w:t xml:space="preserve">Currently, there are established approaches for the detection of drugs of abuse in </w:t>
      </w:r>
      <w:r w:rsidR="0028631B">
        <w:rPr>
          <w:szCs w:val="24"/>
        </w:rPr>
        <w:t xml:space="preserve">forensic </w:t>
      </w:r>
      <w:r w:rsidR="004C38D6">
        <w:rPr>
          <w:szCs w:val="24"/>
        </w:rPr>
        <w:t>toxicological</w:t>
      </w:r>
      <w:r w:rsidRPr="00F97B2D">
        <w:rPr>
          <w:szCs w:val="24"/>
        </w:rPr>
        <w:t xml:space="preserve"> specimens.  </w:t>
      </w:r>
      <w:r w:rsidR="005D24D8" w:rsidRPr="00F97B2D">
        <w:rPr>
          <w:szCs w:val="24"/>
        </w:rPr>
        <w:t xml:space="preserve">In the analysis of drugs of abuse, blood and urine have become the most commonly used </w:t>
      </w:r>
      <w:r w:rsidR="0028631B">
        <w:rPr>
          <w:szCs w:val="24"/>
        </w:rPr>
        <w:t xml:space="preserve">human sample </w:t>
      </w:r>
      <w:proofErr w:type="gramStart"/>
      <w:r w:rsidR="0028631B">
        <w:rPr>
          <w:szCs w:val="24"/>
        </w:rPr>
        <w:t>matrices</w:t>
      </w:r>
      <w:proofErr w:type="gramEnd"/>
      <w:sdt>
        <w:sdtPr>
          <w:rPr>
            <w:szCs w:val="24"/>
          </w:rPr>
          <w:id w:val="258901332"/>
          <w:citation/>
        </w:sdtPr>
        <w:sdtEndPr/>
        <w:sdtContent>
          <w:r w:rsidR="000E239B" w:rsidRPr="00420938">
            <w:rPr>
              <w:rStyle w:val="In-TextCitation"/>
            </w:rPr>
            <w:fldChar w:fldCharType="begin"/>
          </w:r>
          <w:r w:rsidR="0038623C" w:rsidRPr="00420938">
            <w:rPr>
              <w:rStyle w:val="In-TextCitation"/>
            </w:rPr>
            <w:instrText xml:space="preserve"> CITATION Pet11 \l 1033 </w:instrText>
          </w:r>
          <w:r w:rsidR="000E239B" w:rsidRPr="00420938">
            <w:rPr>
              <w:rStyle w:val="In-TextCitation"/>
            </w:rPr>
            <w:fldChar w:fldCharType="separate"/>
          </w:r>
          <w:r w:rsidR="00420938" w:rsidRPr="00420938">
            <w:rPr>
              <w:rStyle w:val="In-TextCitation"/>
            </w:rPr>
            <w:t>(</w:t>
          </w:r>
          <w:hyperlink w:anchor="Pet11" w:history="1">
            <w:r w:rsidR="00420938" w:rsidRPr="00420938">
              <w:rPr>
                <w:rStyle w:val="In-TextCitation"/>
              </w:rPr>
              <w:t>33</w:t>
            </w:r>
          </w:hyperlink>
          <w:r w:rsidR="00420938" w:rsidRPr="00420938">
            <w:rPr>
              <w:rStyle w:val="In-TextCitation"/>
            </w:rPr>
            <w:t>)</w:t>
          </w:r>
          <w:r w:rsidR="000E239B" w:rsidRPr="00420938">
            <w:rPr>
              <w:rStyle w:val="In-TextCitation"/>
            </w:rPr>
            <w:fldChar w:fldCharType="end"/>
          </w:r>
        </w:sdtContent>
      </w:sdt>
      <w:r w:rsidR="005D24D8" w:rsidRPr="00F97B2D">
        <w:rPr>
          <w:szCs w:val="24"/>
        </w:rPr>
        <w:t xml:space="preserve">, while only a few groups incorporate </w:t>
      </w:r>
      <w:r w:rsidR="00E951CA" w:rsidRPr="00F97B2D">
        <w:rPr>
          <w:szCs w:val="24"/>
        </w:rPr>
        <w:t>hair</w:t>
      </w:r>
      <w:r w:rsidR="00D15572" w:rsidRPr="00D15572">
        <w:rPr>
          <w:szCs w:val="24"/>
          <w:vertAlign w:val="superscript"/>
        </w:rPr>
        <w:t>(34-36)</w:t>
      </w:r>
      <w:r w:rsidR="0038623C">
        <w:rPr>
          <w:szCs w:val="24"/>
        </w:rPr>
        <w:t xml:space="preserve"> or oral fluid</w:t>
      </w:r>
      <w:r w:rsidR="005D24D8" w:rsidRPr="00F97B2D">
        <w:rPr>
          <w:szCs w:val="24"/>
        </w:rPr>
        <w:t>.</w:t>
      </w:r>
      <w:sdt>
        <w:sdtPr>
          <w:rPr>
            <w:szCs w:val="24"/>
          </w:rPr>
          <w:id w:val="258901335"/>
          <w:citation/>
        </w:sdtPr>
        <w:sdtEndPr/>
        <w:sdtContent>
          <w:r w:rsidR="000E239B" w:rsidRPr="00420938">
            <w:rPr>
              <w:rStyle w:val="In-TextCitation"/>
            </w:rPr>
            <w:fldChar w:fldCharType="begin"/>
          </w:r>
          <w:r w:rsidR="00DB4A88" w:rsidRPr="00420938">
            <w:rPr>
              <w:rStyle w:val="In-TextCitation"/>
            </w:rPr>
            <w:instrText xml:space="preserve"> CITATION Str12 \l 1033  \m Moo13</w:instrText>
          </w:r>
          <w:r w:rsidR="000E239B" w:rsidRPr="00420938">
            <w:rPr>
              <w:rStyle w:val="In-TextCitation"/>
            </w:rPr>
            <w:fldChar w:fldCharType="separate"/>
          </w:r>
          <w:r w:rsidR="00420938" w:rsidRPr="00420938">
            <w:rPr>
              <w:rStyle w:val="In-TextCitation"/>
            </w:rPr>
            <w:t>(</w:t>
          </w:r>
          <w:hyperlink w:anchor="Str12" w:history="1">
            <w:r w:rsidR="00420938" w:rsidRPr="00420938">
              <w:rPr>
                <w:rStyle w:val="In-TextCitation"/>
              </w:rPr>
              <w:t>37</w:t>
            </w:r>
          </w:hyperlink>
          <w:r w:rsidR="00420938" w:rsidRPr="00420938">
            <w:rPr>
              <w:rStyle w:val="In-TextCitation"/>
            </w:rPr>
            <w:t>,</w:t>
          </w:r>
          <w:hyperlink w:anchor="Moo13" w:history="1">
            <w:r w:rsidR="00420938" w:rsidRPr="00420938">
              <w:rPr>
                <w:rStyle w:val="In-TextCitation"/>
              </w:rPr>
              <w:t>38</w:t>
            </w:r>
          </w:hyperlink>
          <w:r w:rsidR="00420938" w:rsidRPr="00420938">
            <w:rPr>
              <w:rStyle w:val="In-TextCitation"/>
            </w:rPr>
            <w:t>)</w:t>
          </w:r>
          <w:r w:rsidR="000E239B" w:rsidRPr="00420938">
            <w:rPr>
              <w:rStyle w:val="In-TextCitation"/>
            </w:rPr>
            <w:fldChar w:fldCharType="end"/>
          </w:r>
        </w:sdtContent>
      </w:sdt>
      <w:r w:rsidRPr="00F97B2D">
        <w:rPr>
          <w:szCs w:val="24"/>
        </w:rPr>
        <w:t xml:space="preserve">  Blood is often the matrix of choice because it is easy to obtain</w:t>
      </w:r>
      <w:r w:rsidR="00C06AE3">
        <w:rPr>
          <w:szCs w:val="24"/>
        </w:rPr>
        <w:t xml:space="preserve"> </w:t>
      </w:r>
      <w:r w:rsidR="00DF5714">
        <w:rPr>
          <w:szCs w:val="24"/>
        </w:rPr>
        <w:t>and</w:t>
      </w:r>
      <w:r w:rsidR="0028631B">
        <w:rPr>
          <w:szCs w:val="24"/>
        </w:rPr>
        <w:t xml:space="preserve"> because of its</w:t>
      </w:r>
      <w:r w:rsidRPr="00F97B2D">
        <w:rPr>
          <w:szCs w:val="24"/>
        </w:rPr>
        <w:t xml:space="preserve"> applicability to both ante- and post-mortem samples.  Blood (plasma, serum, or whole) has been utilized in various studies for the detection of amphetamines, tryptamines, piperazines, and major metabolites for purposes of drug screening, confirming driving under the influence of drugs (DUID)</w:t>
      </w:r>
      <w:r w:rsidR="00DB4A88">
        <w:rPr>
          <w:szCs w:val="24"/>
        </w:rPr>
        <w:t>, and examining road fatalities</w:t>
      </w:r>
      <w:r w:rsidRPr="00F97B2D">
        <w:rPr>
          <w:szCs w:val="24"/>
        </w:rPr>
        <w:t>.</w:t>
      </w:r>
      <w:sdt>
        <w:sdtPr>
          <w:rPr>
            <w:szCs w:val="24"/>
          </w:rPr>
          <w:id w:val="258901336"/>
          <w:citation/>
        </w:sdtPr>
        <w:sdtEndPr/>
        <w:sdtContent>
          <w:r w:rsidR="000E239B" w:rsidRPr="00420938">
            <w:rPr>
              <w:rStyle w:val="In-TextCitation"/>
            </w:rPr>
            <w:fldChar w:fldCharType="begin"/>
          </w:r>
          <w:r w:rsidR="00DB4A88" w:rsidRPr="00420938">
            <w:rPr>
              <w:rStyle w:val="In-TextCitation"/>
            </w:rPr>
            <w:instrText xml:space="preserve"> CITATION Con06 \l 1033  \m Ant10 \m Apo06 \m Mau09</w:instrText>
          </w:r>
          <w:r w:rsidR="000E239B" w:rsidRPr="00420938">
            <w:rPr>
              <w:rStyle w:val="In-TextCitation"/>
            </w:rPr>
            <w:fldChar w:fldCharType="separate"/>
          </w:r>
          <w:r w:rsidR="00420938" w:rsidRPr="00420938">
            <w:rPr>
              <w:rStyle w:val="In-TextCitation"/>
            </w:rPr>
            <w:t>(</w:t>
          </w:r>
          <w:hyperlink w:anchor="Con06" w:history="1">
            <w:r w:rsidR="00420938" w:rsidRPr="00420938">
              <w:rPr>
                <w:rStyle w:val="In-TextCitation"/>
              </w:rPr>
              <w:t>39</w:t>
            </w:r>
          </w:hyperlink>
          <w:r w:rsidR="00420938" w:rsidRPr="00420938">
            <w:rPr>
              <w:rStyle w:val="In-TextCitation"/>
            </w:rPr>
            <w:t>,</w:t>
          </w:r>
          <w:hyperlink w:anchor="Ant10" w:history="1">
            <w:r w:rsidR="00420938" w:rsidRPr="00420938">
              <w:rPr>
                <w:rStyle w:val="In-TextCitation"/>
              </w:rPr>
              <w:t>40</w:t>
            </w:r>
          </w:hyperlink>
          <w:r w:rsidR="00420938" w:rsidRPr="00420938">
            <w:rPr>
              <w:rStyle w:val="In-TextCitation"/>
            </w:rPr>
            <w:t>,</w:t>
          </w:r>
          <w:hyperlink w:anchor="Apo06" w:history="1">
            <w:r w:rsidR="00420938" w:rsidRPr="00420938">
              <w:rPr>
                <w:rStyle w:val="In-TextCitation"/>
              </w:rPr>
              <w:t>41</w:t>
            </w:r>
          </w:hyperlink>
          <w:r w:rsidR="00420938" w:rsidRPr="00420938">
            <w:rPr>
              <w:rStyle w:val="In-TextCitation"/>
            </w:rPr>
            <w:t>,</w:t>
          </w:r>
          <w:hyperlink w:anchor="Mau09" w:history="1">
            <w:r w:rsidR="00420938" w:rsidRPr="00420938">
              <w:rPr>
                <w:rStyle w:val="In-TextCitation"/>
              </w:rPr>
              <w:t>42</w:t>
            </w:r>
          </w:hyperlink>
          <w:r w:rsidR="00420938" w:rsidRPr="00420938">
            <w:rPr>
              <w:rStyle w:val="In-TextCitation"/>
            </w:rPr>
            <w:t>)</w:t>
          </w:r>
          <w:r w:rsidR="000E239B" w:rsidRPr="00420938">
            <w:rPr>
              <w:rStyle w:val="In-TextCitation"/>
            </w:rPr>
            <w:fldChar w:fldCharType="end"/>
          </w:r>
        </w:sdtContent>
      </w:sdt>
      <w:r w:rsidRPr="00F97B2D">
        <w:rPr>
          <w:szCs w:val="24"/>
        </w:rPr>
        <w:t xml:space="preserve">  Alternatively, hair, oral fluid, and exhaled breath have been examined but are less commonly encountered because of extraction complications, difficulty in obtaining </w:t>
      </w:r>
      <w:r w:rsidR="00DB4A88">
        <w:rPr>
          <w:szCs w:val="24"/>
        </w:rPr>
        <w:t>samples, or lack of validation</w:t>
      </w:r>
      <w:proofErr w:type="gramStart"/>
      <w:r w:rsidRPr="00F97B2D">
        <w:rPr>
          <w:szCs w:val="24"/>
        </w:rPr>
        <w:t>.</w:t>
      </w:r>
      <w:r w:rsidR="00D15572" w:rsidRPr="00D15572">
        <w:rPr>
          <w:szCs w:val="24"/>
          <w:vertAlign w:val="superscript"/>
        </w:rPr>
        <w:t>(</w:t>
      </w:r>
      <w:proofErr w:type="gramEnd"/>
      <w:r w:rsidR="00D15572" w:rsidRPr="00D15572">
        <w:rPr>
          <w:szCs w:val="24"/>
          <w:vertAlign w:val="superscript"/>
        </w:rPr>
        <w:t>43-45)</w:t>
      </w:r>
      <w:r w:rsidR="00DF5714">
        <w:rPr>
          <w:szCs w:val="24"/>
        </w:rPr>
        <w:t xml:space="preserve">  In cases of DUI</w:t>
      </w:r>
      <w:r w:rsidRPr="00F97B2D">
        <w:rPr>
          <w:szCs w:val="24"/>
        </w:rPr>
        <w:t>, blood is often the matrix of choice as it may cor</w:t>
      </w:r>
      <w:r w:rsidR="00DB4A88">
        <w:rPr>
          <w:szCs w:val="24"/>
        </w:rPr>
        <w:t>relate with impairment as well</w:t>
      </w:r>
      <w:r w:rsidRPr="00F97B2D">
        <w:rPr>
          <w:szCs w:val="24"/>
        </w:rPr>
        <w:t>.</w:t>
      </w:r>
      <w:sdt>
        <w:sdtPr>
          <w:rPr>
            <w:szCs w:val="24"/>
          </w:rPr>
          <w:id w:val="258901341"/>
          <w:citation/>
        </w:sdtPr>
        <w:sdtEndPr/>
        <w:sdtContent>
          <w:r w:rsidR="000E239B" w:rsidRPr="00420938">
            <w:rPr>
              <w:rStyle w:val="In-TextCitation"/>
            </w:rPr>
            <w:fldChar w:fldCharType="begin"/>
          </w:r>
          <w:r w:rsidR="00DB4A88" w:rsidRPr="00420938">
            <w:rPr>
              <w:rStyle w:val="In-TextCitation"/>
            </w:rPr>
            <w:instrText xml:space="preserve"> CITATION Mau09 \l 1033  \m Far07</w:instrText>
          </w:r>
          <w:r w:rsidR="000E239B" w:rsidRPr="00420938">
            <w:rPr>
              <w:rStyle w:val="In-TextCitation"/>
            </w:rPr>
            <w:fldChar w:fldCharType="separate"/>
          </w:r>
          <w:r w:rsidR="00420938" w:rsidRPr="00420938">
            <w:rPr>
              <w:rStyle w:val="In-TextCitation"/>
            </w:rPr>
            <w:t>(</w:t>
          </w:r>
          <w:hyperlink w:anchor="Mau09" w:history="1">
            <w:r w:rsidR="00420938" w:rsidRPr="00420938">
              <w:rPr>
                <w:rStyle w:val="In-TextCitation"/>
              </w:rPr>
              <w:t>42</w:t>
            </w:r>
          </w:hyperlink>
          <w:r w:rsidR="00420938" w:rsidRPr="00420938">
            <w:rPr>
              <w:rStyle w:val="In-TextCitation"/>
            </w:rPr>
            <w:t>,</w:t>
          </w:r>
          <w:hyperlink w:anchor="Far07" w:history="1">
            <w:r w:rsidR="00420938" w:rsidRPr="00420938">
              <w:rPr>
                <w:rStyle w:val="In-TextCitation"/>
              </w:rPr>
              <w:t>46</w:t>
            </w:r>
          </w:hyperlink>
          <w:r w:rsidR="00420938" w:rsidRPr="00420938">
            <w:rPr>
              <w:rStyle w:val="In-TextCitation"/>
            </w:rPr>
            <w:t>)</w:t>
          </w:r>
          <w:r w:rsidR="000E239B" w:rsidRPr="00420938">
            <w:rPr>
              <w:rStyle w:val="In-TextCitation"/>
            </w:rPr>
            <w:fldChar w:fldCharType="end"/>
          </w:r>
        </w:sdtContent>
      </w:sdt>
      <w:r w:rsidRPr="00F97B2D">
        <w:rPr>
          <w:szCs w:val="24"/>
        </w:rPr>
        <w:t xml:space="preserve">  The disadvantages of blood include the applicability to only short-term or recent drug use, a limited window of detection, and legal difficulties in obtaining blood from</w:t>
      </w:r>
      <w:r w:rsidR="00DB4A88">
        <w:rPr>
          <w:szCs w:val="24"/>
        </w:rPr>
        <w:t xml:space="preserve"> people suspected of drug abuse.</w:t>
      </w:r>
      <w:sdt>
        <w:sdtPr>
          <w:rPr>
            <w:szCs w:val="24"/>
          </w:rPr>
          <w:id w:val="258901342"/>
          <w:citation/>
        </w:sdtPr>
        <w:sdtEndPr/>
        <w:sdtContent>
          <w:r w:rsidR="000E239B" w:rsidRPr="00420938">
            <w:rPr>
              <w:rStyle w:val="In-TextCitation"/>
            </w:rPr>
            <w:fldChar w:fldCharType="begin"/>
          </w:r>
          <w:r w:rsidR="00DB4A88" w:rsidRPr="00420938">
            <w:rPr>
              <w:rStyle w:val="In-TextCitation"/>
            </w:rPr>
            <w:instrText xml:space="preserve"> CITATION Nak05 \l 1033 </w:instrText>
          </w:r>
          <w:r w:rsidR="000E239B" w:rsidRPr="00420938">
            <w:rPr>
              <w:rStyle w:val="In-TextCitation"/>
            </w:rPr>
            <w:fldChar w:fldCharType="separate"/>
          </w:r>
          <w:r w:rsidR="00420938" w:rsidRPr="00420938">
            <w:rPr>
              <w:rStyle w:val="In-TextCitation"/>
            </w:rPr>
            <w:t>(</w:t>
          </w:r>
          <w:hyperlink w:anchor="Nak05" w:history="1">
            <w:r w:rsidR="00420938" w:rsidRPr="00420938">
              <w:rPr>
                <w:rStyle w:val="In-TextCitation"/>
              </w:rPr>
              <w:t>47</w:t>
            </w:r>
          </w:hyperlink>
          <w:r w:rsidR="00420938" w:rsidRPr="00420938">
            <w:rPr>
              <w:rStyle w:val="In-TextCitation"/>
            </w:rPr>
            <w:t>)</w:t>
          </w:r>
          <w:r w:rsidR="000E239B" w:rsidRPr="00420938">
            <w:rPr>
              <w:rStyle w:val="In-TextCitation"/>
            </w:rPr>
            <w:fldChar w:fldCharType="end"/>
          </w:r>
        </w:sdtContent>
      </w:sdt>
    </w:p>
    <w:p w:rsidR="004F7655" w:rsidRPr="00F97B2D" w:rsidRDefault="004F7655" w:rsidP="004F7655">
      <w:pPr>
        <w:spacing w:after="0" w:line="480" w:lineRule="auto"/>
        <w:ind w:firstLine="720"/>
        <w:rPr>
          <w:szCs w:val="24"/>
        </w:rPr>
      </w:pPr>
      <w:r w:rsidRPr="00F97B2D">
        <w:rPr>
          <w:szCs w:val="24"/>
        </w:rPr>
        <w:t xml:space="preserve">As a way of sample clean-up and preparation, solid-phase extraction (SPE) is commonly used.  </w:t>
      </w:r>
      <w:r w:rsidR="004D105F">
        <w:rPr>
          <w:szCs w:val="24"/>
        </w:rPr>
        <w:t>Solid-phase extraction</w:t>
      </w:r>
      <w:r w:rsidRPr="00F97B2D">
        <w:rPr>
          <w:szCs w:val="24"/>
        </w:rPr>
        <w:t xml:space="preserve"> is advantageous over liquid-liquid extraction because it is less costly, smaller amounts of solvent are used,</w:t>
      </w:r>
      <w:r w:rsidR="00DF5714">
        <w:rPr>
          <w:szCs w:val="24"/>
        </w:rPr>
        <w:t xml:space="preserve"> and because it</w:t>
      </w:r>
      <w:r w:rsidR="008C5E2F">
        <w:rPr>
          <w:szCs w:val="24"/>
        </w:rPr>
        <w:t xml:space="preserve"> can be fully automated</w:t>
      </w:r>
      <w:r w:rsidRPr="00F97B2D">
        <w:rPr>
          <w:szCs w:val="24"/>
        </w:rPr>
        <w:t>.</w:t>
      </w:r>
      <w:r w:rsidR="00D15572">
        <w:rPr>
          <w:rStyle w:val="In-TextCitation"/>
        </w:rPr>
        <w:t>(48-50)</w:t>
      </w:r>
      <w:r w:rsidRPr="00F97B2D">
        <w:rPr>
          <w:szCs w:val="24"/>
        </w:rPr>
        <w:t xml:space="preserve">  Proper extraction is vital for limited sample sizes as well as for the analysis of multiple, chemically diver</w:t>
      </w:r>
      <w:r w:rsidR="008C5E2F">
        <w:rPr>
          <w:szCs w:val="24"/>
        </w:rPr>
        <w:t>se analytes within one specimen</w:t>
      </w:r>
      <w:r w:rsidRPr="00F97B2D">
        <w:rPr>
          <w:szCs w:val="24"/>
        </w:rPr>
        <w:t>.</w:t>
      </w:r>
      <w:sdt>
        <w:sdtPr>
          <w:rPr>
            <w:szCs w:val="24"/>
          </w:rPr>
          <w:id w:val="258901350"/>
          <w:citation/>
        </w:sdtPr>
        <w:sdtEndPr/>
        <w:sdtContent>
          <w:r w:rsidR="000E239B" w:rsidRPr="00420938">
            <w:rPr>
              <w:rStyle w:val="In-TextCitation"/>
            </w:rPr>
            <w:fldChar w:fldCharType="begin"/>
          </w:r>
          <w:r w:rsidR="008C5E2F" w:rsidRPr="00420938">
            <w:rPr>
              <w:rStyle w:val="In-TextCitation"/>
            </w:rPr>
            <w:instrText xml:space="preserve"> CITATION Rem10 \l 1033 </w:instrText>
          </w:r>
          <w:r w:rsidR="000E239B" w:rsidRPr="00420938">
            <w:rPr>
              <w:rStyle w:val="In-TextCitation"/>
            </w:rPr>
            <w:fldChar w:fldCharType="separate"/>
          </w:r>
          <w:r w:rsidR="00420938" w:rsidRPr="00420938">
            <w:rPr>
              <w:rStyle w:val="In-TextCitation"/>
            </w:rPr>
            <w:t>(</w:t>
          </w:r>
          <w:hyperlink w:anchor="Rem10" w:history="1">
            <w:r w:rsidR="00420938" w:rsidRPr="00420938">
              <w:rPr>
                <w:rStyle w:val="In-TextCitation"/>
              </w:rPr>
              <w:t>51</w:t>
            </w:r>
          </w:hyperlink>
          <w:r w:rsidR="00420938" w:rsidRPr="00420938">
            <w:rPr>
              <w:rStyle w:val="In-TextCitation"/>
            </w:rPr>
            <w:t>)</w:t>
          </w:r>
          <w:r w:rsidR="000E239B" w:rsidRPr="00420938">
            <w:rPr>
              <w:rStyle w:val="In-TextCitation"/>
            </w:rPr>
            <w:fldChar w:fldCharType="end"/>
          </w:r>
        </w:sdtContent>
      </w:sdt>
      <w:r w:rsidRPr="00F97B2D">
        <w:rPr>
          <w:szCs w:val="24"/>
        </w:rPr>
        <w:t xml:space="preserve">  Pre-concentration utilizing SPE allows</w:t>
      </w:r>
      <w:r w:rsidR="008C5E2F">
        <w:rPr>
          <w:szCs w:val="24"/>
        </w:rPr>
        <w:t xml:space="preserve"> for enhance</w:t>
      </w:r>
      <w:r w:rsidR="0028631B">
        <w:rPr>
          <w:szCs w:val="24"/>
        </w:rPr>
        <w:t>d</w:t>
      </w:r>
      <w:r w:rsidR="008C5E2F">
        <w:rPr>
          <w:szCs w:val="24"/>
        </w:rPr>
        <w:t xml:space="preserve"> method sensitivity</w:t>
      </w:r>
      <w:r w:rsidRPr="00F97B2D">
        <w:rPr>
          <w:szCs w:val="24"/>
        </w:rPr>
        <w:t>.</w:t>
      </w:r>
      <w:sdt>
        <w:sdtPr>
          <w:rPr>
            <w:szCs w:val="24"/>
          </w:rPr>
          <w:id w:val="258901351"/>
          <w:citation/>
        </w:sdtPr>
        <w:sdtEndPr/>
        <w:sdtContent>
          <w:r w:rsidR="000E239B" w:rsidRPr="00420938">
            <w:rPr>
              <w:rStyle w:val="In-TextCitation"/>
            </w:rPr>
            <w:fldChar w:fldCharType="begin"/>
          </w:r>
          <w:r w:rsidR="008C5E2F" w:rsidRPr="00420938">
            <w:rPr>
              <w:rStyle w:val="In-TextCitation"/>
            </w:rPr>
            <w:instrText xml:space="preserve"> CITATION Bij09 \l 1033 </w:instrText>
          </w:r>
          <w:r w:rsidR="000E239B" w:rsidRPr="00420938">
            <w:rPr>
              <w:rStyle w:val="In-TextCitation"/>
            </w:rPr>
            <w:fldChar w:fldCharType="separate"/>
          </w:r>
          <w:r w:rsidR="00420938" w:rsidRPr="00420938">
            <w:rPr>
              <w:rStyle w:val="In-TextCitation"/>
            </w:rPr>
            <w:t>(</w:t>
          </w:r>
          <w:hyperlink w:anchor="Bij09" w:history="1">
            <w:r w:rsidR="00420938" w:rsidRPr="00420938">
              <w:rPr>
                <w:rStyle w:val="In-TextCitation"/>
              </w:rPr>
              <w:t>52</w:t>
            </w:r>
          </w:hyperlink>
          <w:r w:rsidR="00420938" w:rsidRPr="00420938">
            <w:rPr>
              <w:rStyle w:val="In-TextCitation"/>
            </w:rPr>
            <w:t>)</w:t>
          </w:r>
          <w:r w:rsidR="000E239B" w:rsidRPr="00420938">
            <w:rPr>
              <w:rStyle w:val="In-TextCitation"/>
            </w:rPr>
            <w:fldChar w:fldCharType="end"/>
          </w:r>
        </w:sdtContent>
      </w:sdt>
      <w:r w:rsidRPr="00F97B2D">
        <w:rPr>
          <w:szCs w:val="24"/>
        </w:rPr>
        <w:t xml:space="preserve">  However, matrix effects may hinder solid-phase extractions if incompatible </w:t>
      </w:r>
      <w:r w:rsidR="008C5E2F">
        <w:rPr>
          <w:szCs w:val="24"/>
        </w:rPr>
        <w:t>cartridge chemistry is selected</w:t>
      </w:r>
      <w:r w:rsidRPr="00F97B2D">
        <w:rPr>
          <w:szCs w:val="24"/>
        </w:rPr>
        <w:t>.</w:t>
      </w:r>
      <w:sdt>
        <w:sdtPr>
          <w:rPr>
            <w:szCs w:val="24"/>
          </w:rPr>
          <w:id w:val="258901352"/>
          <w:citation/>
        </w:sdtPr>
        <w:sdtEndPr/>
        <w:sdtContent>
          <w:r w:rsidR="000E239B" w:rsidRPr="00420938">
            <w:rPr>
              <w:rStyle w:val="In-TextCitation"/>
            </w:rPr>
            <w:fldChar w:fldCharType="begin"/>
          </w:r>
          <w:r w:rsidR="008C5E2F" w:rsidRPr="00420938">
            <w:rPr>
              <w:rStyle w:val="In-TextCitation"/>
            </w:rPr>
            <w:instrText xml:space="preserve"> CITATION Woh10 \l 1033 </w:instrText>
          </w:r>
          <w:r w:rsidR="000E239B" w:rsidRPr="00420938">
            <w:rPr>
              <w:rStyle w:val="In-TextCitation"/>
            </w:rPr>
            <w:fldChar w:fldCharType="separate"/>
          </w:r>
          <w:r w:rsidR="00420938" w:rsidRPr="00420938">
            <w:rPr>
              <w:rStyle w:val="In-TextCitation"/>
            </w:rPr>
            <w:t>(</w:t>
          </w:r>
          <w:hyperlink w:anchor="Woh10" w:history="1">
            <w:r w:rsidR="00420938" w:rsidRPr="00420938">
              <w:rPr>
                <w:rStyle w:val="In-TextCitation"/>
              </w:rPr>
              <w:t>53</w:t>
            </w:r>
          </w:hyperlink>
          <w:r w:rsidR="00420938" w:rsidRPr="00420938">
            <w:rPr>
              <w:rStyle w:val="In-TextCitation"/>
            </w:rPr>
            <w:t>)</w:t>
          </w:r>
          <w:r w:rsidR="000E239B" w:rsidRPr="00420938">
            <w:rPr>
              <w:rStyle w:val="In-TextCitation"/>
            </w:rPr>
            <w:fldChar w:fldCharType="end"/>
          </w:r>
        </w:sdtContent>
      </w:sdt>
    </w:p>
    <w:p w:rsidR="00550D9B" w:rsidRPr="00F97B2D" w:rsidRDefault="005D24D8" w:rsidP="005D24D8">
      <w:pPr>
        <w:spacing w:line="480" w:lineRule="auto"/>
        <w:ind w:firstLine="720"/>
        <w:rPr>
          <w:szCs w:val="24"/>
        </w:rPr>
      </w:pPr>
      <w:r w:rsidRPr="00F97B2D">
        <w:rPr>
          <w:szCs w:val="24"/>
        </w:rPr>
        <w:t xml:space="preserve">In routine toxicology casework, a screening technique, usually presumptive such as an immunological screen, is employed to identify specific analytes or a class of analytes.  Additional, more specific methods, including chromatographic separation, are employed to confirm positive findings.  </w:t>
      </w:r>
      <w:r w:rsidR="0028631B">
        <w:rPr>
          <w:szCs w:val="24"/>
        </w:rPr>
        <w:t>Ultimately, quantitative results may</w:t>
      </w:r>
      <w:r w:rsidRPr="00F97B2D">
        <w:rPr>
          <w:szCs w:val="24"/>
        </w:rPr>
        <w:t xml:space="preserve"> also</w:t>
      </w:r>
      <w:r w:rsidR="0028631B">
        <w:rPr>
          <w:szCs w:val="24"/>
        </w:rPr>
        <w:t xml:space="preserve"> be</w:t>
      </w:r>
      <w:r w:rsidRPr="00F97B2D">
        <w:rPr>
          <w:szCs w:val="24"/>
        </w:rPr>
        <w:t xml:space="preserve"> necessary.  </w:t>
      </w:r>
    </w:p>
    <w:p w:rsidR="004F383F" w:rsidRPr="00F97B2D" w:rsidRDefault="00861B70" w:rsidP="00F97B2D">
      <w:pPr>
        <w:pStyle w:val="Heading3"/>
      </w:pPr>
      <w:bookmarkStart w:id="83" w:name="_Toc372536035"/>
      <w:bookmarkStart w:id="84" w:name="_Toc372538698"/>
      <w:r w:rsidRPr="00F97B2D">
        <w:t>Presumptive t</w:t>
      </w:r>
      <w:r w:rsidR="004F383F" w:rsidRPr="00F97B2D">
        <w:t>echniques</w:t>
      </w:r>
      <w:bookmarkEnd w:id="83"/>
      <w:bookmarkEnd w:id="84"/>
    </w:p>
    <w:p w:rsidR="0035662C" w:rsidRPr="00F97B2D" w:rsidRDefault="0028631B" w:rsidP="0035662C">
      <w:pPr>
        <w:spacing w:line="480" w:lineRule="auto"/>
        <w:ind w:firstLine="720"/>
        <w:rPr>
          <w:szCs w:val="24"/>
        </w:rPr>
      </w:pPr>
      <w:r>
        <w:rPr>
          <w:szCs w:val="24"/>
        </w:rPr>
        <w:t>Historically, color tests and</w:t>
      </w:r>
      <w:r w:rsidR="0035662C" w:rsidRPr="00F97B2D">
        <w:rPr>
          <w:szCs w:val="24"/>
        </w:rPr>
        <w:t xml:space="preserve"> thin-layer chromatography may have been used to presumptively identify drugs of abuse after</w:t>
      </w:r>
      <w:r w:rsidR="00804344" w:rsidRPr="00F97B2D">
        <w:rPr>
          <w:szCs w:val="24"/>
        </w:rPr>
        <w:t xml:space="preserve"> simple extraction.</w:t>
      </w:r>
      <w:sdt>
        <w:sdtPr>
          <w:rPr>
            <w:szCs w:val="24"/>
          </w:rPr>
          <w:id w:val="410853984"/>
          <w:citation/>
        </w:sdtPr>
        <w:sdtEndPr/>
        <w:sdtContent>
          <w:r w:rsidR="000E239B" w:rsidRPr="00420938">
            <w:rPr>
              <w:rStyle w:val="In-TextCitation"/>
            </w:rPr>
            <w:fldChar w:fldCharType="begin"/>
          </w:r>
          <w:r w:rsidR="00A40014" w:rsidRPr="00420938">
            <w:rPr>
              <w:rStyle w:val="In-TextCitation"/>
            </w:rPr>
            <w:instrText xml:space="preserve"> CITATION Jic08 \l 1033 </w:instrText>
          </w:r>
          <w:r w:rsidR="000E239B" w:rsidRPr="00420938">
            <w:rPr>
              <w:rStyle w:val="In-TextCitation"/>
            </w:rPr>
            <w:fldChar w:fldCharType="separate"/>
          </w:r>
          <w:r w:rsidR="00420938" w:rsidRPr="00420938">
            <w:rPr>
              <w:rStyle w:val="In-TextCitation"/>
            </w:rPr>
            <w:t>(</w:t>
          </w:r>
          <w:hyperlink w:anchor="Jic08" w:history="1">
            <w:r w:rsidR="00420938" w:rsidRPr="00420938">
              <w:rPr>
                <w:rStyle w:val="In-TextCitation"/>
              </w:rPr>
              <w:t>54</w:t>
            </w:r>
          </w:hyperlink>
          <w:r w:rsidR="00420938" w:rsidRPr="00420938">
            <w:rPr>
              <w:rStyle w:val="In-TextCitation"/>
            </w:rPr>
            <w:t>)</w:t>
          </w:r>
          <w:r w:rsidR="000E239B" w:rsidRPr="00420938">
            <w:rPr>
              <w:rStyle w:val="In-TextCitation"/>
            </w:rPr>
            <w:fldChar w:fldCharType="end"/>
          </w:r>
        </w:sdtContent>
      </w:sdt>
      <w:r w:rsidR="00804344" w:rsidRPr="00F97B2D">
        <w:rPr>
          <w:szCs w:val="24"/>
        </w:rPr>
        <w:t xml:space="preserve">  </w:t>
      </w:r>
      <w:r>
        <w:rPr>
          <w:szCs w:val="24"/>
        </w:rPr>
        <w:t>Currently, i</w:t>
      </w:r>
      <w:r w:rsidR="004F7655" w:rsidRPr="00F97B2D">
        <w:rPr>
          <w:szCs w:val="24"/>
        </w:rPr>
        <w:t>n terms of drug screens, immunoassays are the gold standard for presumptively detecting drugs of abuse in biological specimens.</w:t>
      </w:r>
      <w:sdt>
        <w:sdtPr>
          <w:rPr>
            <w:szCs w:val="24"/>
          </w:rPr>
          <w:id w:val="258901353"/>
          <w:citation/>
        </w:sdtPr>
        <w:sdtEndPr/>
        <w:sdtContent>
          <w:r w:rsidR="000E239B" w:rsidRPr="00420938">
            <w:rPr>
              <w:rStyle w:val="In-TextCitation"/>
            </w:rPr>
            <w:fldChar w:fldCharType="begin"/>
          </w:r>
          <w:r w:rsidR="008C5E2F" w:rsidRPr="00420938">
            <w:rPr>
              <w:rStyle w:val="In-TextCitation"/>
            </w:rPr>
            <w:instrText xml:space="preserve"> CITATION LGA07 \l 1033 </w:instrText>
          </w:r>
          <w:r w:rsidR="000E239B" w:rsidRPr="00420938">
            <w:rPr>
              <w:rStyle w:val="In-TextCitation"/>
            </w:rPr>
            <w:fldChar w:fldCharType="separate"/>
          </w:r>
          <w:r w:rsidR="00420938" w:rsidRPr="00420938">
            <w:rPr>
              <w:rStyle w:val="In-TextCitation"/>
            </w:rPr>
            <w:t>(</w:t>
          </w:r>
          <w:hyperlink w:anchor="LGA07" w:history="1">
            <w:r w:rsidR="00420938" w:rsidRPr="00420938">
              <w:rPr>
                <w:rStyle w:val="In-TextCitation"/>
              </w:rPr>
              <w:t>55</w:t>
            </w:r>
          </w:hyperlink>
          <w:r w:rsidR="00420938" w:rsidRPr="00420938">
            <w:rPr>
              <w:rStyle w:val="In-TextCitation"/>
            </w:rPr>
            <w:t>)</w:t>
          </w:r>
          <w:r w:rsidR="000E239B" w:rsidRPr="00420938">
            <w:rPr>
              <w:rStyle w:val="In-TextCitation"/>
            </w:rPr>
            <w:fldChar w:fldCharType="end"/>
          </w:r>
        </w:sdtContent>
      </w:sdt>
      <w:r w:rsidR="004F7655" w:rsidRPr="00F97B2D">
        <w:rPr>
          <w:szCs w:val="24"/>
        </w:rPr>
        <w:t xml:space="preserve">  These scree</w:t>
      </w:r>
      <w:r>
        <w:rPr>
          <w:szCs w:val="24"/>
        </w:rPr>
        <w:t>ns work well with blood but</w:t>
      </w:r>
      <w:r w:rsidR="004F7655" w:rsidRPr="00F97B2D">
        <w:rPr>
          <w:szCs w:val="24"/>
        </w:rPr>
        <w:t xml:space="preserve"> are not ideal for unclassified su</w:t>
      </w:r>
      <w:r>
        <w:rPr>
          <w:szCs w:val="24"/>
        </w:rPr>
        <w:t>bstances as each kit is designed</w:t>
      </w:r>
      <w:r w:rsidR="004F7655" w:rsidRPr="00F97B2D">
        <w:rPr>
          <w:szCs w:val="24"/>
        </w:rPr>
        <w:t xml:space="preserve"> only for a class of structures based on antigen-antibody interactions.</w:t>
      </w:r>
      <w:sdt>
        <w:sdtPr>
          <w:rPr>
            <w:szCs w:val="24"/>
          </w:rPr>
          <w:id w:val="258901354"/>
          <w:citation/>
        </w:sdtPr>
        <w:sdtEndPr/>
        <w:sdtContent>
          <w:r w:rsidR="000E239B" w:rsidRPr="00420938">
            <w:rPr>
              <w:rStyle w:val="In-TextCitation"/>
            </w:rPr>
            <w:fldChar w:fldCharType="begin"/>
          </w:r>
          <w:r w:rsidR="008C5E2F" w:rsidRPr="00420938">
            <w:rPr>
              <w:rStyle w:val="In-TextCitation"/>
            </w:rPr>
            <w:instrText xml:space="preserve"> CITATION Dru07 \l 1033 </w:instrText>
          </w:r>
          <w:r w:rsidR="000E239B" w:rsidRPr="00420938">
            <w:rPr>
              <w:rStyle w:val="In-TextCitation"/>
            </w:rPr>
            <w:fldChar w:fldCharType="separate"/>
          </w:r>
          <w:r w:rsidR="00420938" w:rsidRPr="00420938">
            <w:rPr>
              <w:rStyle w:val="In-TextCitation"/>
            </w:rPr>
            <w:t>(</w:t>
          </w:r>
          <w:hyperlink w:anchor="Dru07" w:history="1">
            <w:r w:rsidR="00420938" w:rsidRPr="00420938">
              <w:rPr>
                <w:rStyle w:val="In-TextCitation"/>
              </w:rPr>
              <w:t>56</w:t>
            </w:r>
          </w:hyperlink>
          <w:r w:rsidR="00420938" w:rsidRPr="00420938">
            <w:rPr>
              <w:rStyle w:val="In-TextCitation"/>
            </w:rPr>
            <w:t>)</w:t>
          </w:r>
          <w:r w:rsidR="000E239B" w:rsidRPr="00420938">
            <w:rPr>
              <w:rStyle w:val="In-TextCitation"/>
            </w:rPr>
            <w:fldChar w:fldCharType="end"/>
          </w:r>
        </w:sdtContent>
      </w:sdt>
      <w:r w:rsidR="004F7655" w:rsidRPr="00F97B2D">
        <w:rPr>
          <w:szCs w:val="24"/>
        </w:rPr>
        <w:t xml:space="preserve">  Commercial </w:t>
      </w:r>
      <w:r w:rsidR="00932348">
        <w:rPr>
          <w:szCs w:val="24"/>
        </w:rPr>
        <w:t>assay</w:t>
      </w:r>
      <w:r w:rsidR="004F7655" w:rsidRPr="00F97B2D">
        <w:rPr>
          <w:szCs w:val="24"/>
        </w:rPr>
        <w:t xml:space="preserve">s are advantageous due to their general availability, quick analysis time, </w:t>
      </w:r>
      <w:r w:rsidR="00A218FC" w:rsidRPr="00F97B2D">
        <w:rPr>
          <w:szCs w:val="24"/>
        </w:rPr>
        <w:t xml:space="preserve">ease of automation, </w:t>
      </w:r>
      <w:r w:rsidR="004F7655" w:rsidRPr="00F97B2D">
        <w:rPr>
          <w:szCs w:val="24"/>
        </w:rPr>
        <w:t>and sensitivity.  However, disadvantages include deficits in cross-reactivity data, a lack of specificity for some tests, and labor intensiveness</w:t>
      </w:r>
      <w:proofErr w:type="gramStart"/>
      <w:r w:rsidR="004F7655" w:rsidRPr="00F97B2D">
        <w:rPr>
          <w:szCs w:val="24"/>
        </w:rPr>
        <w:t>.</w:t>
      </w:r>
      <w:r w:rsidR="00F60F9D" w:rsidRPr="00F60F9D">
        <w:rPr>
          <w:szCs w:val="24"/>
          <w:vertAlign w:val="superscript"/>
        </w:rPr>
        <w:t>(</w:t>
      </w:r>
      <w:proofErr w:type="gramEnd"/>
      <w:r w:rsidR="00F60F9D" w:rsidRPr="00F60F9D">
        <w:rPr>
          <w:szCs w:val="24"/>
          <w:vertAlign w:val="superscript"/>
        </w:rPr>
        <w:t>57-60)</w:t>
      </w:r>
      <w:r w:rsidR="004F7655" w:rsidRPr="00F97B2D">
        <w:rPr>
          <w:szCs w:val="24"/>
        </w:rPr>
        <w:t xml:space="preserve">  While different </w:t>
      </w:r>
      <w:r w:rsidR="00932348">
        <w:rPr>
          <w:szCs w:val="24"/>
        </w:rPr>
        <w:t>assay</w:t>
      </w:r>
      <w:r w:rsidR="004F7655" w:rsidRPr="00F97B2D">
        <w:rPr>
          <w:szCs w:val="24"/>
        </w:rPr>
        <w:t>s are useful for detecting different types of drugs in forensic toxicology, false positives may occur.  In addition, positives still require confirmation by a chromatographic technique, and multiple classes of drugs cannot be detected and identified by one single test.</w:t>
      </w:r>
      <w:sdt>
        <w:sdtPr>
          <w:rPr>
            <w:szCs w:val="24"/>
          </w:rPr>
          <w:id w:val="258901358"/>
          <w:citation/>
        </w:sdtPr>
        <w:sdtEndPr/>
        <w:sdtContent>
          <w:r w:rsidR="000E239B" w:rsidRPr="00420938">
            <w:rPr>
              <w:rStyle w:val="In-TextCitation"/>
            </w:rPr>
            <w:fldChar w:fldCharType="begin"/>
          </w:r>
          <w:r w:rsidR="008C5E2F" w:rsidRPr="00420938">
            <w:rPr>
              <w:rStyle w:val="In-TextCitation"/>
            </w:rPr>
            <w:instrText xml:space="preserve"> CITATION KRA05 \l 1033 </w:instrText>
          </w:r>
          <w:r w:rsidR="000E239B" w:rsidRPr="00420938">
            <w:rPr>
              <w:rStyle w:val="In-TextCitation"/>
            </w:rPr>
            <w:fldChar w:fldCharType="separate"/>
          </w:r>
          <w:r w:rsidR="00420938" w:rsidRPr="00420938">
            <w:rPr>
              <w:rStyle w:val="In-TextCitation"/>
            </w:rPr>
            <w:t>(</w:t>
          </w:r>
          <w:hyperlink w:anchor="KRA05" w:history="1">
            <w:r w:rsidR="00420938" w:rsidRPr="00420938">
              <w:rPr>
                <w:rStyle w:val="In-TextCitation"/>
              </w:rPr>
              <w:t>61</w:t>
            </w:r>
          </w:hyperlink>
          <w:r w:rsidR="00420938" w:rsidRPr="00420938">
            <w:rPr>
              <w:rStyle w:val="In-TextCitation"/>
            </w:rPr>
            <w:t>)</w:t>
          </w:r>
          <w:r w:rsidR="000E239B" w:rsidRPr="00420938">
            <w:rPr>
              <w:rStyle w:val="In-TextCitation"/>
            </w:rPr>
            <w:fldChar w:fldCharType="end"/>
          </w:r>
        </w:sdtContent>
      </w:sdt>
    </w:p>
    <w:p w:rsidR="004F383F" w:rsidRPr="00F97B2D" w:rsidRDefault="004F383F" w:rsidP="00AC5F51">
      <w:pPr>
        <w:pStyle w:val="Heading4"/>
      </w:pPr>
      <w:bookmarkStart w:id="85" w:name="_Toc372536036"/>
      <w:bookmarkStart w:id="86" w:name="_Toc372538699"/>
      <w:r w:rsidRPr="00F97B2D">
        <w:t>ELISA</w:t>
      </w:r>
      <w:bookmarkEnd w:id="85"/>
      <w:bookmarkEnd w:id="86"/>
    </w:p>
    <w:p w:rsidR="009C30CB" w:rsidRPr="00F97B2D" w:rsidRDefault="00A218FC" w:rsidP="009E509F">
      <w:pPr>
        <w:spacing w:after="0" w:line="480" w:lineRule="auto"/>
        <w:ind w:firstLine="720"/>
        <w:rPr>
          <w:szCs w:val="24"/>
        </w:rPr>
      </w:pPr>
      <w:r w:rsidRPr="00F97B2D">
        <w:rPr>
          <w:szCs w:val="24"/>
        </w:rPr>
        <w:t>Enzyme-linked immunosorbent assays can be designed for a variety of biochemistry-related applications depending on the targeted antigen.</w:t>
      </w:r>
      <w:r w:rsidR="009C30CB" w:rsidRPr="00F97B2D">
        <w:rPr>
          <w:szCs w:val="24"/>
        </w:rPr>
        <w:t xml:space="preserve">  The technology is based on </w:t>
      </w:r>
      <w:r w:rsidR="009E509F" w:rsidRPr="00F97B2D">
        <w:rPr>
          <w:szCs w:val="24"/>
        </w:rPr>
        <w:t>anti</w:t>
      </w:r>
      <w:r w:rsidR="009C30CB" w:rsidRPr="00F97B2D">
        <w:rPr>
          <w:szCs w:val="24"/>
        </w:rPr>
        <w:t>bodies produced to bind to</w:t>
      </w:r>
      <w:r w:rsidR="0028631B">
        <w:rPr>
          <w:szCs w:val="24"/>
        </w:rPr>
        <w:t xml:space="preserve"> specific</w:t>
      </w:r>
      <w:r w:rsidR="009C30CB" w:rsidRPr="00F97B2D">
        <w:rPr>
          <w:szCs w:val="24"/>
        </w:rPr>
        <w:t xml:space="preserve"> antigens.  The most popular type of ELISA</w:t>
      </w:r>
      <w:r w:rsidR="005541BF" w:rsidRPr="00F97B2D">
        <w:rPr>
          <w:szCs w:val="24"/>
        </w:rPr>
        <w:t xml:space="preserve">, </w:t>
      </w:r>
      <w:r w:rsidR="0028631B">
        <w:rPr>
          <w:szCs w:val="24"/>
        </w:rPr>
        <w:t xml:space="preserve">the </w:t>
      </w:r>
      <w:r w:rsidR="005541BF" w:rsidRPr="00F97B2D">
        <w:rPr>
          <w:szCs w:val="24"/>
        </w:rPr>
        <w:t>direct competitive</w:t>
      </w:r>
      <w:r w:rsidR="0028631B">
        <w:rPr>
          <w:szCs w:val="24"/>
        </w:rPr>
        <w:t xml:space="preserve"> assay design</w:t>
      </w:r>
      <w:r w:rsidR="005541BF" w:rsidRPr="00F97B2D">
        <w:rPr>
          <w:szCs w:val="24"/>
        </w:rPr>
        <w:t>,</w:t>
      </w:r>
      <w:r w:rsidR="009C30CB" w:rsidRPr="00F97B2D">
        <w:rPr>
          <w:szCs w:val="24"/>
        </w:rPr>
        <w:t xml:space="preserve"> uses</w:t>
      </w:r>
      <w:r w:rsidR="00E73A76">
        <w:rPr>
          <w:szCs w:val="24"/>
        </w:rPr>
        <w:t xml:space="preserve"> a plastic microtiter plate (96-</w:t>
      </w:r>
      <w:r w:rsidR="009C30CB" w:rsidRPr="00F97B2D">
        <w:rPr>
          <w:szCs w:val="24"/>
        </w:rPr>
        <w:t xml:space="preserve">well </w:t>
      </w:r>
      <w:r w:rsidR="004C38D6" w:rsidRPr="00F97B2D">
        <w:rPr>
          <w:szCs w:val="24"/>
        </w:rPr>
        <w:t>plates</w:t>
      </w:r>
      <w:r w:rsidR="009C30CB" w:rsidRPr="00F97B2D">
        <w:rPr>
          <w:szCs w:val="24"/>
        </w:rPr>
        <w:t xml:space="preserve">) </w:t>
      </w:r>
      <w:r w:rsidR="009E509F" w:rsidRPr="00F97B2D">
        <w:rPr>
          <w:szCs w:val="24"/>
        </w:rPr>
        <w:t>coated with anti</w:t>
      </w:r>
      <w:r w:rsidR="00723EE5">
        <w:rPr>
          <w:szCs w:val="24"/>
        </w:rPr>
        <w:t>bodies</w:t>
      </w:r>
      <w:r w:rsidR="009C30CB" w:rsidRPr="00F97B2D">
        <w:rPr>
          <w:szCs w:val="24"/>
        </w:rPr>
        <w:t>.</w:t>
      </w:r>
      <w:sdt>
        <w:sdtPr>
          <w:rPr>
            <w:szCs w:val="24"/>
          </w:rPr>
          <w:id w:val="258901359"/>
          <w:citation/>
        </w:sdtPr>
        <w:sdtEndPr/>
        <w:sdtContent>
          <w:r w:rsidR="000E239B" w:rsidRPr="00420938">
            <w:rPr>
              <w:rStyle w:val="In-TextCitation"/>
            </w:rPr>
            <w:fldChar w:fldCharType="begin"/>
          </w:r>
          <w:r w:rsidR="00723EE5" w:rsidRPr="00420938">
            <w:rPr>
              <w:rStyle w:val="In-TextCitation"/>
            </w:rPr>
            <w:instrText xml:space="preserve"> CITATION Cro08 \l 1033 </w:instrText>
          </w:r>
          <w:r w:rsidR="000E239B" w:rsidRPr="00420938">
            <w:rPr>
              <w:rStyle w:val="In-TextCitation"/>
            </w:rPr>
            <w:fldChar w:fldCharType="separate"/>
          </w:r>
          <w:r w:rsidR="00420938" w:rsidRPr="00420938">
            <w:rPr>
              <w:rStyle w:val="In-TextCitation"/>
            </w:rPr>
            <w:t>(</w:t>
          </w:r>
          <w:hyperlink w:anchor="Cro08" w:history="1">
            <w:r w:rsidR="00420938" w:rsidRPr="00420938">
              <w:rPr>
                <w:rStyle w:val="In-TextCitation"/>
              </w:rPr>
              <w:t>62</w:t>
            </w:r>
          </w:hyperlink>
          <w:r w:rsidR="00420938" w:rsidRPr="00420938">
            <w:rPr>
              <w:rStyle w:val="In-TextCitation"/>
            </w:rPr>
            <w:t>)</w:t>
          </w:r>
          <w:r w:rsidR="000E239B" w:rsidRPr="00420938">
            <w:rPr>
              <w:rStyle w:val="In-TextCitation"/>
            </w:rPr>
            <w:fldChar w:fldCharType="end"/>
          </w:r>
        </w:sdtContent>
      </w:sdt>
      <w:r w:rsidR="009E509F" w:rsidRPr="00F97B2D">
        <w:rPr>
          <w:szCs w:val="24"/>
        </w:rPr>
        <w:t xml:space="preserve">  The antibodies can be mono- or polyc</w:t>
      </w:r>
      <w:r w:rsidR="0028631B">
        <w:rPr>
          <w:szCs w:val="24"/>
        </w:rPr>
        <w:t>lonal in nature.  Generally,</w:t>
      </w:r>
      <w:r w:rsidR="009E509F" w:rsidRPr="00F97B2D">
        <w:rPr>
          <w:szCs w:val="24"/>
        </w:rPr>
        <w:t xml:space="preserve"> monoclonal antibodies are more specifi</w:t>
      </w:r>
      <w:r w:rsidR="0028631B">
        <w:rPr>
          <w:szCs w:val="24"/>
        </w:rPr>
        <w:t xml:space="preserve">c to a single antigen while </w:t>
      </w:r>
      <w:r w:rsidR="009E509F" w:rsidRPr="00F97B2D">
        <w:rPr>
          <w:szCs w:val="24"/>
        </w:rPr>
        <w:t xml:space="preserve">polyclonal antibodies are capable of binding to a broader range of antigens.  These </w:t>
      </w:r>
      <w:r w:rsidR="000F6097" w:rsidRPr="00F97B2D">
        <w:rPr>
          <w:szCs w:val="24"/>
        </w:rPr>
        <w:t xml:space="preserve">heterogeneous </w:t>
      </w:r>
      <w:r w:rsidR="009E509F" w:rsidRPr="00F97B2D">
        <w:rPr>
          <w:szCs w:val="24"/>
        </w:rPr>
        <w:t xml:space="preserve">assays can be applied to a variety of liquid biological specimens, including whole blood, serum, oral fluid, or urine. </w:t>
      </w:r>
      <w:r w:rsidR="009C30CB" w:rsidRPr="00F97B2D">
        <w:rPr>
          <w:szCs w:val="24"/>
        </w:rPr>
        <w:t xml:space="preserve">  </w:t>
      </w:r>
      <w:r w:rsidRPr="00F97B2D">
        <w:rPr>
          <w:szCs w:val="24"/>
        </w:rPr>
        <w:t xml:space="preserve">  </w:t>
      </w:r>
    </w:p>
    <w:p w:rsidR="00574B1E" w:rsidRDefault="00A218FC" w:rsidP="00281DAC">
      <w:pPr>
        <w:spacing w:after="0" w:line="480" w:lineRule="auto"/>
        <w:ind w:firstLine="720"/>
        <w:rPr>
          <w:szCs w:val="24"/>
        </w:rPr>
      </w:pPr>
      <w:r w:rsidRPr="00F97B2D">
        <w:rPr>
          <w:szCs w:val="24"/>
        </w:rPr>
        <w:t>In the analysis of drugs of abuse</w:t>
      </w:r>
      <w:r w:rsidR="005D39B6" w:rsidRPr="00F97B2D">
        <w:rPr>
          <w:szCs w:val="24"/>
        </w:rPr>
        <w:t xml:space="preserve"> in biological specimens</w:t>
      </w:r>
      <w:r w:rsidRPr="00F97B2D">
        <w:rPr>
          <w:szCs w:val="24"/>
        </w:rPr>
        <w:t>, several commercial m</w:t>
      </w:r>
      <w:r w:rsidR="009E509F" w:rsidRPr="00F97B2D">
        <w:rPr>
          <w:szCs w:val="24"/>
        </w:rPr>
        <w:t>anufacturers have designed anti</w:t>
      </w:r>
      <w:r w:rsidRPr="00F97B2D">
        <w:rPr>
          <w:szCs w:val="24"/>
        </w:rPr>
        <w:t>bodies and reagents for the detection of the most common classes of compounds, including amphetamines, barbiturates, benzodiazepines, benzoylecgonine (a cocain</w:t>
      </w:r>
      <w:r w:rsidR="00084532" w:rsidRPr="00F97B2D">
        <w:rPr>
          <w:szCs w:val="24"/>
        </w:rPr>
        <w:t>e metabolite), opiates, THC</w:t>
      </w:r>
      <w:r w:rsidRPr="00F97B2D">
        <w:rPr>
          <w:szCs w:val="24"/>
        </w:rPr>
        <w:t>,</w:t>
      </w:r>
      <w:r w:rsidR="00084532" w:rsidRPr="00F97B2D">
        <w:rPr>
          <w:szCs w:val="24"/>
        </w:rPr>
        <w:t xml:space="preserve"> and synthetic cannabinoids.  Very few </w:t>
      </w:r>
      <w:r w:rsidR="00F066F5">
        <w:rPr>
          <w:szCs w:val="24"/>
        </w:rPr>
        <w:t>kit</w:t>
      </w:r>
      <w:r w:rsidR="00084532" w:rsidRPr="00F97B2D">
        <w:rPr>
          <w:szCs w:val="24"/>
        </w:rPr>
        <w:t>s have</w:t>
      </w:r>
      <w:r w:rsidR="00B743D7">
        <w:rPr>
          <w:szCs w:val="24"/>
        </w:rPr>
        <w:t>, as of yet,</w:t>
      </w:r>
      <w:r w:rsidR="00084532" w:rsidRPr="00F97B2D">
        <w:rPr>
          <w:szCs w:val="24"/>
        </w:rPr>
        <w:t xml:space="preserve"> been targeted towards synthetic cathinone derivatives.  In general, these </w:t>
      </w:r>
      <w:r w:rsidR="00F066F5">
        <w:rPr>
          <w:szCs w:val="24"/>
        </w:rPr>
        <w:t>kit</w:t>
      </w:r>
      <w:r w:rsidR="00084532" w:rsidRPr="00F97B2D">
        <w:rPr>
          <w:szCs w:val="24"/>
        </w:rPr>
        <w:t xml:space="preserve">s are packaged with all of the materials necessary, including a 96-well plate pre-coated with the antibodies.  In a typical ELISA, the sample is added to the well, followed by a drug-enzyme conjugate and a short incubation time.  </w:t>
      </w:r>
      <w:r w:rsidR="005541BF" w:rsidRPr="00F97B2D">
        <w:rPr>
          <w:szCs w:val="24"/>
        </w:rPr>
        <w:t>Usually</w:t>
      </w:r>
      <w:r w:rsidR="00B743D7">
        <w:rPr>
          <w:szCs w:val="24"/>
        </w:rPr>
        <w:t>,</w:t>
      </w:r>
      <w:r w:rsidR="005541BF" w:rsidRPr="00F97B2D">
        <w:rPr>
          <w:szCs w:val="24"/>
        </w:rPr>
        <w:t xml:space="preserve"> horseradish peroxidase (HRP) is the enzyme utilized in these </w:t>
      </w:r>
      <w:r w:rsidR="00F066F5">
        <w:rPr>
          <w:szCs w:val="24"/>
        </w:rPr>
        <w:t>assay</w:t>
      </w:r>
      <w:r w:rsidR="005541BF" w:rsidRPr="00F97B2D">
        <w:rPr>
          <w:szCs w:val="24"/>
        </w:rPr>
        <w:t>s</w:t>
      </w:r>
      <w:r w:rsidR="00B743D7">
        <w:rPr>
          <w:szCs w:val="24"/>
        </w:rPr>
        <w:t xml:space="preserve"> for the color generating reaction</w:t>
      </w:r>
      <w:r w:rsidR="005541BF" w:rsidRPr="00F97B2D">
        <w:rPr>
          <w:szCs w:val="24"/>
        </w:rPr>
        <w:t xml:space="preserve">.  </w:t>
      </w:r>
      <w:r w:rsidR="00084532" w:rsidRPr="00F97B2D">
        <w:rPr>
          <w:szCs w:val="24"/>
        </w:rPr>
        <w:t xml:space="preserve">A wash step removes any materials (drug or drug-enzyme conjugate) that </w:t>
      </w:r>
      <w:r w:rsidR="009E509F" w:rsidRPr="00F97B2D">
        <w:rPr>
          <w:szCs w:val="24"/>
        </w:rPr>
        <w:t>did not bind to the anti</w:t>
      </w:r>
      <w:r w:rsidR="00084532" w:rsidRPr="00F97B2D">
        <w:rPr>
          <w:szCs w:val="24"/>
        </w:rPr>
        <w:t>bodies.  A substrate, usually TMB</w:t>
      </w:r>
      <w:r w:rsidR="005541BF" w:rsidRPr="00F97B2D">
        <w:rPr>
          <w:szCs w:val="24"/>
        </w:rPr>
        <w:t xml:space="preserve"> (3</w:t>
      </w:r>
      <w:proofErr w:type="gramStart"/>
      <w:r w:rsidR="005541BF" w:rsidRPr="00F97B2D">
        <w:rPr>
          <w:szCs w:val="24"/>
        </w:rPr>
        <w:t>,3’,5,5’</w:t>
      </w:r>
      <w:proofErr w:type="gramEnd"/>
      <w:r w:rsidR="005541BF" w:rsidRPr="00F97B2D">
        <w:rPr>
          <w:szCs w:val="24"/>
        </w:rPr>
        <w:t>-tetramethylbenzidine)</w:t>
      </w:r>
      <w:r w:rsidR="00084532" w:rsidRPr="00F97B2D">
        <w:rPr>
          <w:szCs w:val="24"/>
        </w:rPr>
        <w:t xml:space="preserve">, is added </w:t>
      </w:r>
      <w:r w:rsidR="00C06AE3">
        <w:rPr>
          <w:szCs w:val="24"/>
        </w:rPr>
        <w:t>and</w:t>
      </w:r>
      <w:r w:rsidR="00C06AE3" w:rsidRPr="00F97B2D">
        <w:rPr>
          <w:szCs w:val="24"/>
        </w:rPr>
        <w:t xml:space="preserve"> </w:t>
      </w:r>
      <w:r w:rsidR="00084532" w:rsidRPr="00F97B2D">
        <w:rPr>
          <w:szCs w:val="24"/>
        </w:rPr>
        <w:t xml:space="preserve">reacts with the drug-enzyme conjugate </w:t>
      </w:r>
      <w:r w:rsidR="00C06AE3">
        <w:rPr>
          <w:szCs w:val="24"/>
        </w:rPr>
        <w:t>to produce</w:t>
      </w:r>
      <w:r w:rsidR="00084532" w:rsidRPr="00F97B2D">
        <w:rPr>
          <w:szCs w:val="24"/>
        </w:rPr>
        <w:t xml:space="preserve"> a color</w:t>
      </w:r>
      <w:r w:rsidR="00C06AE3">
        <w:rPr>
          <w:szCs w:val="24"/>
        </w:rPr>
        <w:t>ed</w:t>
      </w:r>
      <w:r w:rsidR="00084532" w:rsidRPr="00F97B2D">
        <w:rPr>
          <w:szCs w:val="24"/>
        </w:rPr>
        <w:t xml:space="preserve"> </w:t>
      </w:r>
      <w:r w:rsidR="00C06AE3">
        <w:rPr>
          <w:szCs w:val="24"/>
        </w:rPr>
        <w:t>product</w:t>
      </w:r>
      <w:r w:rsidR="00084532" w:rsidRPr="00F97B2D">
        <w:rPr>
          <w:szCs w:val="24"/>
        </w:rPr>
        <w:t xml:space="preserve">.  The absorbance is measured at a specified wavelength.  The more </w:t>
      </w:r>
      <w:proofErr w:type="gramStart"/>
      <w:r w:rsidR="00084532" w:rsidRPr="00F97B2D">
        <w:rPr>
          <w:szCs w:val="24"/>
        </w:rPr>
        <w:t>drug</w:t>
      </w:r>
      <w:proofErr w:type="gramEnd"/>
      <w:r w:rsidR="00084532" w:rsidRPr="00F97B2D">
        <w:rPr>
          <w:szCs w:val="24"/>
        </w:rPr>
        <w:t xml:space="preserve"> that is present in the sample</w:t>
      </w:r>
      <w:r w:rsidR="00B743D7">
        <w:rPr>
          <w:szCs w:val="24"/>
        </w:rPr>
        <w:t xml:space="preserve">, the </w:t>
      </w:r>
      <w:r w:rsidR="00084532" w:rsidRPr="00F97B2D">
        <w:rPr>
          <w:szCs w:val="24"/>
        </w:rPr>
        <w:t xml:space="preserve">less </w:t>
      </w:r>
      <w:r w:rsidR="00B743D7">
        <w:rPr>
          <w:szCs w:val="24"/>
        </w:rPr>
        <w:t>of the conjugate that will bind, leading to less color produced</w:t>
      </w:r>
      <w:r w:rsidR="00084532" w:rsidRPr="00F97B2D">
        <w:rPr>
          <w:szCs w:val="24"/>
        </w:rPr>
        <w:t>.  The absorbance values are then compared to positive and negative controls to determine positivity.  Th</w:t>
      </w:r>
      <w:r w:rsidR="00A40014">
        <w:rPr>
          <w:szCs w:val="24"/>
        </w:rPr>
        <w:t>e ELISA</w:t>
      </w:r>
      <w:r w:rsidR="00084532" w:rsidRPr="00F97B2D">
        <w:rPr>
          <w:szCs w:val="24"/>
        </w:rPr>
        <w:t xml:space="preserve"> process is represented graphically in </w:t>
      </w:r>
      <w:r w:rsidR="002E77C7">
        <w:fldChar w:fldCharType="begin"/>
      </w:r>
      <w:r w:rsidR="002E77C7">
        <w:instrText xml:space="preserve"> REF _Ref363813023 \h  \* MERGEFORMAT </w:instrText>
      </w:r>
      <w:r w:rsidR="002E77C7">
        <w:fldChar w:fldCharType="separate"/>
      </w:r>
      <w:r w:rsidR="00E37796" w:rsidRPr="00E37796">
        <w:rPr>
          <w:szCs w:val="24"/>
        </w:rPr>
        <w:t>Figure 2</w:t>
      </w:r>
      <w:r w:rsidR="002E77C7">
        <w:fldChar w:fldCharType="end"/>
      </w:r>
      <w:r w:rsidR="00084532" w:rsidRPr="00F97B2D">
        <w:rPr>
          <w:szCs w:val="24"/>
        </w:rPr>
        <w:t>.</w:t>
      </w:r>
      <w:r w:rsidRPr="00F97B2D">
        <w:rPr>
          <w:szCs w:val="24"/>
        </w:rPr>
        <w:t xml:space="preserve"> </w:t>
      </w:r>
    </w:p>
    <w:p w:rsidR="00574B1E" w:rsidRPr="00F97B2D" w:rsidRDefault="00574B1E" w:rsidP="009E509F">
      <w:pPr>
        <w:spacing w:after="0" w:line="480" w:lineRule="auto"/>
        <w:ind w:firstLine="720"/>
        <w:rPr>
          <w:szCs w:val="24"/>
        </w:rPr>
      </w:pPr>
    </w:p>
    <w:p w:rsidR="00084532" w:rsidRPr="00F97B2D" w:rsidRDefault="00A218FC" w:rsidP="00084532">
      <w:pPr>
        <w:keepNext/>
        <w:jc w:val="center"/>
        <w:rPr>
          <w:szCs w:val="24"/>
        </w:rPr>
      </w:pPr>
      <w:r w:rsidRPr="00F97B2D">
        <w:rPr>
          <w:noProof/>
          <w:szCs w:val="24"/>
          <w:lang w:bidi="ar-SA"/>
        </w:rPr>
        <w:drawing>
          <wp:inline distT="0" distB="0" distL="0" distR="0">
            <wp:extent cx="5303520" cy="275689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rotWithShape="1">
                    <a:blip r:embed="rId14">
                      <a:extLst>
                        <a:ext uri="{28A0092B-C50C-407E-A947-70E740481C1C}">
                          <a14:useLocalDpi xmlns:a14="http://schemas.microsoft.com/office/drawing/2010/main" val="0"/>
                        </a:ext>
                      </a:extLst>
                    </a:blip>
                    <a:srcRect l="-1852" t="-3112" r="-1620"/>
                    <a:stretch/>
                  </pic:blipFill>
                  <pic:spPr bwMode="auto">
                    <a:xfrm>
                      <a:off x="0" y="0"/>
                      <a:ext cx="5303520" cy="2756896"/>
                    </a:xfrm>
                    <a:prstGeom prst="rect">
                      <a:avLst/>
                    </a:prstGeom>
                    <a:noFill/>
                    <a:ln>
                      <a:noFill/>
                    </a:ln>
                    <a:extLst>
                      <a:ext uri="{53640926-AAD7-44D8-BBD7-CCE9431645EC}">
                        <a14:shadowObscured xmlns:a14="http://schemas.microsoft.com/office/drawing/2010/main"/>
                      </a:ext>
                    </a:extLst>
                  </pic:spPr>
                </pic:pic>
              </a:graphicData>
            </a:graphic>
          </wp:inline>
        </w:drawing>
      </w:r>
    </w:p>
    <w:p w:rsidR="00A218FC" w:rsidRPr="00F97B2D" w:rsidRDefault="00084532" w:rsidP="00F97B2D">
      <w:pPr>
        <w:pStyle w:val="Caption"/>
      </w:pPr>
      <w:bookmarkStart w:id="87" w:name="_Ref363813023"/>
      <w:bookmarkStart w:id="88" w:name="_Toc372536129"/>
      <w:r w:rsidRPr="00F97B2D">
        <w:t xml:space="preserve">Figure </w:t>
      </w:r>
      <w:r w:rsidR="000E239B" w:rsidRPr="00F97B2D">
        <w:fldChar w:fldCharType="begin"/>
      </w:r>
      <w:r w:rsidR="00B2107A" w:rsidRPr="00F97B2D">
        <w:instrText xml:space="preserve"> SEQ Figure \* ARABIC </w:instrText>
      </w:r>
      <w:r w:rsidR="000E239B" w:rsidRPr="00F97B2D">
        <w:fldChar w:fldCharType="separate"/>
      </w:r>
      <w:r w:rsidR="00E37796">
        <w:rPr>
          <w:noProof/>
        </w:rPr>
        <w:t>2</w:t>
      </w:r>
      <w:r w:rsidR="000E239B" w:rsidRPr="00F97B2D">
        <w:rPr>
          <w:noProof/>
        </w:rPr>
        <w:fldChar w:fldCharType="end"/>
      </w:r>
      <w:bookmarkEnd w:id="87"/>
      <w:r w:rsidRPr="00F97B2D">
        <w:t>: Step by Step Process of an ELISA</w:t>
      </w:r>
      <w:bookmarkEnd w:id="88"/>
    </w:p>
    <w:p w:rsidR="00F4798C" w:rsidRPr="00F97B2D" w:rsidRDefault="00084532" w:rsidP="009E509F">
      <w:pPr>
        <w:jc w:val="center"/>
        <w:rPr>
          <w:b/>
          <w:szCs w:val="24"/>
        </w:rPr>
      </w:pPr>
      <w:r w:rsidRPr="00F97B2D">
        <w:rPr>
          <w:b/>
          <w:szCs w:val="24"/>
        </w:rPr>
        <w:t>Adapted from neogen.com</w:t>
      </w:r>
    </w:p>
    <w:p w:rsidR="00B20DFC" w:rsidRDefault="00B20DFC" w:rsidP="00B20DFC">
      <w:pPr>
        <w:spacing w:line="480" w:lineRule="auto"/>
        <w:rPr>
          <w:szCs w:val="24"/>
        </w:rPr>
        <w:sectPr w:rsidR="00B20DFC" w:rsidSect="00005A65">
          <w:pgSz w:w="12240" w:h="15840" w:code="1"/>
          <w:pgMar w:top="1440" w:right="1440" w:bottom="1800" w:left="2160" w:header="720" w:footer="720" w:gutter="0"/>
          <w:cols w:space="720"/>
          <w:docGrid w:linePitch="360"/>
        </w:sectPr>
      </w:pPr>
    </w:p>
    <w:p w:rsidR="00E06A4B" w:rsidRPr="00F97B2D" w:rsidRDefault="009E509F" w:rsidP="00574B1E">
      <w:pPr>
        <w:spacing w:line="480" w:lineRule="auto"/>
        <w:ind w:firstLine="720"/>
        <w:rPr>
          <w:szCs w:val="24"/>
        </w:rPr>
      </w:pPr>
      <w:r w:rsidRPr="00F97B2D">
        <w:rPr>
          <w:szCs w:val="24"/>
        </w:rPr>
        <w:t>Since the development of anti</w:t>
      </w:r>
      <w:r w:rsidR="00084532" w:rsidRPr="00F97B2D">
        <w:rPr>
          <w:szCs w:val="24"/>
        </w:rPr>
        <w:t xml:space="preserve">bodies is a lengthy process, it is difficult for manufacturers of immunoassays to constantly develop </w:t>
      </w:r>
      <w:r w:rsidR="00F066F5">
        <w:rPr>
          <w:szCs w:val="24"/>
        </w:rPr>
        <w:t>assay</w:t>
      </w:r>
      <w:r w:rsidR="00084532" w:rsidRPr="00F97B2D">
        <w:rPr>
          <w:szCs w:val="24"/>
        </w:rPr>
        <w:t xml:space="preserve">s to target the ever-changing designer drugs on the </w:t>
      </w:r>
      <w:r w:rsidR="00F4798C" w:rsidRPr="00F97B2D">
        <w:rPr>
          <w:szCs w:val="24"/>
        </w:rPr>
        <w:t xml:space="preserve">market today.  For this reason, it is important to understand the </w:t>
      </w:r>
      <w:r w:rsidR="00B743D7">
        <w:rPr>
          <w:szCs w:val="24"/>
        </w:rPr>
        <w:t xml:space="preserve">extent of </w:t>
      </w:r>
      <w:r w:rsidR="00F4798C" w:rsidRPr="00F97B2D">
        <w:rPr>
          <w:szCs w:val="24"/>
        </w:rPr>
        <w:t>cross-reactivity of designer drugs in current immunoassays</w:t>
      </w:r>
      <w:r w:rsidR="005D39B6" w:rsidRPr="00F97B2D">
        <w:rPr>
          <w:szCs w:val="24"/>
        </w:rPr>
        <w:t>, as will be discussed in Chapter 3.</w:t>
      </w:r>
      <w:r w:rsidR="00F4798C" w:rsidRPr="00F97B2D">
        <w:rPr>
          <w:szCs w:val="24"/>
        </w:rPr>
        <w:t xml:space="preserve"> </w:t>
      </w:r>
    </w:p>
    <w:p w:rsidR="004F383F" w:rsidRPr="00F97B2D" w:rsidRDefault="004F383F" w:rsidP="00AC5F51">
      <w:pPr>
        <w:pStyle w:val="Heading4"/>
      </w:pPr>
      <w:bookmarkStart w:id="89" w:name="_Toc372536037"/>
      <w:bookmarkStart w:id="90" w:name="_Toc372538700"/>
      <w:r w:rsidRPr="00F97B2D">
        <w:t>EMIT</w:t>
      </w:r>
      <w:bookmarkEnd w:id="89"/>
      <w:bookmarkEnd w:id="90"/>
    </w:p>
    <w:p w:rsidR="009D7C48" w:rsidRDefault="009E509F" w:rsidP="00251AF4">
      <w:pPr>
        <w:spacing w:after="0" w:line="480" w:lineRule="auto"/>
        <w:ind w:firstLine="720"/>
        <w:rPr>
          <w:szCs w:val="24"/>
        </w:rPr>
      </w:pPr>
      <w:r w:rsidRPr="00F97B2D">
        <w:rPr>
          <w:szCs w:val="24"/>
        </w:rPr>
        <w:t xml:space="preserve">Enzyme multiplied immunoassay technique </w:t>
      </w:r>
      <w:r w:rsidR="005541BF" w:rsidRPr="00F97B2D">
        <w:rPr>
          <w:szCs w:val="24"/>
        </w:rPr>
        <w:t xml:space="preserve">(EMIT) </w:t>
      </w:r>
      <w:r w:rsidRPr="00F97B2D">
        <w:rPr>
          <w:szCs w:val="24"/>
        </w:rPr>
        <w:t>is a screening technique applied to the analysis of drugs in</w:t>
      </w:r>
      <w:r w:rsidR="00723EE5">
        <w:rPr>
          <w:szCs w:val="24"/>
        </w:rPr>
        <w:t xml:space="preserve"> serum or metabolites in urine</w:t>
      </w:r>
      <w:r w:rsidRPr="00F97B2D">
        <w:rPr>
          <w:szCs w:val="24"/>
        </w:rPr>
        <w:t>.</w:t>
      </w:r>
      <w:sdt>
        <w:sdtPr>
          <w:rPr>
            <w:szCs w:val="24"/>
          </w:rPr>
          <w:id w:val="258901360"/>
          <w:citation/>
        </w:sdtPr>
        <w:sdtEndPr/>
        <w:sdtContent>
          <w:r w:rsidR="000E239B" w:rsidRPr="00420938">
            <w:rPr>
              <w:rStyle w:val="In-TextCitation"/>
            </w:rPr>
            <w:fldChar w:fldCharType="begin"/>
          </w:r>
          <w:r w:rsidR="00723EE5" w:rsidRPr="00420938">
            <w:rPr>
              <w:rStyle w:val="In-TextCitation"/>
            </w:rPr>
            <w:instrText xml:space="preserve"> CITATION KNa12 \l 1033 </w:instrText>
          </w:r>
          <w:r w:rsidR="000E239B" w:rsidRPr="00420938">
            <w:rPr>
              <w:rStyle w:val="In-TextCitation"/>
            </w:rPr>
            <w:fldChar w:fldCharType="separate"/>
          </w:r>
          <w:r w:rsidR="00420938" w:rsidRPr="00420938">
            <w:rPr>
              <w:rStyle w:val="In-TextCitation"/>
            </w:rPr>
            <w:t>(</w:t>
          </w:r>
          <w:hyperlink w:anchor="KNa12" w:history="1">
            <w:r w:rsidR="00420938" w:rsidRPr="00420938">
              <w:rPr>
                <w:rStyle w:val="In-TextCitation"/>
              </w:rPr>
              <w:t>63</w:t>
            </w:r>
          </w:hyperlink>
          <w:r w:rsidR="00420938" w:rsidRPr="00420938">
            <w:rPr>
              <w:rStyle w:val="In-TextCitation"/>
            </w:rPr>
            <w:t>)</w:t>
          </w:r>
          <w:r w:rsidR="000E239B" w:rsidRPr="00420938">
            <w:rPr>
              <w:rStyle w:val="In-TextCitation"/>
            </w:rPr>
            <w:fldChar w:fldCharType="end"/>
          </w:r>
        </w:sdtContent>
      </w:sdt>
      <w:r w:rsidRPr="00F97B2D">
        <w:rPr>
          <w:szCs w:val="24"/>
        </w:rPr>
        <w:t xml:space="preserve">  This homogeneou</w:t>
      </w:r>
      <w:r w:rsidR="000F6097" w:rsidRPr="00F97B2D">
        <w:rPr>
          <w:szCs w:val="24"/>
        </w:rPr>
        <w:t>s assay is based on the ability of antibodies to inhibit the activ</w:t>
      </w:r>
      <w:r w:rsidR="00723EE5">
        <w:rPr>
          <w:szCs w:val="24"/>
        </w:rPr>
        <w:t>ity of a drug-enzyme conjugate</w:t>
      </w:r>
      <w:r w:rsidR="000F6097" w:rsidRPr="00F97B2D">
        <w:rPr>
          <w:szCs w:val="24"/>
        </w:rPr>
        <w:t>.</w:t>
      </w:r>
      <w:sdt>
        <w:sdtPr>
          <w:rPr>
            <w:szCs w:val="24"/>
          </w:rPr>
          <w:id w:val="258901361"/>
          <w:citation/>
        </w:sdtPr>
        <w:sdtEndPr/>
        <w:sdtContent>
          <w:r w:rsidR="000E239B" w:rsidRPr="00420938">
            <w:rPr>
              <w:rStyle w:val="In-TextCitation"/>
            </w:rPr>
            <w:fldChar w:fldCharType="begin"/>
          </w:r>
          <w:r w:rsidR="00723EE5" w:rsidRPr="00420938">
            <w:rPr>
              <w:rStyle w:val="In-TextCitation"/>
            </w:rPr>
            <w:instrText xml:space="preserve"> CITATION Ull05 \l 1033 </w:instrText>
          </w:r>
          <w:r w:rsidR="000E239B" w:rsidRPr="00420938">
            <w:rPr>
              <w:rStyle w:val="In-TextCitation"/>
            </w:rPr>
            <w:fldChar w:fldCharType="separate"/>
          </w:r>
          <w:r w:rsidR="00420938" w:rsidRPr="00420938">
            <w:rPr>
              <w:rStyle w:val="In-TextCitation"/>
            </w:rPr>
            <w:t>(</w:t>
          </w:r>
          <w:hyperlink w:anchor="Ull05" w:history="1">
            <w:r w:rsidR="00420938" w:rsidRPr="00420938">
              <w:rPr>
                <w:rStyle w:val="In-TextCitation"/>
              </w:rPr>
              <w:t>64</w:t>
            </w:r>
          </w:hyperlink>
          <w:r w:rsidR="00420938" w:rsidRPr="00420938">
            <w:rPr>
              <w:rStyle w:val="In-TextCitation"/>
            </w:rPr>
            <w:t>)</w:t>
          </w:r>
          <w:r w:rsidR="000E239B" w:rsidRPr="00420938">
            <w:rPr>
              <w:rStyle w:val="In-TextCitation"/>
            </w:rPr>
            <w:fldChar w:fldCharType="end"/>
          </w:r>
        </w:sdtContent>
      </w:sdt>
      <w:r w:rsidR="000F6097" w:rsidRPr="00F97B2D">
        <w:rPr>
          <w:szCs w:val="24"/>
        </w:rPr>
        <w:t xml:space="preserve">  The enzyme employed is Glucose-6-phosphate dehydrogenase (G6PDH).  </w:t>
      </w:r>
      <w:r w:rsidR="00D11522" w:rsidRPr="00F97B2D">
        <w:rPr>
          <w:szCs w:val="24"/>
        </w:rPr>
        <w:t xml:space="preserve">If drug is present in the sample, it will bind to the antibodies </w:t>
      </w:r>
      <w:r w:rsidR="00D11522" w:rsidRPr="009D7C48">
        <w:rPr>
          <w:szCs w:val="24"/>
        </w:rPr>
        <w:t>and displace the drug-enzyme conjugate, leading to increased enzyme activity</w:t>
      </w:r>
      <w:r w:rsidR="009D7C48" w:rsidRPr="009D7C48">
        <w:rPr>
          <w:szCs w:val="24"/>
        </w:rPr>
        <w:t xml:space="preserve">, as seen in </w:t>
      </w:r>
      <w:r w:rsidR="002E77C7">
        <w:fldChar w:fldCharType="begin"/>
      </w:r>
      <w:r w:rsidR="002E77C7">
        <w:instrText xml:space="preserve"> REF _Ref364077050 \h  \* MERGEFORMAT </w:instrText>
      </w:r>
      <w:r w:rsidR="002E77C7">
        <w:fldChar w:fldCharType="separate"/>
      </w:r>
      <w:r w:rsidR="00E37796" w:rsidRPr="00E37796">
        <w:rPr>
          <w:szCs w:val="24"/>
        </w:rPr>
        <w:t>Figure 3</w:t>
      </w:r>
      <w:r w:rsidR="002E77C7">
        <w:fldChar w:fldCharType="end"/>
      </w:r>
      <w:r w:rsidR="00D11522" w:rsidRPr="009D7C48">
        <w:rPr>
          <w:szCs w:val="24"/>
        </w:rPr>
        <w:t>.</w:t>
      </w:r>
      <w:r w:rsidR="00D11522" w:rsidRPr="00F97B2D">
        <w:rPr>
          <w:szCs w:val="24"/>
        </w:rPr>
        <w:t xml:space="preserve">  The reaction rate, dependent on drug concentration in the sample, is monitored at 340 nm to detect the formation of NADH</w:t>
      </w:r>
      <w:r w:rsidR="00C26893" w:rsidRPr="00F97B2D">
        <w:rPr>
          <w:szCs w:val="24"/>
        </w:rPr>
        <w:t xml:space="preserve"> (reduced nicotinamide adenine dinucleotide)</w:t>
      </w:r>
      <w:r w:rsidR="00D11522" w:rsidRPr="00F97B2D">
        <w:rPr>
          <w:szCs w:val="24"/>
        </w:rPr>
        <w:t>.</w:t>
      </w:r>
      <w:sdt>
        <w:sdtPr>
          <w:rPr>
            <w:szCs w:val="24"/>
          </w:rPr>
          <w:id w:val="258901362"/>
          <w:citation/>
        </w:sdtPr>
        <w:sdtEndPr/>
        <w:sdtContent>
          <w:r w:rsidR="000E239B" w:rsidRPr="00420938">
            <w:rPr>
              <w:rStyle w:val="In-TextCitation"/>
            </w:rPr>
            <w:fldChar w:fldCharType="begin"/>
          </w:r>
          <w:r w:rsidR="00723EE5" w:rsidRPr="00420938">
            <w:rPr>
              <w:rStyle w:val="In-TextCitation"/>
            </w:rPr>
            <w:instrText xml:space="preserve"> CITATION Ull05 \l 1033 </w:instrText>
          </w:r>
          <w:r w:rsidR="000E239B" w:rsidRPr="00420938">
            <w:rPr>
              <w:rStyle w:val="In-TextCitation"/>
            </w:rPr>
            <w:fldChar w:fldCharType="separate"/>
          </w:r>
          <w:r w:rsidR="00420938" w:rsidRPr="00420938">
            <w:rPr>
              <w:rStyle w:val="In-TextCitation"/>
            </w:rPr>
            <w:t>(</w:t>
          </w:r>
          <w:hyperlink w:anchor="Ull05" w:history="1">
            <w:r w:rsidR="00420938" w:rsidRPr="00420938">
              <w:rPr>
                <w:rStyle w:val="In-TextCitation"/>
              </w:rPr>
              <w:t>64</w:t>
            </w:r>
          </w:hyperlink>
          <w:r w:rsidR="00420938" w:rsidRPr="00420938">
            <w:rPr>
              <w:rStyle w:val="In-TextCitation"/>
            </w:rPr>
            <w:t>)</w:t>
          </w:r>
          <w:r w:rsidR="000E239B" w:rsidRPr="00420938">
            <w:rPr>
              <w:rStyle w:val="In-TextCitation"/>
            </w:rPr>
            <w:fldChar w:fldCharType="end"/>
          </w:r>
        </w:sdtContent>
      </w:sdt>
      <w:r w:rsidR="00D11522" w:rsidRPr="00F97B2D">
        <w:rPr>
          <w:szCs w:val="24"/>
        </w:rPr>
        <w:t xml:space="preserve">  </w:t>
      </w:r>
      <w:r w:rsidR="00A40014" w:rsidRPr="00F97B2D">
        <w:rPr>
          <w:szCs w:val="24"/>
        </w:rPr>
        <w:t xml:space="preserve">Glucose-6-phosphate dehydrogenase </w:t>
      </w:r>
      <w:r w:rsidR="001877E9" w:rsidRPr="00F97B2D">
        <w:rPr>
          <w:szCs w:val="24"/>
        </w:rPr>
        <w:t>G6PDH converts NAD+ (oxidized nicotinamide adenine dinucleotide) to NADH</w:t>
      </w:r>
      <w:r w:rsidR="00211CA4">
        <w:rPr>
          <w:szCs w:val="24"/>
        </w:rPr>
        <w:t xml:space="preserve">, </w:t>
      </w:r>
      <w:r w:rsidR="001877E9" w:rsidRPr="00F97B2D">
        <w:rPr>
          <w:szCs w:val="24"/>
        </w:rPr>
        <w:t>r</w:t>
      </w:r>
      <w:r w:rsidR="00211CA4">
        <w:rPr>
          <w:szCs w:val="24"/>
        </w:rPr>
        <w:t>esulting</w:t>
      </w:r>
      <w:r w:rsidR="00723EE5">
        <w:rPr>
          <w:szCs w:val="24"/>
        </w:rPr>
        <w:t xml:space="preserve"> in an absorbance change</w:t>
      </w:r>
      <w:r w:rsidR="001877E9" w:rsidRPr="00F97B2D">
        <w:rPr>
          <w:szCs w:val="24"/>
        </w:rPr>
        <w:t>.</w:t>
      </w:r>
      <w:sdt>
        <w:sdtPr>
          <w:rPr>
            <w:szCs w:val="24"/>
          </w:rPr>
          <w:id w:val="258901363"/>
          <w:citation/>
        </w:sdtPr>
        <w:sdtEndPr/>
        <w:sdtContent>
          <w:r w:rsidR="000E239B" w:rsidRPr="00420938">
            <w:rPr>
              <w:rStyle w:val="In-TextCitation"/>
            </w:rPr>
            <w:fldChar w:fldCharType="begin"/>
          </w:r>
          <w:r w:rsidR="00723EE5" w:rsidRPr="00420938">
            <w:rPr>
              <w:rStyle w:val="In-TextCitation"/>
            </w:rPr>
            <w:instrText xml:space="preserve"> CITATION Ull05 \l 1033 </w:instrText>
          </w:r>
          <w:r w:rsidR="000E239B" w:rsidRPr="00420938">
            <w:rPr>
              <w:rStyle w:val="In-TextCitation"/>
            </w:rPr>
            <w:fldChar w:fldCharType="separate"/>
          </w:r>
          <w:r w:rsidR="00420938" w:rsidRPr="00420938">
            <w:rPr>
              <w:rStyle w:val="In-TextCitation"/>
            </w:rPr>
            <w:t>(</w:t>
          </w:r>
          <w:hyperlink w:anchor="Ull05" w:history="1">
            <w:r w:rsidR="00420938" w:rsidRPr="00420938">
              <w:rPr>
                <w:rStyle w:val="In-TextCitation"/>
              </w:rPr>
              <w:t>64</w:t>
            </w:r>
          </w:hyperlink>
          <w:r w:rsidR="00420938" w:rsidRPr="00420938">
            <w:rPr>
              <w:rStyle w:val="In-TextCitation"/>
            </w:rPr>
            <w:t>)</w:t>
          </w:r>
          <w:r w:rsidR="000E239B" w:rsidRPr="00420938">
            <w:rPr>
              <w:rStyle w:val="In-TextCitation"/>
            </w:rPr>
            <w:fldChar w:fldCharType="end"/>
          </w:r>
        </w:sdtContent>
      </w:sdt>
      <w:r w:rsidR="001877E9" w:rsidRPr="00F97B2D">
        <w:rPr>
          <w:szCs w:val="24"/>
        </w:rPr>
        <w:t xml:space="preserve">  </w:t>
      </w:r>
      <w:r w:rsidR="000F6097" w:rsidRPr="00F97B2D">
        <w:rPr>
          <w:szCs w:val="24"/>
        </w:rPr>
        <w:t>Th</w:t>
      </w:r>
      <w:r w:rsidR="00A40014">
        <w:rPr>
          <w:szCs w:val="24"/>
        </w:rPr>
        <w:t>e EMIT</w:t>
      </w:r>
      <w:r w:rsidR="000F6097" w:rsidRPr="00F97B2D">
        <w:rPr>
          <w:szCs w:val="24"/>
        </w:rPr>
        <w:t xml:space="preserve"> technology is </w:t>
      </w:r>
      <w:r w:rsidR="00D11522" w:rsidRPr="00F97B2D">
        <w:rPr>
          <w:szCs w:val="24"/>
        </w:rPr>
        <w:t>a simplified protocol and easily adapted to automation.  E</w:t>
      </w:r>
      <w:r w:rsidR="00A40014">
        <w:rPr>
          <w:szCs w:val="24"/>
        </w:rPr>
        <w:t>nzyme multiplied immunoassay</w:t>
      </w:r>
      <w:r w:rsidR="00D11522" w:rsidRPr="00F97B2D">
        <w:rPr>
          <w:szCs w:val="24"/>
        </w:rPr>
        <w:t xml:space="preserve">s also offer significant sensitivity </w:t>
      </w:r>
      <w:r w:rsidR="00211CA4">
        <w:rPr>
          <w:szCs w:val="24"/>
        </w:rPr>
        <w:t xml:space="preserve">increases </w:t>
      </w:r>
      <w:r w:rsidR="00D11522" w:rsidRPr="00F97B2D">
        <w:rPr>
          <w:szCs w:val="24"/>
        </w:rPr>
        <w:t>over h</w:t>
      </w:r>
      <w:r w:rsidR="00723EE5">
        <w:rPr>
          <w:szCs w:val="24"/>
        </w:rPr>
        <w:t>eterogeneous assays like ELISA</w:t>
      </w:r>
      <w:r w:rsidR="00D11522" w:rsidRPr="00F97B2D">
        <w:rPr>
          <w:szCs w:val="24"/>
        </w:rPr>
        <w:t>.</w:t>
      </w:r>
      <w:sdt>
        <w:sdtPr>
          <w:rPr>
            <w:szCs w:val="24"/>
          </w:rPr>
          <w:id w:val="258901364"/>
          <w:citation/>
        </w:sdtPr>
        <w:sdtEndPr/>
        <w:sdtContent>
          <w:r w:rsidR="000E239B" w:rsidRPr="00420938">
            <w:rPr>
              <w:rStyle w:val="In-TextCitation"/>
            </w:rPr>
            <w:fldChar w:fldCharType="begin"/>
          </w:r>
          <w:r w:rsidR="00723EE5" w:rsidRPr="00420938">
            <w:rPr>
              <w:rStyle w:val="In-TextCitation"/>
            </w:rPr>
            <w:instrText xml:space="preserve"> CITATION Ull05 \l 1033 </w:instrText>
          </w:r>
          <w:r w:rsidR="000E239B" w:rsidRPr="00420938">
            <w:rPr>
              <w:rStyle w:val="In-TextCitation"/>
            </w:rPr>
            <w:fldChar w:fldCharType="separate"/>
          </w:r>
          <w:r w:rsidR="00420938" w:rsidRPr="00420938">
            <w:rPr>
              <w:rStyle w:val="In-TextCitation"/>
            </w:rPr>
            <w:t>(</w:t>
          </w:r>
          <w:hyperlink w:anchor="Ull05" w:history="1">
            <w:r w:rsidR="00420938" w:rsidRPr="00420938">
              <w:rPr>
                <w:rStyle w:val="In-TextCitation"/>
              </w:rPr>
              <w:t>64</w:t>
            </w:r>
          </w:hyperlink>
          <w:r w:rsidR="00420938" w:rsidRPr="00420938">
            <w:rPr>
              <w:rStyle w:val="In-TextCitation"/>
            </w:rPr>
            <w:t>)</w:t>
          </w:r>
          <w:r w:rsidR="000E239B" w:rsidRPr="00420938">
            <w:rPr>
              <w:rStyle w:val="In-TextCitation"/>
            </w:rPr>
            <w:fldChar w:fldCharType="end"/>
          </w:r>
        </w:sdtContent>
      </w:sdt>
      <w:r w:rsidR="00D11522" w:rsidRPr="00F97B2D">
        <w:rPr>
          <w:szCs w:val="24"/>
        </w:rPr>
        <w:t xml:space="preserve">  However, like ELISA, lengthy research is required to develop antibodies that not only offer specificity and affinity to the target but also inhibition of the drug-enzyme conjugate.</w:t>
      </w:r>
      <w:r w:rsidR="001877E9" w:rsidRPr="00F97B2D">
        <w:rPr>
          <w:szCs w:val="24"/>
        </w:rPr>
        <w:t xml:space="preserve">  Today, Syva, a </w:t>
      </w:r>
      <w:r w:rsidR="00DB730E">
        <w:rPr>
          <w:szCs w:val="24"/>
        </w:rPr>
        <w:t>division</w:t>
      </w:r>
      <w:r w:rsidR="001877E9" w:rsidRPr="00F97B2D">
        <w:rPr>
          <w:szCs w:val="24"/>
        </w:rPr>
        <w:t xml:space="preserve"> of Siemens, offers the most popular assays of this nature for the detection of </w:t>
      </w:r>
      <w:r w:rsidR="00DB730E">
        <w:rPr>
          <w:szCs w:val="24"/>
        </w:rPr>
        <w:t xml:space="preserve">drug </w:t>
      </w:r>
      <w:r w:rsidR="001877E9" w:rsidRPr="00F97B2D">
        <w:rPr>
          <w:szCs w:val="24"/>
        </w:rPr>
        <w:t xml:space="preserve">metabolites in urine. </w:t>
      </w:r>
    </w:p>
    <w:p w:rsidR="00B20DFC" w:rsidRDefault="00B20DFC" w:rsidP="009D7C48">
      <w:pPr>
        <w:keepNext/>
        <w:spacing w:after="0" w:line="480" w:lineRule="auto"/>
        <w:jc w:val="center"/>
        <w:sectPr w:rsidR="00B20DFC" w:rsidSect="00005A65">
          <w:pgSz w:w="12240" w:h="15840" w:code="1"/>
          <w:pgMar w:top="1440" w:right="1440" w:bottom="1800" w:left="2160" w:header="720" w:footer="720" w:gutter="0"/>
          <w:cols w:space="720"/>
          <w:docGrid w:linePitch="360"/>
        </w:sectPr>
      </w:pPr>
    </w:p>
    <w:p w:rsidR="009D7C48" w:rsidRDefault="009D7C48" w:rsidP="009D7C48">
      <w:pPr>
        <w:keepNext/>
        <w:spacing w:after="0" w:line="480" w:lineRule="auto"/>
        <w:jc w:val="center"/>
      </w:pPr>
      <w:r>
        <w:rPr>
          <w:noProof/>
          <w:szCs w:val="24"/>
          <w:lang w:bidi="ar-SA"/>
        </w:rPr>
        <w:drawing>
          <wp:inline distT="0" distB="0" distL="0" distR="0">
            <wp:extent cx="5486400" cy="2247097"/>
            <wp:effectExtent l="19050" t="19050" r="19050" b="1985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011E.tmp"/>
                    <pic:cNvPicPr/>
                  </pic:nvPicPr>
                  <pic:blipFill rotWithShape="1">
                    <a:blip r:embed="rId15">
                      <a:extLst>
                        <a:ext uri="{28A0092B-C50C-407E-A947-70E740481C1C}">
                          <a14:useLocalDpi xmlns:a14="http://schemas.microsoft.com/office/drawing/2010/main" val="0"/>
                        </a:ext>
                      </a:extLst>
                    </a:blip>
                    <a:srcRect l="8460" t="17391" r="11062" b="22879"/>
                    <a:stretch/>
                  </pic:blipFill>
                  <pic:spPr bwMode="auto">
                    <a:xfrm>
                      <a:off x="0" y="0"/>
                      <a:ext cx="5486400" cy="22470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D7C48" w:rsidRDefault="009D7C48" w:rsidP="009D7C48">
      <w:pPr>
        <w:pStyle w:val="Caption"/>
      </w:pPr>
      <w:bookmarkStart w:id="91" w:name="_Ref364077050"/>
      <w:bookmarkStart w:id="92" w:name="_Toc372536130"/>
      <w:r>
        <w:t xml:space="preserve">Figure </w:t>
      </w:r>
      <w:r w:rsidR="000E239B">
        <w:fldChar w:fldCharType="begin"/>
      </w:r>
      <w:r>
        <w:instrText xml:space="preserve"> SEQ Figure \* ARABIC </w:instrText>
      </w:r>
      <w:r w:rsidR="000E239B">
        <w:fldChar w:fldCharType="separate"/>
      </w:r>
      <w:r w:rsidR="00E37796">
        <w:rPr>
          <w:noProof/>
        </w:rPr>
        <w:t>3</w:t>
      </w:r>
      <w:r w:rsidR="000E239B">
        <w:fldChar w:fldCharType="end"/>
      </w:r>
      <w:bookmarkEnd w:id="91"/>
      <w:r>
        <w:t xml:space="preserve">: Diagram of an EMIT </w:t>
      </w:r>
      <w:r w:rsidR="00E951CA">
        <w:t xml:space="preserve">system </w:t>
      </w:r>
      <w:sdt>
        <w:sdtPr>
          <w:id w:val="258901365"/>
          <w:citation/>
        </w:sdtPr>
        <w:sdtEndPr/>
        <w:sdtContent>
          <w:r w:rsidR="000E239B" w:rsidRPr="00420938">
            <w:rPr>
              <w:rStyle w:val="In-TextCitation"/>
            </w:rPr>
            <w:fldChar w:fldCharType="begin"/>
          </w:r>
          <w:r w:rsidR="00723EE5" w:rsidRPr="00420938">
            <w:rPr>
              <w:rStyle w:val="In-TextCitation"/>
            </w:rPr>
            <w:instrText xml:space="preserve"> CITATION Koi06 \l 1033 </w:instrText>
          </w:r>
          <w:r w:rsidR="000E239B" w:rsidRPr="00420938">
            <w:rPr>
              <w:rStyle w:val="In-TextCitation"/>
            </w:rPr>
            <w:fldChar w:fldCharType="separate"/>
          </w:r>
          <w:r w:rsidR="00420938" w:rsidRPr="00420938">
            <w:rPr>
              <w:rStyle w:val="In-TextCitation"/>
            </w:rPr>
            <w:t>(</w:t>
          </w:r>
          <w:hyperlink w:anchor="Koi06" w:history="1">
            <w:r w:rsidR="00420938" w:rsidRPr="00420938">
              <w:rPr>
                <w:rStyle w:val="In-TextCitation"/>
              </w:rPr>
              <w:t>65</w:t>
            </w:r>
          </w:hyperlink>
          <w:r w:rsidR="00420938" w:rsidRPr="00420938">
            <w:rPr>
              <w:rStyle w:val="In-TextCitation"/>
            </w:rPr>
            <w:t>)</w:t>
          </w:r>
          <w:r w:rsidR="000E239B" w:rsidRPr="00420938">
            <w:rPr>
              <w:rStyle w:val="In-TextCitation"/>
            </w:rPr>
            <w:fldChar w:fldCharType="end"/>
          </w:r>
        </w:sdtContent>
      </w:sdt>
      <w:bookmarkEnd w:id="92"/>
    </w:p>
    <w:p w:rsidR="00281DAC" w:rsidRDefault="00281DAC" w:rsidP="005D39B6">
      <w:pPr>
        <w:spacing w:line="480" w:lineRule="auto"/>
        <w:ind w:firstLine="720"/>
        <w:rPr>
          <w:szCs w:val="24"/>
        </w:rPr>
      </w:pPr>
    </w:p>
    <w:p w:rsidR="005D39B6" w:rsidRPr="00F97B2D" w:rsidRDefault="00251AF4" w:rsidP="005D39B6">
      <w:pPr>
        <w:spacing w:line="480" w:lineRule="auto"/>
        <w:ind w:firstLine="720"/>
        <w:rPr>
          <w:szCs w:val="24"/>
        </w:rPr>
      </w:pPr>
      <w:r w:rsidRPr="00F97B2D">
        <w:rPr>
          <w:szCs w:val="24"/>
        </w:rPr>
        <w:t xml:space="preserve">Like ELISA, </w:t>
      </w:r>
      <w:r w:rsidR="00F066F5">
        <w:rPr>
          <w:szCs w:val="24"/>
        </w:rPr>
        <w:t>assay</w:t>
      </w:r>
      <w:r w:rsidRPr="00F97B2D">
        <w:rPr>
          <w:szCs w:val="24"/>
        </w:rPr>
        <w:t xml:space="preserve">s have been developed by Syva for common drugs of abuse, including amphetamines, barbiturates, benzodiazepines, benzoylecgonine, Ecstasy, opiates, and THC.  There are no </w:t>
      </w:r>
      <w:r w:rsidR="00F066F5">
        <w:rPr>
          <w:szCs w:val="24"/>
        </w:rPr>
        <w:t>assay</w:t>
      </w:r>
      <w:r w:rsidRPr="00F97B2D">
        <w:rPr>
          <w:szCs w:val="24"/>
        </w:rPr>
        <w:t xml:space="preserve">s yet available for synthetic cathinones.  For </w:t>
      </w:r>
      <w:r w:rsidR="00A40014">
        <w:rPr>
          <w:szCs w:val="24"/>
        </w:rPr>
        <w:t>EMITs</w:t>
      </w:r>
      <w:r w:rsidRPr="00F97B2D">
        <w:rPr>
          <w:szCs w:val="24"/>
        </w:rPr>
        <w:t>, it is also important to understand cross-reactivity using the current platforms</w:t>
      </w:r>
      <w:r w:rsidR="00211CA4">
        <w:rPr>
          <w:szCs w:val="24"/>
        </w:rPr>
        <w:t>,</w:t>
      </w:r>
      <w:r w:rsidRPr="00F97B2D">
        <w:rPr>
          <w:szCs w:val="24"/>
        </w:rPr>
        <w:t xml:space="preserve"> as specific assays for such designer drugs </w:t>
      </w:r>
      <w:r w:rsidR="00E951CA" w:rsidRPr="00F97B2D">
        <w:rPr>
          <w:szCs w:val="24"/>
        </w:rPr>
        <w:t>is</w:t>
      </w:r>
      <w:r w:rsidRPr="00F97B2D">
        <w:rPr>
          <w:szCs w:val="24"/>
        </w:rPr>
        <w:t xml:space="preserve"> not yet available, as will be discussed further in Chapter 3.</w:t>
      </w:r>
      <w:r w:rsidR="00D11522" w:rsidRPr="00F97B2D">
        <w:rPr>
          <w:szCs w:val="24"/>
        </w:rPr>
        <w:t xml:space="preserve">   </w:t>
      </w:r>
      <w:r w:rsidR="000F6097" w:rsidRPr="00F97B2D">
        <w:rPr>
          <w:szCs w:val="24"/>
        </w:rPr>
        <w:t xml:space="preserve">    </w:t>
      </w:r>
    </w:p>
    <w:p w:rsidR="004F383F" w:rsidRPr="00F97B2D" w:rsidRDefault="00861B70" w:rsidP="00F97B2D">
      <w:pPr>
        <w:pStyle w:val="Heading3"/>
      </w:pPr>
      <w:bookmarkStart w:id="93" w:name="_Toc372536038"/>
      <w:bookmarkStart w:id="94" w:name="_Toc372538701"/>
      <w:r w:rsidRPr="00F97B2D">
        <w:t>Confirmatory t</w:t>
      </w:r>
      <w:r w:rsidR="004F383F" w:rsidRPr="00F97B2D">
        <w:t>echniques</w:t>
      </w:r>
      <w:bookmarkEnd w:id="93"/>
      <w:bookmarkEnd w:id="94"/>
    </w:p>
    <w:p w:rsidR="00224A0F" w:rsidRPr="00F97B2D" w:rsidRDefault="00224A0F" w:rsidP="0003131B">
      <w:pPr>
        <w:spacing w:after="0" w:line="480" w:lineRule="auto"/>
        <w:ind w:firstLine="720"/>
        <w:rPr>
          <w:szCs w:val="24"/>
        </w:rPr>
      </w:pPr>
      <w:r w:rsidRPr="00F97B2D">
        <w:rPr>
          <w:szCs w:val="24"/>
        </w:rPr>
        <w:t>After presumptive screens are employed, positive resu</w:t>
      </w:r>
      <w:r w:rsidR="0035433A" w:rsidRPr="00F97B2D">
        <w:rPr>
          <w:szCs w:val="24"/>
        </w:rPr>
        <w:t xml:space="preserve">lts are confirmed, generally by </w:t>
      </w:r>
      <w:r w:rsidRPr="00F97B2D">
        <w:rPr>
          <w:szCs w:val="24"/>
        </w:rPr>
        <w:t>chromatographic techniques such as GC-MS or LC-MS, in order to accurately identify and</w:t>
      </w:r>
      <w:r w:rsidR="00211CA4">
        <w:rPr>
          <w:szCs w:val="24"/>
        </w:rPr>
        <w:t>, if necessary,</w:t>
      </w:r>
      <w:r w:rsidRPr="00F97B2D">
        <w:rPr>
          <w:szCs w:val="24"/>
        </w:rPr>
        <w:t xml:space="preserve"> quantify the compounds </w:t>
      </w:r>
      <w:r w:rsidR="0072494B" w:rsidRPr="00F97B2D">
        <w:rPr>
          <w:szCs w:val="24"/>
        </w:rPr>
        <w:t xml:space="preserve">present.  </w:t>
      </w:r>
      <w:r w:rsidRPr="00F97B2D">
        <w:rPr>
          <w:szCs w:val="24"/>
        </w:rPr>
        <w:t xml:space="preserve">Since many of the designer drugs may </w:t>
      </w:r>
      <w:r w:rsidR="00AA2498" w:rsidRPr="00F97B2D">
        <w:rPr>
          <w:szCs w:val="24"/>
        </w:rPr>
        <w:t xml:space="preserve">not be </w:t>
      </w:r>
      <w:r w:rsidR="00DB730E">
        <w:rPr>
          <w:szCs w:val="24"/>
        </w:rPr>
        <w:t>detected</w:t>
      </w:r>
      <w:r w:rsidRPr="00F97B2D">
        <w:rPr>
          <w:szCs w:val="24"/>
        </w:rPr>
        <w:t xml:space="preserve"> by immunoassay</w:t>
      </w:r>
      <w:r w:rsidR="00AA2498" w:rsidRPr="00F97B2D">
        <w:rPr>
          <w:szCs w:val="24"/>
        </w:rPr>
        <w:t xml:space="preserve"> screens</w:t>
      </w:r>
      <w:r w:rsidRPr="00F97B2D">
        <w:rPr>
          <w:szCs w:val="24"/>
        </w:rPr>
        <w:t xml:space="preserve">, confirmatory techniques are necessary to fully characterize biological specimens when </w:t>
      </w:r>
      <w:r w:rsidR="0072494B" w:rsidRPr="00F97B2D">
        <w:rPr>
          <w:szCs w:val="24"/>
        </w:rPr>
        <w:t xml:space="preserve">screening for these drugs.  </w:t>
      </w:r>
      <w:r w:rsidRPr="00F97B2D">
        <w:rPr>
          <w:szCs w:val="24"/>
        </w:rPr>
        <w:t xml:space="preserve">Even when using MS-based screening techniques, some of the newer designer drugs may be overlooked, either because reference spectra are not available or because </w:t>
      </w:r>
      <w:r w:rsidR="00C26893" w:rsidRPr="00F97B2D">
        <w:rPr>
          <w:szCs w:val="24"/>
        </w:rPr>
        <w:t>single ion monitoring (</w:t>
      </w:r>
      <w:r w:rsidRPr="00F97B2D">
        <w:rPr>
          <w:szCs w:val="24"/>
        </w:rPr>
        <w:t>SIM</w:t>
      </w:r>
      <w:r w:rsidR="00C26893" w:rsidRPr="00F97B2D">
        <w:rPr>
          <w:szCs w:val="24"/>
        </w:rPr>
        <w:t>)</w:t>
      </w:r>
      <w:r w:rsidRPr="00F97B2D">
        <w:rPr>
          <w:szCs w:val="24"/>
        </w:rPr>
        <w:t xml:space="preserve"> or</w:t>
      </w:r>
      <w:r w:rsidR="00C26893" w:rsidRPr="00F97B2D">
        <w:rPr>
          <w:szCs w:val="24"/>
        </w:rPr>
        <w:t xml:space="preserve"> multiple reaction monitoring</w:t>
      </w:r>
      <w:r w:rsidRPr="00F97B2D">
        <w:rPr>
          <w:szCs w:val="24"/>
        </w:rPr>
        <w:t xml:space="preserve"> </w:t>
      </w:r>
      <w:r w:rsidR="00C26893" w:rsidRPr="00F97B2D">
        <w:rPr>
          <w:szCs w:val="24"/>
        </w:rPr>
        <w:t>(</w:t>
      </w:r>
      <w:r w:rsidRPr="00F97B2D">
        <w:rPr>
          <w:szCs w:val="24"/>
        </w:rPr>
        <w:t>MRM</w:t>
      </w:r>
      <w:r w:rsidR="00C26893" w:rsidRPr="00F97B2D">
        <w:rPr>
          <w:szCs w:val="24"/>
        </w:rPr>
        <w:t>)</w:t>
      </w:r>
      <w:r w:rsidRPr="00F97B2D">
        <w:rPr>
          <w:szCs w:val="24"/>
        </w:rPr>
        <w:t xml:space="preserve"> methods may miss t</w:t>
      </w:r>
      <w:r w:rsidR="00AA2498" w:rsidRPr="00F97B2D">
        <w:rPr>
          <w:szCs w:val="24"/>
        </w:rPr>
        <w:t xml:space="preserve">he typical fragments of certain </w:t>
      </w:r>
      <w:r w:rsidRPr="00F97B2D">
        <w:rPr>
          <w:szCs w:val="24"/>
        </w:rPr>
        <w:t>compounds.</w:t>
      </w:r>
      <w:sdt>
        <w:sdtPr>
          <w:rPr>
            <w:szCs w:val="24"/>
          </w:rPr>
          <w:id w:val="-1833839696"/>
          <w:citation/>
        </w:sdtPr>
        <w:sdtEndPr/>
        <w:sdtContent>
          <w:r w:rsidR="000E239B" w:rsidRPr="00420938">
            <w:rPr>
              <w:rStyle w:val="In-TextCitation"/>
            </w:rPr>
            <w:fldChar w:fldCharType="begin"/>
          </w:r>
          <w:r w:rsidR="0035433A" w:rsidRPr="00420938">
            <w:rPr>
              <w:rStyle w:val="In-TextCitation"/>
            </w:rPr>
            <w:instrText xml:space="preserve"> CITATION Pet10 \l 1033 </w:instrText>
          </w:r>
          <w:r w:rsidR="000E239B" w:rsidRPr="00420938">
            <w:rPr>
              <w:rStyle w:val="In-TextCitation"/>
            </w:rPr>
            <w:fldChar w:fldCharType="separate"/>
          </w:r>
          <w:r w:rsidR="00420938" w:rsidRPr="00420938">
            <w:rPr>
              <w:rStyle w:val="In-TextCitation"/>
            </w:rPr>
            <w:t>(</w:t>
          </w:r>
          <w:hyperlink w:anchor="Pet10" w:history="1">
            <w:r w:rsidR="00420938" w:rsidRPr="00420938">
              <w:rPr>
                <w:rStyle w:val="In-TextCitation"/>
              </w:rPr>
              <w:t>66</w:t>
            </w:r>
          </w:hyperlink>
          <w:r w:rsidR="00420938" w:rsidRPr="00420938">
            <w:rPr>
              <w:rStyle w:val="In-TextCitation"/>
            </w:rPr>
            <w:t>)</w:t>
          </w:r>
          <w:r w:rsidR="000E239B" w:rsidRPr="00420938">
            <w:rPr>
              <w:rStyle w:val="In-TextCitation"/>
            </w:rPr>
            <w:fldChar w:fldCharType="end"/>
          </w:r>
        </w:sdtContent>
      </w:sdt>
      <w:r w:rsidR="0072494B" w:rsidRPr="00F97B2D">
        <w:rPr>
          <w:szCs w:val="24"/>
        </w:rPr>
        <w:t xml:space="preserve">  </w:t>
      </w:r>
      <w:r w:rsidRPr="00F97B2D">
        <w:rPr>
          <w:szCs w:val="24"/>
        </w:rPr>
        <w:t xml:space="preserve">For these reasons, it is important to </w:t>
      </w:r>
      <w:r w:rsidR="00211CA4">
        <w:rPr>
          <w:szCs w:val="24"/>
        </w:rPr>
        <w:t xml:space="preserve">expand and </w:t>
      </w:r>
      <w:r w:rsidRPr="00F97B2D">
        <w:rPr>
          <w:szCs w:val="24"/>
        </w:rPr>
        <w:t>improve upon</w:t>
      </w:r>
      <w:r w:rsidR="00AA2498" w:rsidRPr="00F97B2D">
        <w:rPr>
          <w:szCs w:val="24"/>
        </w:rPr>
        <w:t xml:space="preserve"> current analytical methods for </w:t>
      </w:r>
      <w:r w:rsidRPr="00F97B2D">
        <w:rPr>
          <w:szCs w:val="24"/>
        </w:rPr>
        <w:t xml:space="preserve">comprehensive screening and confirmation of designer drugs. </w:t>
      </w:r>
    </w:p>
    <w:p w:rsidR="004F383F" w:rsidRPr="00F97B2D" w:rsidRDefault="004F383F" w:rsidP="00AC5F51">
      <w:pPr>
        <w:pStyle w:val="Heading4"/>
      </w:pPr>
      <w:bookmarkStart w:id="95" w:name="_Toc372536039"/>
      <w:bookmarkStart w:id="96" w:name="_Toc372538702"/>
      <w:r w:rsidRPr="00F97B2D">
        <w:t>GC-MS</w:t>
      </w:r>
      <w:bookmarkEnd w:id="95"/>
      <w:bookmarkEnd w:id="96"/>
    </w:p>
    <w:p w:rsidR="00224A0F" w:rsidRPr="00F97B2D" w:rsidRDefault="00224A0F" w:rsidP="00224A0F">
      <w:pPr>
        <w:autoSpaceDE w:val="0"/>
        <w:autoSpaceDN w:val="0"/>
        <w:adjustRightInd w:val="0"/>
        <w:spacing w:after="0" w:line="480" w:lineRule="auto"/>
        <w:ind w:firstLine="720"/>
        <w:rPr>
          <w:szCs w:val="24"/>
        </w:rPr>
      </w:pPr>
      <w:r w:rsidRPr="00F97B2D">
        <w:rPr>
          <w:szCs w:val="24"/>
        </w:rPr>
        <w:t>G</w:t>
      </w:r>
      <w:r w:rsidR="00A40014">
        <w:rPr>
          <w:szCs w:val="24"/>
        </w:rPr>
        <w:t>as chromatography-mass spectrometry</w:t>
      </w:r>
      <w:r w:rsidRPr="00F97B2D">
        <w:rPr>
          <w:szCs w:val="24"/>
        </w:rPr>
        <w:t xml:space="preserve"> is a widely used analytical technique for the detection and quantification of a vast range of drugs in forensic toxicology. </w:t>
      </w:r>
      <w:r w:rsidR="0072494B" w:rsidRPr="00F97B2D">
        <w:rPr>
          <w:szCs w:val="24"/>
        </w:rPr>
        <w:t xml:space="preserve"> </w:t>
      </w:r>
      <w:r w:rsidRPr="00F97B2D">
        <w:rPr>
          <w:szCs w:val="24"/>
        </w:rPr>
        <w:t>G</w:t>
      </w:r>
      <w:r w:rsidR="00A40014">
        <w:rPr>
          <w:szCs w:val="24"/>
        </w:rPr>
        <w:t>as chromatography-mass spectrometry</w:t>
      </w:r>
      <w:r w:rsidRPr="00F97B2D">
        <w:rPr>
          <w:szCs w:val="24"/>
        </w:rPr>
        <w:t xml:space="preserve"> requires relatively volatile analytes, giving rise to the need for the selective extraction of the drugs from the biological matrix of choice and, </w:t>
      </w:r>
      <w:r w:rsidR="00DB730E">
        <w:rPr>
          <w:szCs w:val="24"/>
        </w:rPr>
        <w:t>often</w:t>
      </w:r>
      <w:r w:rsidRPr="00F97B2D">
        <w:rPr>
          <w:szCs w:val="24"/>
        </w:rPr>
        <w:t xml:space="preserve">, subsequent derivatization prior to GC analysis. </w:t>
      </w:r>
      <w:r w:rsidR="0072494B" w:rsidRPr="00F97B2D">
        <w:rPr>
          <w:szCs w:val="24"/>
        </w:rPr>
        <w:t xml:space="preserve"> </w:t>
      </w:r>
      <w:r w:rsidRPr="00F97B2D">
        <w:rPr>
          <w:szCs w:val="24"/>
        </w:rPr>
        <w:t xml:space="preserve">Although several GC-MS methods have been published for the simultaneous analysis of a number of designer drugs belonging to different structural </w:t>
      </w:r>
      <w:proofErr w:type="gramStart"/>
      <w:r w:rsidR="00E951CA" w:rsidRPr="00F97B2D">
        <w:rPr>
          <w:szCs w:val="24"/>
        </w:rPr>
        <w:t>classes</w:t>
      </w:r>
      <w:r w:rsidR="00F60F9D" w:rsidRPr="00F60F9D">
        <w:rPr>
          <w:szCs w:val="24"/>
          <w:vertAlign w:val="superscript"/>
        </w:rPr>
        <w:t>(</w:t>
      </w:r>
      <w:proofErr w:type="gramEnd"/>
      <w:r w:rsidR="00F60F9D" w:rsidRPr="00F60F9D">
        <w:rPr>
          <w:szCs w:val="24"/>
          <w:vertAlign w:val="superscript"/>
        </w:rPr>
        <w:t>67-69)</w:t>
      </w:r>
      <w:r w:rsidRPr="00F97B2D">
        <w:rPr>
          <w:szCs w:val="24"/>
        </w:rPr>
        <w:t xml:space="preserve"> most of the published literature focuses on the detection of single drugs and their associated metabolites.</w:t>
      </w:r>
      <w:r w:rsidR="00F60F9D" w:rsidRPr="00F60F9D">
        <w:rPr>
          <w:szCs w:val="24"/>
          <w:vertAlign w:val="superscript"/>
        </w:rPr>
        <w:t>(70-74)</w:t>
      </w:r>
      <w:r w:rsidRPr="00F97B2D">
        <w:rPr>
          <w:szCs w:val="24"/>
        </w:rPr>
        <w:t xml:space="preserve"> </w:t>
      </w:r>
      <w:r w:rsidR="00E277F0">
        <w:rPr>
          <w:szCs w:val="24"/>
        </w:rPr>
        <w:t>The drug-specific method</w:t>
      </w:r>
      <w:r w:rsidRPr="00F97B2D">
        <w:rPr>
          <w:szCs w:val="24"/>
        </w:rPr>
        <w:t xml:space="preserve"> approach is a consequence of the continuing appearance of novel drug analogs on the illicit market. </w:t>
      </w:r>
      <w:r w:rsidR="00ED77A8" w:rsidRPr="00F97B2D">
        <w:rPr>
          <w:szCs w:val="24"/>
        </w:rPr>
        <w:t xml:space="preserve"> </w:t>
      </w:r>
      <w:r w:rsidRPr="00F97B2D">
        <w:rPr>
          <w:szCs w:val="24"/>
        </w:rPr>
        <w:t>Some research groups have developed methods for simultaneous detection of a small number of the most frequently encountered designer drugs</w:t>
      </w:r>
      <w:proofErr w:type="gramStart"/>
      <w:r w:rsidRPr="00F97B2D">
        <w:rPr>
          <w:szCs w:val="24"/>
        </w:rPr>
        <w:t>,</w:t>
      </w:r>
      <w:r w:rsidR="00F60F9D" w:rsidRPr="00F60F9D">
        <w:rPr>
          <w:szCs w:val="24"/>
          <w:vertAlign w:val="superscript"/>
        </w:rPr>
        <w:t>(</w:t>
      </w:r>
      <w:proofErr w:type="gramEnd"/>
      <w:r w:rsidR="00F60F9D" w:rsidRPr="00F60F9D">
        <w:rPr>
          <w:szCs w:val="24"/>
          <w:vertAlign w:val="superscript"/>
        </w:rPr>
        <w:t>75-79)</w:t>
      </w:r>
      <w:r w:rsidRPr="00F97B2D">
        <w:rPr>
          <w:szCs w:val="24"/>
        </w:rPr>
        <w:t xml:space="preserve"> while others have focused on creating GC-MS databases of designer and other drugs of abuse.</w:t>
      </w:r>
      <w:sdt>
        <w:sdtPr>
          <w:rPr>
            <w:szCs w:val="24"/>
          </w:rPr>
          <w:id w:val="-1833839630"/>
          <w:citation/>
        </w:sdtPr>
        <w:sdtEndPr/>
        <w:sdtContent>
          <w:r w:rsidR="000E239B" w:rsidRPr="00420938">
            <w:rPr>
              <w:rStyle w:val="In-TextCitation"/>
            </w:rPr>
            <w:fldChar w:fldCharType="begin"/>
          </w:r>
          <w:r w:rsidR="00B353A1" w:rsidRPr="00420938">
            <w:rPr>
              <w:rStyle w:val="In-TextCitation"/>
            </w:rPr>
            <w:instrText xml:space="preserve"> CITATION Kud09 \l 1033  \m Tak09</w:instrText>
          </w:r>
          <w:r w:rsidR="000E239B" w:rsidRPr="00420938">
            <w:rPr>
              <w:rStyle w:val="In-TextCitation"/>
            </w:rPr>
            <w:fldChar w:fldCharType="separate"/>
          </w:r>
          <w:r w:rsidR="00420938" w:rsidRPr="00420938">
            <w:rPr>
              <w:rStyle w:val="In-TextCitation"/>
            </w:rPr>
            <w:t>(</w:t>
          </w:r>
          <w:hyperlink w:anchor="Kud09" w:history="1">
            <w:r w:rsidR="00420938" w:rsidRPr="00420938">
              <w:rPr>
                <w:rStyle w:val="In-TextCitation"/>
              </w:rPr>
              <w:t>80</w:t>
            </w:r>
          </w:hyperlink>
          <w:r w:rsidR="00420938" w:rsidRPr="00420938">
            <w:rPr>
              <w:rStyle w:val="In-TextCitation"/>
            </w:rPr>
            <w:t>,</w:t>
          </w:r>
          <w:hyperlink w:anchor="Tak09" w:history="1">
            <w:r w:rsidR="00420938" w:rsidRPr="00420938">
              <w:rPr>
                <w:rStyle w:val="In-TextCitation"/>
              </w:rPr>
              <w:t>81</w:t>
            </w:r>
          </w:hyperlink>
          <w:r w:rsidR="00420938" w:rsidRPr="00420938">
            <w:rPr>
              <w:rStyle w:val="In-TextCitation"/>
            </w:rPr>
            <w:t>)</w:t>
          </w:r>
          <w:r w:rsidR="000E239B" w:rsidRPr="00420938">
            <w:rPr>
              <w:rStyle w:val="In-TextCitation"/>
            </w:rPr>
            <w:fldChar w:fldCharType="end"/>
          </w:r>
        </w:sdtContent>
      </w:sdt>
      <w:r w:rsidR="00B353A1" w:rsidRPr="00F97B2D">
        <w:rPr>
          <w:szCs w:val="24"/>
        </w:rPr>
        <w:t xml:space="preserve">  </w:t>
      </w:r>
      <w:r w:rsidRPr="00F97B2D">
        <w:rPr>
          <w:szCs w:val="24"/>
        </w:rPr>
        <w:t>A two-dimensional GC-MS method for the achievement of higher chromatographic resolution and selectivity has also been reported.</w:t>
      </w:r>
      <w:sdt>
        <w:sdtPr>
          <w:rPr>
            <w:szCs w:val="24"/>
          </w:rPr>
          <w:id w:val="-1833839629"/>
          <w:citation/>
        </w:sdtPr>
        <w:sdtEndPr/>
        <w:sdtContent>
          <w:r w:rsidR="000E239B" w:rsidRPr="00420938">
            <w:rPr>
              <w:rStyle w:val="In-TextCitation"/>
            </w:rPr>
            <w:fldChar w:fldCharType="begin"/>
          </w:r>
          <w:r w:rsidR="00B353A1" w:rsidRPr="00420938">
            <w:rPr>
              <w:rStyle w:val="In-TextCitation"/>
            </w:rPr>
            <w:instrText xml:space="preserve"> CITATION Kol08 \l 1033 </w:instrText>
          </w:r>
          <w:r w:rsidR="000E239B" w:rsidRPr="00420938">
            <w:rPr>
              <w:rStyle w:val="In-TextCitation"/>
            </w:rPr>
            <w:fldChar w:fldCharType="separate"/>
          </w:r>
          <w:r w:rsidR="00420938" w:rsidRPr="00420938">
            <w:rPr>
              <w:rStyle w:val="In-TextCitation"/>
            </w:rPr>
            <w:t>(</w:t>
          </w:r>
          <w:hyperlink w:anchor="Kol08" w:history="1">
            <w:r w:rsidR="00420938" w:rsidRPr="00420938">
              <w:rPr>
                <w:rStyle w:val="In-TextCitation"/>
              </w:rPr>
              <w:t>82</w:t>
            </w:r>
          </w:hyperlink>
          <w:r w:rsidR="00420938" w:rsidRPr="00420938">
            <w:rPr>
              <w:rStyle w:val="In-TextCitation"/>
            </w:rPr>
            <w:t>)</w:t>
          </w:r>
          <w:r w:rsidR="000E239B" w:rsidRPr="00420938">
            <w:rPr>
              <w:rStyle w:val="In-TextCitation"/>
            </w:rPr>
            <w:fldChar w:fldCharType="end"/>
          </w:r>
        </w:sdtContent>
      </w:sdt>
      <w:r w:rsidRPr="00F97B2D">
        <w:rPr>
          <w:szCs w:val="24"/>
        </w:rPr>
        <w:t xml:space="preserve"> </w:t>
      </w:r>
      <w:r w:rsidR="00B353A1" w:rsidRPr="00F97B2D">
        <w:rPr>
          <w:szCs w:val="24"/>
        </w:rPr>
        <w:t xml:space="preserve"> </w:t>
      </w:r>
      <w:r w:rsidRPr="00F97B2D">
        <w:rPr>
          <w:szCs w:val="24"/>
        </w:rPr>
        <w:t>Aside from detection of designer drugs in biological specimens, GC-MS can also be applied as an analytical technique in studies exploring the metabolism of these drugs.</w:t>
      </w:r>
      <w:sdt>
        <w:sdtPr>
          <w:rPr>
            <w:szCs w:val="24"/>
          </w:rPr>
          <w:id w:val="-1833839620"/>
          <w:citation/>
        </w:sdtPr>
        <w:sdtEndPr/>
        <w:sdtContent>
          <w:r w:rsidR="000E239B" w:rsidRPr="00420938">
            <w:rPr>
              <w:rStyle w:val="In-TextCitation"/>
            </w:rPr>
            <w:fldChar w:fldCharType="begin"/>
          </w:r>
          <w:r w:rsidR="00B353A1" w:rsidRPr="00420938">
            <w:rPr>
              <w:rStyle w:val="In-TextCitation"/>
            </w:rPr>
            <w:instrText xml:space="preserve"> CITATION Mau00 \l 1033 </w:instrText>
          </w:r>
          <w:r w:rsidR="000E239B" w:rsidRPr="00420938">
            <w:rPr>
              <w:rStyle w:val="In-TextCitation"/>
            </w:rPr>
            <w:fldChar w:fldCharType="separate"/>
          </w:r>
          <w:r w:rsidR="00420938" w:rsidRPr="00420938">
            <w:rPr>
              <w:rStyle w:val="In-TextCitation"/>
            </w:rPr>
            <w:t>(</w:t>
          </w:r>
          <w:hyperlink w:anchor="Mau00" w:history="1">
            <w:r w:rsidR="00420938" w:rsidRPr="00420938">
              <w:rPr>
                <w:rStyle w:val="In-TextCitation"/>
              </w:rPr>
              <w:t>83</w:t>
            </w:r>
          </w:hyperlink>
          <w:r w:rsidR="00420938" w:rsidRPr="00420938">
            <w:rPr>
              <w:rStyle w:val="In-TextCitation"/>
            </w:rPr>
            <w:t>)</w:t>
          </w:r>
          <w:r w:rsidR="000E239B" w:rsidRPr="00420938">
            <w:rPr>
              <w:rStyle w:val="In-TextCitation"/>
            </w:rPr>
            <w:fldChar w:fldCharType="end"/>
          </w:r>
        </w:sdtContent>
      </w:sdt>
      <w:r w:rsidR="00B353A1" w:rsidRPr="00F97B2D">
        <w:rPr>
          <w:szCs w:val="24"/>
        </w:rPr>
        <w:t xml:space="preserve">  </w:t>
      </w:r>
      <w:r w:rsidRPr="00F97B2D">
        <w:rPr>
          <w:szCs w:val="24"/>
        </w:rPr>
        <w:t>Several reviews on the analysis of phenethylamine, tryptamine, piperazine and cathinone-</w:t>
      </w:r>
      <w:r w:rsidR="00DB730E">
        <w:rPr>
          <w:szCs w:val="24"/>
        </w:rPr>
        <w:t>related</w:t>
      </w:r>
      <w:r w:rsidR="00DB730E" w:rsidRPr="00F97B2D">
        <w:rPr>
          <w:szCs w:val="24"/>
        </w:rPr>
        <w:t xml:space="preserve"> </w:t>
      </w:r>
      <w:r w:rsidRPr="00F97B2D">
        <w:rPr>
          <w:szCs w:val="24"/>
        </w:rPr>
        <w:t>designer drug analogs have been published in recent years</w:t>
      </w:r>
      <w:proofErr w:type="gramStart"/>
      <w:r w:rsidR="00E951CA" w:rsidRPr="00F97B2D">
        <w:rPr>
          <w:szCs w:val="24"/>
        </w:rPr>
        <w:t>,</w:t>
      </w:r>
      <w:proofErr w:type="gramEnd"/>
      <w:sdt>
        <w:sdtPr>
          <w:rPr>
            <w:szCs w:val="24"/>
          </w:rPr>
          <w:id w:val="-1833839619"/>
          <w:citation/>
        </w:sdtPr>
        <w:sdtEndPr/>
        <w:sdtContent>
          <w:r w:rsidR="000E239B" w:rsidRPr="00420938">
            <w:rPr>
              <w:rStyle w:val="In-TextCitation"/>
            </w:rPr>
            <w:fldChar w:fldCharType="begin"/>
          </w:r>
          <w:r w:rsidR="001E5B98" w:rsidRPr="00420938">
            <w:rPr>
              <w:rStyle w:val="In-TextCitation"/>
            </w:rPr>
            <w:instrText xml:space="preserve"> CITATION Mau09 \l 1033  \m Nam11</w:instrText>
          </w:r>
          <w:r w:rsidR="000E239B" w:rsidRPr="00420938">
            <w:rPr>
              <w:rStyle w:val="In-TextCitation"/>
            </w:rPr>
            <w:fldChar w:fldCharType="separate"/>
          </w:r>
          <w:r w:rsidR="00420938" w:rsidRPr="00420938">
            <w:rPr>
              <w:rStyle w:val="In-TextCitation"/>
            </w:rPr>
            <w:t>(</w:t>
          </w:r>
          <w:hyperlink w:anchor="Mau09" w:history="1">
            <w:r w:rsidR="00420938" w:rsidRPr="00420938">
              <w:rPr>
                <w:rStyle w:val="In-TextCitation"/>
              </w:rPr>
              <w:t>42</w:t>
            </w:r>
          </w:hyperlink>
          <w:r w:rsidR="00420938" w:rsidRPr="00420938">
            <w:rPr>
              <w:rStyle w:val="In-TextCitation"/>
            </w:rPr>
            <w:t>,</w:t>
          </w:r>
          <w:hyperlink w:anchor="Nam11" w:history="1">
            <w:r w:rsidR="00420938" w:rsidRPr="00420938">
              <w:rPr>
                <w:rStyle w:val="In-TextCitation"/>
              </w:rPr>
              <w:t>84</w:t>
            </w:r>
          </w:hyperlink>
          <w:r w:rsidR="00420938" w:rsidRPr="00420938">
            <w:rPr>
              <w:rStyle w:val="In-TextCitation"/>
            </w:rPr>
            <w:t>)</w:t>
          </w:r>
          <w:r w:rsidR="000E239B" w:rsidRPr="00420938">
            <w:rPr>
              <w:rStyle w:val="In-TextCitation"/>
            </w:rPr>
            <w:fldChar w:fldCharType="end"/>
          </w:r>
        </w:sdtContent>
      </w:sdt>
      <w:r w:rsidRPr="00F97B2D">
        <w:rPr>
          <w:szCs w:val="24"/>
        </w:rPr>
        <w:t xml:space="preserve"> but comprehensive GC-MS screening methods spanning all of these drug classes are rare.  </w:t>
      </w:r>
    </w:p>
    <w:p w:rsidR="00211CA4" w:rsidRDefault="00224A0F" w:rsidP="00224A0F">
      <w:pPr>
        <w:autoSpaceDE w:val="0"/>
        <w:autoSpaceDN w:val="0"/>
        <w:adjustRightInd w:val="0"/>
        <w:spacing w:after="0" w:line="480" w:lineRule="auto"/>
        <w:ind w:firstLine="720"/>
        <w:rPr>
          <w:szCs w:val="24"/>
        </w:rPr>
      </w:pPr>
      <w:r w:rsidRPr="00F97B2D">
        <w:rPr>
          <w:szCs w:val="24"/>
        </w:rPr>
        <w:t>The three most commonly encountered biological matrices used for GC-MS based ante-mortem confirmatory drug analysis are whole blood or plasma/serum and urine.  Urine is a generally preferred matrix due to the non-invasive nature of its collection, but it contains mostly conjugated metabolites, requiring a hydrolysis step prior to further analysis by gas chromatography.</w:t>
      </w:r>
      <w:sdt>
        <w:sdtPr>
          <w:rPr>
            <w:szCs w:val="24"/>
          </w:rPr>
          <w:id w:val="-1833839608"/>
          <w:citation/>
        </w:sdtPr>
        <w:sdtEndPr/>
        <w:sdtContent>
          <w:r w:rsidR="000E239B" w:rsidRPr="00420938">
            <w:rPr>
              <w:rStyle w:val="In-TextCitation"/>
            </w:rPr>
            <w:fldChar w:fldCharType="begin"/>
          </w:r>
          <w:r w:rsidR="001E5B98" w:rsidRPr="00420938">
            <w:rPr>
              <w:rStyle w:val="In-TextCitation"/>
            </w:rPr>
            <w:instrText xml:space="preserve"> CITATION Dru99 \l 1033 </w:instrText>
          </w:r>
          <w:r w:rsidR="000E239B" w:rsidRPr="00420938">
            <w:rPr>
              <w:rStyle w:val="In-TextCitation"/>
            </w:rPr>
            <w:fldChar w:fldCharType="separate"/>
          </w:r>
          <w:r w:rsidR="00420938" w:rsidRPr="00420938">
            <w:rPr>
              <w:rStyle w:val="In-TextCitation"/>
            </w:rPr>
            <w:t>(</w:t>
          </w:r>
          <w:hyperlink w:anchor="Dru99" w:history="1">
            <w:r w:rsidR="00420938" w:rsidRPr="00420938">
              <w:rPr>
                <w:rStyle w:val="In-TextCitation"/>
              </w:rPr>
              <w:t>85</w:t>
            </w:r>
          </w:hyperlink>
          <w:r w:rsidR="00420938" w:rsidRPr="00420938">
            <w:rPr>
              <w:rStyle w:val="In-TextCitation"/>
            </w:rPr>
            <w:t>)</w:t>
          </w:r>
          <w:r w:rsidR="000E239B" w:rsidRPr="00420938">
            <w:rPr>
              <w:rStyle w:val="In-TextCitation"/>
            </w:rPr>
            <w:fldChar w:fldCharType="end"/>
          </w:r>
        </w:sdtContent>
      </w:sdt>
      <w:r w:rsidRPr="00F97B2D">
        <w:rPr>
          <w:szCs w:val="24"/>
        </w:rPr>
        <w:t xml:space="preserve"> </w:t>
      </w:r>
      <w:r w:rsidR="001E5B98" w:rsidRPr="00F97B2D">
        <w:rPr>
          <w:szCs w:val="24"/>
        </w:rPr>
        <w:t xml:space="preserve"> </w:t>
      </w:r>
      <w:r w:rsidRPr="00F97B2D">
        <w:rPr>
          <w:szCs w:val="24"/>
        </w:rPr>
        <w:t>Blood is the biological matrix of choice in postmortem analysis, as it provides good quantitative information that can be compared to ancillary data from other sources to assist with assigning lethal drug concentrations at the time of death.</w:t>
      </w:r>
      <w:sdt>
        <w:sdtPr>
          <w:rPr>
            <w:szCs w:val="24"/>
          </w:rPr>
          <w:id w:val="-1833839607"/>
          <w:citation/>
        </w:sdtPr>
        <w:sdtEndPr/>
        <w:sdtContent>
          <w:r w:rsidR="000E239B" w:rsidRPr="00420938">
            <w:rPr>
              <w:rStyle w:val="In-TextCitation"/>
            </w:rPr>
            <w:fldChar w:fldCharType="begin"/>
          </w:r>
          <w:r w:rsidR="001E5B98" w:rsidRPr="00420938">
            <w:rPr>
              <w:rStyle w:val="In-TextCitation"/>
            </w:rPr>
            <w:instrText xml:space="preserve"> CITATION MWi10 \l 1033 </w:instrText>
          </w:r>
          <w:r w:rsidR="000E239B" w:rsidRPr="00420938">
            <w:rPr>
              <w:rStyle w:val="In-TextCitation"/>
            </w:rPr>
            <w:fldChar w:fldCharType="separate"/>
          </w:r>
          <w:r w:rsidR="00420938" w:rsidRPr="00420938">
            <w:rPr>
              <w:rStyle w:val="In-TextCitation"/>
            </w:rPr>
            <w:t>(</w:t>
          </w:r>
          <w:hyperlink w:anchor="MWi10" w:history="1">
            <w:r w:rsidR="00420938" w:rsidRPr="00420938">
              <w:rPr>
                <w:rStyle w:val="In-TextCitation"/>
              </w:rPr>
              <w:t>9</w:t>
            </w:r>
          </w:hyperlink>
          <w:r w:rsidR="00420938" w:rsidRPr="00420938">
            <w:rPr>
              <w:rStyle w:val="In-TextCitation"/>
            </w:rPr>
            <w:t>)</w:t>
          </w:r>
          <w:r w:rsidR="000E239B" w:rsidRPr="00420938">
            <w:rPr>
              <w:rStyle w:val="In-TextCitation"/>
            </w:rPr>
            <w:fldChar w:fldCharType="end"/>
          </w:r>
        </w:sdtContent>
      </w:sdt>
      <w:r w:rsidRPr="00F97B2D">
        <w:rPr>
          <w:szCs w:val="24"/>
        </w:rPr>
        <w:t xml:space="preserve"> </w:t>
      </w:r>
      <w:r w:rsidR="001E5B98" w:rsidRPr="00F97B2D">
        <w:rPr>
          <w:szCs w:val="24"/>
        </w:rPr>
        <w:t xml:space="preserve"> </w:t>
      </w:r>
    </w:p>
    <w:p w:rsidR="00224A0F" w:rsidRPr="00F97B2D" w:rsidRDefault="00224A0F" w:rsidP="00224A0F">
      <w:pPr>
        <w:autoSpaceDE w:val="0"/>
        <w:autoSpaceDN w:val="0"/>
        <w:adjustRightInd w:val="0"/>
        <w:spacing w:after="0" w:line="480" w:lineRule="auto"/>
        <w:ind w:firstLine="720"/>
        <w:rPr>
          <w:szCs w:val="24"/>
        </w:rPr>
      </w:pPr>
      <w:r w:rsidRPr="00F97B2D">
        <w:rPr>
          <w:szCs w:val="24"/>
        </w:rPr>
        <w:t>Extraction methods for GC analysis of designer drugs depend on the specimen matrix of choice, but liquid-liquid extraction (LLE) with a variety of organic solvents is widely used, along w</w:t>
      </w:r>
      <w:r w:rsidR="00C26893" w:rsidRPr="00F97B2D">
        <w:rPr>
          <w:szCs w:val="24"/>
        </w:rPr>
        <w:t>ith SPE and</w:t>
      </w:r>
      <w:r w:rsidRPr="00F97B2D">
        <w:rPr>
          <w:szCs w:val="24"/>
        </w:rPr>
        <w:t xml:space="preserve"> mixed-mode cartridges containing hydrophobic C18 residues and a cation-exchange resin. </w:t>
      </w:r>
      <w:r w:rsidR="001E5B98" w:rsidRPr="00F97B2D">
        <w:rPr>
          <w:szCs w:val="24"/>
        </w:rPr>
        <w:t xml:space="preserve"> </w:t>
      </w:r>
      <w:r w:rsidRPr="00F97B2D">
        <w:rPr>
          <w:szCs w:val="24"/>
        </w:rPr>
        <w:t>Solid</w:t>
      </w:r>
      <w:r w:rsidR="001E5B98" w:rsidRPr="00F97B2D">
        <w:rPr>
          <w:szCs w:val="24"/>
        </w:rPr>
        <w:t>-</w:t>
      </w:r>
      <w:r w:rsidRPr="00F97B2D">
        <w:rPr>
          <w:szCs w:val="24"/>
        </w:rPr>
        <w:t xml:space="preserve">phase microextraction (SPME) is not as widely employed, as it has not been shown to be very efficient for this class of drugs. </w:t>
      </w:r>
      <w:r w:rsidR="001E5B98" w:rsidRPr="00F97B2D">
        <w:rPr>
          <w:szCs w:val="24"/>
        </w:rPr>
        <w:t xml:space="preserve"> </w:t>
      </w:r>
      <w:r w:rsidRPr="00F97B2D">
        <w:rPr>
          <w:szCs w:val="24"/>
        </w:rPr>
        <w:t>Headspace analysis is also less common, due to the relatively non-volatile nature of the analytes, unless a derivatization step can be introduced.</w:t>
      </w:r>
      <w:sdt>
        <w:sdtPr>
          <w:rPr>
            <w:szCs w:val="24"/>
          </w:rPr>
          <w:id w:val="-1833839606"/>
          <w:citation/>
        </w:sdtPr>
        <w:sdtEndPr/>
        <w:sdtContent>
          <w:r w:rsidR="000E239B" w:rsidRPr="00420938">
            <w:rPr>
              <w:rStyle w:val="In-TextCitation"/>
            </w:rPr>
            <w:fldChar w:fldCharType="begin"/>
          </w:r>
          <w:r w:rsidR="001E5B98" w:rsidRPr="00420938">
            <w:rPr>
              <w:rStyle w:val="In-TextCitation"/>
            </w:rPr>
            <w:instrText xml:space="preserve"> CITATION Yah06 \l 1033 </w:instrText>
          </w:r>
          <w:r w:rsidR="000E239B" w:rsidRPr="00420938">
            <w:rPr>
              <w:rStyle w:val="In-TextCitation"/>
            </w:rPr>
            <w:fldChar w:fldCharType="separate"/>
          </w:r>
          <w:r w:rsidR="00420938" w:rsidRPr="00420938">
            <w:rPr>
              <w:rStyle w:val="In-TextCitation"/>
            </w:rPr>
            <w:t>(</w:t>
          </w:r>
          <w:hyperlink w:anchor="Yah06" w:history="1">
            <w:r w:rsidR="00420938" w:rsidRPr="00420938">
              <w:rPr>
                <w:rStyle w:val="In-TextCitation"/>
              </w:rPr>
              <w:t>86</w:t>
            </w:r>
          </w:hyperlink>
          <w:r w:rsidR="00420938" w:rsidRPr="00420938">
            <w:rPr>
              <w:rStyle w:val="In-TextCitation"/>
            </w:rPr>
            <w:t>)</w:t>
          </w:r>
          <w:r w:rsidR="000E239B" w:rsidRPr="00420938">
            <w:rPr>
              <w:rStyle w:val="In-TextCitation"/>
            </w:rPr>
            <w:fldChar w:fldCharType="end"/>
          </w:r>
        </w:sdtContent>
      </w:sdt>
      <w:r w:rsidRPr="00F97B2D">
        <w:rPr>
          <w:szCs w:val="24"/>
        </w:rPr>
        <w:t xml:space="preserve"> </w:t>
      </w:r>
      <w:r w:rsidR="001E5B98" w:rsidRPr="00F97B2D">
        <w:rPr>
          <w:szCs w:val="24"/>
        </w:rPr>
        <w:t xml:space="preserve"> </w:t>
      </w:r>
      <w:r w:rsidRPr="00F97B2D">
        <w:rPr>
          <w:szCs w:val="24"/>
        </w:rPr>
        <w:t xml:space="preserve">All phenethylamine, tryptamine, piperazine and cathinone derivatives contain an amine functional group. </w:t>
      </w:r>
      <w:r w:rsidR="001E5B98" w:rsidRPr="00F97B2D">
        <w:rPr>
          <w:szCs w:val="24"/>
        </w:rPr>
        <w:t xml:space="preserve"> </w:t>
      </w:r>
      <w:r w:rsidRPr="00F97B2D">
        <w:rPr>
          <w:szCs w:val="24"/>
        </w:rPr>
        <w:t>Such compounds tend to adsorb onto the capillary column and the glass inserts of the GC, causing poor peak shapes, excessive peak tailing, and poor resolution.</w:t>
      </w:r>
      <w:sdt>
        <w:sdtPr>
          <w:rPr>
            <w:szCs w:val="24"/>
          </w:rPr>
          <w:id w:val="-1833839605"/>
          <w:citation/>
        </w:sdtPr>
        <w:sdtEndPr/>
        <w:sdtContent>
          <w:r w:rsidR="000E239B" w:rsidRPr="00420938">
            <w:rPr>
              <w:rStyle w:val="In-TextCitation"/>
            </w:rPr>
            <w:fldChar w:fldCharType="begin"/>
          </w:r>
          <w:r w:rsidR="001E5B98" w:rsidRPr="00420938">
            <w:rPr>
              <w:rStyle w:val="In-TextCitation"/>
            </w:rPr>
            <w:instrText xml:space="preserve"> CITATION Nam11 \l 1033 </w:instrText>
          </w:r>
          <w:r w:rsidR="000E239B" w:rsidRPr="00420938">
            <w:rPr>
              <w:rStyle w:val="In-TextCitation"/>
            </w:rPr>
            <w:fldChar w:fldCharType="separate"/>
          </w:r>
          <w:r w:rsidR="00420938" w:rsidRPr="00420938">
            <w:rPr>
              <w:rStyle w:val="In-TextCitation"/>
            </w:rPr>
            <w:t>(</w:t>
          </w:r>
          <w:hyperlink w:anchor="Nam11" w:history="1">
            <w:r w:rsidR="00420938" w:rsidRPr="00420938">
              <w:rPr>
                <w:rStyle w:val="In-TextCitation"/>
              </w:rPr>
              <w:t>84</w:t>
            </w:r>
          </w:hyperlink>
          <w:r w:rsidR="00420938" w:rsidRPr="00420938">
            <w:rPr>
              <w:rStyle w:val="In-TextCitation"/>
            </w:rPr>
            <w:t>)</w:t>
          </w:r>
          <w:r w:rsidR="000E239B" w:rsidRPr="00420938">
            <w:rPr>
              <w:rStyle w:val="In-TextCitation"/>
            </w:rPr>
            <w:fldChar w:fldCharType="end"/>
          </w:r>
        </w:sdtContent>
      </w:sdt>
      <w:r w:rsidRPr="00F97B2D">
        <w:rPr>
          <w:szCs w:val="24"/>
        </w:rPr>
        <w:t xml:space="preserve"> </w:t>
      </w:r>
      <w:r w:rsidR="001E5B98" w:rsidRPr="00F97B2D">
        <w:rPr>
          <w:szCs w:val="24"/>
        </w:rPr>
        <w:t xml:space="preserve"> </w:t>
      </w:r>
      <w:r w:rsidRPr="00F97B2D">
        <w:rPr>
          <w:szCs w:val="24"/>
        </w:rPr>
        <w:t>Th</w:t>
      </w:r>
      <w:r w:rsidR="00E277F0">
        <w:rPr>
          <w:szCs w:val="24"/>
        </w:rPr>
        <w:t>ese</w:t>
      </w:r>
      <w:r w:rsidRPr="00F97B2D">
        <w:rPr>
          <w:szCs w:val="24"/>
        </w:rPr>
        <w:t xml:space="preserve"> characteristic</w:t>
      </w:r>
      <w:r w:rsidR="00E277F0">
        <w:rPr>
          <w:szCs w:val="24"/>
        </w:rPr>
        <w:t>s</w:t>
      </w:r>
      <w:r w:rsidRPr="00F97B2D">
        <w:rPr>
          <w:szCs w:val="24"/>
        </w:rPr>
        <w:t>, together with the low volatility of the designer drugs, give rise to the need for derivatization of the analytes prior to the GC</w:t>
      </w:r>
      <w:r w:rsidR="005430FB" w:rsidRPr="00F97B2D">
        <w:rPr>
          <w:szCs w:val="24"/>
        </w:rPr>
        <w:t>-</w:t>
      </w:r>
      <w:r w:rsidRPr="00F97B2D">
        <w:rPr>
          <w:szCs w:val="24"/>
        </w:rPr>
        <w:t>MS analysis.</w:t>
      </w:r>
    </w:p>
    <w:p w:rsidR="00224A0F" w:rsidRPr="00F97B2D" w:rsidRDefault="00224A0F" w:rsidP="00224A0F">
      <w:pPr>
        <w:autoSpaceDE w:val="0"/>
        <w:autoSpaceDN w:val="0"/>
        <w:adjustRightInd w:val="0"/>
        <w:spacing w:after="0" w:line="480" w:lineRule="auto"/>
        <w:ind w:firstLine="720"/>
        <w:rPr>
          <w:szCs w:val="24"/>
        </w:rPr>
      </w:pPr>
      <w:r w:rsidRPr="00F97B2D">
        <w:rPr>
          <w:szCs w:val="24"/>
        </w:rPr>
        <w:t>The amine functional group is very amenable to acylation, which is the preferred derivatization technique employed in designer drug analysis, although other approaches such as alkylation and silylation have also been successfully employed, especially with hydroxylated metabolites.</w:t>
      </w:r>
      <w:sdt>
        <w:sdtPr>
          <w:rPr>
            <w:szCs w:val="24"/>
          </w:rPr>
          <w:id w:val="-1833839604"/>
          <w:citation/>
        </w:sdtPr>
        <w:sdtEndPr/>
        <w:sdtContent>
          <w:r w:rsidR="000E239B" w:rsidRPr="00420938">
            <w:rPr>
              <w:rStyle w:val="In-TextCitation"/>
            </w:rPr>
            <w:fldChar w:fldCharType="begin"/>
          </w:r>
          <w:r w:rsidR="00097973" w:rsidRPr="00420938">
            <w:rPr>
              <w:rStyle w:val="In-TextCitation"/>
            </w:rPr>
            <w:instrText xml:space="preserve"> CITATION Spr03 \l 1033 </w:instrText>
          </w:r>
          <w:r w:rsidR="000E239B" w:rsidRPr="00420938">
            <w:rPr>
              <w:rStyle w:val="In-TextCitation"/>
            </w:rPr>
            <w:fldChar w:fldCharType="separate"/>
          </w:r>
          <w:r w:rsidR="00420938" w:rsidRPr="00420938">
            <w:rPr>
              <w:rStyle w:val="In-TextCitation"/>
            </w:rPr>
            <w:t>(</w:t>
          </w:r>
          <w:hyperlink w:anchor="Spr03" w:history="1">
            <w:r w:rsidR="00420938" w:rsidRPr="00420938">
              <w:rPr>
                <w:rStyle w:val="In-TextCitation"/>
              </w:rPr>
              <w:t>70</w:t>
            </w:r>
          </w:hyperlink>
          <w:r w:rsidR="00420938" w:rsidRPr="00420938">
            <w:rPr>
              <w:rStyle w:val="In-TextCitation"/>
            </w:rPr>
            <w:t>)</w:t>
          </w:r>
          <w:r w:rsidR="000E239B" w:rsidRPr="00420938">
            <w:rPr>
              <w:rStyle w:val="In-TextCitation"/>
            </w:rPr>
            <w:fldChar w:fldCharType="end"/>
          </w:r>
        </w:sdtContent>
      </w:sdt>
      <w:r w:rsidRPr="00F97B2D">
        <w:rPr>
          <w:szCs w:val="24"/>
        </w:rPr>
        <w:t xml:space="preserve"> </w:t>
      </w:r>
      <w:r w:rsidR="00097973" w:rsidRPr="00F97B2D">
        <w:rPr>
          <w:szCs w:val="24"/>
        </w:rPr>
        <w:t xml:space="preserve"> </w:t>
      </w:r>
      <w:r w:rsidRPr="00F97B2D">
        <w:rPr>
          <w:szCs w:val="24"/>
        </w:rPr>
        <w:t>Acetic anhydride (AA) with pyridine, trifluoroacetic anhydride (TFAA), and N-methyl-</w:t>
      </w:r>
      <w:proofErr w:type="gramStart"/>
      <w:r w:rsidRPr="00F97B2D">
        <w:rPr>
          <w:szCs w:val="24"/>
        </w:rPr>
        <w:t>bis(</w:t>
      </w:r>
      <w:proofErr w:type="gramEnd"/>
      <w:r w:rsidRPr="00F97B2D">
        <w:rPr>
          <w:szCs w:val="24"/>
        </w:rPr>
        <w:t xml:space="preserve">trifluoroacetamide) (MBTFA) are the most convenient acylating reagents. </w:t>
      </w:r>
      <w:r w:rsidR="00097973" w:rsidRPr="00F97B2D">
        <w:rPr>
          <w:szCs w:val="24"/>
        </w:rPr>
        <w:t xml:space="preserve"> </w:t>
      </w:r>
      <w:r w:rsidRPr="00F97B2D">
        <w:rPr>
          <w:szCs w:val="24"/>
        </w:rPr>
        <w:t>These introduce an acetyl or a trifluoroacetyl group onto the free amine moiety, resulting in more volatile analyte derivatives and a better separation on the GC column. The reagents are relatively inexpensive and easy to use, but the derivatives are prone to hydrolysis by exposure to atmospheric moisture, and some are only stable for a few hours.</w:t>
      </w:r>
      <w:sdt>
        <w:sdtPr>
          <w:rPr>
            <w:szCs w:val="24"/>
          </w:rPr>
          <w:id w:val="-1833839603"/>
          <w:citation/>
        </w:sdtPr>
        <w:sdtEndPr/>
        <w:sdtContent>
          <w:r w:rsidR="000E239B" w:rsidRPr="00420938">
            <w:rPr>
              <w:rStyle w:val="In-TextCitation"/>
            </w:rPr>
            <w:fldChar w:fldCharType="begin"/>
          </w:r>
          <w:r w:rsidR="00097973" w:rsidRPr="00420938">
            <w:rPr>
              <w:rStyle w:val="In-TextCitation"/>
            </w:rPr>
            <w:instrText xml:space="preserve"> CITATION Nam11 \l 1033 </w:instrText>
          </w:r>
          <w:r w:rsidR="000E239B" w:rsidRPr="00420938">
            <w:rPr>
              <w:rStyle w:val="In-TextCitation"/>
            </w:rPr>
            <w:fldChar w:fldCharType="separate"/>
          </w:r>
          <w:r w:rsidR="00420938" w:rsidRPr="00420938">
            <w:rPr>
              <w:rStyle w:val="In-TextCitation"/>
            </w:rPr>
            <w:t>(</w:t>
          </w:r>
          <w:hyperlink w:anchor="Nam11" w:history="1">
            <w:r w:rsidR="00420938" w:rsidRPr="00420938">
              <w:rPr>
                <w:rStyle w:val="In-TextCitation"/>
              </w:rPr>
              <w:t>84</w:t>
            </w:r>
          </w:hyperlink>
          <w:r w:rsidR="00420938" w:rsidRPr="00420938">
            <w:rPr>
              <w:rStyle w:val="In-TextCitation"/>
            </w:rPr>
            <w:t>)</w:t>
          </w:r>
          <w:r w:rsidR="000E239B" w:rsidRPr="00420938">
            <w:rPr>
              <w:rStyle w:val="In-TextCitation"/>
            </w:rPr>
            <w:fldChar w:fldCharType="end"/>
          </w:r>
        </w:sdtContent>
      </w:sdt>
      <w:r w:rsidRPr="00F97B2D">
        <w:rPr>
          <w:szCs w:val="24"/>
        </w:rPr>
        <w:t xml:space="preserve"> </w:t>
      </w:r>
      <w:r w:rsidR="00097973" w:rsidRPr="00F97B2D">
        <w:rPr>
          <w:szCs w:val="24"/>
        </w:rPr>
        <w:t xml:space="preserve"> </w:t>
      </w:r>
      <w:r w:rsidRPr="00F97B2D">
        <w:rPr>
          <w:szCs w:val="24"/>
        </w:rPr>
        <w:t xml:space="preserve">Although certain alternative reagents, such as pentafluoropropionic anhydride (PFPA) and heptafluorobutyric anhydride (HFBA), produce more stable derivatives, the reagents themselves are less volatile than AA or TFAA and thus require longer evaporation procedures before GC analysis. </w:t>
      </w:r>
      <w:r w:rsidR="00097973" w:rsidRPr="00F97B2D">
        <w:rPr>
          <w:szCs w:val="24"/>
        </w:rPr>
        <w:t xml:space="preserve"> </w:t>
      </w:r>
      <w:r w:rsidRPr="00F97B2D">
        <w:rPr>
          <w:szCs w:val="24"/>
        </w:rPr>
        <w:t>Th</w:t>
      </w:r>
      <w:r w:rsidR="00E277F0">
        <w:rPr>
          <w:szCs w:val="24"/>
        </w:rPr>
        <w:t>e evaporation</w:t>
      </w:r>
      <w:r w:rsidRPr="00F97B2D">
        <w:rPr>
          <w:szCs w:val="24"/>
        </w:rPr>
        <w:t xml:space="preserve"> step can lead to variable co-evaporation of the designer drug derivatives, resulting in analyte loss and introducing error into quantitative analysis.</w:t>
      </w:r>
      <w:sdt>
        <w:sdtPr>
          <w:rPr>
            <w:szCs w:val="24"/>
          </w:rPr>
          <w:id w:val="-1833839602"/>
          <w:citation/>
        </w:sdtPr>
        <w:sdtEndPr/>
        <w:sdtContent>
          <w:r w:rsidR="000E239B" w:rsidRPr="00420938">
            <w:rPr>
              <w:rStyle w:val="In-TextCitation"/>
            </w:rPr>
            <w:fldChar w:fldCharType="begin"/>
          </w:r>
          <w:r w:rsidR="00097973" w:rsidRPr="00420938">
            <w:rPr>
              <w:rStyle w:val="In-TextCitation"/>
            </w:rPr>
            <w:instrText xml:space="preserve"> CITATION Lei94 \l 1033 </w:instrText>
          </w:r>
          <w:r w:rsidR="000E239B" w:rsidRPr="00420938">
            <w:rPr>
              <w:rStyle w:val="In-TextCitation"/>
            </w:rPr>
            <w:fldChar w:fldCharType="separate"/>
          </w:r>
          <w:r w:rsidR="00420938" w:rsidRPr="00420938">
            <w:rPr>
              <w:rStyle w:val="In-TextCitation"/>
            </w:rPr>
            <w:t>(</w:t>
          </w:r>
          <w:hyperlink w:anchor="Lei94" w:history="1">
            <w:r w:rsidR="00420938" w:rsidRPr="00420938">
              <w:rPr>
                <w:rStyle w:val="In-TextCitation"/>
              </w:rPr>
              <w:t>87</w:t>
            </w:r>
          </w:hyperlink>
          <w:r w:rsidR="00420938" w:rsidRPr="00420938">
            <w:rPr>
              <w:rStyle w:val="In-TextCitation"/>
            </w:rPr>
            <w:t>)</w:t>
          </w:r>
          <w:r w:rsidR="000E239B" w:rsidRPr="00420938">
            <w:rPr>
              <w:rStyle w:val="In-TextCitation"/>
            </w:rPr>
            <w:fldChar w:fldCharType="end"/>
          </w:r>
        </w:sdtContent>
      </w:sdt>
    </w:p>
    <w:p w:rsidR="00224A0F" w:rsidRPr="00F97B2D" w:rsidRDefault="00224A0F" w:rsidP="00224A0F">
      <w:pPr>
        <w:autoSpaceDE w:val="0"/>
        <w:autoSpaceDN w:val="0"/>
        <w:adjustRightInd w:val="0"/>
        <w:spacing w:after="0" w:line="480" w:lineRule="auto"/>
        <w:ind w:firstLine="720"/>
        <w:rPr>
          <w:szCs w:val="24"/>
        </w:rPr>
      </w:pPr>
      <w:r w:rsidRPr="00F97B2D">
        <w:rPr>
          <w:szCs w:val="24"/>
        </w:rPr>
        <w:t>The capillary columns typically used in the gas chromatographic analysis employ non-polar (</w:t>
      </w:r>
      <w:r w:rsidR="006E467F" w:rsidRPr="006E467F">
        <w:rPr>
          <w:i/>
          <w:szCs w:val="24"/>
        </w:rPr>
        <w:t>e.g.</w:t>
      </w:r>
      <w:r w:rsidR="006E467F">
        <w:rPr>
          <w:szCs w:val="24"/>
        </w:rPr>
        <w:t xml:space="preserve">, </w:t>
      </w:r>
      <w:r w:rsidR="00DB730E">
        <w:rPr>
          <w:szCs w:val="24"/>
        </w:rPr>
        <w:t>100% dimethyl polysiloxane</w:t>
      </w:r>
      <w:r w:rsidRPr="00F97B2D">
        <w:rPr>
          <w:szCs w:val="24"/>
        </w:rPr>
        <w:t>) or slightly polar (</w:t>
      </w:r>
      <w:r w:rsidR="006E467F" w:rsidRPr="006E467F">
        <w:rPr>
          <w:i/>
          <w:szCs w:val="24"/>
        </w:rPr>
        <w:t>e.g.</w:t>
      </w:r>
      <w:r w:rsidR="006E467F">
        <w:rPr>
          <w:szCs w:val="24"/>
        </w:rPr>
        <w:t xml:space="preserve">, </w:t>
      </w:r>
      <w:r w:rsidR="00DB730E">
        <w:rPr>
          <w:szCs w:val="24"/>
        </w:rPr>
        <w:t>5% diphenyl, 95% dimethyl polysiloxane</w:t>
      </w:r>
      <w:r w:rsidRPr="00F97B2D">
        <w:rPr>
          <w:szCs w:val="24"/>
        </w:rPr>
        <w:t>) stationary phase</w:t>
      </w:r>
      <w:r w:rsidR="00566301">
        <w:rPr>
          <w:szCs w:val="24"/>
        </w:rPr>
        <w:t>s</w:t>
      </w:r>
      <w:r w:rsidRPr="00F97B2D">
        <w:rPr>
          <w:szCs w:val="24"/>
        </w:rPr>
        <w:t>, often made of modified polydimethylsiloxane polymers (MS-type columns) to reduce bleeding and improve MS analysis.</w:t>
      </w:r>
      <w:r w:rsidR="00097973" w:rsidRPr="00F97B2D">
        <w:rPr>
          <w:szCs w:val="24"/>
        </w:rPr>
        <w:t xml:space="preserve"> </w:t>
      </w:r>
      <w:r w:rsidRPr="00F97B2D">
        <w:rPr>
          <w:szCs w:val="24"/>
        </w:rPr>
        <w:t xml:space="preserve"> The most commonly used ionization source in the GC-MS analysis of designer drugs is electron impact ionization (EI), although many techniques also use chemical ionization in either positive or negative mode. </w:t>
      </w:r>
      <w:r w:rsidR="00097973" w:rsidRPr="00F97B2D">
        <w:rPr>
          <w:szCs w:val="24"/>
        </w:rPr>
        <w:t xml:space="preserve"> </w:t>
      </w:r>
      <w:r w:rsidRPr="00F97B2D">
        <w:rPr>
          <w:szCs w:val="24"/>
        </w:rPr>
        <w:t xml:space="preserve">The vast majority of </w:t>
      </w:r>
      <w:r w:rsidR="00097973" w:rsidRPr="00F97B2D">
        <w:rPr>
          <w:szCs w:val="24"/>
        </w:rPr>
        <w:t>analyses have</w:t>
      </w:r>
      <w:r w:rsidRPr="00F97B2D">
        <w:rPr>
          <w:szCs w:val="24"/>
        </w:rPr>
        <w:t xml:space="preserve"> been performed on a single quadrupole mass analyzer, with a few examp</w:t>
      </w:r>
      <w:r w:rsidR="00097973" w:rsidRPr="00F97B2D">
        <w:rPr>
          <w:szCs w:val="24"/>
        </w:rPr>
        <w:t xml:space="preserve">les available using ion </w:t>
      </w:r>
      <w:proofErr w:type="gramStart"/>
      <w:r w:rsidR="00097973" w:rsidRPr="00F97B2D">
        <w:rPr>
          <w:szCs w:val="24"/>
        </w:rPr>
        <w:t>trap</w:t>
      </w:r>
      <w:proofErr w:type="gramEnd"/>
      <w:r w:rsidR="00097973" w:rsidRPr="00F97B2D">
        <w:rPr>
          <w:szCs w:val="24"/>
        </w:rPr>
        <w:t xml:space="preserve"> MS.</w:t>
      </w:r>
      <w:sdt>
        <w:sdtPr>
          <w:rPr>
            <w:szCs w:val="24"/>
          </w:rPr>
          <w:id w:val="-1833839601"/>
          <w:citation/>
        </w:sdtPr>
        <w:sdtEndPr/>
        <w:sdtContent>
          <w:r w:rsidR="000E239B" w:rsidRPr="00420938">
            <w:rPr>
              <w:rStyle w:val="In-TextCitation"/>
            </w:rPr>
            <w:fldChar w:fldCharType="begin"/>
          </w:r>
          <w:r w:rsidR="00097973" w:rsidRPr="00420938">
            <w:rPr>
              <w:rStyle w:val="In-TextCitation"/>
            </w:rPr>
            <w:instrText xml:space="preserve"> CITATION Pel02 \l 1033 </w:instrText>
          </w:r>
          <w:r w:rsidR="000E239B" w:rsidRPr="00420938">
            <w:rPr>
              <w:rStyle w:val="In-TextCitation"/>
            </w:rPr>
            <w:fldChar w:fldCharType="separate"/>
          </w:r>
          <w:r w:rsidR="00420938" w:rsidRPr="00420938">
            <w:rPr>
              <w:rStyle w:val="In-TextCitation"/>
            </w:rPr>
            <w:t>(</w:t>
          </w:r>
          <w:hyperlink w:anchor="Pel02" w:history="1">
            <w:r w:rsidR="00420938" w:rsidRPr="00420938">
              <w:rPr>
                <w:rStyle w:val="In-TextCitation"/>
              </w:rPr>
              <w:t>75</w:t>
            </w:r>
          </w:hyperlink>
          <w:r w:rsidR="00420938" w:rsidRPr="00420938">
            <w:rPr>
              <w:rStyle w:val="In-TextCitation"/>
            </w:rPr>
            <w:t>)</w:t>
          </w:r>
          <w:r w:rsidR="000E239B" w:rsidRPr="00420938">
            <w:rPr>
              <w:rStyle w:val="In-TextCitation"/>
            </w:rPr>
            <w:fldChar w:fldCharType="end"/>
          </w:r>
        </w:sdtContent>
      </w:sdt>
      <w:r w:rsidRPr="00F97B2D">
        <w:rPr>
          <w:szCs w:val="24"/>
        </w:rPr>
        <w:t xml:space="preserve"> </w:t>
      </w:r>
      <w:r w:rsidR="00097973" w:rsidRPr="00F97B2D">
        <w:rPr>
          <w:szCs w:val="24"/>
        </w:rPr>
        <w:t xml:space="preserve"> </w:t>
      </w:r>
      <w:r w:rsidRPr="00F97B2D">
        <w:rPr>
          <w:szCs w:val="24"/>
        </w:rPr>
        <w:t>Analysis of amphetamines and other designer drugs by GC-MS/MS has only been done as a part of a screening method for different drugs of abuse in hair,</w:t>
      </w:r>
      <w:sdt>
        <w:sdtPr>
          <w:rPr>
            <w:szCs w:val="24"/>
          </w:rPr>
          <w:id w:val="-1833839600"/>
          <w:citation/>
        </w:sdtPr>
        <w:sdtEndPr/>
        <w:sdtContent>
          <w:r w:rsidR="000E239B" w:rsidRPr="00420938">
            <w:rPr>
              <w:rStyle w:val="In-TextCitation"/>
            </w:rPr>
            <w:fldChar w:fldCharType="begin"/>
          </w:r>
          <w:r w:rsidR="00097973" w:rsidRPr="00420938">
            <w:rPr>
              <w:rStyle w:val="In-TextCitation"/>
            </w:rPr>
            <w:instrText xml:space="preserve"> CITATION Uhl00 \l 1033 </w:instrText>
          </w:r>
          <w:r w:rsidR="000E239B" w:rsidRPr="00420938">
            <w:rPr>
              <w:rStyle w:val="In-TextCitation"/>
            </w:rPr>
            <w:fldChar w:fldCharType="separate"/>
          </w:r>
          <w:r w:rsidR="00420938" w:rsidRPr="00420938">
            <w:rPr>
              <w:rStyle w:val="In-TextCitation"/>
            </w:rPr>
            <w:t>(</w:t>
          </w:r>
          <w:hyperlink w:anchor="Uhl00" w:history="1">
            <w:r w:rsidR="00420938" w:rsidRPr="00420938">
              <w:rPr>
                <w:rStyle w:val="In-TextCitation"/>
              </w:rPr>
              <w:t>88</w:t>
            </w:r>
          </w:hyperlink>
          <w:r w:rsidR="00420938" w:rsidRPr="00420938">
            <w:rPr>
              <w:rStyle w:val="In-TextCitation"/>
            </w:rPr>
            <w:t>)</w:t>
          </w:r>
          <w:r w:rsidR="000E239B" w:rsidRPr="00420938">
            <w:rPr>
              <w:rStyle w:val="In-TextCitation"/>
            </w:rPr>
            <w:fldChar w:fldCharType="end"/>
          </w:r>
        </w:sdtContent>
      </w:sdt>
      <w:r w:rsidRPr="00F97B2D">
        <w:rPr>
          <w:szCs w:val="24"/>
        </w:rPr>
        <w:t xml:space="preserve"> and no comprehensive study of this class of drugs using GC-triple quadrupole MS/MS has been published to date.</w:t>
      </w:r>
    </w:p>
    <w:p w:rsidR="00B20DFC" w:rsidRPr="00F97B2D" w:rsidRDefault="00224A0F" w:rsidP="00211CA4">
      <w:pPr>
        <w:autoSpaceDE w:val="0"/>
        <w:autoSpaceDN w:val="0"/>
        <w:adjustRightInd w:val="0"/>
        <w:spacing w:after="0" w:line="480" w:lineRule="auto"/>
        <w:ind w:firstLine="720"/>
        <w:rPr>
          <w:szCs w:val="24"/>
        </w:rPr>
      </w:pPr>
      <w:r w:rsidRPr="00F97B2D">
        <w:rPr>
          <w:szCs w:val="24"/>
        </w:rPr>
        <w:t>The most popular combination of GC and a mass analyzer reported in recent literature is that supplied by Agilent</w:t>
      </w:r>
      <w:r w:rsidR="00E73A76">
        <w:rPr>
          <w:szCs w:val="24"/>
        </w:rPr>
        <w:t xml:space="preserve"> Technologies, Inc.</w:t>
      </w:r>
      <w:r w:rsidRPr="00F97B2D">
        <w:rPr>
          <w:szCs w:val="24"/>
        </w:rPr>
        <w:t xml:space="preserve">, which couples a model 6890/7890 GC to a model </w:t>
      </w:r>
      <w:r w:rsidR="00244582" w:rsidRPr="00F97B2D">
        <w:rPr>
          <w:szCs w:val="24"/>
        </w:rPr>
        <w:t>5973 mass selective detector, or MSD</w:t>
      </w:r>
      <w:r w:rsidRPr="00F97B2D">
        <w:rPr>
          <w:szCs w:val="24"/>
        </w:rPr>
        <w:t>.</w:t>
      </w:r>
      <w:sdt>
        <w:sdtPr>
          <w:rPr>
            <w:szCs w:val="24"/>
          </w:rPr>
          <w:id w:val="-1833839599"/>
          <w:citation/>
        </w:sdtPr>
        <w:sdtEndPr/>
        <w:sdtContent>
          <w:r w:rsidR="000E239B" w:rsidRPr="00420938">
            <w:rPr>
              <w:rStyle w:val="In-TextCitation"/>
            </w:rPr>
            <w:fldChar w:fldCharType="begin"/>
          </w:r>
          <w:r w:rsidR="00097973" w:rsidRPr="00420938">
            <w:rPr>
              <w:rStyle w:val="In-TextCitation"/>
            </w:rPr>
            <w:instrText xml:space="preserve"> CITATION MWi10 \l 1033  \m Pet03 \m Kud07 \m Tak08 \m Hab05 \m Pir06 \m Kud09 \m Str09</w:instrText>
          </w:r>
          <w:r w:rsidR="000E239B" w:rsidRPr="00420938">
            <w:rPr>
              <w:rStyle w:val="In-TextCitation"/>
            </w:rPr>
            <w:fldChar w:fldCharType="separate"/>
          </w:r>
          <w:r w:rsidR="00420938" w:rsidRPr="00420938">
            <w:rPr>
              <w:rStyle w:val="In-TextCitation"/>
            </w:rPr>
            <w:t>(</w:t>
          </w:r>
          <w:hyperlink w:anchor="MWi10" w:history="1">
            <w:r w:rsidR="00420938" w:rsidRPr="00420938">
              <w:rPr>
                <w:rStyle w:val="In-TextCitation"/>
              </w:rPr>
              <w:t>9</w:t>
            </w:r>
          </w:hyperlink>
          <w:r w:rsidR="00420938" w:rsidRPr="00420938">
            <w:rPr>
              <w:rStyle w:val="In-TextCitation"/>
            </w:rPr>
            <w:t>,</w:t>
          </w:r>
          <w:hyperlink w:anchor="Pet03" w:history="1">
            <w:r w:rsidR="00420938" w:rsidRPr="00420938">
              <w:rPr>
                <w:rStyle w:val="In-TextCitation"/>
              </w:rPr>
              <w:t>67</w:t>
            </w:r>
          </w:hyperlink>
          <w:r w:rsidR="00420938" w:rsidRPr="00420938">
            <w:rPr>
              <w:rStyle w:val="In-TextCitation"/>
            </w:rPr>
            <w:t>,</w:t>
          </w:r>
          <w:hyperlink w:anchor="Kud07" w:history="1">
            <w:r w:rsidR="00420938" w:rsidRPr="00420938">
              <w:rPr>
                <w:rStyle w:val="In-TextCitation"/>
              </w:rPr>
              <w:t>68</w:t>
            </w:r>
          </w:hyperlink>
          <w:r w:rsidR="00420938" w:rsidRPr="00420938">
            <w:rPr>
              <w:rStyle w:val="In-TextCitation"/>
            </w:rPr>
            <w:t>,</w:t>
          </w:r>
          <w:hyperlink w:anchor="Tak08" w:history="1">
            <w:r w:rsidR="00420938" w:rsidRPr="00420938">
              <w:rPr>
                <w:rStyle w:val="In-TextCitation"/>
              </w:rPr>
              <w:t>69</w:t>
            </w:r>
          </w:hyperlink>
          <w:r w:rsidR="00420938" w:rsidRPr="00420938">
            <w:rPr>
              <w:rStyle w:val="In-TextCitation"/>
            </w:rPr>
            <w:t>,</w:t>
          </w:r>
          <w:hyperlink w:anchor="Hab05" w:history="1">
            <w:r w:rsidR="00420938" w:rsidRPr="00420938">
              <w:rPr>
                <w:rStyle w:val="In-TextCitation"/>
              </w:rPr>
              <w:t>76</w:t>
            </w:r>
          </w:hyperlink>
          <w:r w:rsidR="00420938" w:rsidRPr="00420938">
            <w:rPr>
              <w:rStyle w:val="In-TextCitation"/>
            </w:rPr>
            <w:t>,</w:t>
          </w:r>
          <w:hyperlink w:anchor="Pir06" w:history="1">
            <w:r w:rsidR="00420938" w:rsidRPr="00420938">
              <w:rPr>
                <w:rStyle w:val="In-TextCitation"/>
              </w:rPr>
              <w:t>77</w:t>
            </w:r>
          </w:hyperlink>
          <w:r w:rsidR="00420938" w:rsidRPr="00420938">
            <w:rPr>
              <w:rStyle w:val="In-TextCitation"/>
            </w:rPr>
            <w:t>,</w:t>
          </w:r>
          <w:hyperlink w:anchor="Kud09" w:history="1">
            <w:r w:rsidR="00420938" w:rsidRPr="00420938">
              <w:rPr>
                <w:rStyle w:val="In-TextCitation"/>
              </w:rPr>
              <w:t>80</w:t>
            </w:r>
          </w:hyperlink>
          <w:r w:rsidR="00420938" w:rsidRPr="00420938">
            <w:rPr>
              <w:rStyle w:val="In-TextCitation"/>
            </w:rPr>
            <w:t>,</w:t>
          </w:r>
          <w:hyperlink w:anchor="Str09" w:history="1">
            <w:r w:rsidR="00420938" w:rsidRPr="00420938">
              <w:rPr>
                <w:rStyle w:val="In-TextCitation"/>
              </w:rPr>
              <w:t>89</w:t>
            </w:r>
          </w:hyperlink>
          <w:r w:rsidR="00420938" w:rsidRPr="00420938">
            <w:rPr>
              <w:rStyle w:val="In-TextCitation"/>
            </w:rPr>
            <w:t>)</w:t>
          </w:r>
          <w:r w:rsidR="000E239B" w:rsidRPr="00420938">
            <w:rPr>
              <w:rStyle w:val="In-TextCitation"/>
            </w:rPr>
            <w:fldChar w:fldCharType="end"/>
          </w:r>
        </w:sdtContent>
      </w:sdt>
      <w:r w:rsidR="00097973" w:rsidRPr="00F97B2D">
        <w:rPr>
          <w:szCs w:val="24"/>
        </w:rPr>
        <w:t xml:space="preserve">  </w:t>
      </w:r>
      <w:r w:rsidRPr="00F97B2D">
        <w:rPr>
          <w:szCs w:val="24"/>
        </w:rPr>
        <w:t xml:space="preserve">Limits of detection of the various published GC-MS methods vary depending on the specific compound, the matrix and the ionization source, but the numbers for blood and urine mostly lie in the low ppb range, with the best techniques reporting 1-50 ng/mL. </w:t>
      </w:r>
      <w:r w:rsidR="003E3C75" w:rsidRPr="00F97B2D">
        <w:rPr>
          <w:szCs w:val="24"/>
        </w:rPr>
        <w:t xml:space="preserve"> </w:t>
      </w:r>
      <w:r w:rsidRPr="00F97B2D">
        <w:rPr>
          <w:szCs w:val="24"/>
        </w:rPr>
        <w:t xml:space="preserve">Detection </w:t>
      </w:r>
      <w:r w:rsidR="00211CA4">
        <w:rPr>
          <w:szCs w:val="24"/>
        </w:rPr>
        <w:t>limits in hair are on</w:t>
      </w:r>
      <w:r w:rsidRPr="00F97B2D">
        <w:rPr>
          <w:szCs w:val="24"/>
        </w:rPr>
        <w:t xml:space="preserve"> the order of 100 ppb (0.1 -</w:t>
      </w:r>
      <w:r w:rsidR="003E3C75" w:rsidRPr="00F97B2D">
        <w:rPr>
          <w:szCs w:val="24"/>
        </w:rPr>
        <w:t xml:space="preserve"> </w:t>
      </w:r>
      <w:r w:rsidRPr="00F97B2D">
        <w:rPr>
          <w:szCs w:val="24"/>
        </w:rPr>
        <w:t xml:space="preserve">0.5 ng/mg). The linear ranges of the various methods, when reported, </w:t>
      </w:r>
      <w:r w:rsidR="00211CA4">
        <w:rPr>
          <w:szCs w:val="24"/>
        </w:rPr>
        <w:t>are also comparable, and are o</w:t>
      </w:r>
      <w:r w:rsidRPr="00F97B2D">
        <w:rPr>
          <w:szCs w:val="24"/>
        </w:rPr>
        <w:t>n the order of 10</w:t>
      </w:r>
      <w:r w:rsidRPr="00F97B2D">
        <w:rPr>
          <w:szCs w:val="24"/>
          <w:vertAlign w:val="superscript"/>
        </w:rPr>
        <w:t>2</w:t>
      </w:r>
      <w:r w:rsidRPr="00F97B2D">
        <w:rPr>
          <w:szCs w:val="24"/>
        </w:rPr>
        <w:t>, typically ra</w:t>
      </w:r>
      <w:r w:rsidR="003E3C75" w:rsidRPr="00F97B2D">
        <w:rPr>
          <w:szCs w:val="24"/>
        </w:rPr>
        <w:t>nging between 10 and 2000 ppb.</w:t>
      </w:r>
      <w:sdt>
        <w:sdtPr>
          <w:rPr>
            <w:szCs w:val="24"/>
          </w:rPr>
          <w:id w:val="-1833839591"/>
          <w:citation/>
        </w:sdtPr>
        <w:sdtEndPr/>
        <w:sdtContent>
          <w:r w:rsidR="000E239B" w:rsidRPr="00420938">
            <w:rPr>
              <w:rStyle w:val="In-TextCitation"/>
            </w:rPr>
            <w:fldChar w:fldCharType="begin"/>
          </w:r>
          <w:r w:rsidR="003E3C75" w:rsidRPr="00420938">
            <w:rPr>
              <w:rStyle w:val="In-TextCitation"/>
            </w:rPr>
            <w:instrText xml:space="preserve"> CITATION Nam11 \l 1033 </w:instrText>
          </w:r>
          <w:r w:rsidR="000E239B" w:rsidRPr="00420938">
            <w:rPr>
              <w:rStyle w:val="In-TextCitation"/>
            </w:rPr>
            <w:fldChar w:fldCharType="separate"/>
          </w:r>
          <w:r w:rsidR="00420938" w:rsidRPr="00420938">
            <w:rPr>
              <w:rStyle w:val="In-TextCitation"/>
            </w:rPr>
            <w:t>(</w:t>
          </w:r>
          <w:hyperlink w:anchor="Nam11" w:history="1">
            <w:r w:rsidR="00420938" w:rsidRPr="00420938">
              <w:rPr>
                <w:rStyle w:val="In-TextCitation"/>
              </w:rPr>
              <w:t>84</w:t>
            </w:r>
          </w:hyperlink>
          <w:r w:rsidR="00420938" w:rsidRPr="00420938">
            <w:rPr>
              <w:rStyle w:val="In-TextCitation"/>
            </w:rPr>
            <w:t>)</w:t>
          </w:r>
          <w:r w:rsidR="000E239B" w:rsidRPr="00420938">
            <w:rPr>
              <w:rStyle w:val="In-TextCitation"/>
            </w:rPr>
            <w:fldChar w:fldCharType="end"/>
          </w:r>
        </w:sdtContent>
      </w:sdt>
    </w:p>
    <w:p w:rsidR="004F383F" w:rsidRPr="00F97B2D" w:rsidRDefault="004F383F" w:rsidP="00AC5F51">
      <w:pPr>
        <w:pStyle w:val="Heading4"/>
      </w:pPr>
      <w:bookmarkStart w:id="97" w:name="_Toc372536040"/>
      <w:bookmarkStart w:id="98" w:name="_Toc372538703"/>
      <w:r w:rsidRPr="00F97B2D">
        <w:t>LC-MS</w:t>
      </w:r>
      <w:bookmarkEnd w:id="97"/>
      <w:bookmarkEnd w:id="98"/>
    </w:p>
    <w:p w:rsidR="00AB41E2" w:rsidRPr="00F97B2D" w:rsidRDefault="00224A0F" w:rsidP="003510F7">
      <w:pPr>
        <w:autoSpaceDE w:val="0"/>
        <w:autoSpaceDN w:val="0"/>
        <w:adjustRightInd w:val="0"/>
        <w:spacing w:after="0" w:line="480" w:lineRule="auto"/>
        <w:ind w:firstLine="720"/>
        <w:rPr>
          <w:szCs w:val="24"/>
        </w:rPr>
      </w:pPr>
      <w:r w:rsidRPr="00F97B2D">
        <w:rPr>
          <w:szCs w:val="24"/>
        </w:rPr>
        <w:t>While GC-MS has been the</w:t>
      </w:r>
      <w:r w:rsidR="00AB41E2" w:rsidRPr="00F97B2D">
        <w:rPr>
          <w:szCs w:val="24"/>
        </w:rPr>
        <w:t xml:space="preserve"> </w:t>
      </w:r>
      <w:r w:rsidRPr="00F97B2D">
        <w:rPr>
          <w:szCs w:val="24"/>
        </w:rPr>
        <w:t>gold standard for detecting drugs of abuse,</w:t>
      </w:r>
      <w:sdt>
        <w:sdtPr>
          <w:rPr>
            <w:szCs w:val="24"/>
          </w:rPr>
          <w:id w:val="410854232"/>
          <w:citation/>
        </w:sdtPr>
        <w:sdtEndPr/>
        <w:sdtContent>
          <w:r w:rsidR="000E239B" w:rsidRPr="00420938">
            <w:rPr>
              <w:rStyle w:val="In-TextCitation"/>
            </w:rPr>
            <w:fldChar w:fldCharType="begin"/>
          </w:r>
          <w:r w:rsidR="00E277F0" w:rsidRPr="00420938">
            <w:rPr>
              <w:rStyle w:val="In-TextCitation"/>
            </w:rPr>
            <w:instrText xml:space="preserve"> CITATION Mau07 \l 1033 </w:instrText>
          </w:r>
          <w:r w:rsidR="000E239B" w:rsidRPr="00420938">
            <w:rPr>
              <w:rStyle w:val="In-TextCitation"/>
            </w:rPr>
            <w:fldChar w:fldCharType="separate"/>
          </w:r>
          <w:r w:rsidR="00420938" w:rsidRPr="00420938">
            <w:rPr>
              <w:rStyle w:val="In-TextCitation"/>
            </w:rPr>
            <w:t>(</w:t>
          </w:r>
          <w:hyperlink w:anchor="Mau07" w:history="1">
            <w:r w:rsidR="00420938" w:rsidRPr="00420938">
              <w:rPr>
                <w:rStyle w:val="In-TextCitation"/>
              </w:rPr>
              <w:t>90</w:t>
            </w:r>
          </w:hyperlink>
          <w:r w:rsidR="00420938" w:rsidRPr="00420938">
            <w:rPr>
              <w:rStyle w:val="In-TextCitation"/>
            </w:rPr>
            <w:t>)</w:t>
          </w:r>
          <w:r w:rsidR="000E239B" w:rsidRPr="00420938">
            <w:rPr>
              <w:rStyle w:val="In-TextCitation"/>
            </w:rPr>
            <w:fldChar w:fldCharType="end"/>
          </w:r>
        </w:sdtContent>
      </w:sdt>
      <w:r w:rsidRPr="00F97B2D">
        <w:rPr>
          <w:szCs w:val="24"/>
        </w:rPr>
        <w:t xml:space="preserve"> liquid-chromatography coupled with mass</w:t>
      </w:r>
      <w:r w:rsidR="00AB41E2" w:rsidRPr="00F97B2D">
        <w:rPr>
          <w:szCs w:val="24"/>
        </w:rPr>
        <w:t xml:space="preserve"> </w:t>
      </w:r>
      <w:r w:rsidRPr="00F97B2D">
        <w:rPr>
          <w:szCs w:val="24"/>
        </w:rPr>
        <w:t>spectrometry (LC-MS) has become more popular for detection and analysis of polar</w:t>
      </w:r>
      <w:r w:rsidR="00AB41E2" w:rsidRPr="00F97B2D">
        <w:rPr>
          <w:szCs w:val="24"/>
        </w:rPr>
        <w:t xml:space="preserve"> </w:t>
      </w:r>
      <w:r w:rsidRPr="00F97B2D">
        <w:rPr>
          <w:szCs w:val="24"/>
        </w:rPr>
        <w:t>compounds such as amphetamines while offering higher sample throughput, easier</w:t>
      </w:r>
      <w:r w:rsidR="00AB41E2" w:rsidRPr="00F97B2D">
        <w:rPr>
          <w:szCs w:val="24"/>
        </w:rPr>
        <w:t xml:space="preserve"> </w:t>
      </w:r>
      <w:r w:rsidRPr="00F97B2D">
        <w:rPr>
          <w:szCs w:val="24"/>
        </w:rPr>
        <w:t>sample preparation, structural elucidation, and increased sensitivity over GC-based</w:t>
      </w:r>
      <w:r w:rsidR="00AB41E2" w:rsidRPr="00F97B2D">
        <w:rPr>
          <w:szCs w:val="24"/>
        </w:rPr>
        <w:t xml:space="preserve"> </w:t>
      </w:r>
      <w:r w:rsidRPr="00F97B2D">
        <w:rPr>
          <w:szCs w:val="24"/>
        </w:rPr>
        <w:t xml:space="preserve">methods that often require complex sample preparation </w:t>
      </w:r>
      <w:r w:rsidR="00DF710B" w:rsidRPr="00F97B2D">
        <w:rPr>
          <w:szCs w:val="24"/>
        </w:rPr>
        <w:t>and derivatization schemes.</w:t>
      </w:r>
      <w:r w:rsidR="00F60F9D">
        <w:rPr>
          <w:rStyle w:val="In-TextCitation"/>
        </w:rPr>
        <w:t>(41,91-92)</w:t>
      </w:r>
      <w:r w:rsidR="00AB41E2" w:rsidRPr="00F97B2D">
        <w:rPr>
          <w:szCs w:val="24"/>
        </w:rPr>
        <w:t xml:space="preserve"> </w:t>
      </w:r>
      <w:r w:rsidR="00DF710B" w:rsidRPr="00F97B2D">
        <w:rPr>
          <w:szCs w:val="24"/>
        </w:rPr>
        <w:t xml:space="preserve"> </w:t>
      </w:r>
      <w:r w:rsidRPr="00F97B2D">
        <w:rPr>
          <w:szCs w:val="24"/>
        </w:rPr>
        <w:t>Additionally, LC-MS is not limited to non-p</w:t>
      </w:r>
      <w:r w:rsidR="00F9468C" w:rsidRPr="00F97B2D">
        <w:rPr>
          <w:szCs w:val="24"/>
        </w:rPr>
        <w:t>olar or volatile compounds.</w:t>
      </w:r>
      <w:r w:rsidR="00F60F9D" w:rsidRPr="00F60F9D">
        <w:rPr>
          <w:szCs w:val="24"/>
          <w:vertAlign w:val="superscript"/>
        </w:rPr>
        <w:t>(39,93-95)</w:t>
      </w:r>
      <w:r w:rsidRPr="00F97B2D">
        <w:rPr>
          <w:szCs w:val="24"/>
        </w:rPr>
        <w:t xml:space="preserve"> </w:t>
      </w:r>
      <w:r w:rsidR="00F9468C" w:rsidRPr="00F97B2D">
        <w:rPr>
          <w:szCs w:val="24"/>
        </w:rPr>
        <w:t xml:space="preserve"> </w:t>
      </w:r>
      <w:r w:rsidRPr="00F97B2D">
        <w:rPr>
          <w:szCs w:val="24"/>
        </w:rPr>
        <w:t>Ultra-fast</w:t>
      </w:r>
      <w:r w:rsidR="00AB41E2" w:rsidRPr="00F97B2D">
        <w:rPr>
          <w:szCs w:val="24"/>
        </w:rPr>
        <w:t xml:space="preserve"> </w:t>
      </w:r>
      <w:r w:rsidRPr="00F97B2D">
        <w:rPr>
          <w:szCs w:val="24"/>
        </w:rPr>
        <w:t>methods can be used when applying high-pressure to the chromatographic</w:t>
      </w:r>
      <w:r w:rsidR="00AB41E2" w:rsidRPr="00F97B2D">
        <w:rPr>
          <w:szCs w:val="24"/>
        </w:rPr>
        <w:t xml:space="preserve"> </w:t>
      </w:r>
      <w:r w:rsidRPr="00F97B2D">
        <w:rPr>
          <w:szCs w:val="24"/>
        </w:rPr>
        <w:t>system</w:t>
      </w:r>
      <w:r w:rsidR="00F57698">
        <w:rPr>
          <w:szCs w:val="24"/>
        </w:rPr>
        <w:t>, as is the case with UPLC, or ultra-performance liquid chromatography</w:t>
      </w:r>
      <w:r w:rsidRPr="00F97B2D">
        <w:rPr>
          <w:szCs w:val="24"/>
        </w:rPr>
        <w:t xml:space="preserve">. </w:t>
      </w:r>
      <w:r w:rsidR="00E73A76">
        <w:rPr>
          <w:szCs w:val="24"/>
        </w:rPr>
        <w:t xml:space="preserve"> </w:t>
      </w:r>
      <w:r w:rsidRPr="00F97B2D">
        <w:rPr>
          <w:szCs w:val="24"/>
        </w:rPr>
        <w:t>More importantly, fragmentation patterns ca</w:t>
      </w:r>
      <w:r w:rsidR="003510F7" w:rsidRPr="00F97B2D">
        <w:rPr>
          <w:szCs w:val="24"/>
        </w:rPr>
        <w:t xml:space="preserve">n positively identify compounds </w:t>
      </w:r>
      <w:r w:rsidR="00531A8B" w:rsidRPr="00F97B2D">
        <w:rPr>
          <w:szCs w:val="24"/>
        </w:rPr>
        <w:t>when MS</w:t>
      </w:r>
      <w:r w:rsidR="00531A8B" w:rsidRPr="00F97B2D">
        <w:rPr>
          <w:szCs w:val="24"/>
          <w:vertAlign w:val="superscript"/>
        </w:rPr>
        <w:t>n</w:t>
      </w:r>
      <w:r w:rsidR="00531A8B" w:rsidRPr="00F97B2D">
        <w:rPr>
          <w:szCs w:val="24"/>
        </w:rPr>
        <w:t xml:space="preserve"> is used.</w:t>
      </w:r>
      <w:sdt>
        <w:sdtPr>
          <w:rPr>
            <w:szCs w:val="24"/>
          </w:rPr>
          <w:id w:val="-1833839573"/>
          <w:citation/>
        </w:sdtPr>
        <w:sdtEndPr/>
        <w:sdtContent>
          <w:r w:rsidR="000E239B" w:rsidRPr="00420938">
            <w:rPr>
              <w:rStyle w:val="In-TextCitation"/>
            </w:rPr>
            <w:fldChar w:fldCharType="begin"/>
          </w:r>
          <w:r w:rsidR="00531A8B" w:rsidRPr="00420938">
            <w:rPr>
              <w:rStyle w:val="In-TextCitation"/>
            </w:rPr>
            <w:instrText xml:space="preserve"> CITATION Kol04 \l 1033 </w:instrText>
          </w:r>
          <w:r w:rsidR="000E239B" w:rsidRPr="00420938">
            <w:rPr>
              <w:rStyle w:val="In-TextCitation"/>
            </w:rPr>
            <w:fldChar w:fldCharType="separate"/>
          </w:r>
          <w:r w:rsidR="00420938" w:rsidRPr="00420938">
            <w:rPr>
              <w:rStyle w:val="In-TextCitation"/>
            </w:rPr>
            <w:t>(</w:t>
          </w:r>
          <w:hyperlink w:anchor="Kol04" w:history="1">
            <w:r w:rsidR="00420938" w:rsidRPr="00420938">
              <w:rPr>
                <w:rStyle w:val="In-TextCitation"/>
              </w:rPr>
              <w:t>91</w:t>
            </w:r>
          </w:hyperlink>
          <w:r w:rsidR="00420938" w:rsidRPr="00420938">
            <w:rPr>
              <w:rStyle w:val="In-TextCitation"/>
            </w:rPr>
            <w:t>)</w:t>
          </w:r>
          <w:r w:rsidR="000E239B" w:rsidRPr="00420938">
            <w:rPr>
              <w:rStyle w:val="In-TextCitation"/>
            </w:rPr>
            <w:fldChar w:fldCharType="end"/>
          </w:r>
        </w:sdtContent>
      </w:sdt>
    </w:p>
    <w:p w:rsidR="00224A0F" w:rsidRPr="00F97B2D" w:rsidRDefault="00224A0F" w:rsidP="00E06A4B">
      <w:pPr>
        <w:autoSpaceDE w:val="0"/>
        <w:autoSpaceDN w:val="0"/>
        <w:adjustRightInd w:val="0"/>
        <w:spacing w:after="0" w:line="480" w:lineRule="auto"/>
        <w:ind w:firstLine="720"/>
        <w:rPr>
          <w:szCs w:val="24"/>
        </w:rPr>
      </w:pPr>
      <w:r w:rsidRPr="00F97B2D">
        <w:rPr>
          <w:szCs w:val="24"/>
        </w:rPr>
        <w:t>Liquid chromatography has been combined with diode</w:t>
      </w:r>
      <w:r w:rsidR="00E06A4B">
        <w:rPr>
          <w:szCs w:val="24"/>
        </w:rPr>
        <w:t xml:space="preserve"> array detection (DAD), single </w:t>
      </w:r>
      <w:r w:rsidRPr="00F97B2D">
        <w:rPr>
          <w:szCs w:val="24"/>
        </w:rPr>
        <w:t>stage MS, or tandem MS for the analysis of designer drugs in biological materials.</w:t>
      </w:r>
      <w:r w:rsidR="00531A8B" w:rsidRPr="00F97B2D">
        <w:rPr>
          <w:szCs w:val="24"/>
        </w:rPr>
        <w:t xml:space="preserve"> </w:t>
      </w:r>
      <w:r w:rsidRPr="00F97B2D">
        <w:rPr>
          <w:szCs w:val="24"/>
        </w:rPr>
        <w:t xml:space="preserve"> D</w:t>
      </w:r>
      <w:r w:rsidR="00E277F0">
        <w:rPr>
          <w:szCs w:val="24"/>
        </w:rPr>
        <w:t>iode array detection</w:t>
      </w:r>
      <w:r w:rsidR="00AB41E2" w:rsidRPr="00F97B2D">
        <w:rPr>
          <w:szCs w:val="24"/>
        </w:rPr>
        <w:t xml:space="preserve"> </w:t>
      </w:r>
      <w:r w:rsidRPr="00F97B2D">
        <w:rPr>
          <w:szCs w:val="24"/>
        </w:rPr>
        <w:t>spectra may assist in the differentiation between certain isomers of some compounds,</w:t>
      </w:r>
      <w:r w:rsidR="00AB41E2" w:rsidRPr="00F97B2D">
        <w:rPr>
          <w:szCs w:val="24"/>
        </w:rPr>
        <w:t xml:space="preserve"> </w:t>
      </w:r>
      <w:r w:rsidRPr="00F97B2D">
        <w:rPr>
          <w:szCs w:val="24"/>
        </w:rPr>
        <w:t>like</w:t>
      </w:r>
      <w:r w:rsidR="00EF30D0" w:rsidRPr="00F97B2D">
        <w:rPr>
          <w:szCs w:val="24"/>
        </w:rPr>
        <w:t xml:space="preserve"> </w:t>
      </w:r>
      <w:r w:rsidR="00531A8B" w:rsidRPr="00F97B2D">
        <w:rPr>
          <w:szCs w:val="24"/>
        </w:rPr>
        <w:t>mCPP.</w:t>
      </w:r>
      <w:sdt>
        <w:sdtPr>
          <w:rPr>
            <w:szCs w:val="24"/>
          </w:rPr>
          <w:id w:val="-1833839572"/>
          <w:citation/>
        </w:sdtPr>
        <w:sdtEndPr/>
        <w:sdtContent>
          <w:r w:rsidR="000E239B" w:rsidRPr="00420938">
            <w:rPr>
              <w:rStyle w:val="In-TextCitation"/>
            </w:rPr>
            <w:fldChar w:fldCharType="begin"/>
          </w:r>
          <w:r w:rsidR="00531A8B" w:rsidRPr="00420938">
            <w:rPr>
              <w:rStyle w:val="In-TextCitation"/>
            </w:rPr>
            <w:instrText xml:space="preserve"> CITATION SEl08 \l 1033 </w:instrText>
          </w:r>
          <w:r w:rsidR="000E239B" w:rsidRPr="00420938">
            <w:rPr>
              <w:rStyle w:val="In-TextCitation"/>
            </w:rPr>
            <w:fldChar w:fldCharType="separate"/>
          </w:r>
          <w:r w:rsidR="00420938" w:rsidRPr="00420938">
            <w:rPr>
              <w:rStyle w:val="In-TextCitation"/>
            </w:rPr>
            <w:t>(</w:t>
          </w:r>
          <w:hyperlink w:anchor="SEl08" w:history="1">
            <w:r w:rsidR="00420938" w:rsidRPr="00420938">
              <w:rPr>
                <w:rStyle w:val="In-TextCitation"/>
              </w:rPr>
              <w:t>2</w:t>
            </w:r>
          </w:hyperlink>
          <w:r w:rsidR="00420938" w:rsidRPr="00420938">
            <w:rPr>
              <w:rStyle w:val="In-TextCitation"/>
            </w:rPr>
            <w:t>)</w:t>
          </w:r>
          <w:r w:rsidR="000E239B" w:rsidRPr="00420938">
            <w:rPr>
              <w:rStyle w:val="In-TextCitation"/>
            </w:rPr>
            <w:fldChar w:fldCharType="end"/>
          </w:r>
        </w:sdtContent>
      </w:sdt>
      <w:r w:rsidRPr="00F97B2D">
        <w:rPr>
          <w:szCs w:val="24"/>
        </w:rPr>
        <w:t xml:space="preserve"> </w:t>
      </w:r>
      <w:r w:rsidR="00531A8B" w:rsidRPr="00F97B2D">
        <w:rPr>
          <w:szCs w:val="24"/>
        </w:rPr>
        <w:t xml:space="preserve"> </w:t>
      </w:r>
      <w:r w:rsidR="00AB41E2" w:rsidRPr="00F97B2D">
        <w:rPr>
          <w:szCs w:val="24"/>
        </w:rPr>
        <w:t xml:space="preserve">Several LC-MS based </w:t>
      </w:r>
      <w:r w:rsidRPr="00F97B2D">
        <w:rPr>
          <w:szCs w:val="24"/>
        </w:rPr>
        <w:t>methods have been published that allow for the</w:t>
      </w:r>
      <w:r w:rsidR="00AB41E2" w:rsidRPr="00F97B2D">
        <w:rPr>
          <w:szCs w:val="24"/>
        </w:rPr>
        <w:t xml:space="preserve"> </w:t>
      </w:r>
      <w:r w:rsidRPr="00F97B2D">
        <w:rPr>
          <w:szCs w:val="24"/>
        </w:rPr>
        <w:t>screening of different drug substance classes simultaneously</w:t>
      </w:r>
      <w:r w:rsidR="00F60F9D">
        <w:rPr>
          <w:szCs w:val="24"/>
        </w:rPr>
        <w:t>.</w:t>
      </w:r>
      <w:r w:rsidR="00F60F9D" w:rsidRPr="00F60F9D">
        <w:rPr>
          <w:szCs w:val="24"/>
          <w:vertAlign w:val="superscript"/>
        </w:rPr>
        <w:t>(53,96-99)</w:t>
      </w:r>
      <w:r w:rsidR="00531A8B" w:rsidRPr="00F97B2D">
        <w:rPr>
          <w:szCs w:val="24"/>
        </w:rPr>
        <w:t xml:space="preserve"> </w:t>
      </w:r>
      <w:r w:rsidR="00423039" w:rsidRPr="00F97B2D">
        <w:rPr>
          <w:szCs w:val="24"/>
        </w:rPr>
        <w:t xml:space="preserve"> </w:t>
      </w:r>
      <w:r w:rsidRPr="00F97B2D">
        <w:rPr>
          <w:szCs w:val="24"/>
        </w:rPr>
        <w:t>Of note, Wohlfarth</w:t>
      </w:r>
      <w:r w:rsidR="00AB41E2" w:rsidRPr="00F97B2D">
        <w:rPr>
          <w:szCs w:val="24"/>
        </w:rPr>
        <w:t xml:space="preserve"> </w:t>
      </w:r>
      <w:r w:rsidRPr="00F97B2D">
        <w:rPr>
          <w:szCs w:val="24"/>
        </w:rPr>
        <w:t>et al. described a method for the detection of amphetamines, tryptamines, piperazines,</w:t>
      </w:r>
      <w:r w:rsidR="00AB41E2" w:rsidRPr="00F97B2D">
        <w:rPr>
          <w:szCs w:val="24"/>
        </w:rPr>
        <w:t xml:space="preserve"> </w:t>
      </w:r>
      <w:r w:rsidRPr="00F97B2D">
        <w:rPr>
          <w:szCs w:val="24"/>
        </w:rPr>
        <w:t>and a few cathinone derivatives in human serum by LC-MS/MS, with limits of detection</w:t>
      </w:r>
      <w:r w:rsidR="00AB41E2" w:rsidRPr="00F97B2D">
        <w:rPr>
          <w:szCs w:val="24"/>
        </w:rPr>
        <w:t xml:space="preserve"> </w:t>
      </w:r>
      <w:r w:rsidRPr="00F97B2D">
        <w:rPr>
          <w:szCs w:val="24"/>
        </w:rPr>
        <w:t>in the 1.0 to 5.0 ng/mL range.</w:t>
      </w:r>
      <w:sdt>
        <w:sdtPr>
          <w:rPr>
            <w:szCs w:val="24"/>
          </w:rPr>
          <w:id w:val="1010433984"/>
          <w:citation/>
        </w:sdtPr>
        <w:sdtEndPr/>
        <w:sdtContent>
          <w:r w:rsidR="000E239B" w:rsidRPr="00420938">
            <w:rPr>
              <w:rStyle w:val="In-TextCitation"/>
            </w:rPr>
            <w:fldChar w:fldCharType="begin"/>
          </w:r>
          <w:r w:rsidR="00E73A76" w:rsidRPr="00420938">
            <w:rPr>
              <w:rStyle w:val="In-TextCitation"/>
            </w:rPr>
            <w:instrText xml:space="preserve"> CITATION Woh10 \l 1033 </w:instrText>
          </w:r>
          <w:r w:rsidR="000E239B" w:rsidRPr="00420938">
            <w:rPr>
              <w:rStyle w:val="In-TextCitation"/>
            </w:rPr>
            <w:fldChar w:fldCharType="separate"/>
          </w:r>
          <w:r w:rsidR="00420938" w:rsidRPr="00420938">
            <w:rPr>
              <w:rStyle w:val="In-TextCitation"/>
            </w:rPr>
            <w:t>(</w:t>
          </w:r>
          <w:hyperlink w:anchor="Woh10" w:history="1">
            <w:r w:rsidR="00420938" w:rsidRPr="00420938">
              <w:rPr>
                <w:rStyle w:val="In-TextCitation"/>
              </w:rPr>
              <w:t>53</w:t>
            </w:r>
          </w:hyperlink>
          <w:r w:rsidR="00420938" w:rsidRPr="00420938">
            <w:rPr>
              <w:rStyle w:val="In-TextCitation"/>
            </w:rPr>
            <w:t>)</w:t>
          </w:r>
          <w:r w:rsidR="000E239B" w:rsidRPr="00420938">
            <w:rPr>
              <w:rStyle w:val="In-TextCitation"/>
            </w:rPr>
            <w:fldChar w:fldCharType="end"/>
          </w:r>
        </w:sdtContent>
      </w:sdt>
      <w:r w:rsidR="00423039" w:rsidRPr="00F97B2D">
        <w:rPr>
          <w:szCs w:val="24"/>
        </w:rPr>
        <w:t xml:space="preserve"> </w:t>
      </w:r>
      <w:r w:rsidRPr="00F97B2D">
        <w:rPr>
          <w:szCs w:val="24"/>
        </w:rPr>
        <w:t xml:space="preserve"> Other research has focused solely on LC-MS analysis of</w:t>
      </w:r>
      <w:r w:rsidR="00423039" w:rsidRPr="00F97B2D">
        <w:rPr>
          <w:szCs w:val="24"/>
        </w:rPr>
        <w:t xml:space="preserve"> </w:t>
      </w:r>
      <w:r w:rsidRPr="00F97B2D">
        <w:rPr>
          <w:szCs w:val="24"/>
        </w:rPr>
        <w:t xml:space="preserve">single compounds and </w:t>
      </w:r>
      <w:r w:rsidR="00E951CA" w:rsidRPr="00F97B2D">
        <w:rPr>
          <w:szCs w:val="24"/>
        </w:rPr>
        <w:t>metabolites</w:t>
      </w:r>
      <w:r w:rsidR="004E5CE2" w:rsidRPr="004E5CE2">
        <w:rPr>
          <w:szCs w:val="24"/>
          <w:vertAlign w:val="superscript"/>
        </w:rPr>
        <w:t>(25,40,100-102)</w:t>
      </w:r>
      <w:r w:rsidR="00E951CA" w:rsidRPr="00F97B2D">
        <w:rPr>
          <w:szCs w:val="24"/>
        </w:rPr>
        <w:t xml:space="preserve"> </w:t>
      </w:r>
      <w:r w:rsidR="00423039" w:rsidRPr="00F97B2D">
        <w:rPr>
          <w:szCs w:val="24"/>
        </w:rPr>
        <w:t xml:space="preserve"> </w:t>
      </w:r>
      <w:r w:rsidRPr="00F97B2D">
        <w:rPr>
          <w:szCs w:val="24"/>
        </w:rPr>
        <w:t>or on a small subset of a single drug</w:t>
      </w:r>
      <w:r w:rsidR="00AB41E2" w:rsidRPr="00F97B2D">
        <w:rPr>
          <w:szCs w:val="24"/>
        </w:rPr>
        <w:t xml:space="preserve"> </w:t>
      </w:r>
      <w:r w:rsidRPr="00F97B2D">
        <w:rPr>
          <w:szCs w:val="24"/>
        </w:rPr>
        <w:t>class</w:t>
      </w:r>
      <w:r w:rsidRPr="004E5CE2">
        <w:rPr>
          <w:szCs w:val="24"/>
        </w:rPr>
        <w:t>.</w:t>
      </w:r>
      <w:r w:rsidR="004E5CE2" w:rsidRPr="004E5CE2">
        <w:rPr>
          <w:szCs w:val="24"/>
          <w:vertAlign w:val="superscript"/>
        </w:rPr>
        <w:t>(79,94,103-106)</w:t>
      </w:r>
      <w:r w:rsidR="00423039" w:rsidRPr="00F97B2D">
        <w:rPr>
          <w:szCs w:val="24"/>
        </w:rPr>
        <w:t xml:space="preserve">  </w:t>
      </w:r>
      <w:r w:rsidRPr="00F97B2D">
        <w:rPr>
          <w:szCs w:val="24"/>
        </w:rPr>
        <w:t>Recently, cathinone derivatives have appeared on the illicit designer</w:t>
      </w:r>
      <w:r w:rsidR="00AB41E2" w:rsidRPr="00F97B2D">
        <w:rPr>
          <w:szCs w:val="24"/>
        </w:rPr>
        <w:t xml:space="preserve"> </w:t>
      </w:r>
      <w:r w:rsidRPr="00F97B2D">
        <w:rPr>
          <w:szCs w:val="24"/>
        </w:rPr>
        <w:t xml:space="preserve">drug market and are increasing in popularity among users. </w:t>
      </w:r>
      <w:r w:rsidR="002802BF" w:rsidRPr="00F97B2D">
        <w:rPr>
          <w:szCs w:val="24"/>
        </w:rPr>
        <w:t xml:space="preserve"> </w:t>
      </w:r>
      <w:r w:rsidR="009D7C48">
        <w:rPr>
          <w:szCs w:val="24"/>
        </w:rPr>
        <w:t>Until a couple of years ago</w:t>
      </w:r>
      <w:r w:rsidRPr="00F97B2D">
        <w:rPr>
          <w:szCs w:val="24"/>
        </w:rPr>
        <w:t>, no published</w:t>
      </w:r>
      <w:r w:rsidR="00AB41E2" w:rsidRPr="00F97B2D">
        <w:rPr>
          <w:szCs w:val="24"/>
        </w:rPr>
        <w:t xml:space="preserve"> </w:t>
      </w:r>
      <w:r w:rsidR="009D7C48">
        <w:rPr>
          <w:szCs w:val="24"/>
        </w:rPr>
        <w:t>methods were</w:t>
      </w:r>
      <w:r w:rsidRPr="00F97B2D">
        <w:rPr>
          <w:szCs w:val="24"/>
        </w:rPr>
        <w:t xml:space="preserve"> available for comprehensive confirmatory analysis of these compounds.</w:t>
      </w:r>
      <w:r w:rsidR="009D7C48">
        <w:rPr>
          <w:szCs w:val="24"/>
        </w:rPr>
        <w:t xml:space="preserve">  Now, </w:t>
      </w:r>
      <w:r w:rsidR="00211CA4">
        <w:rPr>
          <w:szCs w:val="24"/>
        </w:rPr>
        <w:t>several</w:t>
      </w:r>
      <w:r w:rsidR="009D7C48">
        <w:rPr>
          <w:szCs w:val="24"/>
        </w:rPr>
        <w:t xml:space="preserve"> methods have been developed with the focus on designer drugs, particul</w:t>
      </w:r>
      <w:r w:rsidR="005D3EEC">
        <w:rPr>
          <w:szCs w:val="24"/>
        </w:rPr>
        <w:t>arly the cathinone derivatives</w:t>
      </w:r>
      <w:proofErr w:type="gramStart"/>
      <w:r w:rsidR="009D7C48" w:rsidRPr="002B17F3">
        <w:rPr>
          <w:szCs w:val="24"/>
        </w:rPr>
        <w:t>.</w:t>
      </w:r>
      <w:r w:rsidR="002B17F3" w:rsidRPr="002B17F3">
        <w:rPr>
          <w:szCs w:val="24"/>
          <w:vertAlign w:val="superscript"/>
        </w:rPr>
        <w:t>(</w:t>
      </w:r>
      <w:proofErr w:type="gramEnd"/>
      <w:r w:rsidR="002B17F3" w:rsidRPr="002B17F3">
        <w:rPr>
          <w:szCs w:val="24"/>
          <w:vertAlign w:val="superscript"/>
        </w:rPr>
        <w:t>107-110)</w:t>
      </w:r>
      <w:r w:rsidR="009D7C48">
        <w:rPr>
          <w:szCs w:val="24"/>
        </w:rPr>
        <w:t xml:space="preserve">  However, as drug regulations intensify, </w:t>
      </w:r>
      <w:r w:rsidR="00A37884">
        <w:rPr>
          <w:szCs w:val="24"/>
        </w:rPr>
        <w:t>substitution of new analogs</w:t>
      </w:r>
      <w:r w:rsidR="009D7C48">
        <w:rPr>
          <w:szCs w:val="24"/>
        </w:rPr>
        <w:t xml:space="preserve"> continues, leaving laboratory methods one step behind the current compounds available on the market.  </w:t>
      </w:r>
      <w:r w:rsidRPr="00F97B2D">
        <w:rPr>
          <w:szCs w:val="24"/>
        </w:rPr>
        <w:t>With the continuing expansion</w:t>
      </w:r>
      <w:r w:rsidR="00AB41E2" w:rsidRPr="00F97B2D">
        <w:rPr>
          <w:szCs w:val="24"/>
        </w:rPr>
        <w:t xml:space="preserve"> </w:t>
      </w:r>
      <w:r w:rsidRPr="00F97B2D">
        <w:rPr>
          <w:szCs w:val="24"/>
        </w:rPr>
        <w:t>of LC-MS based methods, authors have also applied the technique to understanding</w:t>
      </w:r>
      <w:r w:rsidR="00AB41E2" w:rsidRPr="00F97B2D">
        <w:rPr>
          <w:szCs w:val="24"/>
        </w:rPr>
        <w:t xml:space="preserve"> </w:t>
      </w:r>
      <w:r w:rsidR="002802BF" w:rsidRPr="00F97B2D">
        <w:rPr>
          <w:szCs w:val="24"/>
        </w:rPr>
        <w:t>designer drug metabolism.</w:t>
      </w:r>
    </w:p>
    <w:p w:rsidR="00AB41E2" w:rsidRPr="00F97B2D" w:rsidRDefault="00E277F0" w:rsidP="00354489">
      <w:pPr>
        <w:autoSpaceDE w:val="0"/>
        <w:autoSpaceDN w:val="0"/>
        <w:adjustRightInd w:val="0"/>
        <w:spacing w:after="0" w:line="480" w:lineRule="auto"/>
        <w:ind w:firstLine="720"/>
        <w:rPr>
          <w:szCs w:val="24"/>
        </w:rPr>
      </w:pPr>
      <w:r>
        <w:rPr>
          <w:szCs w:val="24"/>
        </w:rPr>
        <w:t>C</w:t>
      </w:r>
      <w:r w:rsidR="00224A0F" w:rsidRPr="00F97B2D">
        <w:rPr>
          <w:szCs w:val="24"/>
        </w:rPr>
        <w:t xml:space="preserve">onfirmatory methods </w:t>
      </w:r>
      <w:r>
        <w:rPr>
          <w:szCs w:val="24"/>
        </w:rPr>
        <w:t xml:space="preserve">using GC </w:t>
      </w:r>
      <w:r w:rsidR="00224A0F" w:rsidRPr="00F97B2D">
        <w:rPr>
          <w:szCs w:val="24"/>
        </w:rPr>
        <w:t>rely heavily on comprehensive GC-MS libraries for</w:t>
      </w:r>
      <w:r w:rsidR="00AB41E2" w:rsidRPr="00F97B2D">
        <w:rPr>
          <w:szCs w:val="24"/>
        </w:rPr>
        <w:t xml:space="preserve"> </w:t>
      </w:r>
      <w:r w:rsidR="00224A0F" w:rsidRPr="00F97B2D">
        <w:rPr>
          <w:szCs w:val="24"/>
        </w:rPr>
        <w:t>analyte identification, which are generated using standardized instrumentation and</w:t>
      </w:r>
      <w:r w:rsidR="00AB41E2" w:rsidRPr="00F97B2D">
        <w:rPr>
          <w:szCs w:val="24"/>
        </w:rPr>
        <w:t xml:space="preserve"> </w:t>
      </w:r>
      <w:r w:rsidR="00211CA4">
        <w:rPr>
          <w:szCs w:val="24"/>
        </w:rPr>
        <w:t>ionization parameters.</w:t>
      </w:r>
      <w:r w:rsidR="00224A0F" w:rsidRPr="00F97B2D">
        <w:rPr>
          <w:szCs w:val="24"/>
        </w:rPr>
        <w:t xml:space="preserve"> </w:t>
      </w:r>
      <w:r w:rsidR="00211CA4">
        <w:rPr>
          <w:szCs w:val="24"/>
        </w:rPr>
        <w:t xml:space="preserve"> </w:t>
      </w:r>
      <w:r w:rsidR="00224A0F" w:rsidRPr="00F97B2D">
        <w:rPr>
          <w:szCs w:val="24"/>
        </w:rPr>
        <w:t>However, such libraries are not as common for LC-MS based</w:t>
      </w:r>
      <w:r w:rsidR="00AB41E2" w:rsidRPr="00F97B2D">
        <w:rPr>
          <w:szCs w:val="24"/>
        </w:rPr>
        <w:t xml:space="preserve"> d</w:t>
      </w:r>
      <w:r w:rsidR="00224A0F" w:rsidRPr="00F97B2D">
        <w:rPr>
          <w:szCs w:val="24"/>
        </w:rPr>
        <w:t>rug analysis, due primarily to variations in instrumental operating parameters among</w:t>
      </w:r>
      <w:r w:rsidR="00AB41E2" w:rsidRPr="00F97B2D">
        <w:rPr>
          <w:szCs w:val="24"/>
        </w:rPr>
        <w:t xml:space="preserve"> </w:t>
      </w:r>
      <w:r w:rsidR="00224A0F" w:rsidRPr="00F97B2D">
        <w:rPr>
          <w:szCs w:val="24"/>
        </w:rPr>
        <w:t xml:space="preserve">different instruments and laboratories. </w:t>
      </w:r>
      <w:r w:rsidR="002802BF" w:rsidRPr="00F97B2D">
        <w:rPr>
          <w:szCs w:val="24"/>
        </w:rPr>
        <w:t xml:space="preserve"> </w:t>
      </w:r>
      <w:r w:rsidR="00224A0F" w:rsidRPr="00F97B2D">
        <w:rPr>
          <w:szCs w:val="24"/>
        </w:rPr>
        <w:t>A few groups have created LC-MS databases of</w:t>
      </w:r>
      <w:r w:rsidR="00AB41E2" w:rsidRPr="00F97B2D">
        <w:rPr>
          <w:szCs w:val="24"/>
        </w:rPr>
        <w:t xml:space="preserve"> multiple designer </w:t>
      </w:r>
      <w:proofErr w:type="gramStart"/>
      <w:r w:rsidR="00E951CA" w:rsidRPr="00F97B2D">
        <w:rPr>
          <w:szCs w:val="24"/>
        </w:rPr>
        <w:t>drugs</w:t>
      </w:r>
      <w:r w:rsidR="00086DB2" w:rsidRPr="00086DB2">
        <w:rPr>
          <w:szCs w:val="24"/>
          <w:vertAlign w:val="superscript"/>
        </w:rPr>
        <w:t>(</w:t>
      </w:r>
      <w:proofErr w:type="gramEnd"/>
      <w:r w:rsidR="00086DB2" w:rsidRPr="00086DB2">
        <w:rPr>
          <w:szCs w:val="24"/>
          <w:vertAlign w:val="superscript"/>
        </w:rPr>
        <w:t>53,81,95,111)</w:t>
      </w:r>
      <w:r w:rsidR="002802BF" w:rsidRPr="00F97B2D">
        <w:rPr>
          <w:szCs w:val="24"/>
        </w:rPr>
        <w:t xml:space="preserve"> </w:t>
      </w:r>
      <w:r w:rsidR="00AB41E2" w:rsidRPr="00F97B2D">
        <w:rPr>
          <w:szCs w:val="24"/>
        </w:rPr>
        <w:t>or have published information about structural</w:t>
      </w:r>
      <w:r w:rsidR="002802BF" w:rsidRPr="00F97B2D">
        <w:rPr>
          <w:szCs w:val="24"/>
        </w:rPr>
        <w:t xml:space="preserve"> </w:t>
      </w:r>
      <w:r w:rsidR="00AB41E2" w:rsidRPr="00F97B2D">
        <w:rPr>
          <w:szCs w:val="24"/>
        </w:rPr>
        <w:t>elucidation and fragmentation patterns of such drugs that can be helpful in identifying</w:t>
      </w:r>
    </w:p>
    <w:p w:rsidR="00AB41E2" w:rsidRPr="00F97B2D" w:rsidRDefault="002802BF" w:rsidP="00354489">
      <w:pPr>
        <w:autoSpaceDE w:val="0"/>
        <w:autoSpaceDN w:val="0"/>
        <w:adjustRightInd w:val="0"/>
        <w:spacing w:after="0" w:line="480" w:lineRule="auto"/>
        <w:rPr>
          <w:szCs w:val="24"/>
        </w:rPr>
      </w:pPr>
      <w:proofErr w:type="gramStart"/>
      <w:r w:rsidRPr="00F97B2D">
        <w:rPr>
          <w:szCs w:val="24"/>
        </w:rPr>
        <w:t>unknowns</w:t>
      </w:r>
      <w:proofErr w:type="gramEnd"/>
      <w:r w:rsidRPr="00F97B2D">
        <w:rPr>
          <w:szCs w:val="24"/>
        </w:rPr>
        <w:t>.</w:t>
      </w:r>
      <w:sdt>
        <w:sdtPr>
          <w:rPr>
            <w:szCs w:val="24"/>
          </w:rPr>
          <w:id w:val="-1833839558"/>
          <w:citation/>
        </w:sdtPr>
        <w:sdtEndPr/>
        <w:sdtContent>
          <w:r w:rsidR="000E239B" w:rsidRPr="00420938">
            <w:rPr>
              <w:rStyle w:val="In-TextCitation"/>
            </w:rPr>
            <w:fldChar w:fldCharType="begin"/>
          </w:r>
          <w:r w:rsidRPr="00420938">
            <w:rPr>
              <w:rStyle w:val="In-TextCitation"/>
            </w:rPr>
            <w:instrText xml:space="preserve"> CITATION Kol04 \l 1033  \m Che08</w:instrText>
          </w:r>
          <w:r w:rsidR="000E239B" w:rsidRPr="00420938">
            <w:rPr>
              <w:rStyle w:val="In-TextCitation"/>
            </w:rPr>
            <w:fldChar w:fldCharType="separate"/>
          </w:r>
          <w:r w:rsidR="00420938" w:rsidRPr="00420938">
            <w:rPr>
              <w:rStyle w:val="In-TextCitation"/>
            </w:rPr>
            <w:t>(</w:t>
          </w:r>
          <w:hyperlink w:anchor="Kol04" w:history="1">
            <w:r w:rsidR="00420938" w:rsidRPr="00420938">
              <w:rPr>
                <w:rStyle w:val="In-TextCitation"/>
              </w:rPr>
              <w:t>91</w:t>
            </w:r>
          </w:hyperlink>
          <w:r w:rsidR="00420938" w:rsidRPr="00420938">
            <w:rPr>
              <w:rStyle w:val="In-TextCitation"/>
            </w:rPr>
            <w:t>,</w:t>
          </w:r>
          <w:hyperlink w:anchor="Che08" w:history="1">
            <w:r w:rsidR="00420938" w:rsidRPr="00420938">
              <w:rPr>
                <w:rStyle w:val="In-TextCitation"/>
              </w:rPr>
              <w:t>112</w:t>
            </w:r>
          </w:hyperlink>
          <w:r w:rsidR="00420938" w:rsidRPr="00420938">
            <w:rPr>
              <w:rStyle w:val="In-TextCitation"/>
            </w:rPr>
            <w:t>)</w:t>
          </w:r>
          <w:r w:rsidR="000E239B" w:rsidRPr="00420938">
            <w:rPr>
              <w:rStyle w:val="In-TextCitation"/>
            </w:rPr>
            <w:fldChar w:fldCharType="end"/>
          </w:r>
        </w:sdtContent>
      </w:sdt>
    </w:p>
    <w:p w:rsidR="00AB41E2" w:rsidRPr="00F97B2D" w:rsidRDefault="00AB41E2" w:rsidP="003510F7">
      <w:pPr>
        <w:autoSpaceDE w:val="0"/>
        <w:autoSpaceDN w:val="0"/>
        <w:adjustRightInd w:val="0"/>
        <w:spacing w:after="0" w:line="480" w:lineRule="auto"/>
        <w:ind w:firstLine="720"/>
        <w:rPr>
          <w:szCs w:val="24"/>
        </w:rPr>
      </w:pPr>
      <w:r w:rsidRPr="00F97B2D">
        <w:rPr>
          <w:szCs w:val="24"/>
        </w:rPr>
        <w:t>In addition to commonly employed biological matrices like blood, hair, and urine, several other matrices have been introduced to LC-MS techniques, including oral fluid,</w:t>
      </w:r>
      <w:r w:rsidR="00793B26" w:rsidRPr="00793B26">
        <w:rPr>
          <w:szCs w:val="24"/>
          <w:vertAlign w:val="superscript"/>
        </w:rPr>
        <w:t>(45,61,93,113)</w:t>
      </w:r>
      <w:r w:rsidR="006546B5" w:rsidRPr="00F97B2D">
        <w:rPr>
          <w:szCs w:val="24"/>
        </w:rPr>
        <w:t xml:space="preserve">  vitreous humor (post-mortem),</w:t>
      </w:r>
      <w:sdt>
        <w:sdtPr>
          <w:rPr>
            <w:szCs w:val="24"/>
          </w:rPr>
          <w:id w:val="-1401417037"/>
          <w:citation/>
        </w:sdtPr>
        <w:sdtEndPr/>
        <w:sdtContent>
          <w:r w:rsidR="000E239B" w:rsidRPr="00420938">
            <w:rPr>
              <w:rStyle w:val="In-TextCitation"/>
            </w:rPr>
            <w:fldChar w:fldCharType="begin"/>
          </w:r>
          <w:r w:rsidR="006546B5" w:rsidRPr="00420938">
            <w:rPr>
              <w:rStyle w:val="In-TextCitation"/>
            </w:rPr>
            <w:instrText xml:space="preserve"> CITATION Pel10 \l 1033 </w:instrText>
          </w:r>
          <w:r w:rsidR="000E239B" w:rsidRPr="00420938">
            <w:rPr>
              <w:rStyle w:val="In-TextCitation"/>
            </w:rPr>
            <w:fldChar w:fldCharType="separate"/>
          </w:r>
          <w:r w:rsidR="00420938" w:rsidRPr="00420938">
            <w:rPr>
              <w:rStyle w:val="In-TextCitation"/>
            </w:rPr>
            <w:t>(</w:t>
          </w:r>
          <w:hyperlink w:anchor="Pel10" w:history="1">
            <w:r w:rsidR="00420938" w:rsidRPr="00420938">
              <w:rPr>
                <w:rStyle w:val="In-TextCitation"/>
              </w:rPr>
              <w:t>114</w:t>
            </w:r>
          </w:hyperlink>
          <w:r w:rsidR="00420938" w:rsidRPr="00420938">
            <w:rPr>
              <w:rStyle w:val="In-TextCitation"/>
            </w:rPr>
            <w:t>)</w:t>
          </w:r>
          <w:r w:rsidR="000E239B" w:rsidRPr="00420938">
            <w:rPr>
              <w:rStyle w:val="In-TextCitation"/>
            </w:rPr>
            <w:fldChar w:fldCharType="end"/>
          </w:r>
        </w:sdtContent>
      </w:sdt>
      <w:r w:rsidR="006546B5" w:rsidRPr="00F97B2D">
        <w:rPr>
          <w:szCs w:val="24"/>
        </w:rPr>
        <w:t xml:space="preserve"> and exhaled breath.</w:t>
      </w:r>
      <w:sdt>
        <w:sdtPr>
          <w:rPr>
            <w:szCs w:val="24"/>
          </w:rPr>
          <w:id w:val="-1401417036"/>
          <w:citation/>
        </w:sdtPr>
        <w:sdtEndPr/>
        <w:sdtContent>
          <w:r w:rsidR="000E239B" w:rsidRPr="00420938">
            <w:rPr>
              <w:rStyle w:val="In-TextCitation"/>
            </w:rPr>
            <w:fldChar w:fldCharType="begin"/>
          </w:r>
          <w:r w:rsidR="000115E2" w:rsidRPr="00420938">
            <w:rPr>
              <w:rStyle w:val="In-TextCitation"/>
            </w:rPr>
            <w:instrText xml:space="preserve"> CITATION Bec10 \l 1033  </w:instrText>
          </w:r>
          <w:r w:rsidR="000E239B" w:rsidRPr="00420938">
            <w:rPr>
              <w:rStyle w:val="In-TextCitation"/>
            </w:rPr>
            <w:fldChar w:fldCharType="separate"/>
          </w:r>
          <w:r w:rsidR="00420938" w:rsidRPr="00420938">
            <w:rPr>
              <w:rStyle w:val="In-TextCitation"/>
            </w:rPr>
            <w:t>(</w:t>
          </w:r>
          <w:hyperlink w:anchor="Bec10" w:history="1">
            <w:r w:rsidR="00420938" w:rsidRPr="00420938">
              <w:rPr>
                <w:rStyle w:val="In-TextCitation"/>
              </w:rPr>
              <w:t>44</w:t>
            </w:r>
          </w:hyperlink>
          <w:r w:rsidR="00420938" w:rsidRPr="00420938">
            <w:rPr>
              <w:rStyle w:val="In-TextCitation"/>
            </w:rPr>
            <w:t>)</w:t>
          </w:r>
          <w:r w:rsidR="000E239B" w:rsidRPr="00420938">
            <w:rPr>
              <w:rStyle w:val="In-TextCitation"/>
            </w:rPr>
            <w:fldChar w:fldCharType="end"/>
          </w:r>
        </w:sdtContent>
      </w:sdt>
      <w:r w:rsidRPr="00F97B2D">
        <w:rPr>
          <w:szCs w:val="24"/>
        </w:rPr>
        <w:t xml:space="preserve"> </w:t>
      </w:r>
      <w:r w:rsidR="00307BAE" w:rsidRPr="00F97B2D">
        <w:rPr>
          <w:szCs w:val="24"/>
        </w:rPr>
        <w:t xml:space="preserve"> </w:t>
      </w:r>
      <w:r w:rsidRPr="00F97B2D">
        <w:rPr>
          <w:szCs w:val="24"/>
        </w:rPr>
        <w:t xml:space="preserve">Depending on desired sample matrix available, varying extraction methods are available for LC-MS sample preparation; unlike GC-MS, derivatization of analytes is generally not required. </w:t>
      </w:r>
      <w:r w:rsidR="00307BAE" w:rsidRPr="00F97B2D">
        <w:rPr>
          <w:szCs w:val="24"/>
        </w:rPr>
        <w:t xml:space="preserve"> </w:t>
      </w:r>
      <w:r w:rsidRPr="00F97B2D">
        <w:rPr>
          <w:szCs w:val="24"/>
        </w:rPr>
        <w:t>While LLE has been utilized it requires significan</w:t>
      </w:r>
      <w:r w:rsidR="003510F7" w:rsidRPr="00F97B2D">
        <w:rPr>
          <w:szCs w:val="24"/>
        </w:rPr>
        <w:t xml:space="preserve">t amounts of solvent and is not </w:t>
      </w:r>
      <w:r w:rsidR="00307BAE" w:rsidRPr="00F97B2D">
        <w:rPr>
          <w:szCs w:val="24"/>
        </w:rPr>
        <w:t>amenable to automation</w:t>
      </w:r>
      <w:proofErr w:type="gramStart"/>
      <w:r w:rsidR="00307BAE" w:rsidRPr="00F97B2D">
        <w:rPr>
          <w:szCs w:val="24"/>
        </w:rPr>
        <w:t>.</w:t>
      </w:r>
      <w:r w:rsidR="00793B26" w:rsidRPr="00793B26">
        <w:rPr>
          <w:szCs w:val="24"/>
          <w:vertAlign w:val="superscript"/>
        </w:rPr>
        <w:t>(</w:t>
      </w:r>
      <w:proofErr w:type="gramEnd"/>
      <w:r w:rsidR="00793B26" w:rsidRPr="00793B26">
        <w:rPr>
          <w:szCs w:val="24"/>
          <w:vertAlign w:val="superscript"/>
        </w:rPr>
        <w:t>51,92)</w:t>
      </w:r>
      <w:r w:rsidR="00307BAE" w:rsidRPr="00F97B2D">
        <w:rPr>
          <w:szCs w:val="24"/>
        </w:rPr>
        <w:t xml:space="preserve">  </w:t>
      </w:r>
      <w:r w:rsidRPr="00F97B2D">
        <w:rPr>
          <w:szCs w:val="24"/>
        </w:rPr>
        <w:t xml:space="preserve">More frequently, samples for LC-MS analysis are applied </w:t>
      </w:r>
      <w:r w:rsidR="00C26893" w:rsidRPr="00F97B2D">
        <w:rPr>
          <w:szCs w:val="24"/>
        </w:rPr>
        <w:t>to SPE</w:t>
      </w:r>
      <w:r w:rsidRPr="00F97B2D">
        <w:rPr>
          <w:szCs w:val="24"/>
        </w:rPr>
        <w:t xml:space="preserve"> cartridges for clean-up and pre-concentration of target compounds.</w:t>
      </w:r>
      <w:r w:rsidR="00307BAE" w:rsidRPr="00F97B2D">
        <w:rPr>
          <w:szCs w:val="24"/>
        </w:rPr>
        <w:t xml:space="preserve"> </w:t>
      </w:r>
      <w:r w:rsidRPr="00F97B2D">
        <w:rPr>
          <w:szCs w:val="24"/>
        </w:rPr>
        <w:t xml:space="preserve"> S</w:t>
      </w:r>
      <w:r w:rsidR="0047139F">
        <w:rPr>
          <w:szCs w:val="24"/>
        </w:rPr>
        <w:t>olid phase extraction</w:t>
      </w:r>
      <w:r w:rsidRPr="00F97B2D">
        <w:rPr>
          <w:szCs w:val="24"/>
        </w:rPr>
        <w:t xml:space="preserve"> has several advantages, including lower cost, ease of automation, and increased sensitivity, especially if proper cartridge chemistry is chosen to extract multiple,</w:t>
      </w:r>
      <w:r w:rsidR="00211CA4">
        <w:rPr>
          <w:szCs w:val="24"/>
        </w:rPr>
        <w:t xml:space="preserve"> structurally</w:t>
      </w:r>
      <w:r w:rsidRPr="00F97B2D">
        <w:rPr>
          <w:szCs w:val="24"/>
        </w:rPr>
        <w:t xml:space="preserve"> diverse analyte</w:t>
      </w:r>
      <w:r w:rsidR="00307BAE" w:rsidRPr="00F97B2D">
        <w:rPr>
          <w:szCs w:val="24"/>
        </w:rPr>
        <w:t>s free from matrix effects</w:t>
      </w:r>
      <w:r w:rsidR="00307BAE" w:rsidRPr="00F57CF6">
        <w:rPr>
          <w:szCs w:val="24"/>
        </w:rPr>
        <w:t>.</w:t>
      </w:r>
      <w:r w:rsidR="00F57CF6" w:rsidRPr="00F57CF6">
        <w:rPr>
          <w:szCs w:val="24"/>
          <w:vertAlign w:val="superscript"/>
        </w:rPr>
        <w:t>(48-50)</w:t>
      </w:r>
      <w:r w:rsidR="000677CC" w:rsidRPr="00F97B2D">
        <w:rPr>
          <w:szCs w:val="24"/>
        </w:rPr>
        <w:t xml:space="preserve">  </w:t>
      </w:r>
      <w:r w:rsidRPr="00F97B2D">
        <w:rPr>
          <w:szCs w:val="24"/>
        </w:rPr>
        <w:t xml:space="preserve">Often, reversed-phase extraction is carried out on mixed-mode C18 sorbent beds with hydrophobic residues and cation-exchange </w:t>
      </w:r>
      <w:r w:rsidR="000677CC" w:rsidRPr="00F97B2D">
        <w:rPr>
          <w:szCs w:val="24"/>
        </w:rPr>
        <w:t>resins.</w:t>
      </w:r>
      <w:sdt>
        <w:sdtPr>
          <w:rPr>
            <w:szCs w:val="24"/>
          </w:rPr>
          <w:id w:val="-1401417032"/>
          <w:citation/>
        </w:sdtPr>
        <w:sdtEndPr/>
        <w:sdtContent>
          <w:r w:rsidR="000E239B" w:rsidRPr="00420938">
            <w:rPr>
              <w:rStyle w:val="In-TextCitation"/>
            </w:rPr>
            <w:fldChar w:fldCharType="begin"/>
          </w:r>
          <w:r w:rsidR="000677CC" w:rsidRPr="00420938">
            <w:rPr>
              <w:rStyle w:val="In-TextCitation"/>
            </w:rPr>
            <w:instrText xml:space="preserve"> CITATION Bjo10 \l 1033 </w:instrText>
          </w:r>
          <w:r w:rsidR="000E239B" w:rsidRPr="00420938">
            <w:rPr>
              <w:rStyle w:val="In-TextCitation"/>
            </w:rPr>
            <w:fldChar w:fldCharType="separate"/>
          </w:r>
          <w:r w:rsidR="00420938" w:rsidRPr="00420938">
            <w:rPr>
              <w:rStyle w:val="In-TextCitation"/>
            </w:rPr>
            <w:t>(</w:t>
          </w:r>
          <w:hyperlink w:anchor="Bjo10" w:history="1">
            <w:r w:rsidR="00420938" w:rsidRPr="00420938">
              <w:rPr>
                <w:rStyle w:val="In-TextCitation"/>
              </w:rPr>
              <w:t>115</w:t>
            </w:r>
          </w:hyperlink>
          <w:r w:rsidR="00420938" w:rsidRPr="00420938">
            <w:rPr>
              <w:rStyle w:val="In-TextCitation"/>
            </w:rPr>
            <w:t>)</w:t>
          </w:r>
          <w:r w:rsidR="000E239B" w:rsidRPr="00420938">
            <w:rPr>
              <w:rStyle w:val="In-TextCitation"/>
            </w:rPr>
            <w:fldChar w:fldCharType="end"/>
          </w:r>
        </w:sdtContent>
      </w:sdt>
      <w:r w:rsidR="000677CC" w:rsidRPr="00F97B2D">
        <w:rPr>
          <w:szCs w:val="24"/>
        </w:rPr>
        <w:t xml:space="preserve">  </w:t>
      </w:r>
      <w:r w:rsidRPr="00F97B2D">
        <w:rPr>
          <w:szCs w:val="24"/>
        </w:rPr>
        <w:t>L</w:t>
      </w:r>
      <w:r w:rsidR="0047139F">
        <w:rPr>
          <w:szCs w:val="24"/>
        </w:rPr>
        <w:t>iquid chromatography-mass spectrometry</w:t>
      </w:r>
      <w:r w:rsidRPr="00F97B2D">
        <w:rPr>
          <w:szCs w:val="24"/>
        </w:rPr>
        <w:t xml:space="preserve"> methods for designer drugs also usually employ C18 reversed-phase columns for the chromatographic separations along with mobile phases modified with ammonium formate/formic acid</w:t>
      </w:r>
      <w:proofErr w:type="gramStart"/>
      <w:r w:rsidRPr="00F97B2D">
        <w:rPr>
          <w:szCs w:val="24"/>
        </w:rPr>
        <w:t>.</w:t>
      </w:r>
      <w:r w:rsidR="00F57CF6" w:rsidRPr="00F57CF6">
        <w:rPr>
          <w:szCs w:val="24"/>
          <w:vertAlign w:val="superscript"/>
        </w:rPr>
        <w:t>(</w:t>
      </w:r>
      <w:proofErr w:type="gramEnd"/>
      <w:r w:rsidR="00F57CF6" w:rsidRPr="00F57CF6">
        <w:rPr>
          <w:szCs w:val="24"/>
          <w:vertAlign w:val="superscript"/>
        </w:rPr>
        <w:t>40,53,113)</w:t>
      </w:r>
    </w:p>
    <w:p w:rsidR="00AB41E2" w:rsidRPr="00F97B2D" w:rsidRDefault="00AB41E2" w:rsidP="00C450D9">
      <w:pPr>
        <w:autoSpaceDE w:val="0"/>
        <w:autoSpaceDN w:val="0"/>
        <w:adjustRightInd w:val="0"/>
        <w:spacing w:after="0" w:line="480" w:lineRule="auto"/>
        <w:ind w:firstLine="720"/>
        <w:rPr>
          <w:szCs w:val="24"/>
        </w:rPr>
      </w:pPr>
      <w:r w:rsidRPr="00F97B2D">
        <w:rPr>
          <w:szCs w:val="24"/>
        </w:rPr>
        <w:t>Traditionally, LC-MS methods utilize deuterated co</w:t>
      </w:r>
      <w:r w:rsidR="00C450D9" w:rsidRPr="00F97B2D">
        <w:rPr>
          <w:szCs w:val="24"/>
        </w:rPr>
        <w:t>mpounds as internal standards.</w:t>
      </w:r>
      <w:sdt>
        <w:sdtPr>
          <w:rPr>
            <w:szCs w:val="24"/>
          </w:rPr>
          <w:id w:val="-1401417029"/>
          <w:citation/>
        </w:sdtPr>
        <w:sdtEndPr/>
        <w:sdtContent>
          <w:r w:rsidR="000E239B" w:rsidRPr="00420938">
            <w:rPr>
              <w:rStyle w:val="In-TextCitation"/>
            </w:rPr>
            <w:fldChar w:fldCharType="begin"/>
          </w:r>
          <w:r w:rsidR="00C450D9" w:rsidRPr="00420938">
            <w:rPr>
              <w:rStyle w:val="In-TextCitation"/>
            </w:rPr>
            <w:instrText xml:space="preserve"> CITATION Kra07 \l 1033 </w:instrText>
          </w:r>
          <w:r w:rsidR="000E239B" w:rsidRPr="00420938">
            <w:rPr>
              <w:rStyle w:val="In-TextCitation"/>
            </w:rPr>
            <w:fldChar w:fldCharType="separate"/>
          </w:r>
          <w:r w:rsidR="00420938" w:rsidRPr="00420938">
            <w:rPr>
              <w:rStyle w:val="In-TextCitation"/>
            </w:rPr>
            <w:t>(</w:t>
          </w:r>
          <w:hyperlink w:anchor="Kra07" w:history="1">
            <w:r w:rsidR="00420938" w:rsidRPr="00420938">
              <w:rPr>
                <w:rStyle w:val="In-TextCitation"/>
              </w:rPr>
              <w:t>116</w:t>
            </w:r>
          </w:hyperlink>
          <w:r w:rsidR="00420938" w:rsidRPr="00420938">
            <w:rPr>
              <w:rStyle w:val="In-TextCitation"/>
            </w:rPr>
            <w:t>)</w:t>
          </w:r>
          <w:r w:rsidR="000E239B" w:rsidRPr="00420938">
            <w:rPr>
              <w:rStyle w:val="In-TextCitation"/>
            </w:rPr>
            <w:fldChar w:fldCharType="end"/>
          </w:r>
        </w:sdtContent>
      </w:sdt>
      <w:r w:rsidR="00C450D9" w:rsidRPr="00F97B2D">
        <w:rPr>
          <w:szCs w:val="24"/>
        </w:rPr>
        <w:t xml:space="preserve"> </w:t>
      </w:r>
      <w:r w:rsidRPr="00F97B2D">
        <w:rPr>
          <w:szCs w:val="24"/>
        </w:rPr>
        <w:t xml:space="preserve"> When unavailable, as is often the case for new designer drugs, investigators attempt to choose compounds that are similar in structure to the targeted analyte. </w:t>
      </w:r>
      <w:r w:rsidR="00C450D9" w:rsidRPr="00F97B2D">
        <w:rPr>
          <w:szCs w:val="24"/>
        </w:rPr>
        <w:t xml:space="preserve"> </w:t>
      </w:r>
      <w:r w:rsidRPr="00F97B2D">
        <w:rPr>
          <w:szCs w:val="24"/>
        </w:rPr>
        <w:t>For example, Boland et al. chose 5-MeO-AMT as the internal st</w:t>
      </w:r>
      <w:r w:rsidR="00C450D9" w:rsidRPr="00F97B2D">
        <w:rPr>
          <w:szCs w:val="24"/>
        </w:rPr>
        <w:t xml:space="preserve">andard for the analysis of </w:t>
      </w:r>
      <w:proofErr w:type="gramStart"/>
      <w:r w:rsidR="00C450D9" w:rsidRPr="00F97B2D">
        <w:rPr>
          <w:szCs w:val="24"/>
        </w:rPr>
        <w:t>AMT</w:t>
      </w:r>
      <w:proofErr w:type="gramEnd"/>
      <w:sdt>
        <w:sdtPr>
          <w:rPr>
            <w:szCs w:val="24"/>
          </w:rPr>
          <w:id w:val="-1401417028"/>
          <w:citation/>
        </w:sdtPr>
        <w:sdtEndPr/>
        <w:sdtContent>
          <w:r w:rsidR="000E239B" w:rsidRPr="00420938">
            <w:rPr>
              <w:rStyle w:val="In-TextCitation"/>
            </w:rPr>
            <w:fldChar w:fldCharType="begin"/>
          </w:r>
          <w:r w:rsidR="00C450D9" w:rsidRPr="00420938">
            <w:rPr>
              <w:rStyle w:val="In-TextCitation"/>
            </w:rPr>
            <w:instrText xml:space="preserve"> CITATION DMB05 \l 1033 </w:instrText>
          </w:r>
          <w:r w:rsidR="000E239B" w:rsidRPr="00420938">
            <w:rPr>
              <w:rStyle w:val="In-TextCitation"/>
            </w:rPr>
            <w:fldChar w:fldCharType="separate"/>
          </w:r>
          <w:r w:rsidR="00420938" w:rsidRPr="00420938">
            <w:rPr>
              <w:rStyle w:val="In-TextCitation"/>
            </w:rPr>
            <w:t>(</w:t>
          </w:r>
          <w:hyperlink w:anchor="DMB05" w:history="1">
            <w:r w:rsidR="00420938" w:rsidRPr="00420938">
              <w:rPr>
                <w:rStyle w:val="In-TextCitation"/>
              </w:rPr>
              <w:t>25</w:t>
            </w:r>
          </w:hyperlink>
          <w:r w:rsidR="00420938" w:rsidRPr="00420938">
            <w:rPr>
              <w:rStyle w:val="In-TextCitation"/>
            </w:rPr>
            <w:t>)</w:t>
          </w:r>
          <w:r w:rsidR="000E239B" w:rsidRPr="00420938">
            <w:rPr>
              <w:rStyle w:val="In-TextCitation"/>
            </w:rPr>
            <w:fldChar w:fldCharType="end"/>
          </w:r>
        </w:sdtContent>
      </w:sdt>
      <w:r w:rsidRPr="00F97B2D">
        <w:rPr>
          <w:szCs w:val="24"/>
        </w:rPr>
        <w:t xml:space="preserve"> while Pichini et al. chose MDPA as the internal standard for a variety of “hallucinogenic designer </w:t>
      </w:r>
      <w:r w:rsidR="00C450D9" w:rsidRPr="00F97B2D">
        <w:rPr>
          <w:szCs w:val="24"/>
        </w:rPr>
        <w:t>drugs”.</w:t>
      </w:r>
      <w:sdt>
        <w:sdtPr>
          <w:rPr>
            <w:szCs w:val="24"/>
          </w:rPr>
          <w:id w:val="-1401417027"/>
          <w:citation/>
        </w:sdtPr>
        <w:sdtEndPr/>
        <w:sdtContent>
          <w:r w:rsidR="000E239B" w:rsidRPr="00420938">
            <w:rPr>
              <w:rStyle w:val="In-TextCitation"/>
            </w:rPr>
            <w:fldChar w:fldCharType="begin"/>
          </w:r>
          <w:r w:rsidR="00C450D9" w:rsidRPr="00420938">
            <w:rPr>
              <w:rStyle w:val="In-TextCitation"/>
            </w:rPr>
            <w:instrText xml:space="preserve"> CITATION Pic08 \l 1033 </w:instrText>
          </w:r>
          <w:r w:rsidR="000E239B" w:rsidRPr="00420938">
            <w:rPr>
              <w:rStyle w:val="In-TextCitation"/>
            </w:rPr>
            <w:fldChar w:fldCharType="separate"/>
          </w:r>
          <w:r w:rsidR="00420938" w:rsidRPr="00420938">
            <w:rPr>
              <w:rStyle w:val="In-TextCitation"/>
            </w:rPr>
            <w:t>(</w:t>
          </w:r>
          <w:hyperlink w:anchor="Pic08" w:history="1">
            <w:r w:rsidR="00420938" w:rsidRPr="00420938">
              <w:rPr>
                <w:rStyle w:val="In-TextCitation"/>
              </w:rPr>
              <w:t>99</w:t>
            </w:r>
          </w:hyperlink>
          <w:r w:rsidR="00420938" w:rsidRPr="00420938">
            <w:rPr>
              <w:rStyle w:val="In-TextCitation"/>
            </w:rPr>
            <w:t>)</w:t>
          </w:r>
          <w:r w:rsidR="000E239B" w:rsidRPr="00420938">
            <w:rPr>
              <w:rStyle w:val="In-TextCitation"/>
            </w:rPr>
            <w:fldChar w:fldCharType="end"/>
          </w:r>
        </w:sdtContent>
      </w:sdt>
      <w:r w:rsidR="00C450D9" w:rsidRPr="00F97B2D">
        <w:rPr>
          <w:szCs w:val="24"/>
        </w:rPr>
        <w:t xml:space="preserve"> </w:t>
      </w:r>
      <w:r w:rsidRPr="00F97B2D">
        <w:rPr>
          <w:szCs w:val="24"/>
        </w:rPr>
        <w:t xml:space="preserve"> When analyzing different drugs or multiple classes, it is important to</w:t>
      </w:r>
      <w:r w:rsidR="00C26893" w:rsidRPr="00F97B2D">
        <w:rPr>
          <w:szCs w:val="24"/>
        </w:rPr>
        <w:t xml:space="preserve"> </w:t>
      </w:r>
      <w:r w:rsidRPr="00F97B2D">
        <w:rPr>
          <w:szCs w:val="24"/>
        </w:rPr>
        <w:t xml:space="preserve">select appropriate internal standards to represent the range of analytes being targeted in order to ensure accurate quantification. </w:t>
      </w:r>
      <w:r w:rsidR="00211CA4">
        <w:rPr>
          <w:szCs w:val="24"/>
        </w:rPr>
        <w:t xml:space="preserve"> </w:t>
      </w:r>
      <w:r w:rsidRPr="00F97B2D">
        <w:rPr>
          <w:szCs w:val="24"/>
        </w:rPr>
        <w:t>The use of internal standards containing stable isotope labeled carbon or nitrogen may introduce unwanted bias or ion suppression with co-eluting peaks and is rarely used in fo</w:t>
      </w:r>
      <w:r w:rsidR="00C450D9" w:rsidRPr="00F97B2D">
        <w:rPr>
          <w:szCs w:val="24"/>
        </w:rPr>
        <w:t>rensic toxicological analysis.</w:t>
      </w:r>
      <w:sdt>
        <w:sdtPr>
          <w:rPr>
            <w:szCs w:val="24"/>
          </w:rPr>
          <w:id w:val="-1401417026"/>
          <w:citation/>
        </w:sdtPr>
        <w:sdtEndPr/>
        <w:sdtContent>
          <w:r w:rsidR="000E239B" w:rsidRPr="00420938">
            <w:rPr>
              <w:rStyle w:val="In-TextCitation"/>
            </w:rPr>
            <w:fldChar w:fldCharType="begin"/>
          </w:r>
          <w:r w:rsidR="00C450D9" w:rsidRPr="00420938">
            <w:rPr>
              <w:rStyle w:val="In-TextCitation"/>
            </w:rPr>
            <w:instrText xml:space="preserve"> CITATION Jia10 \l 1033 </w:instrText>
          </w:r>
          <w:r w:rsidR="000E239B" w:rsidRPr="00420938">
            <w:rPr>
              <w:rStyle w:val="In-TextCitation"/>
            </w:rPr>
            <w:fldChar w:fldCharType="separate"/>
          </w:r>
          <w:r w:rsidR="00420938" w:rsidRPr="00420938">
            <w:rPr>
              <w:rStyle w:val="In-TextCitation"/>
            </w:rPr>
            <w:t>(</w:t>
          </w:r>
          <w:hyperlink w:anchor="Jia10" w:history="1">
            <w:r w:rsidR="00420938" w:rsidRPr="00420938">
              <w:rPr>
                <w:rStyle w:val="In-TextCitation"/>
              </w:rPr>
              <w:t>117</w:t>
            </w:r>
          </w:hyperlink>
          <w:r w:rsidR="00420938" w:rsidRPr="00420938">
            <w:rPr>
              <w:rStyle w:val="In-TextCitation"/>
            </w:rPr>
            <w:t>)</w:t>
          </w:r>
          <w:r w:rsidR="000E239B" w:rsidRPr="00420938">
            <w:rPr>
              <w:rStyle w:val="In-TextCitation"/>
            </w:rPr>
            <w:fldChar w:fldCharType="end"/>
          </w:r>
        </w:sdtContent>
      </w:sdt>
    </w:p>
    <w:p w:rsidR="00730B45" w:rsidRPr="00574B1E" w:rsidRDefault="00AB41E2" w:rsidP="00574B1E">
      <w:pPr>
        <w:autoSpaceDE w:val="0"/>
        <w:autoSpaceDN w:val="0"/>
        <w:adjustRightInd w:val="0"/>
        <w:spacing w:after="0" w:line="480" w:lineRule="auto"/>
        <w:ind w:firstLine="720"/>
        <w:rPr>
          <w:szCs w:val="24"/>
        </w:rPr>
      </w:pPr>
      <w:r w:rsidRPr="00F97B2D">
        <w:rPr>
          <w:szCs w:val="24"/>
        </w:rPr>
        <w:t>Limits of detection of the various LC-MS methods depend on a variety of factors but are typically in the range of 0.1-5 ng/mL</w:t>
      </w:r>
      <w:r w:rsidRPr="00F57CF6">
        <w:rPr>
          <w:szCs w:val="24"/>
        </w:rPr>
        <w:t>.</w:t>
      </w:r>
      <w:r w:rsidR="00F57CF6" w:rsidRPr="00F57CF6">
        <w:rPr>
          <w:szCs w:val="24"/>
          <w:vertAlign w:val="superscript"/>
        </w:rPr>
        <w:t>(20,39,53,96,104,118,119)</w:t>
      </w:r>
      <w:r w:rsidR="00A63DA6" w:rsidRPr="00F97B2D">
        <w:rPr>
          <w:szCs w:val="24"/>
        </w:rPr>
        <w:t xml:space="preserve"> </w:t>
      </w:r>
      <w:r w:rsidRPr="00F97B2D">
        <w:rPr>
          <w:szCs w:val="24"/>
        </w:rPr>
        <w:t xml:space="preserve"> </w:t>
      </w:r>
      <w:r w:rsidR="00DB730E">
        <w:rPr>
          <w:szCs w:val="24"/>
        </w:rPr>
        <w:t>Commonly</w:t>
      </w:r>
      <w:r w:rsidRPr="00F97B2D">
        <w:rPr>
          <w:szCs w:val="24"/>
        </w:rPr>
        <w:t>, data acquisition is performed in MRM mode with pos</w:t>
      </w:r>
      <w:r w:rsidR="00A63DA6" w:rsidRPr="00F97B2D">
        <w:rPr>
          <w:szCs w:val="24"/>
        </w:rPr>
        <w:t>itive electrospray ionization.</w:t>
      </w:r>
      <w:sdt>
        <w:sdtPr>
          <w:rPr>
            <w:szCs w:val="24"/>
          </w:rPr>
          <w:id w:val="-1401417019"/>
          <w:citation/>
        </w:sdtPr>
        <w:sdtEndPr/>
        <w:sdtContent>
          <w:r w:rsidR="000E239B" w:rsidRPr="00420938">
            <w:rPr>
              <w:rStyle w:val="In-TextCitation"/>
            </w:rPr>
            <w:fldChar w:fldCharType="begin"/>
          </w:r>
          <w:r w:rsidR="00A63DA6" w:rsidRPr="00420938">
            <w:rPr>
              <w:rStyle w:val="In-TextCitation"/>
            </w:rPr>
            <w:instrText xml:space="preserve"> CITATION Woh10 \l 1033 </w:instrText>
          </w:r>
          <w:r w:rsidR="000E239B" w:rsidRPr="00420938">
            <w:rPr>
              <w:rStyle w:val="In-TextCitation"/>
            </w:rPr>
            <w:fldChar w:fldCharType="separate"/>
          </w:r>
          <w:r w:rsidR="00420938" w:rsidRPr="00420938">
            <w:rPr>
              <w:rStyle w:val="In-TextCitation"/>
            </w:rPr>
            <w:t>(</w:t>
          </w:r>
          <w:hyperlink w:anchor="Woh10" w:history="1">
            <w:r w:rsidR="00420938" w:rsidRPr="00420938">
              <w:rPr>
                <w:rStyle w:val="In-TextCitation"/>
              </w:rPr>
              <w:t>53</w:t>
            </w:r>
          </w:hyperlink>
          <w:r w:rsidR="00420938" w:rsidRPr="00420938">
            <w:rPr>
              <w:rStyle w:val="In-TextCitation"/>
            </w:rPr>
            <w:t>)</w:t>
          </w:r>
          <w:r w:rsidR="000E239B" w:rsidRPr="00420938">
            <w:rPr>
              <w:rStyle w:val="In-TextCitation"/>
            </w:rPr>
            <w:fldChar w:fldCharType="end"/>
          </w:r>
        </w:sdtContent>
      </w:sdt>
      <w:r w:rsidRPr="00F97B2D">
        <w:rPr>
          <w:szCs w:val="24"/>
        </w:rPr>
        <w:t xml:space="preserve"> </w:t>
      </w:r>
      <w:r w:rsidR="00A63DA6" w:rsidRPr="00F97B2D">
        <w:rPr>
          <w:szCs w:val="24"/>
        </w:rPr>
        <w:t xml:space="preserve"> </w:t>
      </w:r>
      <w:r w:rsidRPr="00F97B2D">
        <w:rPr>
          <w:szCs w:val="24"/>
        </w:rPr>
        <w:t xml:space="preserve">Usually, two transitions are sufficient for qualitatively identifying a compound; however many of the designer drugs yield similar fragments so differentiation among positional isomers may be challenging. </w:t>
      </w:r>
      <w:r w:rsidR="00A63DA6" w:rsidRPr="00F97B2D">
        <w:rPr>
          <w:szCs w:val="24"/>
        </w:rPr>
        <w:t xml:space="preserve"> </w:t>
      </w:r>
      <w:r w:rsidRPr="00F97B2D">
        <w:rPr>
          <w:szCs w:val="24"/>
        </w:rPr>
        <w:t>Even with the advent of ion trap mass spectrometers, some compounds are still indistingu</w:t>
      </w:r>
      <w:r w:rsidR="00A63DA6" w:rsidRPr="00F97B2D">
        <w:rPr>
          <w:szCs w:val="24"/>
        </w:rPr>
        <w:t>ishable even at the MS</w:t>
      </w:r>
      <w:r w:rsidR="00A63DA6" w:rsidRPr="00F97B2D">
        <w:rPr>
          <w:szCs w:val="24"/>
          <w:vertAlign w:val="superscript"/>
        </w:rPr>
        <w:t>6</w:t>
      </w:r>
      <w:r w:rsidR="00A63DA6" w:rsidRPr="00F97B2D">
        <w:rPr>
          <w:szCs w:val="24"/>
        </w:rPr>
        <w:t xml:space="preserve"> level.</w:t>
      </w:r>
      <w:sdt>
        <w:sdtPr>
          <w:rPr>
            <w:szCs w:val="24"/>
          </w:rPr>
          <w:id w:val="-1401417018"/>
          <w:citation/>
        </w:sdtPr>
        <w:sdtEndPr/>
        <w:sdtContent>
          <w:r w:rsidR="000E239B" w:rsidRPr="00420938">
            <w:rPr>
              <w:rStyle w:val="In-TextCitation"/>
            </w:rPr>
            <w:fldChar w:fldCharType="begin"/>
          </w:r>
          <w:r w:rsidR="00A63DA6" w:rsidRPr="00420938">
            <w:rPr>
              <w:rStyle w:val="In-TextCitation"/>
            </w:rPr>
            <w:instrText xml:space="preserve"> CITATION Kol04 \l 1033 </w:instrText>
          </w:r>
          <w:r w:rsidR="000E239B" w:rsidRPr="00420938">
            <w:rPr>
              <w:rStyle w:val="In-TextCitation"/>
            </w:rPr>
            <w:fldChar w:fldCharType="separate"/>
          </w:r>
          <w:r w:rsidR="00420938" w:rsidRPr="00420938">
            <w:rPr>
              <w:rStyle w:val="In-TextCitation"/>
            </w:rPr>
            <w:t>(</w:t>
          </w:r>
          <w:hyperlink w:anchor="Kol04" w:history="1">
            <w:r w:rsidR="00420938" w:rsidRPr="00420938">
              <w:rPr>
                <w:rStyle w:val="In-TextCitation"/>
              </w:rPr>
              <w:t>91</w:t>
            </w:r>
          </w:hyperlink>
          <w:r w:rsidR="00420938" w:rsidRPr="00420938">
            <w:rPr>
              <w:rStyle w:val="In-TextCitation"/>
            </w:rPr>
            <w:t>)</w:t>
          </w:r>
          <w:r w:rsidR="000E239B" w:rsidRPr="00420938">
            <w:rPr>
              <w:rStyle w:val="In-TextCitation"/>
            </w:rPr>
            <w:fldChar w:fldCharType="end"/>
          </w:r>
        </w:sdtContent>
      </w:sdt>
    </w:p>
    <w:p w:rsidR="00211CA4" w:rsidRDefault="00211CA4" w:rsidP="00F97B2D">
      <w:pPr>
        <w:pStyle w:val="Heading1"/>
        <w:sectPr w:rsidR="00211CA4" w:rsidSect="00005A65">
          <w:pgSz w:w="12240" w:h="15840" w:code="1"/>
          <w:pgMar w:top="1440" w:right="1440" w:bottom="1800" w:left="2160" w:header="720" w:footer="720" w:gutter="0"/>
          <w:cols w:space="720"/>
          <w:docGrid w:linePitch="360"/>
        </w:sectPr>
      </w:pPr>
    </w:p>
    <w:p w:rsidR="00730B45" w:rsidRDefault="00694CE8" w:rsidP="00F97B2D">
      <w:pPr>
        <w:pStyle w:val="Heading1"/>
      </w:pPr>
      <w:bookmarkStart w:id="99" w:name="_Toc372536041"/>
      <w:bookmarkStart w:id="100" w:name="_Toc372538704"/>
      <w:r w:rsidRPr="00F97B2D">
        <w:t>CROSS-REACTIVITY OF DESIGNER DRUGS</w:t>
      </w:r>
      <w:bookmarkEnd w:id="99"/>
      <w:bookmarkEnd w:id="100"/>
    </w:p>
    <w:p w:rsidR="003D3BF8" w:rsidRPr="003D3BF8" w:rsidRDefault="003D3BF8" w:rsidP="003D3BF8">
      <w:pPr>
        <w:spacing w:after="0" w:line="480" w:lineRule="auto"/>
        <w:rPr>
          <w:rFonts w:cs="Times New Roman"/>
          <w:szCs w:val="24"/>
        </w:rPr>
      </w:pPr>
      <w:proofErr w:type="gramStart"/>
      <w:r w:rsidRPr="003D3BF8">
        <w:rPr>
          <w:rFonts w:cs="Times New Roman"/>
          <w:szCs w:val="24"/>
        </w:rPr>
        <w:t>Copyright © 2013 John Wiley &amp; Sons, Ltd.</w:t>
      </w:r>
      <w:proofErr w:type="gramEnd"/>
    </w:p>
    <w:p w:rsidR="003D3BF8" w:rsidRPr="003D3BF8" w:rsidRDefault="003D3BF8" w:rsidP="003D3BF8">
      <w:pPr>
        <w:spacing w:after="0" w:line="480" w:lineRule="auto"/>
        <w:rPr>
          <w:rFonts w:cs="Times New Roman"/>
          <w:szCs w:val="24"/>
        </w:rPr>
      </w:pPr>
      <w:r w:rsidRPr="003D3BF8">
        <w:rPr>
          <w:rFonts w:cs="Times New Roman"/>
          <w:szCs w:val="24"/>
        </w:rPr>
        <w:t>Swortwood, M. J., Hearn, W. L., DeCaprio, A. P. (2013) Cross-reactivity of designer drugs, including cathinone derivatives, in commercial enzyme-linked immunosorbent assays.  Drug Test</w:t>
      </w:r>
      <w:r w:rsidR="0047139F">
        <w:rPr>
          <w:rFonts w:cs="Times New Roman"/>
          <w:szCs w:val="24"/>
        </w:rPr>
        <w:t>ing</w:t>
      </w:r>
      <w:r w:rsidRPr="003D3BF8">
        <w:rPr>
          <w:rFonts w:cs="Times New Roman"/>
          <w:szCs w:val="24"/>
        </w:rPr>
        <w:t xml:space="preserve"> </w:t>
      </w:r>
      <w:r w:rsidR="006E467F">
        <w:rPr>
          <w:rFonts w:cs="Times New Roman"/>
          <w:szCs w:val="24"/>
        </w:rPr>
        <w:t xml:space="preserve">and </w:t>
      </w:r>
      <w:r w:rsidRPr="003D3BF8">
        <w:rPr>
          <w:rFonts w:cs="Times New Roman"/>
          <w:szCs w:val="24"/>
        </w:rPr>
        <w:t>Anal</w:t>
      </w:r>
      <w:r w:rsidR="0047139F">
        <w:rPr>
          <w:rFonts w:cs="Times New Roman"/>
          <w:szCs w:val="24"/>
        </w:rPr>
        <w:t>ysis</w:t>
      </w:r>
      <w:r w:rsidRPr="003D3BF8">
        <w:rPr>
          <w:rFonts w:cs="Times New Roman"/>
          <w:szCs w:val="24"/>
        </w:rPr>
        <w:t xml:space="preserve"> DOI 10.1002/dta.1489</w:t>
      </w:r>
    </w:p>
    <w:p w:rsidR="00730B45" w:rsidRPr="00F97B2D" w:rsidRDefault="00730B45" w:rsidP="00F97B2D">
      <w:pPr>
        <w:pStyle w:val="Heading2"/>
      </w:pPr>
      <w:bookmarkStart w:id="101" w:name="_Toc372536042"/>
      <w:bookmarkStart w:id="102" w:name="_Toc372538705"/>
      <w:r w:rsidRPr="00F97B2D">
        <w:t>Overview</w:t>
      </w:r>
      <w:bookmarkEnd w:id="101"/>
      <w:bookmarkEnd w:id="102"/>
    </w:p>
    <w:p w:rsidR="00A944B9" w:rsidRPr="00F97B2D" w:rsidRDefault="000C5D38" w:rsidP="00211CA4">
      <w:pPr>
        <w:autoSpaceDE w:val="0"/>
        <w:autoSpaceDN w:val="0"/>
        <w:adjustRightInd w:val="0"/>
        <w:spacing w:after="0" w:line="480" w:lineRule="auto"/>
        <w:ind w:firstLine="720"/>
        <w:rPr>
          <w:szCs w:val="24"/>
        </w:rPr>
      </w:pPr>
      <w:r w:rsidRPr="00F97B2D">
        <w:rPr>
          <w:szCs w:val="24"/>
        </w:rPr>
        <w:t xml:space="preserve">Immunoassays are designed to indicate the presence (above a certain cut-off concentration) of a particular class or type of substance, such as amphetamines. </w:t>
      </w:r>
      <w:r w:rsidR="00B568E6" w:rsidRPr="00F97B2D">
        <w:rPr>
          <w:szCs w:val="24"/>
        </w:rPr>
        <w:t xml:space="preserve"> </w:t>
      </w:r>
      <w:r w:rsidRPr="00F97B2D">
        <w:rPr>
          <w:szCs w:val="24"/>
        </w:rPr>
        <w:t xml:space="preserve">For example, a typical toxicology laboratory may perform a drug screen with individual </w:t>
      </w:r>
      <w:r w:rsidR="00F066F5">
        <w:rPr>
          <w:szCs w:val="24"/>
        </w:rPr>
        <w:t>assay</w:t>
      </w:r>
      <w:r w:rsidRPr="00F97B2D">
        <w:rPr>
          <w:szCs w:val="24"/>
        </w:rPr>
        <w:t>s targeting barbiturates, benzodiazepines, cocaine, opiates, and oxycodone.  Depending on the nature of the immunoassay (</w:t>
      </w:r>
      <w:r w:rsidRPr="00F97B2D">
        <w:rPr>
          <w:i/>
          <w:szCs w:val="24"/>
        </w:rPr>
        <w:t>i.e.</w:t>
      </w:r>
      <w:r w:rsidR="0047139F">
        <w:rPr>
          <w:i/>
          <w:szCs w:val="24"/>
        </w:rPr>
        <w:t>,</w:t>
      </w:r>
      <w:r w:rsidRPr="00F97B2D">
        <w:rPr>
          <w:szCs w:val="24"/>
        </w:rPr>
        <w:t xml:space="preserve"> monoclonal vs</w:t>
      </w:r>
      <w:r w:rsidR="00C26893" w:rsidRPr="00F97B2D">
        <w:rPr>
          <w:szCs w:val="24"/>
        </w:rPr>
        <w:t>.</w:t>
      </w:r>
      <w:r w:rsidRPr="00F97B2D">
        <w:rPr>
          <w:szCs w:val="24"/>
        </w:rPr>
        <w:t xml:space="preserve"> polyclonal), the concentration of the drugs, or the structures of the analogs, som</w:t>
      </w:r>
      <w:r w:rsidR="00B568E6" w:rsidRPr="00F97B2D">
        <w:rPr>
          <w:szCs w:val="24"/>
        </w:rPr>
        <w:t>e compounds may not be detected.</w:t>
      </w:r>
      <w:r w:rsidRPr="00F97B2D">
        <w:rPr>
          <w:szCs w:val="24"/>
        </w:rPr>
        <w:t xml:space="preserve">  Consequently, while these screens may perform well for known derivatives, they are not ideal for unclassified substances because of the likelihood of unconfirmed positives. </w:t>
      </w:r>
      <w:r w:rsidR="00B568E6" w:rsidRPr="00F97B2D">
        <w:rPr>
          <w:szCs w:val="24"/>
        </w:rPr>
        <w:t xml:space="preserve"> </w:t>
      </w:r>
      <w:r w:rsidRPr="00F97B2D">
        <w:rPr>
          <w:szCs w:val="24"/>
        </w:rPr>
        <w:t>In addition, multiple classes of drugs generally cannot be detected and identified in</w:t>
      </w:r>
      <w:r w:rsidR="00E951CA">
        <w:rPr>
          <w:szCs w:val="24"/>
        </w:rPr>
        <w:t xml:space="preserve"> </w:t>
      </w:r>
      <w:r w:rsidRPr="00F97B2D">
        <w:rPr>
          <w:szCs w:val="24"/>
        </w:rPr>
        <w:t>a single test.</w:t>
      </w:r>
      <w:sdt>
        <w:sdtPr>
          <w:rPr>
            <w:szCs w:val="24"/>
          </w:rPr>
          <w:id w:val="79184906"/>
          <w:citation/>
        </w:sdtPr>
        <w:sdtEndPr/>
        <w:sdtContent>
          <w:r w:rsidR="000E239B" w:rsidRPr="00420938">
            <w:rPr>
              <w:rStyle w:val="In-TextCitation"/>
            </w:rPr>
            <w:fldChar w:fldCharType="begin"/>
          </w:r>
          <w:r w:rsidR="002C6FFC" w:rsidRPr="00420938">
            <w:rPr>
              <w:rStyle w:val="In-TextCitation"/>
            </w:rPr>
            <w:instrText xml:space="preserve"> CITATION ASC00 \l 1033  \m KRA05</w:instrText>
          </w:r>
          <w:r w:rsidR="000E239B" w:rsidRPr="00420938">
            <w:rPr>
              <w:rStyle w:val="In-TextCitation"/>
            </w:rPr>
            <w:fldChar w:fldCharType="separate"/>
          </w:r>
          <w:r w:rsidR="00420938" w:rsidRPr="00420938">
            <w:rPr>
              <w:rStyle w:val="In-TextCitation"/>
            </w:rPr>
            <w:t>(</w:t>
          </w:r>
          <w:hyperlink w:anchor="ASC00" w:history="1">
            <w:r w:rsidR="00420938" w:rsidRPr="00420938">
              <w:rPr>
                <w:rStyle w:val="In-TextCitation"/>
              </w:rPr>
              <w:t>60</w:t>
            </w:r>
          </w:hyperlink>
          <w:r w:rsidR="00420938" w:rsidRPr="00420938">
            <w:rPr>
              <w:rStyle w:val="In-TextCitation"/>
            </w:rPr>
            <w:t>,</w:t>
          </w:r>
          <w:hyperlink w:anchor="KRA05" w:history="1">
            <w:r w:rsidR="00420938" w:rsidRPr="00420938">
              <w:rPr>
                <w:rStyle w:val="In-TextCitation"/>
              </w:rPr>
              <w:t>61</w:t>
            </w:r>
          </w:hyperlink>
          <w:r w:rsidR="00420938" w:rsidRPr="00420938">
            <w:rPr>
              <w:rStyle w:val="In-TextCitation"/>
            </w:rPr>
            <w:t>)</w:t>
          </w:r>
          <w:r w:rsidR="000E239B" w:rsidRPr="00420938">
            <w:rPr>
              <w:rStyle w:val="In-TextCitation"/>
            </w:rPr>
            <w:fldChar w:fldCharType="end"/>
          </w:r>
        </w:sdtContent>
      </w:sdt>
      <w:r w:rsidRPr="00F97B2D">
        <w:rPr>
          <w:szCs w:val="24"/>
        </w:rPr>
        <w:t xml:space="preserve"> </w:t>
      </w:r>
      <w:r w:rsidR="00B568E6" w:rsidRPr="00F97B2D">
        <w:rPr>
          <w:szCs w:val="24"/>
        </w:rPr>
        <w:t xml:space="preserve"> </w:t>
      </w:r>
      <w:r w:rsidRPr="00F97B2D">
        <w:rPr>
          <w:szCs w:val="24"/>
        </w:rPr>
        <w:t>In regulated workplace drug testing, only a few drugs are targeted and high specificity is a desirable characteristic for antibodies used in that field.</w:t>
      </w:r>
      <w:r w:rsidR="00B568E6" w:rsidRPr="00F97B2D">
        <w:rPr>
          <w:szCs w:val="24"/>
        </w:rPr>
        <w:t xml:space="preserve"> </w:t>
      </w:r>
      <w:r w:rsidRPr="00F97B2D">
        <w:rPr>
          <w:szCs w:val="24"/>
        </w:rPr>
        <w:t xml:space="preserve"> However, for postmortem and human performance drug testing, broad selectivity is desirable.</w:t>
      </w:r>
    </w:p>
    <w:p w:rsidR="00730B45" w:rsidRPr="00F97B2D" w:rsidRDefault="00730B45" w:rsidP="00F97B2D">
      <w:pPr>
        <w:pStyle w:val="Heading2"/>
      </w:pPr>
      <w:bookmarkStart w:id="103" w:name="_Toc372536043"/>
      <w:bookmarkStart w:id="104" w:name="_Toc372538706"/>
      <w:r w:rsidRPr="00F97B2D">
        <w:t>Introduction</w:t>
      </w:r>
      <w:bookmarkEnd w:id="103"/>
      <w:bookmarkEnd w:id="104"/>
    </w:p>
    <w:p w:rsidR="000C5D38" w:rsidRPr="00F97B2D" w:rsidRDefault="000C5D38" w:rsidP="000C5D38">
      <w:pPr>
        <w:autoSpaceDE w:val="0"/>
        <w:autoSpaceDN w:val="0"/>
        <w:adjustRightInd w:val="0"/>
        <w:spacing w:after="0" w:line="480" w:lineRule="auto"/>
        <w:ind w:firstLine="720"/>
        <w:rPr>
          <w:szCs w:val="24"/>
        </w:rPr>
      </w:pPr>
      <w:r w:rsidRPr="00F97B2D">
        <w:rPr>
          <w:szCs w:val="24"/>
        </w:rPr>
        <w:t xml:space="preserve">The structures of many of the stimulant-type designer drugs closely resemble those of amphetamine, methamphetamine, </w:t>
      </w:r>
      <w:r w:rsidR="00B568E6" w:rsidRPr="00F97B2D">
        <w:rPr>
          <w:szCs w:val="24"/>
        </w:rPr>
        <w:t xml:space="preserve">and MDMA.  </w:t>
      </w:r>
      <w:r w:rsidRPr="00F97B2D">
        <w:rPr>
          <w:szCs w:val="24"/>
        </w:rPr>
        <w:t xml:space="preserve">Simply in terms of structural similarities, it is not unreasonable to expect that </w:t>
      </w:r>
      <w:r w:rsidR="008B6C28" w:rsidRPr="00F97B2D">
        <w:rPr>
          <w:szCs w:val="24"/>
        </w:rPr>
        <w:t>the antibodies used in the commercial immunoassays may also recognize these drugs</w:t>
      </w:r>
      <w:r w:rsidR="00B568E6" w:rsidRPr="00F97B2D">
        <w:rPr>
          <w:szCs w:val="24"/>
        </w:rPr>
        <w:t>.</w:t>
      </w:r>
      <w:sdt>
        <w:sdtPr>
          <w:rPr>
            <w:szCs w:val="24"/>
          </w:rPr>
          <w:id w:val="79184907"/>
          <w:citation/>
        </w:sdtPr>
        <w:sdtEndPr/>
        <w:sdtContent>
          <w:r w:rsidR="000E239B" w:rsidRPr="00420938">
            <w:rPr>
              <w:rStyle w:val="In-TextCitation"/>
            </w:rPr>
            <w:fldChar w:fldCharType="begin"/>
          </w:r>
          <w:r w:rsidR="002C6FFC" w:rsidRPr="00420938">
            <w:rPr>
              <w:rStyle w:val="In-TextCitation"/>
            </w:rPr>
            <w:instrText xml:space="preserve"> CITATION AWo10 \l 1033 </w:instrText>
          </w:r>
          <w:r w:rsidR="000E239B" w:rsidRPr="00420938">
            <w:rPr>
              <w:rStyle w:val="In-TextCitation"/>
            </w:rPr>
            <w:fldChar w:fldCharType="separate"/>
          </w:r>
          <w:r w:rsidR="00420938" w:rsidRPr="00420938">
            <w:rPr>
              <w:rStyle w:val="In-TextCitation"/>
            </w:rPr>
            <w:t>(</w:t>
          </w:r>
          <w:hyperlink w:anchor="AWo10" w:history="1">
            <w:r w:rsidR="00420938" w:rsidRPr="00420938">
              <w:rPr>
                <w:rStyle w:val="In-TextCitation"/>
              </w:rPr>
              <w:t>20</w:t>
            </w:r>
          </w:hyperlink>
          <w:r w:rsidR="00420938" w:rsidRPr="00420938">
            <w:rPr>
              <w:rStyle w:val="In-TextCitation"/>
            </w:rPr>
            <w:t>)</w:t>
          </w:r>
          <w:r w:rsidR="000E239B" w:rsidRPr="00420938">
            <w:rPr>
              <w:rStyle w:val="In-TextCitation"/>
            </w:rPr>
            <w:fldChar w:fldCharType="end"/>
          </w:r>
        </w:sdtContent>
      </w:sdt>
      <w:r w:rsidR="00B568E6" w:rsidRPr="00F97B2D">
        <w:rPr>
          <w:szCs w:val="24"/>
        </w:rPr>
        <w:t xml:space="preserve">  </w:t>
      </w:r>
      <w:r w:rsidRPr="00F97B2D">
        <w:rPr>
          <w:szCs w:val="24"/>
        </w:rPr>
        <w:t xml:space="preserve">However, cross-reactivity is not based on structural similarity alone, but also involves antibody and hapten/conjugate design.  Consequently, it is difficult to accurately predict cross-reactivity since the latter parameters are typically proprietary information.  Specific immunoassays are not yet widely available for new designer drugs of this class, although some limited research has been performed to characterize the performance of pre-existing immunoassays for such compounds. </w:t>
      </w:r>
      <w:r w:rsidR="00B568E6" w:rsidRPr="00F97B2D">
        <w:rPr>
          <w:szCs w:val="24"/>
        </w:rPr>
        <w:t xml:space="preserve"> </w:t>
      </w:r>
      <w:r w:rsidRPr="00F97B2D">
        <w:rPr>
          <w:szCs w:val="24"/>
        </w:rPr>
        <w:t xml:space="preserve">However, one commercial provider (Randox Laboratories) recently released two kits for the presumptive identification of ‘bath salts’, one targeting MDPV and another targeting mephedrone/methcathinone. </w:t>
      </w:r>
      <w:r w:rsidR="00B568E6" w:rsidRPr="00F97B2D">
        <w:rPr>
          <w:szCs w:val="24"/>
        </w:rPr>
        <w:t xml:space="preserve"> </w:t>
      </w:r>
      <w:r w:rsidRPr="00F97B2D">
        <w:rPr>
          <w:szCs w:val="24"/>
        </w:rPr>
        <w:t>To date, very few investigations of the cross-reactivity of new designer drugs in standard immunoassays have been reported.</w:t>
      </w:r>
      <w:r w:rsidR="00B568E6" w:rsidRPr="00F97B2D">
        <w:rPr>
          <w:szCs w:val="24"/>
        </w:rPr>
        <w:t xml:space="preserve"> </w:t>
      </w:r>
      <w:r w:rsidRPr="00F97B2D">
        <w:rPr>
          <w:szCs w:val="24"/>
        </w:rPr>
        <w:t xml:space="preserve"> Consequently, cross-reactivities still remain unknown for many drugs, particularly the newest compounds such as the cathinone derivatives.</w:t>
      </w:r>
    </w:p>
    <w:p w:rsidR="000C5D38" w:rsidRPr="00F97B2D" w:rsidRDefault="000C5D38" w:rsidP="000C5D38">
      <w:pPr>
        <w:autoSpaceDE w:val="0"/>
        <w:autoSpaceDN w:val="0"/>
        <w:adjustRightInd w:val="0"/>
        <w:spacing w:after="0" w:line="480" w:lineRule="auto"/>
        <w:ind w:firstLine="720"/>
        <w:rPr>
          <w:szCs w:val="24"/>
        </w:rPr>
      </w:pPr>
      <w:r w:rsidRPr="00F97B2D">
        <w:rPr>
          <w:szCs w:val="24"/>
        </w:rPr>
        <w:t xml:space="preserve">There have been several studies that have reported cross-reactivity values for numerous compounds with a variety of assays using spiked specimens. </w:t>
      </w:r>
      <w:r w:rsidR="00B568E6" w:rsidRPr="00F97B2D">
        <w:rPr>
          <w:szCs w:val="24"/>
        </w:rPr>
        <w:t xml:space="preserve"> </w:t>
      </w:r>
      <w:r w:rsidRPr="00F97B2D">
        <w:rPr>
          <w:szCs w:val="24"/>
        </w:rPr>
        <w:t>Park et al. described the cross-reactivity of several amphetamine analogs in human urine using Abbott TDx (amphetamine cut-off 300 ng/</w:t>
      </w:r>
      <w:r w:rsidR="00211CA4">
        <w:rPr>
          <w:szCs w:val="24"/>
        </w:rPr>
        <w:t>mL</w:t>
      </w:r>
      <w:r w:rsidRPr="00F97B2D">
        <w:rPr>
          <w:szCs w:val="24"/>
        </w:rPr>
        <w:t>), Vitalab Selectra (methamphetamine cut-off 1000 ng/</w:t>
      </w:r>
      <w:r w:rsidR="00211CA4">
        <w:rPr>
          <w:szCs w:val="24"/>
        </w:rPr>
        <w:t>mL</w:t>
      </w:r>
      <w:r w:rsidRPr="00F97B2D">
        <w:rPr>
          <w:szCs w:val="24"/>
        </w:rPr>
        <w:t>), Accusign MET (on-site test kit, methamphetamine cut-off 1000 ng/</w:t>
      </w:r>
      <w:r w:rsidR="00211CA4">
        <w:rPr>
          <w:szCs w:val="24"/>
        </w:rPr>
        <w:t>mL</w:t>
      </w:r>
      <w:r w:rsidRPr="00F97B2D">
        <w:rPr>
          <w:szCs w:val="24"/>
        </w:rPr>
        <w:t xml:space="preserve">), and SD Bioline MET (on-site test kit, methamphetamine cut-off </w:t>
      </w:r>
      <w:r w:rsidR="00B568E6" w:rsidRPr="00F97B2D">
        <w:rPr>
          <w:szCs w:val="24"/>
        </w:rPr>
        <w:t>1000 ng/</w:t>
      </w:r>
      <w:r w:rsidR="00211CA4">
        <w:rPr>
          <w:szCs w:val="24"/>
        </w:rPr>
        <w:t>mL</w:t>
      </w:r>
      <w:r w:rsidR="00B568E6" w:rsidRPr="00F97B2D">
        <w:rPr>
          <w:szCs w:val="24"/>
        </w:rPr>
        <w:t>).</w:t>
      </w:r>
      <w:sdt>
        <w:sdtPr>
          <w:rPr>
            <w:szCs w:val="24"/>
          </w:rPr>
          <w:id w:val="79184908"/>
          <w:citation/>
        </w:sdtPr>
        <w:sdtEndPr/>
        <w:sdtContent>
          <w:r w:rsidR="000E239B" w:rsidRPr="00420938">
            <w:rPr>
              <w:rStyle w:val="In-TextCitation"/>
            </w:rPr>
            <w:fldChar w:fldCharType="begin"/>
          </w:r>
          <w:r w:rsidR="002C6FFC" w:rsidRPr="00420938">
            <w:rPr>
              <w:rStyle w:val="In-TextCitation"/>
            </w:rPr>
            <w:instrText xml:space="preserve"> CITATION MPa03 \l 1033 </w:instrText>
          </w:r>
          <w:r w:rsidR="000E239B" w:rsidRPr="00420938">
            <w:rPr>
              <w:rStyle w:val="In-TextCitation"/>
            </w:rPr>
            <w:fldChar w:fldCharType="separate"/>
          </w:r>
          <w:r w:rsidR="00420938" w:rsidRPr="00420938">
            <w:rPr>
              <w:rStyle w:val="In-TextCitation"/>
            </w:rPr>
            <w:t>(</w:t>
          </w:r>
          <w:hyperlink w:anchor="MPa03" w:history="1">
            <w:r w:rsidR="00420938" w:rsidRPr="00420938">
              <w:rPr>
                <w:rStyle w:val="In-TextCitation"/>
              </w:rPr>
              <w:t>57</w:t>
            </w:r>
          </w:hyperlink>
          <w:r w:rsidR="00420938" w:rsidRPr="00420938">
            <w:rPr>
              <w:rStyle w:val="In-TextCitation"/>
            </w:rPr>
            <w:t>)</w:t>
          </w:r>
          <w:r w:rsidR="000E239B" w:rsidRPr="00420938">
            <w:rPr>
              <w:rStyle w:val="In-TextCitation"/>
            </w:rPr>
            <w:fldChar w:fldCharType="end"/>
          </w:r>
        </w:sdtContent>
      </w:sdt>
      <w:r w:rsidR="00B568E6" w:rsidRPr="00F97B2D">
        <w:rPr>
          <w:szCs w:val="24"/>
        </w:rPr>
        <w:t xml:space="preserve">  </w:t>
      </w:r>
      <w:r w:rsidRPr="00F97B2D">
        <w:rPr>
          <w:szCs w:val="24"/>
        </w:rPr>
        <w:t xml:space="preserve">They demonstrated high cross-reactivities for MDA, MDMA, and MDEA for all of the kits, with confirmation by GC-MS. </w:t>
      </w:r>
      <w:r w:rsidR="00B568E6" w:rsidRPr="00F97B2D">
        <w:rPr>
          <w:szCs w:val="24"/>
        </w:rPr>
        <w:t xml:space="preserve"> </w:t>
      </w:r>
      <w:r w:rsidRPr="00F97B2D">
        <w:rPr>
          <w:szCs w:val="24"/>
        </w:rPr>
        <w:t>Crooks et al. investigated an alternative matrix, oral fluid, in order to assess screening assays for amphetamines</w:t>
      </w:r>
      <w:r w:rsidR="00B568E6" w:rsidRPr="00F97B2D">
        <w:rPr>
          <w:szCs w:val="24"/>
        </w:rPr>
        <w:t xml:space="preserve"> and methamphetamines.</w:t>
      </w:r>
      <w:sdt>
        <w:sdtPr>
          <w:rPr>
            <w:szCs w:val="24"/>
          </w:rPr>
          <w:id w:val="79184909"/>
          <w:citation/>
        </w:sdtPr>
        <w:sdtEndPr/>
        <w:sdtContent>
          <w:r w:rsidR="000E239B" w:rsidRPr="00420938">
            <w:rPr>
              <w:rStyle w:val="In-TextCitation"/>
            </w:rPr>
            <w:fldChar w:fldCharType="begin"/>
          </w:r>
          <w:r w:rsidR="002C6FFC" w:rsidRPr="00420938">
            <w:rPr>
              <w:rStyle w:val="In-TextCitation"/>
            </w:rPr>
            <w:instrText xml:space="preserve"> CITATION CRC10 \l 1033 </w:instrText>
          </w:r>
          <w:r w:rsidR="000E239B" w:rsidRPr="00420938">
            <w:rPr>
              <w:rStyle w:val="In-TextCitation"/>
            </w:rPr>
            <w:fldChar w:fldCharType="separate"/>
          </w:r>
          <w:r w:rsidR="00420938" w:rsidRPr="00420938">
            <w:rPr>
              <w:rStyle w:val="In-TextCitation"/>
            </w:rPr>
            <w:t>(</w:t>
          </w:r>
          <w:hyperlink w:anchor="CRC10" w:history="1">
            <w:r w:rsidR="00420938" w:rsidRPr="00420938">
              <w:rPr>
                <w:rStyle w:val="In-TextCitation"/>
              </w:rPr>
              <w:t>59</w:t>
            </w:r>
          </w:hyperlink>
          <w:r w:rsidR="00420938" w:rsidRPr="00420938">
            <w:rPr>
              <w:rStyle w:val="In-TextCitation"/>
            </w:rPr>
            <w:t>)</w:t>
          </w:r>
          <w:r w:rsidR="000E239B" w:rsidRPr="00420938">
            <w:rPr>
              <w:rStyle w:val="In-TextCitation"/>
            </w:rPr>
            <w:fldChar w:fldCharType="end"/>
          </w:r>
        </w:sdtContent>
      </w:sdt>
      <w:r w:rsidR="00B568E6" w:rsidRPr="00F97B2D">
        <w:rPr>
          <w:szCs w:val="24"/>
        </w:rPr>
        <w:t xml:space="preserve">  </w:t>
      </w:r>
      <w:r w:rsidRPr="00F97B2D">
        <w:rPr>
          <w:szCs w:val="24"/>
        </w:rPr>
        <w:t>Roche DAT assays (amphetamines cut-off 40 ng/</w:t>
      </w:r>
      <w:r w:rsidR="00211CA4">
        <w:rPr>
          <w:szCs w:val="24"/>
        </w:rPr>
        <w:t>mL</w:t>
      </w:r>
      <w:r w:rsidRPr="00F97B2D">
        <w:rPr>
          <w:szCs w:val="24"/>
        </w:rPr>
        <w:t>; methamphetamines cut-off 40 ng/</w:t>
      </w:r>
      <w:r w:rsidR="00211CA4">
        <w:rPr>
          <w:szCs w:val="24"/>
        </w:rPr>
        <w:t>mL</w:t>
      </w:r>
      <w:r w:rsidRPr="00F97B2D">
        <w:rPr>
          <w:szCs w:val="24"/>
        </w:rPr>
        <w:t>) were evaluated with MDA, MDMA, MDEA, MBDB (N-methyl-1,3-benzodioxolylbutanamin</w:t>
      </w:r>
      <w:r w:rsidR="00E06A4B">
        <w:rPr>
          <w:szCs w:val="24"/>
        </w:rPr>
        <w:t>e</w:t>
      </w:r>
      <w:r w:rsidRPr="00F97B2D">
        <w:rPr>
          <w:szCs w:val="24"/>
        </w:rPr>
        <w:t>), PMA (paramethoxyamphetamine), and BDB (3,4-methylenedioxy</w:t>
      </w:r>
      <w:r w:rsidR="00E06A4B">
        <w:rPr>
          <w:szCs w:val="24"/>
        </w:rPr>
        <w:t>-</w:t>
      </w:r>
      <w:r w:rsidR="00E06A4B">
        <w:rPr>
          <w:rFonts w:cs="Times New Roman"/>
          <w:szCs w:val="24"/>
        </w:rPr>
        <w:t>α</w:t>
      </w:r>
      <w:r w:rsidR="00E06A4B">
        <w:rPr>
          <w:szCs w:val="24"/>
        </w:rPr>
        <w:t>-</w:t>
      </w:r>
      <w:r w:rsidRPr="00F97B2D">
        <w:rPr>
          <w:szCs w:val="24"/>
        </w:rPr>
        <w:t xml:space="preserve">ethylphenethylamine).  Cross-reactivity was reported for PMA, MDA, and BDB for the amphetamine </w:t>
      </w:r>
      <w:r w:rsidR="00F066F5">
        <w:rPr>
          <w:szCs w:val="24"/>
        </w:rPr>
        <w:t>assay</w:t>
      </w:r>
      <w:r w:rsidRPr="00F97B2D">
        <w:rPr>
          <w:szCs w:val="24"/>
        </w:rPr>
        <w:t xml:space="preserve"> while MDMA, MDEA, and MBDB showed significant reactivity using the methamphetamine </w:t>
      </w:r>
      <w:r w:rsidR="00F066F5">
        <w:rPr>
          <w:szCs w:val="24"/>
        </w:rPr>
        <w:t>assay</w:t>
      </w:r>
      <w:r w:rsidRPr="00F97B2D">
        <w:rPr>
          <w:szCs w:val="24"/>
        </w:rPr>
        <w:t>.</w:t>
      </w:r>
    </w:p>
    <w:p w:rsidR="000C5D38" w:rsidRPr="00F97B2D" w:rsidRDefault="000C5D38" w:rsidP="000C5D38">
      <w:pPr>
        <w:autoSpaceDE w:val="0"/>
        <w:autoSpaceDN w:val="0"/>
        <w:adjustRightInd w:val="0"/>
        <w:spacing w:after="0" w:line="480" w:lineRule="auto"/>
        <w:ind w:firstLine="720"/>
        <w:rPr>
          <w:szCs w:val="24"/>
        </w:rPr>
      </w:pPr>
      <w:r w:rsidRPr="00F97B2D">
        <w:rPr>
          <w:szCs w:val="24"/>
        </w:rPr>
        <w:t xml:space="preserve">Cody et al. used fluorescence polarization immunoassays to detect a group of designer drug analogs and metabolites in urine with two Abbott TDx </w:t>
      </w:r>
      <w:r w:rsidR="00F066F5">
        <w:rPr>
          <w:szCs w:val="24"/>
        </w:rPr>
        <w:t>assay</w:t>
      </w:r>
      <w:r w:rsidRPr="00F97B2D">
        <w:rPr>
          <w:szCs w:val="24"/>
        </w:rPr>
        <w:t xml:space="preserve">s (Amphetamine class; Amphetamine/ </w:t>
      </w:r>
      <w:r w:rsidR="00B568E6" w:rsidRPr="00F97B2D">
        <w:rPr>
          <w:szCs w:val="24"/>
        </w:rPr>
        <w:t>Methamphetamine II).</w:t>
      </w:r>
      <w:sdt>
        <w:sdtPr>
          <w:rPr>
            <w:szCs w:val="24"/>
          </w:rPr>
          <w:id w:val="79184910"/>
          <w:citation/>
        </w:sdtPr>
        <w:sdtEndPr/>
        <w:sdtContent>
          <w:r w:rsidR="000E239B" w:rsidRPr="00420938">
            <w:rPr>
              <w:rStyle w:val="In-TextCitation"/>
            </w:rPr>
            <w:fldChar w:fldCharType="begin"/>
          </w:r>
          <w:r w:rsidR="002C6FFC" w:rsidRPr="00420938">
            <w:rPr>
              <w:rStyle w:val="In-TextCitation"/>
            </w:rPr>
            <w:instrText xml:space="preserve"> CITATION JTC93 \l 1033 </w:instrText>
          </w:r>
          <w:r w:rsidR="000E239B" w:rsidRPr="00420938">
            <w:rPr>
              <w:rStyle w:val="In-TextCitation"/>
            </w:rPr>
            <w:fldChar w:fldCharType="separate"/>
          </w:r>
          <w:r w:rsidR="00420938" w:rsidRPr="00420938">
            <w:rPr>
              <w:rStyle w:val="In-TextCitation"/>
            </w:rPr>
            <w:t>(</w:t>
          </w:r>
          <w:hyperlink w:anchor="JTC93" w:history="1">
            <w:r w:rsidR="00420938" w:rsidRPr="00420938">
              <w:rPr>
                <w:rStyle w:val="In-TextCitation"/>
              </w:rPr>
              <w:t>120</w:t>
            </w:r>
          </w:hyperlink>
          <w:r w:rsidR="00420938" w:rsidRPr="00420938">
            <w:rPr>
              <w:rStyle w:val="In-TextCitation"/>
            </w:rPr>
            <w:t>)</w:t>
          </w:r>
          <w:r w:rsidR="000E239B" w:rsidRPr="00420938">
            <w:rPr>
              <w:rStyle w:val="In-TextCitation"/>
            </w:rPr>
            <w:fldChar w:fldCharType="end"/>
          </w:r>
        </w:sdtContent>
      </w:sdt>
      <w:r w:rsidR="00B568E6" w:rsidRPr="00F97B2D">
        <w:rPr>
          <w:szCs w:val="24"/>
        </w:rPr>
        <w:t xml:space="preserve">  </w:t>
      </w:r>
      <w:r w:rsidRPr="00F97B2D">
        <w:rPr>
          <w:szCs w:val="24"/>
        </w:rPr>
        <w:t xml:space="preserve">High cross-reactivity was reported for MDA, MDMA, MDEA, and 4-hydroxymethamphetamine for both </w:t>
      </w:r>
      <w:r w:rsidR="00F066F5">
        <w:rPr>
          <w:szCs w:val="24"/>
        </w:rPr>
        <w:t>assay</w:t>
      </w:r>
      <w:r w:rsidRPr="00F97B2D">
        <w:rPr>
          <w:szCs w:val="24"/>
        </w:rPr>
        <w:t xml:space="preserve">s but many compounds still were either undetected or detected as positives with only one set of </w:t>
      </w:r>
      <w:r w:rsidR="00F066F5">
        <w:rPr>
          <w:szCs w:val="24"/>
        </w:rPr>
        <w:t>assay</w:t>
      </w:r>
      <w:r w:rsidR="00854951" w:rsidRPr="00F97B2D">
        <w:rPr>
          <w:szCs w:val="24"/>
        </w:rPr>
        <w:t>s</w:t>
      </w:r>
      <w:r w:rsidRPr="00F97B2D">
        <w:rPr>
          <w:szCs w:val="24"/>
        </w:rPr>
        <w:t xml:space="preserve">, indicating that a negative immunoassay result does not mean an amphetamine analog is not present. </w:t>
      </w:r>
      <w:r w:rsidR="00B568E6" w:rsidRPr="00F97B2D">
        <w:rPr>
          <w:szCs w:val="24"/>
        </w:rPr>
        <w:t xml:space="preserve"> </w:t>
      </w:r>
      <w:r w:rsidRPr="00F97B2D">
        <w:rPr>
          <w:szCs w:val="24"/>
        </w:rPr>
        <w:t xml:space="preserve">Apollonio et al. also completed a study examining the cross-reactivities of amphetamine-type drugs using two </w:t>
      </w:r>
      <w:r w:rsidR="00C26893" w:rsidRPr="00F97B2D">
        <w:rPr>
          <w:szCs w:val="24"/>
        </w:rPr>
        <w:t>BioQuant Direct ELISA</w:t>
      </w:r>
      <w:r w:rsidRPr="00F97B2D">
        <w:rPr>
          <w:szCs w:val="24"/>
        </w:rPr>
        <w:t xml:space="preserve"> </w:t>
      </w:r>
      <w:r w:rsidR="00F066F5">
        <w:rPr>
          <w:szCs w:val="24"/>
        </w:rPr>
        <w:t>assay</w:t>
      </w:r>
      <w:r w:rsidRPr="00F97B2D">
        <w:rPr>
          <w:szCs w:val="24"/>
        </w:rPr>
        <w:t>s (Amph</w:t>
      </w:r>
      <w:r w:rsidR="00B568E6" w:rsidRPr="00F97B2D">
        <w:rPr>
          <w:szCs w:val="24"/>
        </w:rPr>
        <w:t>etamine; Methamphetamine).</w:t>
      </w:r>
      <w:sdt>
        <w:sdtPr>
          <w:rPr>
            <w:szCs w:val="24"/>
          </w:rPr>
          <w:id w:val="79184911"/>
          <w:citation/>
        </w:sdtPr>
        <w:sdtEndPr/>
        <w:sdtContent>
          <w:r w:rsidR="000E239B" w:rsidRPr="00420938">
            <w:rPr>
              <w:rStyle w:val="In-TextCitation"/>
            </w:rPr>
            <w:fldChar w:fldCharType="begin"/>
          </w:r>
          <w:r w:rsidR="002C6FFC" w:rsidRPr="00420938">
            <w:rPr>
              <w:rStyle w:val="In-TextCitation"/>
            </w:rPr>
            <w:instrText xml:space="preserve"> CITATION LGA07 \l 1033 </w:instrText>
          </w:r>
          <w:r w:rsidR="000E239B" w:rsidRPr="00420938">
            <w:rPr>
              <w:rStyle w:val="In-TextCitation"/>
            </w:rPr>
            <w:fldChar w:fldCharType="separate"/>
          </w:r>
          <w:r w:rsidR="00420938" w:rsidRPr="00420938">
            <w:rPr>
              <w:rStyle w:val="In-TextCitation"/>
            </w:rPr>
            <w:t>(</w:t>
          </w:r>
          <w:hyperlink w:anchor="LGA07" w:history="1">
            <w:r w:rsidR="00420938" w:rsidRPr="00420938">
              <w:rPr>
                <w:rStyle w:val="In-TextCitation"/>
              </w:rPr>
              <w:t>55</w:t>
            </w:r>
          </w:hyperlink>
          <w:r w:rsidR="00420938" w:rsidRPr="00420938">
            <w:rPr>
              <w:rStyle w:val="In-TextCitation"/>
            </w:rPr>
            <w:t>)</w:t>
          </w:r>
          <w:r w:rsidR="000E239B" w:rsidRPr="00420938">
            <w:rPr>
              <w:rStyle w:val="In-TextCitation"/>
            </w:rPr>
            <w:fldChar w:fldCharType="end"/>
          </w:r>
        </w:sdtContent>
      </w:sdt>
      <w:r w:rsidR="00B568E6" w:rsidRPr="00F97B2D">
        <w:rPr>
          <w:szCs w:val="24"/>
        </w:rPr>
        <w:t xml:space="preserve">  </w:t>
      </w:r>
      <w:r w:rsidRPr="00F97B2D">
        <w:rPr>
          <w:szCs w:val="24"/>
        </w:rPr>
        <w:t xml:space="preserve">Using a PBS (phosphate buffered saline) matrix, high cross-reactivity </w:t>
      </w:r>
      <w:proofErr w:type="gramStart"/>
      <w:r w:rsidRPr="00F97B2D">
        <w:rPr>
          <w:szCs w:val="24"/>
        </w:rPr>
        <w:t>at 50 ng/</w:t>
      </w:r>
      <w:r w:rsidR="00211CA4">
        <w:rPr>
          <w:szCs w:val="24"/>
        </w:rPr>
        <w:t>mL</w:t>
      </w:r>
      <w:proofErr w:type="gramEnd"/>
      <w:r w:rsidRPr="00F97B2D">
        <w:rPr>
          <w:szCs w:val="24"/>
        </w:rPr>
        <w:t xml:space="preserve"> was reported for MDA, PMA, 4-methylthioamphetamine, and phentermine with the amphetamine </w:t>
      </w:r>
      <w:r w:rsidR="00F066F5">
        <w:rPr>
          <w:szCs w:val="24"/>
        </w:rPr>
        <w:t>assay</w:t>
      </w:r>
      <w:r w:rsidRPr="00F97B2D">
        <w:rPr>
          <w:szCs w:val="24"/>
        </w:rPr>
        <w:t xml:space="preserve">. </w:t>
      </w:r>
      <w:r w:rsidR="00B568E6" w:rsidRPr="00F97B2D">
        <w:rPr>
          <w:szCs w:val="24"/>
        </w:rPr>
        <w:t xml:space="preserve"> </w:t>
      </w:r>
      <w:r w:rsidRPr="00F97B2D">
        <w:rPr>
          <w:szCs w:val="24"/>
        </w:rPr>
        <w:t xml:space="preserve">They concluded that the </w:t>
      </w:r>
      <w:r w:rsidR="00F066F5">
        <w:rPr>
          <w:szCs w:val="24"/>
        </w:rPr>
        <w:t>assay</w:t>
      </w:r>
      <w:r w:rsidRPr="00F97B2D">
        <w:rPr>
          <w:szCs w:val="24"/>
        </w:rPr>
        <w:t xml:space="preserve">s are useful for the examination of blood, urine, and saliva at </w:t>
      </w:r>
      <w:r w:rsidR="00C26893" w:rsidRPr="00F97B2D">
        <w:rPr>
          <w:szCs w:val="24"/>
        </w:rPr>
        <w:t xml:space="preserve">drug concentrations as low </w:t>
      </w:r>
      <w:proofErr w:type="gramStart"/>
      <w:r w:rsidR="00C26893" w:rsidRPr="00F97B2D">
        <w:rPr>
          <w:szCs w:val="24"/>
        </w:rPr>
        <w:t xml:space="preserve">as </w:t>
      </w:r>
      <w:r w:rsidRPr="00F97B2D">
        <w:rPr>
          <w:szCs w:val="24"/>
        </w:rPr>
        <w:t>6 ng/</w:t>
      </w:r>
      <w:r w:rsidR="00211CA4">
        <w:rPr>
          <w:szCs w:val="24"/>
        </w:rPr>
        <w:t>mL</w:t>
      </w:r>
      <w:r w:rsidRPr="00F97B2D">
        <w:rPr>
          <w:szCs w:val="24"/>
        </w:rPr>
        <w:t xml:space="preserve"> without interferences from putrefactive amines</w:t>
      </w:r>
      <w:proofErr w:type="gramEnd"/>
      <w:r w:rsidRPr="00F97B2D">
        <w:rPr>
          <w:szCs w:val="24"/>
        </w:rPr>
        <w:t xml:space="preserve">. </w:t>
      </w:r>
      <w:r w:rsidR="00B568E6" w:rsidRPr="00F97B2D">
        <w:rPr>
          <w:szCs w:val="24"/>
        </w:rPr>
        <w:t xml:space="preserve"> </w:t>
      </w:r>
      <w:r w:rsidRPr="00F97B2D">
        <w:rPr>
          <w:szCs w:val="24"/>
        </w:rPr>
        <w:t>Recently, Kerrigan et al. published a more comprehensive evaluation of psychedelic phenethylamines (</w:t>
      </w:r>
      <w:r w:rsidR="00B568E6" w:rsidRPr="00F97B2D">
        <w:rPr>
          <w:i/>
          <w:szCs w:val="24"/>
        </w:rPr>
        <w:t>i.e.</w:t>
      </w:r>
      <w:r w:rsidR="00CE1144" w:rsidRPr="00F97B2D">
        <w:rPr>
          <w:szCs w:val="24"/>
        </w:rPr>
        <w:t>,</w:t>
      </w:r>
      <w:r w:rsidR="00B568E6" w:rsidRPr="00F97B2D">
        <w:rPr>
          <w:szCs w:val="24"/>
        </w:rPr>
        <w:t xml:space="preserve"> 2C-B, 2C-I, DOB, DOI)</w:t>
      </w:r>
      <w:r w:rsidR="00E951CA" w:rsidRPr="00F97B2D">
        <w:rPr>
          <w:szCs w:val="24"/>
        </w:rPr>
        <w:t xml:space="preserve">, </w:t>
      </w:r>
      <w:sdt>
        <w:sdtPr>
          <w:rPr>
            <w:szCs w:val="24"/>
          </w:rPr>
          <w:id w:val="79184912"/>
          <w:citation/>
        </w:sdtPr>
        <w:sdtEndPr/>
        <w:sdtContent>
          <w:r w:rsidR="000E239B" w:rsidRPr="00420938">
            <w:rPr>
              <w:rStyle w:val="In-TextCitation"/>
            </w:rPr>
            <w:fldChar w:fldCharType="begin"/>
          </w:r>
          <w:r w:rsidR="002C6FFC" w:rsidRPr="00420938">
            <w:rPr>
              <w:rStyle w:val="In-TextCitation"/>
            </w:rPr>
            <w:instrText xml:space="preserve"> CITATION SKe11 \l 1033 </w:instrText>
          </w:r>
          <w:r w:rsidR="000E239B" w:rsidRPr="00420938">
            <w:rPr>
              <w:rStyle w:val="In-TextCitation"/>
            </w:rPr>
            <w:fldChar w:fldCharType="separate"/>
          </w:r>
          <w:r w:rsidR="00420938" w:rsidRPr="00420938">
            <w:rPr>
              <w:rStyle w:val="In-TextCitation"/>
            </w:rPr>
            <w:t>(</w:t>
          </w:r>
          <w:hyperlink w:anchor="SKe11" w:history="1">
            <w:r w:rsidR="00420938" w:rsidRPr="00420938">
              <w:rPr>
                <w:rStyle w:val="In-TextCitation"/>
              </w:rPr>
              <w:t>121</w:t>
            </w:r>
          </w:hyperlink>
          <w:r w:rsidR="00420938" w:rsidRPr="00420938">
            <w:rPr>
              <w:rStyle w:val="In-TextCitation"/>
            </w:rPr>
            <w:t>)</w:t>
          </w:r>
          <w:r w:rsidR="000E239B" w:rsidRPr="00420938">
            <w:rPr>
              <w:rStyle w:val="In-TextCitation"/>
            </w:rPr>
            <w:fldChar w:fldCharType="end"/>
          </w:r>
        </w:sdtContent>
      </w:sdt>
      <w:r w:rsidRPr="00F97B2D">
        <w:rPr>
          <w:szCs w:val="24"/>
        </w:rPr>
        <w:t xml:space="preserve"> while </w:t>
      </w:r>
      <w:r w:rsidR="008B6C28" w:rsidRPr="00F97B2D">
        <w:rPr>
          <w:szCs w:val="24"/>
        </w:rPr>
        <w:t>Nakanishi et al. reported cross-reactivities for additional phenethylamines</w:t>
      </w:r>
      <w:r w:rsidR="00B568E6" w:rsidRPr="00F97B2D">
        <w:rPr>
          <w:szCs w:val="24"/>
        </w:rPr>
        <w:t>.</w:t>
      </w:r>
      <w:sdt>
        <w:sdtPr>
          <w:rPr>
            <w:szCs w:val="24"/>
          </w:rPr>
          <w:id w:val="79184913"/>
          <w:citation/>
        </w:sdtPr>
        <w:sdtEndPr/>
        <w:sdtContent>
          <w:r w:rsidR="000E239B" w:rsidRPr="00420938">
            <w:rPr>
              <w:rStyle w:val="In-TextCitation"/>
            </w:rPr>
            <w:fldChar w:fldCharType="begin"/>
          </w:r>
          <w:r w:rsidR="002C6FFC" w:rsidRPr="00420938">
            <w:rPr>
              <w:rStyle w:val="In-TextCitation"/>
            </w:rPr>
            <w:instrText xml:space="preserve"> CITATION KNa12 \l 1033 </w:instrText>
          </w:r>
          <w:r w:rsidR="000E239B" w:rsidRPr="00420938">
            <w:rPr>
              <w:rStyle w:val="In-TextCitation"/>
            </w:rPr>
            <w:fldChar w:fldCharType="separate"/>
          </w:r>
          <w:r w:rsidR="00420938" w:rsidRPr="00420938">
            <w:rPr>
              <w:rStyle w:val="In-TextCitation"/>
            </w:rPr>
            <w:t>(</w:t>
          </w:r>
          <w:hyperlink w:anchor="KNa12" w:history="1">
            <w:r w:rsidR="00420938" w:rsidRPr="00420938">
              <w:rPr>
                <w:rStyle w:val="In-TextCitation"/>
              </w:rPr>
              <w:t>63</w:t>
            </w:r>
          </w:hyperlink>
          <w:r w:rsidR="00420938" w:rsidRPr="00420938">
            <w:rPr>
              <w:rStyle w:val="In-TextCitation"/>
            </w:rPr>
            <w:t>)</w:t>
          </w:r>
          <w:r w:rsidR="000E239B" w:rsidRPr="00420938">
            <w:rPr>
              <w:rStyle w:val="In-TextCitation"/>
            </w:rPr>
            <w:fldChar w:fldCharType="end"/>
          </w:r>
        </w:sdtContent>
      </w:sdt>
      <w:r w:rsidR="00B568E6" w:rsidRPr="00F97B2D">
        <w:rPr>
          <w:szCs w:val="24"/>
        </w:rPr>
        <w:t xml:space="preserve">  </w:t>
      </w:r>
      <w:r w:rsidRPr="00F97B2D">
        <w:rPr>
          <w:szCs w:val="24"/>
        </w:rPr>
        <w:t>However, these studies have incorporated relatively few designer drug compounds or synthetic cathinones, and some drugs only demonstrate minimal cross-reactivity, indicating that abuse of these substances may not be detected.</w:t>
      </w:r>
    </w:p>
    <w:p w:rsidR="000C5D38" w:rsidRPr="00F97B2D" w:rsidRDefault="000C5D38" w:rsidP="00336075">
      <w:pPr>
        <w:autoSpaceDE w:val="0"/>
        <w:autoSpaceDN w:val="0"/>
        <w:adjustRightInd w:val="0"/>
        <w:spacing w:after="0" w:line="480" w:lineRule="auto"/>
        <w:ind w:firstLine="720"/>
        <w:rPr>
          <w:szCs w:val="24"/>
        </w:rPr>
      </w:pPr>
      <w:r w:rsidRPr="00F97B2D">
        <w:rPr>
          <w:szCs w:val="24"/>
        </w:rPr>
        <w:t>Several authors have also reported cross-reactivities of designer drugs when performing drug screens in case work for intoxications or deaths using a variety of types of immunoassays.  Both BZP and TFMPP have been reported to cross-react in urine at varying concentrati</w:t>
      </w:r>
      <w:r w:rsidR="00C26893" w:rsidRPr="00F97B2D">
        <w:rPr>
          <w:szCs w:val="24"/>
        </w:rPr>
        <w:t>ons with EMIT</w:t>
      </w:r>
      <w:r w:rsidRPr="00F97B2D">
        <w:rPr>
          <w:szCs w:val="24"/>
        </w:rPr>
        <w:t xml:space="preserve"> d.a.u. (drug abuse assay) Amphetamine/ Methamphetamine II, Roche AbuScreen for Amphetamines, Syva EMIT II Plus for Amphetamin</w:t>
      </w:r>
      <w:r w:rsidR="00B568E6" w:rsidRPr="00F97B2D">
        <w:rPr>
          <w:szCs w:val="24"/>
        </w:rPr>
        <w:t>es, and EMIT II Ecstasy</w:t>
      </w:r>
      <w:r w:rsidR="005B49BF">
        <w:rPr>
          <w:szCs w:val="24"/>
        </w:rPr>
        <w:t>.</w:t>
      </w:r>
      <w:r w:rsidR="005B49BF" w:rsidRPr="005B49BF">
        <w:rPr>
          <w:szCs w:val="24"/>
          <w:vertAlign w:val="superscript"/>
        </w:rPr>
        <w:t>(122-124)</w:t>
      </w:r>
      <w:r w:rsidR="00B568E6" w:rsidRPr="00F97B2D">
        <w:rPr>
          <w:szCs w:val="24"/>
        </w:rPr>
        <w:t xml:space="preserve">  </w:t>
      </w:r>
      <w:r w:rsidRPr="00F97B2D">
        <w:rPr>
          <w:szCs w:val="24"/>
        </w:rPr>
        <w:t>Cross-reactivity has also been reported for phentermine in</w:t>
      </w:r>
      <w:r w:rsidR="00336075" w:rsidRPr="00F97B2D">
        <w:rPr>
          <w:szCs w:val="24"/>
        </w:rPr>
        <w:t xml:space="preserve"> </w:t>
      </w:r>
      <w:r w:rsidRPr="00F97B2D">
        <w:rPr>
          <w:szCs w:val="24"/>
        </w:rPr>
        <w:t>meconium (89% at 25 ng/g using Immunalysis ELISA for</w:t>
      </w:r>
      <w:r w:rsidR="00336075" w:rsidRPr="00F97B2D">
        <w:rPr>
          <w:szCs w:val="24"/>
        </w:rPr>
        <w:t xml:space="preserve"> </w:t>
      </w:r>
      <w:r w:rsidRPr="00F97B2D">
        <w:rPr>
          <w:szCs w:val="24"/>
        </w:rPr>
        <w:t>amphetamine), AMT in urine a</w:t>
      </w:r>
      <w:r w:rsidR="00F20829" w:rsidRPr="00F97B2D">
        <w:rPr>
          <w:szCs w:val="24"/>
        </w:rPr>
        <w:t>nd gastric contents (using Syva</w:t>
      </w:r>
      <w:r w:rsidR="00336075" w:rsidRPr="00F97B2D">
        <w:rPr>
          <w:szCs w:val="24"/>
        </w:rPr>
        <w:t xml:space="preserve"> </w:t>
      </w:r>
      <w:r w:rsidRPr="00F97B2D">
        <w:rPr>
          <w:szCs w:val="24"/>
        </w:rPr>
        <w:t>EMIT for amphetamines), and mCPP in urine (positive at</w:t>
      </w:r>
      <w:r w:rsidR="00336075" w:rsidRPr="00F97B2D">
        <w:rPr>
          <w:szCs w:val="24"/>
        </w:rPr>
        <w:t xml:space="preserve"> </w:t>
      </w:r>
      <w:r w:rsidRPr="00F97B2D">
        <w:rPr>
          <w:szCs w:val="24"/>
        </w:rPr>
        <w:t>5000–7500 ng/</w:t>
      </w:r>
      <w:r w:rsidR="00211CA4">
        <w:rPr>
          <w:szCs w:val="24"/>
        </w:rPr>
        <w:t>mL</w:t>
      </w:r>
      <w:r w:rsidR="00F20829" w:rsidRPr="00F97B2D">
        <w:rPr>
          <w:szCs w:val="24"/>
        </w:rPr>
        <w:t xml:space="preserve"> using EMIT II Ecs</w:t>
      </w:r>
      <w:r w:rsidR="00524D2D" w:rsidRPr="00F97B2D">
        <w:rPr>
          <w:szCs w:val="24"/>
        </w:rPr>
        <w:t>tasy).</w:t>
      </w:r>
      <w:r w:rsidR="005B49BF" w:rsidRPr="005B49BF">
        <w:rPr>
          <w:szCs w:val="24"/>
          <w:vertAlign w:val="superscript"/>
        </w:rPr>
        <w:t>(25,58,124)</w:t>
      </w:r>
      <w:r w:rsidR="00524D2D" w:rsidRPr="00F97B2D">
        <w:rPr>
          <w:szCs w:val="24"/>
        </w:rPr>
        <w:t xml:space="preserve">  </w:t>
      </w:r>
      <w:r w:rsidRPr="00F97B2D">
        <w:rPr>
          <w:szCs w:val="24"/>
        </w:rPr>
        <w:t>Others have</w:t>
      </w:r>
      <w:r w:rsidR="00336075" w:rsidRPr="00F97B2D">
        <w:rPr>
          <w:szCs w:val="24"/>
        </w:rPr>
        <w:t xml:space="preserve"> </w:t>
      </w:r>
      <w:r w:rsidRPr="00F97B2D">
        <w:rPr>
          <w:szCs w:val="24"/>
        </w:rPr>
        <w:t>reported that drugs such as DOB, 5-MeO-DiPT, 2C-T-4, and</w:t>
      </w:r>
      <w:r w:rsidR="00336075" w:rsidRPr="00F97B2D">
        <w:rPr>
          <w:szCs w:val="24"/>
        </w:rPr>
        <w:t xml:space="preserve"> </w:t>
      </w:r>
      <w:r w:rsidRPr="00F97B2D">
        <w:rPr>
          <w:szCs w:val="24"/>
        </w:rPr>
        <w:t>mephedrone test negative on screens for amphetamine,</w:t>
      </w:r>
      <w:r w:rsidR="00336075" w:rsidRPr="00F97B2D">
        <w:rPr>
          <w:szCs w:val="24"/>
        </w:rPr>
        <w:t xml:space="preserve"> </w:t>
      </w:r>
      <w:r w:rsidRPr="00F97B2D">
        <w:rPr>
          <w:szCs w:val="24"/>
        </w:rPr>
        <w:t>me</w:t>
      </w:r>
      <w:r w:rsidR="00524D2D" w:rsidRPr="00F97B2D">
        <w:rPr>
          <w:szCs w:val="24"/>
        </w:rPr>
        <w:t>thamphetamine, or MDMA</w:t>
      </w:r>
      <w:r w:rsidR="005B49BF">
        <w:rPr>
          <w:szCs w:val="24"/>
        </w:rPr>
        <w:t>.</w:t>
      </w:r>
      <w:r w:rsidR="005B49BF" w:rsidRPr="005B49BF">
        <w:rPr>
          <w:szCs w:val="24"/>
          <w:vertAlign w:val="superscript"/>
        </w:rPr>
        <w:t>(96,125-127)</w:t>
      </w:r>
      <w:r w:rsidR="00524D2D" w:rsidRPr="00F97B2D">
        <w:rPr>
          <w:szCs w:val="24"/>
        </w:rPr>
        <w:t xml:space="preserve">  </w:t>
      </w:r>
      <w:r w:rsidRPr="00F97B2D">
        <w:rPr>
          <w:szCs w:val="24"/>
        </w:rPr>
        <w:t>Most recently, Torrance</w:t>
      </w:r>
      <w:r w:rsidR="00336075" w:rsidRPr="00F97B2D">
        <w:rPr>
          <w:szCs w:val="24"/>
        </w:rPr>
        <w:t xml:space="preserve"> </w:t>
      </w:r>
      <w:r w:rsidRPr="00F97B2D">
        <w:rPr>
          <w:szCs w:val="24"/>
        </w:rPr>
        <w:t>et al. reported cross-reactivity of mephedrone with a</w:t>
      </w:r>
      <w:r w:rsidR="00336075" w:rsidRPr="00F97B2D">
        <w:rPr>
          <w:szCs w:val="24"/>
        </w:rPr>
        <w:t xml:space="preserve"> </w:t>
      </w:r>
      <w:r w:rsidRPr="00F97B2D">
        <w:rPr>
          <w:szCs w:val="24"/>
        </w:rPr>
        <w:t xml:space="preserve">methamphetamine-based Immunalysis ELISA </w:t>
      </w:r>
      <w:r w:rsidR="00F066F5">
        <w:rPr>
          <w:szCs w:val="24"/>
        </w:rPr>
        <w:t>assay</w:t>
      </w:r>
      <w:r w:rsidRPr="00F97B2D">
        <w:rPr>
          <w:szCs w:val="24"/>
        </w:rPr>
        <w:t xml:space="preserve"> when</w:t>
      </w:r>
      <w:r w:rsidR="00336075" w:rsidRPr="00F97B2D">
        <w:rPr>
          <w:szCs w:val="24"/>
        </w:rPr>
        <w:t xml:space="preserve"> </w:t>
      </w:r>
      <w:r w:rsidRPr="00F97B2D">
        <w:rPr>
          <w:szCs w:val="24"/>
        </w:rPr>
        <w:t>inv</w:t>
      </w:r>
      <w:r w:rsidR="00524D2D" w:rsidRPr="00F97B2D">
        <w:rPr>
          <w:szCs w:val="24"/>
        </w:rPr>
        <w:t>estigating four fatalities.</w:t>
      </w:r>
      <w:sdt>
        <w:sdtPr>
          <w:rPr>
            <w:szCs w:val="24"/>
          </w:rPr>
          <w:id w:val="79184924"/>
          <w:citation/>
        </w:sdtPr>
        <w:sdtEndPr/>
        <w:sdtContent>
          <w:r w:rsidR="000E239B" w:rsidRPr="00420938">
            <w:rPr>
              <w:rStyle w:val="In-TextCitation"/>
            </w:rPr>
            <w:fldChar w:fldCharType="begin"/>
          </w:r>
          <w:r w:rsidR="002C6FFC" w:rsidRPr="00420938">
            <w:rPr>
              <w:rStyle w:val="In-TextCitation"/>
            </w:rPr>
            <w:instrText xml:space="preserve"> CITATION HTo10 \l 1033 </w:instrText>
          </w:r>
          <w:r w:rsidR="000E239B" w:rsidRPr="00420938">
            <w:rPr>
              <w:rStyle w:val="In-TextCitation"/>
            </w:rPr>
            <w:fldChar w:fldCharType="separate"/>
          </w:r>
          <w:r w:rsidR="00420938" w:rsidRPr="00420938">
            <w:rPr>
              <w:rStyle w:val="In-TextCitation"/>
            </w:rPr>
            <w:t>(</w:t>
          </w:r>
          <w:hyperlink w:anchor="HTo10" w:history="1">
            <w:r w:rsidR="00420938" w:rsidRPr="00420938">
              <w:rPr>
                <w:rStyle w:val="In-TextCitation"/>
              </w:rPr>
              <w:t>7</w:t>
            </w:r>
          </w:hyperlink>
          <w:r w:rsidR="00420938" w:rsidRPr="00420938">
            <w:rPr>
              <w:rStyle w:val="In-TextCitation"/>
            </w:rPr>
            <w:t>)</w:t>
          </w:r>
          <w:r w:rsidR="000E239B" w:rsidRPr="00420938">
            <w:rPr>
              <w:rStyle w:val="In-TextCitation"/>
            </w:rPr>
            <w:fldChar w:fldCharType="end"/>
          </w:r>
        </w:sdtContent>
      </w:sdt>
      <w:r w:rsidR="00524D2D" w:rsidRPr="00F97B2D">
        <w:rPr>
          <w:szCs w:val="24"/>
        </w:rPr>
        <w:t xml:space="preserve">  </w:t>
      </w:r>
      <w:r w:rsidRPr="00F97B2D">
        <w:rPr>
          <w:szCs w:val="24"/>
        </w:rPr>
        <w:t>The cross-reactivities ranged from</w:t>
      </w:r>
      <w:r w:rsidR="00336075" w:rsidRPr="00F97B2D">
        <w:rPr>
          <w:szCs w:val="24"/>
        </w:rPr>
        <w:t xml:space="preserve"> </w:t>
      </w:r>
      <w:r w:rsidRPr="00F97B2D">
        <w:rPr>
          <w:szCs w:val="24"/>
        </w:rPr>
        <w:t>1–3% in urine and blood, yet no cross-reactivity was demonstrated</w:t>
      </w:r>
      <w:r w:rsidR="00336075" w:rsidRPr="00F97B2D">
        <w:rPr>
          <w:szCs w:val="24"/>
        </w:rPr>
        <w:t xml:space="preserve"> </w:t>
      </w:r>
      <w:r w:rsidRPr="00F97B2D">
        <w:rPr>
          <w:szCs w:val="24"/>
        </w:rPr>
        <w:t>with the amphetamine assay up to 5000 ng/</w:t>
      </w:r>
      <w:r w:rsidR="00211CA4">
        <w:rPr>
          <w:szCs w:val="24"/>
        </w:rPr>
        <w:t>mL</w:t>
      </w:r>
      <w:r w:rsidRPr="00F97B2D">
        <w:rPr>
          <w:szCs w:val="24"/>
        </w:rPr>
        <w:t xml:space="preserve">. </w:t>
      </w:r>
      <w:r w:rsidR="00524D2D" w:rsidRPr="00F97B2D">
        <w:rPr>
          <w:szCs w:val="24"/>
        </w:rPr>
        <w:t xml:space="preserve"> </w:t>
      </w:r>
      <w:r w:rsidRPr="00F97B2D">
        <w:rPr>
          <w:szCs w:val="24"/>
        </w:rPr>
        <w:t>With</w:t>
      </w:r>
      <w:r w:rsidR="00336075" w:rsidRPr="00F97B2D">
        <w:rPr>
          <w:szCs w:val="24"/>
        </w:rPr>
        <w:t xml:space="preserve"> </w:t>
      </w:r>
      <w:r w:rsidRPr="00F97B2D">
        <w:rPr>
          <w:szCs w:val="24"/>
        </w:rPr>
        <w:t>regard to bath salts, cross-reactivity has been observed with</w:t>
      </w:r>
      <w:r w:rsidR="00336075" w:rsidRPr="00F97B2D">
        <w:rPr>
          <w:szCs w:val="24"/>
        </w:rPr>
        <w:t xml:space="preserve"> </w:t>
      </w:r>
      <w:r w:rsidRPr="00F97B2D">
        <w:rPr>
          <w:szCs w:val="24"/>
        </w:rPr>
        <w:t>butylone on the Microgenics CEDIA amphetamines/ecstasy</w:t>
      </w:r>
      <w:r w:rsidR="00336075" w:rsidRPr="00F97B2D">
        <w:rPr>
          <w:szCs w:val="24"/>
        </w:rPr>
        <w:t xml:space="preserve"> </w:t>
      </w:r>
      <w:r w:rsidR="00E951CA" w:rsidRPr="00F97B2D">
        <w:rPr>
          <w:szCs w:val="24"/>
        </w:rPr>
        <w:t xml:space="preserve">immunoassay </w:t>
      </w:r>
      <w:sdt>
        <w:sdtPr>
          <w:rPr>
            <w:szCs w:val="24"/>
          </w:rPr>
          <w:id w:val="79184925"/>
          <w:citation/>
        </w:sdtPr>
        <w:sdtEndPr/>
        <w:sdtContent>
          <w:r w:rsidR="000E239B" w:rsidRPr="00420938">
            <w:rPr>
              <w:rStyle w:val="In-TextCitation"/>
            </w:rPr>
            <w:fldChar w:fldCharType="begin"/>
          </w:r>
          <w:r w:rsidR="002C6FFC" w:rsidRPr="00420938">
            <w:rPr>
              <w:rStyle w:val="In-TextCitation"/>
            </w:rPr>
            <w:instrText xml:space="preserve"> CITATION CBe11 \l 1033 </w:instrText>
          </w:r>
          <w:r w:rsidR="000E239B" w:rsidRPr="00420938">
            <w:rPr>
              <w:rStyle w:val="In-TextCitation"/>
            </w:rPr>
            <w:fldChar w:fldCharType="separate"/>
          </w:r>
          <w:r w:rsidR="00420938" w:rsidRPr="00420938">
            <w:rPr>
              <w:rStyle w:val="In-TextCitation"/>
            </w:rPr>
            <w:t>(</w:t>
          </w:r>
          <w:hyperlink w:anchor="CBe11" w:history="1">
            <w:r w:rsidR="00420938" w:rsidRPr="00420938">
              <w:rPr>
                <w:rStyle w:val="In-TextCitation"/>
              </w:rPr>
              <w:t>128</w:t>
            </w:r>
          </w:hyperlink>
          <w:r w:rsidR="00420938" w:rsidRPr="00420938">
            <w:rPr>
              <w:rStyle w:val="In-TextCitation"/>
            </w:rPr>
            <w:t>)</w:t>
          </w:r>
          <w:r w:rsidR="000E239B" w:rsidRPr="00420938">
            <w:rPr>
              <w:rStyle w:val="In-TextCitation"/>
            </w:rPr>
            <w:fldChar w:fldCharType="end"/>
          </w:r>
        </w:sdtContent>
      </w:sdt>
      <w:r w:rsidRPr="00F97B2D">
        <w:rPr>
          <w:szCs w:val="24"/>
        </w:rPr>
        <w:t xml:space="preserve"> and well as with MDPV towards the PCP</w:t>
      </w:r>
      <w:r w:rsidR="00336075" w:rsidRPr="00F97B2D">
        <w:rPr>
          <w:szCs w:val="24"/>
        </w:rPr>
        <w:t xml:space="preserve"> </w:t>
      </w:r>
      <w:r w:rsidR="00524D2D" w:rsidRPr="00F97B2D">
        <w:rPr>
          <w:szCs w:val="24"/>
        </w:rPr>
        <w:t xml:space="preserve">(phencyclidine) </w:t>
      </w:r>
      <w:r w:rsidR="00F066F5">
        <w:rPr>
          <w:szCs w:val="24"/>
        </w:rPr>
        <w:t>assay</w:t>
      </w:r>
      <w:r w:rsidR="00524D2D" w:rsidRPr="00F97B2D">
        <w:rPr>
          <w:szCs w:val="24"/>
        </w:rPr>
        <w:t>.</w:t>
      </w:r>
      <w:sdt>
        <w:sdtPr>
          <w:rPr>
            <w:szCs w:val="24"/>
          </w:rPr>
          <w:id w:val="79184926"/>
          <w:citation/>
        </w:sdtPr>
        <w:sdtEndPr/>
        <w:sdtContent>
          <w:r w:rsidR="000E239B" w:rsidRPr="00420938">
            <w:rPr>
              <w:rStyle w:val="In-TextCitation"/>
            </w:rPr>
            <w:fldChar w:fldCharType="begin"/>
          </w:r>
          <w:r w:rsidR="002C6FFC" w:rsidRPr="00420938">
            <w:rPr>
              <w:rStyle w:val="In-TextCitation"/>
            </w:rPr>
            <w:instrText xml:space="preserve"> CITATION AMM12 \l 1033 </w:instrText>
          </w:r>
          <w:r w:rsidR="000E239B" w:rsidRPr="00420938">
            <w:rPr>
              <w:rStyle w:val="In-TextCitation"/>
            </w:rPr>
            <w:fldChar w:fldCharType="separate"/>
          </w:r>
          <w:r w:rsidR="00420938" w:rsidRPr="00420938">
            <w:rPr>
              <w:rStyle w:val="In-TextCitation"/>
            </w:rPr>
            <w:t>(</w:t>
          </w:r>
          <w:hyperlink w:anchor="AMM12" w:history="1">
            <w:r w:rsidR="00420938" w:rsidRPr="00420938">
              <w:rPr>
                <w:rStyle w:val="In-TextCitation"/>
              </w:rPr>
              <w:t>129</w:t>
            </w:r>
          </w:hyperlink>
          <w:r w:rsidR="00420938" w:rsidRPr="00420938">
            <w:rPr>
              <w:rStyle w:val="In-TextCitation"/>
            </w:rPr>
            <w:t>)</w:t>
          </w:r>
          <w:r w:rsidR="000E239B" w:rsidRPr="00420938">
            <w:rPr>
              <w:rStyle w:val="In-TextCitation"/>
            </w:rPr>
            <w:fldChar w:fldCharType="end"/>
          </w:r>
        </w:sdtContent>
      </w:sdt>
    </w:p>
    <w:p w:rsidR="000C5D38" w:rsidRPr="00F97B2D" w:rsidRDefault="000C5D38" w:rsidP="00336075">
      <w:pPr>
        <w:autoSpaceDE w:val="0"/>
        <w:autoSpaceDN w:val="0"/>
        <w:adjustRightInd w:val="0"/>
        <w:spacing w:after="0" w:line="480" w:lineRule="auto"/>
        <w:ind w:firstLine="720"/>
        <w:rPr>
          <w:szCs w:val="24"/>
        </w:rPr>
      </w:pPr>
      <w:r w:rsidRPr="00F97B2D">
        <w:rPr>
          <w:szCs w:val="24"/>
        </w:rPr>
        <w:t>Based on these data, there is a critical need in the field of forensic</w:t>
      </w:r>
      <w:r w:rsidR="00336075" w:rsidRPr="00F97B2D">
        <w:rPr>
          <w:szCs w:val="24"/>
        </w:rPr>
        <w:t xml:space="preserve"> </w:t>
      </w:r>
      <w:r w:rsidRPr="00F97B2D">
        <w:rPr>
          <w:szCs w:val="24"/>
        </w:rPr>
        <w:t>toxicology for reliable screening assays for</w:t>
      </w:r>
      <w:r w:rsidR="00C26893" w:rsidRPr="00F97B2D">
        <w:rPr>
          <w:szCs w:val="24"/>
        </w:rPr>
        <w:t xml:space="preserve"> </w:t>
      </w:r>
      <w:r w:rsidRPr="00F97B2D">
        <w:rPr>
          <w:szCs w:val="24"/>
        </w:rPr>
        <w:t>multiple designer drugs,</w:t>
      </w:r>
      <w:r w:rsidR="00336075" w:rsidRPr="00F97B2D">
        <w:rPr>
          <w:szCs w:val="24"/>
        </w:rPr>
        <w:t xml:space="preserve"> </w:t>
      </w:r>
      <w:r w:rsidRPr="00F97B2D">
        <w:rPr>
          <w:szCs w:val="24"/>
        </w:rPr>
        <w:t>in addition to analytical methods optimized for comprehensive</w:t>
      </w:r>
      <w:r w:rsidR="00336075" w:rsidRPr="00F97B2D">
        <w:rPr>
          <w:szCs w:val="24"/>
        </w:rPr>
        <w:t xml:space="preserve"> </w:t>
      </w:r>
      <w:r w:rsidRPr="00F97B2D">
        <w:rPr>
          <w:szCs w:val="24"/>
        </w:rPr>
        <w:t>screening and confirmation of such drugs in a variety of human</w:t>
      </w:r>
      <w:r w:rsidR="00336075" w:rsidRPr="00F97B2D">
        <w:rPr>
          <w:szCs w:val="24"/>
        </w:rPr>
        <w:t xml:space="preserve"> </w:t>
      </w:r>
      <w:r w:rsidRPr="00F97B2D">
        <w:rPr>
          <w:szCs w:val="24"/>
        </w:rPr>
        <w:t xml:space="preserve">specimens for both ante- and post-mortem investigation. </w:t>
      </w:r>
      <w:r w:rsidR="00526D91" w:rsidRPr="00F97B2D">
        <w:rPr>
          <w:szCs w:val="24"/>
        </w:rPr>
        <w:t xml:space="preserve"> </w:t>
      </w:r>
      <w:r w:rsidRPr="00F97B2D">
        <w:rPr>
          <w:szCs w:val="24"/>
        </w:rPr>
        <w:t>The</w:t>
      </w:r>
      <w:r w:rsidR="00336075" w:rsidRPr="00F97B2D">
        <w:rPr>
          <w:szCs w:val="24"/>
        </w:rPr>
        <w:t xml:space="preserve"> </w:t>
      </w:r>
      <w:r w:rsidRPr="00F97B2D">
        <w:rPr>
          <w:szCs w:val="24"/>
        </w:rPr>
        <w:t>major goal of the present study was to evaluate the performance</w:t>
      </w:r>
      <w:r w:rsidR="00336075" w:rsidRPr="00F97B2D">
        <w:rPr>
          <w:szCs w:val="24"/>
        </w:rPr>
        <w:t xml:space="preserve"> </w:t>
      </w:r>
      <w:r w:rsidRPr="00F97B2D">
        <w:rPr>
          <w:szCs w:val="24"/>
        </w:rPr>
        <w:t>of commercially available screening immunoassays for detecting</w:t>
      </w:r>
      <w:r w:rsidR="00336075" w:rsidRPr="00F97B2D">
        <w:rPr>
          <w:szCs w:val="24"/>
        </w:rPr>
        <w:t xml:space="preserve"> </w:t>
      </w:r>
      <w:r w:rsidRPr="00F97B2D">
        <w:rPr>
          <w:szCs w:val="24"/>
        </w:rPr>
        <w:t>a wide range of designer drugs.</w:t>
      </w:r>
      <w:r w:rsidR="00526D91" w:rsidRPr="00F97B2D">
        <w:rPr>
          <w:szCs w:val="24"/>
        </w:rPr>
        <w:t xml:space="preserve"> </w:t>
      </w:r>
      <w:r w:rsidRPr="00F97B2D">
        <w:rPr>
          <w:szCs w:val="24"/>
        </w:rPr>
        <w:t xml:space="preserve"> Since each</w:t>
      </w:r>
      <w:r w:rsidR="00526D91" w:rsidRPr="00F97B2D">
        <w:rPr>
          <w:szCs w:val="24"/>
        </w:rPr>
        <w:t xml:space="preserve"> </w:t>
      </w:r>
      <w:r w:rsidRPr="00F97B2D">
        <w:rPr>
          <w:szCs w:val="24"/>
        </w:rPr>
        <w:t>manufacturer likely uses</w:t>
      </w:r>
      <w:r w:rsidR="00336075" w:rsidRPr="00F97B2D">
        <w:rPr>
          <w:szCs w:val="24"/>
        </w:rPr>
        <w:t xml:space="preserve"> </w:t>
      </w:r>
      <w:r w:rsidRPr="00F97B2D">
        <w:rPr>
          <w:szCs w:val="24"/>
        </w:rPr>
        <w:t>different antibodies, the specificity cannot always be predicted or</w:t>
      </w:r>
      <w:r w:rsidR="00336075" w:rsidRPr="00F97B2D">
        <w:rPr>
          <w:szCs w:val="24"/>
        </w:rPr>
        <w:t xml:space="preserve"> </w:t>
      </w:r>
      <w:r w:rsidRPr="00F97B2D">
        <w:rPr>
          <w:szCs w:val="24"/>
        </w:rPr>
        <w:t>compared to other types of immunoassays (</w:t>
      </w:r>
      <w:r w:rsidRPr="00F97B2D">
        <w:rPr>
          <w:i/>
          <w:szCs w:val="24"/>
        </w:rPr>
        <w:t>e.g.</w:t>
      </w:r>
      <w:r w:rsidR="00CE1144" w:rsidRPr="00F97B2D">
        <w:rPr>
          <w:szCs w:val="24"/>
        </w:rPr>
        <w:t>,</w:t>
      </w:r>
      <w:r w:rsidRPr="00F97B2D">
        <w:rPr>
          <w:szCs w:val="24"/>
        </w:rPr>
        <w:t xml:space="preserve"> EMIT), different</w:t>
      </w:r>
      <w:r w:rsidR="00336075" w:rsidRPr="00F97B2D">
        <w:rPr>
          <w:szCs w:val="24"/>
        </w:rPr>
        <w:t xml:space="preserve"> </w:t>
      </w:r>
      <w:r w:rsidRPr="00F97B2D">
        <w:rPr>
          <w:szCs w:val="24"/>
        </w:rPr>
        <w:t>matrices (</w:t>
      </w:r>
      <w:r w:rsidRPr="00F97B2D">
        <w:rPr>
          <w:i/>
          <w:szCs w:val="24"/>
        </w:rPr>
        <w:t>i.e.</w:t>
      </w:r>
      <w:r w:rsidR="00CE1144" w:rsidRPr="00F97B2D">
        <w:rPr>
          <w:szCs w:val="24"/>
        </w:rPr>
        <w:t>,</w:t>
      </w:r>
      <w:r w:rsidRPr="00F97B2D">
        <w:rPr>
          <w:szCs w:val="24"/>
        </w:rPr>
        <w:t xml:space="preserve"> meconium, whole blood, oral fluid), or different</w:t>
      </w:r>
      <w:r w:rsidR="00336075" w:rsidRPr="00F97B2D">
        <w:rPr>
          <w:szCs w:val="24"/>
        </w:rPr>
        <w:t xml:space="preserve"> </w:t>
      </w:r>
      <w:r w:rsidRPr="00F97B2D">
        <w:rPr>
          <w:szCs w:val="24"/>
        </w:rPr>
        <w:t>manufacturers.</w:t>
      </w:r>
      <w:r w:rsidR="00526D91" w:rsidRPr="00F97B2D">
        <w:rPr>
          <w:szCs w:val="24"/>
        </w:rPr>
        <w:t xml:space="preserve"> </w:t>
      </w:r>
      <w:r w:rsidRPr="00F97B2D">
        <w:rPr>
          <w:szCs w:val="24"/>
        </w:rPr>
        <w:t xml:space="preserve"> Regardless of the cross-reactivity that may occur,</w:t>
      </w:r>
      <w:r w:rsidR="00336075" w:rsidRPr="00F97B2D">
        <w:rPr>
          <w:szCs w:val="24"/>
        </w:rPr>
        <w:t xml:space="preserve"> </w:t>
      </w:r>
      <w:r w:rsidRPr="00F97B2D">
        <w:rPr>
          <w:szCs w:val="24"/>
        </w:rPr>
        <w:t>it is imperative that the forensic analytical toxicology community</w:t>
      </w:r>
      <w:r w:rsidR="00336075" w:rsidRPr="00F97B2D">
        <w:rPr>
          <w:szCs w:val="24"/>
        </w:rPr>
        <w:t xml:space="preserve"> </w:t>
      </w:r>
      <w:r w:rsidRPr="00F97B2D">
        <w:rPr>
          <w:szCs w:val="24"/>
        </w:rPr>
        <w:t>be made aware of the results, as screening techniques are</w:t>
      </w:r>
      <w:r w:rsidR="00336075" w:rsidRPr="00F97B2D">
        <w:rPr>
          <w:szCs w:val="24"/>
        </w:rPr>
        <w:t xml:space="preserve"> </w:t>
      </w:r>
      <w:r w:rsidRPr="00F97B2D">
        <w:rPr>
          <w:szCs w:val="24"/>
        </w:rPr>
        <w:t>limited for designer drugs, particularly the cathinone derivatives.</w:t>
      </w:r>
      <w:r w:rsidR="00336075" w:rsidRPr="00F97B2D">
        <w:rPr>
          <w:szCs w:val="24"/>
        </w:rPr>
        <w:t xml:space="preserve"> </w:t>
      </w:r>
      <w:r w:rsidR="00526D91" w:rsidRPr="00F97B2D">
        <w:rPr>
          <w:szCs w:val="24"/>
        </w:rPr>
        <w:t xml:space="preserve"> </w:t>
      </w:r>
      <w:r w:rsidR="00E73A76">
        <w:rPr>
          <w:szCs w:val="24"/>
        </w:rPr>
        <w:t>The present</w:t>
      </w:r>
      <w:r w:rsidRPr="00F97B2D">
        <w:rPr>
          <w:szCs w:val="24"/>
        </w:rPr>
        <w:t xml:space="preserve"> study was, in part, conducted to determine if pre-existing</w:t>
      </w:r>
      <w:r w:rsidR="00336075" w:rsidRPr="00F97B2D">
        <w:rPr>
          <w:szCs w:val="24"/>
        </w:rPr>
        <w:t xml:space="preserve"> </w:t>
      </w:r>
      <w:r w:rsidRPr="00F97B2D">
        <w:rPr>
          <w:szCs w:val="24"/>
        </w:rPr>
        <w:t>immunoassays are capable of reliably detecting these</w:t>
      </w:r>
      <w:r w:rsidR="00336075" w:rsidRPr="00F97B2D">
        <w:rPr>
          <w:szCs w:val="24"/>
        </w:rPr>
        <w:t xml:space="preserve"> </w:t>
      </w:r>
      <w:r w:rsidRPr="00F97B2D">
        <w:rPr>
          <w:szCs w:val="24"/>
        </w:rPr>
        <w:t xml:space="preserve">compounds. </w:t>
      </w:r>
      <w:r w:rsidR="00526D91" w:rsidRPr="00F97B2D">
        <w:rPr>
          <w:szCs w:val="24"/>
        </w:rPr>
        <w:t xml:space="preserve"> </w:t>
      </w:r>
      <w:r w:rsidRPr="00F97B2D">
        <w:rPr>
          <w:szCs w:val="24"/>
        </w:rPr>
        <w:t xml:space="preserve">A focus was placed on amphetamine and methamphetamine/MDMA </w:t>
      </w:r>
      <w:r w:rsidR="00854951">
        <w:rPr>
          <w:szCs w:val="24"/>
        </w:rPr>
        <w:t>kit</w:t>
      </w:r>
      <w:r w:rsidRPr="00F97B2D">
        <w:rPr>
          <w:szCs w:val="24"/>
        </w:rPr>
        <w:t>s, as these types of assays are typically</w:t>
      </w:r>
      <w:r w:rsidR="00336075" w:rsidRPr="00F97B2D">
        <w:rPr>
          <w:szCs w:val="24"/>
        </w:rPr>
        <w:t xml:space="preserve"> </w:t>
      </w:r>
      <w:r w:rsidRPr="00F97B2D">
        <w:rPr>
          <w:szCs w:val="24"/>
        </w:rPr>
        <w:t xml:space="preserve">used in routine drug screens by a majority of </w:t>
      </w:r>
      <w:r w:rsidR="00C06AE3">
        <w:rPr>
          <w:szCs w:val="24"/>
        </w:rPr>
        <w:t>laboratories</w:t>
      </w:r>
      <w:r w:rsidRPr="00F97B2D">
        <w:rPr>
          <w:szCs w:val="24"/>
        </w:rPr>
        <w:t xml:space="preserve">. </w:t>
      </w:r>
      <w:r w:rsidR="00526D91" w:rsidRPr="00F97B2D">
        <w:rPr>
          <w:szCs w:val="24"/>
        </w:rPr>
        <w:t xml:space="preserve"> </w:t>
      </w:r>
      <w:r w:rsidRPr="00F97B2D">
        <w:rPr>
          <w:szCs w:val="24"/>
        </w:rPr>
        <w:t>Since</w:t>
      </w:r>
      <w:r w:rsidR="00336075" w:rsidRPr="00F97B2D">
        <w:rPr>
          <w:szCs w:val="24"/>
        </w:rPr>
        <w:t xml:space="preserve"> </w:t>
      </w:r>
      <w:r w:rsidRPr="00F97B2D">
        <w:rPr>
          <w:szCs w:val="24"/>
        </w:rPr>
        <w:t>presumptive methods, like ELISA, are the first line of screening</w:t>
      </w:r>
      <w:r w:rsidR="00336075" w:rsidRPr="00F97B2D">
        <w:rPr>
          <w:szCs w:val="24"/>
        </w:rPr>
        <w:t xml:space="preserve"> </w:t>
      </w:r>
      <w:r w:rsidRPr="00F97B2D">
        <w:rPr>
          <w:szCs w:val="24"/>
        </w:rPr>
        <w:t>methods for detecting drugs of abuse, it is necessary to</w:t>
      </w:r>
      <w:r w:rsidR="00336075" w:rsidRPr="00F97B2D">
        <w:rPr>
          <w:szCs w:val="24"/>
        </w:rPr>
        <w:t xml:space="preserve"> </w:t>
      </w:r>
      <w:r w:rsidRPr="00F97B2D">
        <w:rPr>
          <w:szCs w:val="24"/>
        </w:rPr>
        <w:t>understand how the compounds can be detected by currently</w:t>
      </w:r>
      <w:r w:rsidR="00336075" w:rsidRPr="00F97B2D">
        <w:rPr>
          <w:szCs w:val="24"/>
        </w:rPr>
        <w:t xml:space="preserve"> </w:t>
      </w:r>
      <w:r w:rsidRPr="00F97B2D">
        <w:rPr>
          <w:szCs w:val="24"/>
        </w:rPr>
        <w:t>available immunoassays, even if cross-reactivity is not expected.</w:t>
      </w:r>
    </w:p>
    <w:p w:rsidR="00730B45" w:rsidRPr="00F97B2D" w:rsidRDefault="00730B45" w:rsidP="00F97B2D">
      <w:pPr>
        <w:pStyle w:val="Heading2"/>
      </w:pPr>
      <w:bookmarkStart w:id="105" w:name="_Toc372536044"/>
      <w:bookmarkStart w:id="106" w:name="_Toc372538707"/>
      <w:r w:rsidRPr="00F97B2D">
        <w:t>Materials and Methods</w:t>
      </w:r>
      <w:bookmarkEnd w:id="105"/>
      <w:bookmarkEnd w:id="106"/>
    </w:p>
    <w:p w:rsidR="00336075" w:rsidRPr="00F97B2D" w:rsidRDefault="00482CB1" w:rsidP="00F97B2D">
      <w:pPr>
        <w:pStyle w:val="Heading3"/>
      </w:pPr>
      <w:bookmarkStart w:id="107" w:name="_Toc372536045"/>
      <w:bookmarkStart w:id="108" w:name="_Toc372538708"/>
      <w:r w:rsidRPr="00F97B2D">
        <w:t>M</w:t>
      </w:r>
      <w:r w:rsidR="00336075" w:rsidRPr="00F97B2D">
        <w:t>aterials</w:t>
      </w:r>
      <w:bookmarkEnd w:id="107"/>
      <w:bookmarkEnd w:id="108"/>
    </w:p>
    <w:p w:rsidR="00482CB1" w:rsidRPr="00F97B2D" w:rsidRDefault="00482CB1" w:rsidP="00AC5F51">
      <w:pPr>
        <w:pStyle w:val="Heading4"/>
      </w:pPr>
      <w:bookmarkStart w:id="109" w:name="_Toc372536046"/>
      <w:bookmarkStart w:id="110" w:name="_Toc372538709"/>
      <w:r w:rsidRPr="00F97B2D">
        <w:t>Chemicals</w:t>
      </w:r>
      <w:bookmarkEnd w:id="109"/>
      <w:bookmarkEnd w:id="110"/>
    </w:p>
    <w:p w:rsidR="00336075" w:rsidRPr="00F97B2D" w:rsidRDefault="00336075" w:rsidP="00574B1E">
      <w:pPr>
        <w:autoSpaceDE w:val="0"/>
        <w:autoSpaceDN w:val="0"/>
        <w:adjustRightInd w:val="0"/>
        <w:spacing w:after="0" w:line="480" w:lineRule="auto"/>
        <w:ind w:firstLine="720"/>
        <w:rPr>
          <w:szCs w:val="24"/>
        </w:rPr>
      </w:pPr>
      <w:r w:rsidRPr="00F97B2D">
        <w:rPr>
          <w:szCs w:val="24"/>
        </w:rPr>
        <w:t>The following drugs were obtained from LipoMed (Cambridge, MA, USA) as 1 mg/</w:t>
      </w:r>
      <w:r w:rsidR="00211CA4">
        <w:rPr>
          <w:szCs w:val="24"/>
        </w:rPr>
        <w:t>mL</w:t>
      </w:r>
      <w:r w:rsidRPr="00F97B2D">
        <w:rPr>
          <w:szCs w:val="24"/>
        </w:rPr>
        <w:t xml:space="preserve"> calibrated reference standards in solvent: </w:t>
      </w:r>
      <w:r w:rsidR="00526D91" w:rsidRPr="00F97B2D">
        <w:rPr>
          <w:szCs w:val="24"/>
        </w:rPr>
        <w:t>2C-B, (</w:t>
      </w:r>
      <w:r w:rsidR="00526D91" w:rsidRPr="00F97B2D">
        <w:rPr>
          <w:rFonts w:cs="Times New Roman"/>
          <w:szCs w:val="24"/>
        </w:rPr>
        <w:t>±</w:t>
      </w:r>
      <w:r w:rsidRPr="00F97B2D">
        <w:rPr>
          <w:szCs w:val="24"/>
        </w:rPr>
        <w:t>)-3,4,5-TMA, (</w:t>
      </w:r>
      <w:r w:rsidR="00526D91" w:rsidRPr="00F97B2D">
        <w:rPr>
          <w:rFonts w:cs="Times New Roman"/>
          <w:szCs w:val="24"/>
        </w:rPr>
        <w:t>±</w:t>
      </w:r>
      <w:r w:rsidRPr="00F97B2D">
        <w:rPr>
          <w:szCs w:val="24"/>
        </w:rPr>
        <w:t>)-4-methylethcathinone, (</w:t>
      </w:r>
      <w:r w:rsidR="00526D91" w:rsidRPr="00F97B2D">
        <w:rPr>
          <w:rFonts w:cs="Times New Roman"/>
          <w:szCs w:val="24"/>
        </w:rPr>
        <w:t>±</w:t>
      </w:r>
      <w:r w:rsidRPr="00F97B2D">
        <w:rPr>
          <w:szCs w:val="24"/>
        </w:rPr>
        <w:t>)-butylone, (</w:t>
      </w:r>
      <w:r w:rsidR="00526D91" w:rsidRPr="00F97B2D">
        <w:rPr>
          <w:rFonts w:cs="Times New Roman"/>
          <w:szCs w:val="24"/>
        </w:rPr>
        <w:t>±</w:t>
      </w:r>
      <w:r w:rsidRPr="00F97B2D">
        <w:rPr>
          <w:szCs w:val="24"/>
        </w:rPr>
        <w:t>)-cathinone, DMT, (</w:t>
      </w:r>
      <w:r w:rsidR="00526D91" w:rsidRPr="00F97B2D">
        <w:rPr>
          <w:rFonts w:cs="Times New Roman"/>
          <w:szCs w:val="24"/>
        </w:rPr>
        <w:t>±</w:t>
      </w:r>
      <w:r w:rsidRPr="00F97B2D">
        <w:rPr>
          <w:szCs w:val="24"/>
        </w:rPr>
        <w:t>)-DOB, (</w:t>
      </w:r>
      <w:r w:rsidR="00526D91" w:rsidRPr="00F97B2D">
        <w:rPr>
          <w:rFonts w:cs="Times New Roman"/>
          <w:szCs w:val="24"/>
        </w:rPr>
        <w:t>±</w:t>
      </w:r>
      <w:r w:rsidR="00526D91" w:rsidRPr="00F97B2D">
        <w:rPr>
          <w:szCs w:val="24"/>
        </w:rPr>
        <w:t>)-DOET, (</w:t>
      </w:r>
      <w:r w:rsidR="00526D91" w:rsidRPr="00F97B2D">
        <w:rPr>
          <w:rFonts w:cs="Times New Roman"/>
          <w:szCs w:val="24"/>
        </w:rPr>
        <w:t>±</w:t>
      </w:r>
      <w:r w:rsidR="00526D91" w:rsidRPr="00F97B2D">
        <w:rPr>
          <w:szCs w:val="24"/>
        </w:rPr>
        <w:t>)-DOM, (</w:t>
      </w:r>
      <w:r w:rsidR="00526D91" w:rsidRPr="00F97B2D">
        <w:rPr>
          <w:rFonts w:cs="Times New Roman"/>
          <w:szCs w:val="24"/>
        </w:rPr>
        <w:t>±</w:t>
      </w:r>
      <w:r w:rsidRPr="00F97B2D">
        <w:rPr>
          <w:szCs w:val="24"/>
        </w:rPr>
        <w:t xml:space="preserve">)-flephedrone, </w:t>
      </w:r>
      <w:r w:rsidR="00526D91" w:rsidRPr="00F97B2D">
        <w:rPr>
          <w:szCs w:val="24"/>
        </w:rPr>
        <w:t>mCPP, (</w:t>
      </w:r>
      <w:r w:rsidR="00526D91" w:rsidRPr="00F97B2D">
        <w:rPr>
          <w:rFonts w:cs="Times New Roman"/>
          <w:szCs w:val="24"/>
        </w:rPr>
        <w:t>±</w:t>
      </w:r>
      <w:r w:rsidRPr="00F97B2D">
        <w:rPr>
          <w:szCs w:val="24"/>
        </w:rPr>
        <w:t>)-MDPV, (</w:t>
      </w:r>
      <w:r w:rsidR="00526D91" w:rsidRPr="00F97B2D">
        <w:rPr>
          <w:rFonts w:cs="Times New Roman"/>
          <w:szCs w:val="24"/>
        </w:rPr>
        <w:t>±</w:t>
      </w:r>
      <w:r w:rsidR="00526D91" w:rsidRPr="00F97B2D">
        <w:rPr>
          <w:szCs w:val="24"/>
        </w:rPr>
        <w:t>)-mephedrone, (</w:t>
      </w:r>
      <w:r w:rsidR="00526D91" w:rsidRPr="00F97B2D">
        <w:rPr>
          <w:rFonts w:cs="Times New Roman"/>
          <w:szCs w:val="24"/>
        </w:rPr>
        <w:t>±</w:t>
      </w:r>
      <w:r w:rsidR="00526D91" w:rsidRPr="00F97B2D">
        <w:rPr>
          <w:szCs w:val="24"/>
        </w:rPr>
        <w:t>)-methcathinone, (</w:t>
      </w:r>
      <w:r w:rsidR="00526D91" w:rsidRPr="00F97B2D">
        <w:rPr>
          <w:rFonts w:cs="Times New Roman"/>
          <w:szCs w:val="24"/>
        </w:rPr>
        <w:t>±</w:t>
      </w:r>
      <w:r w:rsidRPr="00F97B2D">
        <w:rPr>
          <w:szCs w:val="24"/>
        </w:rPr>
        <w:t xml:space="preserve">)-methedrone, </w:t>
      </w:r>
      <w:r w:rsidR="00526D91" w:rsidRPr="00F97B2D">
        <w:rPr>
          <w:szCs w:val="24"/>
        </w:rPr>
        <w:t>(</w:t>
      </w:r>
      <w:r w:rsidR="00526D91" w:rsidRPr="00F97B2D">
        <w:rPr>
          <w:rFonts w:cs="Times New Roman"/>
          <w:szCs w:val="24"/>
        </w:rPr>
        <w:t>±</w:t>
      </w:r>
      <w:r w:rsidR="00526D91" w:rsidRPr="00F97B2D">
        <w:rPr>
          <w:szCs w:val="24"/>
        </w:rPr>
        <w:t>)-methylone, (</w:t>
      </w:r>
      <w:r w:rsidR="00526D91" w:rsidRPr="00F97B2D">
        <w:rPr>
          <w:rFonts w:cs="Times New Roman"/>
          <w:szCs w:val="24"/>
        </w:rPr>
        <w:t>±</w:t>
      </w:r>
      <w:r w:rsidRPr="00F97B2D">
        <w:rPr>
          <w:szCs w:val="24"/>
        </w:rPr>
        <w:t xml:space="preserve">)-N-ethylamphetamine, and TFMPP. </w:t>
      </w:r>
      <w:r w:rsidR="00526D91" w:rsidRPr="00F97B2D">
        <w:rPr>
          <w:szCs w:val="24"/>
        </w:rPr>
        <w:t xml:space="preserve"> </w:t>
      </w:r>
      <w:r w:rsidRPr="00F97B2D">
        <w:rPr>
          <w:szCs w:val="24"/>
        </w:rPr>
        <w:t>The following drugs were obtained from Cerilliant (Round Rock, TX) as 1 mg/</w:t>
      </w:r>
      <w:r w:rsidR="00211CA4">
        <w:rPr>
          <w:szCs w:val="24"/>
        </w:rPr>
        <w:t>mL</w:t>
      </w:r>
      <w:r w:rsidRPr="00F97B2D">
        <w:rPr>
          <w:szCs w:val="24"/>
        </w:rPr>
        <w:t xml:space="preserve"> calibrated r</w:t>
      </w:r>
      <w:r w:rsidR="009E0177" w:rsidRPr="00F97B2D">
        <w:rPr>
          <w:szCs w:val="24"/>
        </w:rPr>
        <w:t>eference standards in solvent: (+)</w:t>
      </w:r>
      <w:r w:rsidRPr="00F97B2D">
        <w:rPr>
          <w:szCs w:val="24"/>
        </w:rPr>
        <w:t xml:space="preserve">-amphetamine, </w:t>
      </w:r>
      <w:r w:rsidR="009E0177" w:rsidRPr="00F97B2D">
        <w:rPr>
          <w:szCs w:val="24"/>
        </w:rPr>
        <w:t>(+)</w:t>
      </w:r>
      <w:r w:rsidRPr="00F97B2D">
        <w:rPr>
          <w:szCs w:val="24"/>
        </w:rPr>
        <w:t>-methamphetamin</w:t>
      </w:r>
      <w:r w:rsidR="00526D91" w:rsidRPr="00F97B2D">
        <w:rPr>
          <w:szCs w:val="24"/>
        </w:rPr>
        <w:t>e, ketamine, methylphenidate, (</w:t>
      </w:r>
      <w:r w:rsidR="00526D91" w:rsidRPr="00F97B2D">
        <w:rPr>
          <w:rFonts w:cs="Times New Roman"/>
          <w:szCs w:val="24"/>
        </w:rPr>
        <w:t>±</w:t>
      </w:r>
      <w:r w:rsidRPr="00F97B2D">
        <w:rPr>
          <w:szCs w:val="24"/>
        </w:rPr>
        <w:t xml:space="preserve">)-amphetamine, </w:t>
      </w:r>
      <w:r w:rsidR="00526D91" w:rsidRPr="00F97B2D">
        <w:rPr>
          <w:szCs w:val="24"/>
        </w:rPr>
        <w:t>(</w:t>
      </w:r>
      <w:r w:rsidR="00526D91" w:rsidRPr="00F97B2D">
        <w:rPr>
          <w:rFonts w:cs="Times New Roman"/>
          <w:szCs w:val="24"/>
        </w:rPr>
        <w:t>±</w:t>
      </w:r>
      <w:r w:rsidR="00526D91" w:rsidRPr="00F97B2D">
        <w:rPr>
          <w:szCs w:val="24"/>
        </w:rPr>
        <w:t>)-MDA, (</w:t>
      </w:r>
      <w:r w:rsidR="00526D91" w:rsidRPr="00F97B2D">
        <w:rPr>
          <w:rFonts w:cs="Times New Roman"/>
          <w:szCs w:val="24"/>
        </w:rPr>
        <w:t>±</w:t>
      </w:r>
      <w:r w:rsidR="00526D91" w:rsidRPr="00F97B2D">
        <w:rPr>
          <w:szCs w:val="24"/>
        </w:rPr>
        <w:t>)-MDEA, (</w:t>
      </w:r>
      <w:r w:rsidR="00526D91" w:rsidRPr="00F97B2D">
        <w:rPr>
          <w:rFonts w:cs="Times New Roman"/>
          <w:szCs w:val="24"/>
        </w:rPr>
        <w:t>±</w:t>
      </w:r>
      <w:r w:rsidR="00526D91" w:rsidRPr="00F97B2D">
        <w:rPr>
          <w:szCs w:val="24"/>
        </w:rPr>
        <w:t>)-MDMA, and (</w:t>
      </w:r>
      <w:r w:rsidR="00526D91" w:rsidRPr="00F97B2D">
        <w:rPr>
          <w:rFonts w:cs="Times New Roman"/>
          <w:szCs w:val="24"/>
        </w:rPr>
        <w:t>±</w:t>
      </w:r>
      <w:r w:rsidRPr="00F97B2D">
        <w:rPr>
          <w:szCs w:val="24"/>
        </w:rPr>
        <w:t xml:space="preserve">)-methamphetamine. </w:t>
      </w:r>
      <w:r w:rsidR="00526D91" w:rsidRPr="00F97B2D">
        <w:rPr>
          <w:szCs w:val="24"/>
        </w:rPr>
        <w:t xml:space="preserve"> </w:t>
      </w:r>
      <w:r w:rsidRPr="00F97B2D">
        <w:rPr>
          <w:szCs w:val="24"/>
        </w:rPr>
        <w:t>The following drugs were obtained from Grace Davison Discovery Sciences (Deerfield, IL, USA) as 1 mg/</w:t>
      </w:r>
      <w:r w:rsidR="00211CA4">
        <w:rPr>
          <w:szCs w:val="24"/>
        </w:rPr>
        <w:t>mL</w:t>
      </w:r>
      <w:r w:rsidRPr="00F97B2D">
        <w:rPr>
          <w:szCs w:val="24"/>
        </w:rPr>
        <w:t xml:space="preserve"> calibrated reference standards in solvent: 2C-T-4, 2C-T-7, 2C-E, </w:t>
      </w:r>
      <w:proofErr w:type="gramStart"/>
      <w:r w:rsidRPr="00F97B2D">
        <w:rPr>
          <w:szCs w:val="24"/>
        </w:rPr>
        <w:t>2C</w:t>
      </w:r>
      <w:proofErr w:type="gramEnd"/>
      <w:r w:rsidRPr="00F97B2D">
        <w:rPr>
          <w:szCs w:val="24"/>
        </w:rPr>
        <w:t xml:space="preserve">-I, 5-MeO-DiPT, AMT, and BZP. </w:t>
      </w:r>
      <w:r w:rsidR="00526D91" w:rsidRPr="00F97B2D">
        <w:rPr>
          <w:szCs w:val="24"/>
        </w:rPr>
        <w:t xml:space="preserve"> </w:t>
      </w:r>
      <w:r w:rsidRPr="00F97B2D">
        <w:rPr>
          <w:szCs w:val="24"/>
        </w:rPr>
        <w:t>An in-house standard of mephentermine, from powder, was available at a concentration of 1.02 mg/</w:t>
      </w:r>
      <w:r w:rsidR="00211CA4">
        <w:rPr>
          <w:szCs w:val="24"/>
        </w:rPr>
        <w:t>mL</w:t>
      </w:r>
      <w:r w:rsidRPr="00F97B2D">
        <w:rPr>
          <w:szCs w:val="24"/>
        </w:rPr>
        <w:t xml:space="preserve"> in methanol. </w:t>
      </w:r>
      <w:r w:rsidR="00526D91" w:rsidRPr="00F97B2D">
        <w:rPr>
          <w:szCs w:val="24"/>
        </w:rPr>
        <w:t xml:space="preserve"> </w:t>
      </w:r>
      <w:r w:rsidRPr="00F97B2D">
        <w:rPr>
          <w:szCs w:val="24"/>
        </w:rPr>
        <w:t xml:space="preserve">The structures for each of the assay-targeted analytes and each of the analytes under investigation can be found in </w:t>
      </w:r>
      <w:r w:rsidR="002E77C7">
        <w:fldChar w:fldCharType="begin"/>
      </w:r>
      <w:r w:rsidR="002E77C7">
        <w:instrText xml:space="preserve"> REF _Ref362524370 \h  \* MERGEFORMAT </w:instrText>
      </w:r>
      <w:r w:rsidR="002E77C7">
        <w:fldChar w:fldCharType="separate"/>
      </w:r>
      <w:r w:rsidR="00E37796" w:rsidRPr="00E37796">
        <w:rPr>
          <w:szCs w:val="24"/>
        </w:rPr>
        <w:t>Figure 4</w:t>
      </w:r>
      <w:r w:rsidR="002E77C7">
        <w:fldChar w:fldCharType="end"/>
      </w:r>
      <w:r w:rsidR="00AA2498" w:rsidRPr="00F97B2D">
        <w:rPr>
          <w:szCs w:val="24"/>
        </w:rPr>
        <w:t xml:space="preserve"> and</w:t>
      </w:r>
      <w:r w:rsidR="00574B1E">
        <w:rPr>
          <w:szCs w:val="24"/>
        </w:rPr>
        <w:t xml:space="preserve"> </w:t>
      </w:r>
      <w:r w:rsidR="000E239B">
        <w:rPr>
          <w:szCs w:val="24"/>
        </w:rPr>
        <w:fldChar w:fldCharType="begin"/>
      </w:r>
      <w:r w:rsidR="00574B1E">
        <w:rPr>
          <w:szCs w:val="24"/>
        </w:rPr>
        <w:instrText xml:space="preserve"> REF _Ref362870208 \h </w:instrText>
      </w:r>
      <w:r w:rsidR="000E239B">
        <w:rPr>
          <w:szCs w:val="24"/>
        </w:rPr>
      </w:r>
      <w:r w:rsidR="000E239B">
        <w:rPr>
          <w:szCs w:val="24"/>
        </w:rPr>
        <w:fldChar w:fldCharType="separate"/>
      </w:r>
      <w:r w:rsidR="00E37796" w:rsidRPr="00F97B2D">
        <w:t xml:space="preserve">Appendix </w:t>
      </w:r>
      <w:r w:rsidR="00E37796">
        <w:rPr>
          <w:noProof/>
        </w:rPr>
        <w:t>2</w:t>
      </w:r>
      <w:r w:rsidR="000E239B">
        <w:rPr>
          <w:szCs w:val="24"/>
        </w:rPr>
        <w:fldChar w:fldCharType="end"/>
      </w:r>
      <w:r w:rsidR="00134C77" w:rsidRPr="009D7C48">
        <w:rPr>
          <w:szCs w:val="24"/>
        </w:rPr>
        <w:t>, respectively</w:t>
      </w:r>
      <w:r w:rsidRPr="00F97B2D">
        <w:rPr>
          <w:szCs w:val="24"/>
        </w:rPr>
        <w:t xml:space="preserve">. </w:t>
      </w:r>
      <w:r w:rsidR="00526D91" w:rsidRPr="00F97B2D">
        <w:rPr>
          <w:szCs w:val="24"/>
        </w:rPr>
        <w:t xml:space="preserve"> </w:t>
      </w:r>
      <w:r w:rsidR="0028722F" w:rsidRPr="00F97B2D">
        <w:rPr>
          <w:szCs w:val="24"/>
        </w:rPr>
        <w:t xml:space="preserve">The drug name abbreviations can be found in </w:t>
      </w:r>
      <w:r w:rsidR="002E77C7">
        <w:fldChar w:fldCharType="begin"/>
      </w:r>
      <w:r w:rsidR="002E77C7">
        <w:instrText xml:space="preserve"> REF _Ref362611478 \h  \* MERGEFORMAT </w:instrText>
      </w:r>
      <w:r w:rsidR="002E77C7">
        <w:fldChar w:fldCharType="separate"/>
      </w:r>
      <w:r w:rsidR="00E37796" w:rsidRPr="00E37796">
        <w:rPr>
          <w:szCs w:val="24"/>
        </w:rPr>
        <w:t>Table 1</w:t>
      </w:r>
      <w:r w:rsidR="002E77C7">
        <w:fldChar w:fldCharType="end"/>
      </w:r>
      <w:r w:rsidR="0028722F" w:rsidRPr="00F97B2D">
        <w:rPr>
          <w:szCs w:val="24"/>
        </w:rPr>
        <w:t xml:space="preserve">.  </w:t>
      </w:r>
      <w:r w:rsidRPr="00F97B2D">
        <w:rPr>
          <w:szCs w:val="24"/>
        </w:rPr>
        <w:t>Methanol (GC</w:t>
      </w:r>
      <w:r w:rsidRPr="00F97B2D">
        <w:rPr>
          <w:szCs w:val="24"/>
          <w:vertAlign w:val="superscript"/>
        </w:rPr>
        <w:t>2</w:t>
      </w:r>
      <w:r w:rsidR="00B92A10" w:rsidRPr="00F97B2D">
        <w:rPr>
          <w:szCs w:val="24"/>
        </w:rPr>
        <w:t>®</w:t>
      </w:r>
      <w:r w:rsidRPr="00F97B2D">
        <w:rPr>
          <w:szCs w:val="24"/>
        </w:rPr>
        <w:t>) was obtained from Honeywell Burdick &amp; Jackson (Muskegon, MI, USA).</w:t>
      </w:r>
      <w:r w:rsidR="00526D91" w:rsidRPr="00F97B2D">
        <w:rPr>
          <w:szCs w:val="24"/>
        </w:rPr>
        <w:t xml:space="preserve"> </w:t>
      </w:r>
      <w:r w:rsidRPr="00F97B2D">
        <w:rPr>
          <w:szCs w:val="24"/>
        </w:rPr>
        <w:t xml:space="preserve"> Dilution buffer (EIA buffer) and wash buffer (Wash Buffer Concentrate 10X) were obtained from Neogen Corporation (Lexington, KY, USA).</w:t>
      </w:r>
      <w:r w:rsidR="00B92A10" w:rsidRPr="00F97B2D">
        <w:rPr>
          <w:szCs w:val="24"/>
        </w:rPr>
        <w:t xml:space="preserve"> </w:t>
      </w:r>
      <w:r w:rsidR="00526D91" w:rsidRPr="00F97B2D">
        <w:rPr>
          <w:szCs w:val="24"/>
        </w:rPr>
        <w:t xml:space="preserve"> </w:t>
      </w:r>
      <w:r w:rsidRPr="00F97B2D">
        <w:rPr>
          <w:szCs w:val="24"/>
        </w:rPr>
        <w:t xml:space="preserve"> All other </w:t>
      </w:r>
      <w:r w:rsidR="00854951">
        <w:rPr>
          <w:szCs w:val="24"/>
        </w:rPr>
        <w:t>materials and solutions</w:t>
      </w:r>
      <w:r w:rsidR="00854951" w:rsidRPr="00F97B2D">
        <w:rPr>
          <w:szCs w:val="24"/>
        </w:rPr>
        <w:t xml:space="preserve"> </w:t>
      </w:r>
      <w:r w:rsidRPr="00F97B2D">
        <w:rPr>
          <w:szCs w:val="24"/>
        </w:rPr>
        <w:t>were included in the individual immunoassays listed below.</w:t>
      </w:r>
    </w:p>
    <w:p w:rsidR="00A27146" w:rsidRPr="00F97B2D" w:rsidRDefault="0003131B" w:rsidP="00A27146">
      <w:pPr>
        <w:keepNext/>
        <w:autoSpaceDE w:val="0"/>
        <w:autoSpaceDN w:val="0"/>
        <w:adjustRightInd w:val="0"/>
        <w:spacing w:after="0" w:line="480" w:lineRule="auto"/>
        <w:jc w:val="center"/>
        <w:rPr>
          <w:szCs w:val="24"/>
        </w:rPr>
      </w:pPr>
      <w:r w:rsidRPr="00F97B2D">
        <w:rPr>
          <w:noProof/>
          <w:szCs w:val="24"/>
          <w:lang w:bidi="ar-SA"/>
        </w:rPr>
        <w:drawing>
          <wp:inline distT="0" distB="0" distL="0" distR="0">
            <wp:extent cx="2651760" cy="7252197"/>
            <wp:effectExtent l="19050" t="19050" r="0" b="6350"/>
            <wp:docPr id="2" name="Picture 1" descr="ELISA Target Compo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SA Target Compounds.jpg"/>
                    <pic:cNvPicPr/>
                  </pic:nvPicPr>
                  <pic:blipFill>
                    <a:blip r:embed="rId16"/>
                    <a:stretch>
                      <a:fillRect/>
                    </a:stretch>
                  </pic:blipFill>
                  <pic:spPr>
                    <a:xfrm>
                      <a:off x="0" y="0"/>
                      <a:ext cx="2651760" cy="7252197"/>
                    </a:xfrm>
                    <a:prstGeom prst="rect">
                      <a:avLst/>
                    </a:prstGeom>
                    <a:ln>
                      <a:solidFill>
                        <a:schemeClr val="tx1"/>
                      </a:solidFill>
                    </a:ln>
                  </pic:spPr>
                </pic:pic>
              </a:graphicData>
            </a:graphic>
          </wp:inline>
        </w:drawing>
      </w:r>
    </w:p>
    <w:p w:rsidR="00C044ED" w:rsidRDefault="00A27146" w:rsidP="00574B1E">
      <w:pPr>
        <w:pStyle w:val="Caption"/>
      </w:pPr>
      <w:bookmarkStart w:id="111" w:name="_Ref362524370"/>
      <w:bookmarkStart w:id="112" w:name="_Toc372536131"/>
      <w:r w:rsidRPr="00F97B2D">
        <w:t xml:space="preserve">Figure </w:t>
      </w:r>
      <w:r w:rsidR="000E239B" w:rsidRPr="00F97B2D">
        <w:fldChar w:fldCharType="begin"/>
      </w:r>
      <w:r w:rsidR="00B2107A" w:rsidRPr="00F97B2D">
        <w:instrText xml:space="preserve"> SEQ Figure \* ARABIC </w:instrText>
      </w:r>
      <w:r w:rsidR="000E239B" w:rsidRPr="00F97B2D">
        <w:fldChar w:fldCharType="separate"/>
      </w:r>
      <w:r w:rsidR="00E37796">
        <w:rPr>
          <w:noProof/>
        </w:rPr>
        <w:t>4</w:t>
      </w:r>
      <w:r w:rsidR="000E239B" w:rsidRPr="00F97B2D">
        <w:rPr>
          <w:noProof/>
        </w:rPr>
        <w:fldChar w:fldCharType="end"/>
      </w:r>
      <w:bookmarkEnd w:id="111"/>
      <w:r w:rsidRPr="00F97B2D">
        <w:t>: Structures of Target Compounds for ELISAs</w:t>
      </w:r>
      <w:bookmarkEnd w:id="112"/>
    </w:p>
    <w:p w:rsidR="00211CA4" w:rsidRPr="00211CA4" w:rsidRDefault="00211CA4" w:rsidP="00211CA4"/>
    <w:p w:rsidR="00D55EFA" w:rsidRPr="00F97B2D" w:rsidRDefault="00861B70" w:rsidP="00AC5F51">
      <w:pPr>
        <w:pStyle w:val="Heading4"/>
      </w:pPr>
      <w:bookmarkStart w:id="113" w:name="_Toc372536047"/>
      <w:bookmarkStart w:id="114" w:name="_Toc372538710"/>
      <w:r w:rsidRPr="00F97B2D">
        <w:t>ELISA</w:t>
      </w:r>
      <w:r w:rsidR="00D55EFA" w:rsidRPr="00F97B2D">
        <w:t>s</w:t>
      </w:r>
      <w:bookmarkEnd w:id="113"/>
      <w:bookmarkEnd w:id="114"/>
    </w:p>
    <w:p w:rsidR="00744435" w:rsidRPr="00F97B2D" w:rsidRDefault="00336075" w:rsidP="00FD78D3">
      <w:pPr>
        <w:autoSpaceDE w:val="0"/>
        <w:autoSpaceDN w:val="0"/>
        <w:adjustRightInd w:val="0"/>
        <w:spacing w:after="0" w:line="480" w:lineRule="auto"/>
        <w:ind w:firstLine="720"/>
        <w:rPr>
          <w:szCs w:val="24"/>
        </w:rPr>
      </w:pPr>
      <w:r w:rsidRPr="00F97B2D">
        <w:rPr>
          <w:szCs w:val="24"/>
        </w:rPr>
        <w:t>Sixteen immunoassay kits were obtained from four commercial manufacturers: Immunalysis Amphetamine Direct ELISA and Methamphetamine Direct ELISA (Pomona, CA); Neogen Amphetamine ELISA, Amphetamine Specific Forensic ELISA, Amphetamine Ultra Forensic ELISA, Benzylpiperazine Forensic ELISA, Ketamine Forensic ELISA, Methylphenidate Forensic ELISA, Methamphetamine/</w:t>
      </w:r>
      <w:r w:rsidR="00526D91" w:rsidRPr="00F97B2D">
        <w:rPr>
          <w:szCs w:val="24"/>
        </w:rPr>
        <w:t xml:space="preserve"> </w:t>
      </w:r>
      <w:r w:rsidRPr="00F97B2D">
        <w:rPr>
          <w:szCs w:val="24"/>
        </w:rPr>
        <w:t>MDMA Forensic ELISA, and Mephentermine Forensic ELISA (Lexington, KY, USA); Randox MDPV ELISA and Mephedrone/Methcathinone ELISA (Co. Antrim, UK); and Ora</w:t>
      </w:r>
      <w:r w:rsidR="00E951CA">
        <w:rPr>
          <w:szCs w:val="24"/>
        </w:rPr>
        <w:t xml:space="preserve">Sure Technologies PCP Intercept® </w:t>
      </w:r>
      <w:r w:rsidRPr="00F97B2D">
        <w:rPr>
          <w:szCs w:val="24"/>
        </w:rPr>
        <w:t>Micro-Plate EIA, Cotinine Serum Micro-Plate EIA, Amphetamine-Specific Serum Micro-Plate EIA</w:t>
      </w:r>
      <w:r w:rsidR="00E951CA">
        <w:rPr>
          <w:szCs w:val="24"/>
        </w:rPr>
        <w:t xml:space="preserve">, and Methamphetamine Intercept® </w:t>
      </w:r>
      <w:r w:rsidRPr="00F97B2D">
        <w:rPr>
          <w:szCs w:val="24"/>
        </w:rPr>
        <w:t xml:space="preserve"> Micro-Plate EIA (Bethlehem, PA, USA). </w:t>
      </w:r>
      <w:r w:rsidR="00526D91" w:rsidRPr="00F97B2D">
        <w:rPr>
          <w:szCs w:val="24"/>
        </w:rPr>
        <w:t xml:space="preserve"> </w:t>
      </w:r>
      <w:r w:rsidRPr="00F97B2D">
        <w:rPr>
          <w:szCs w:val="24"/>
        </w:rPr>
        <w:t xml:space="preserve">All of the antibodies were polyclonal in nature, with the exception of the PCP and Amphetamine-Specific </w:t>
      </w:r>
      <w:r w:rsidR="00F066F5">
        <w:rPr>
          <w:szCs w:val="24"/>
        </w:rPr>
        <w:t>assay</w:t>
      </w:r>
      <w:r w:rsidRPr="00F97B2D">
        <w:rPr>
          <w:szCs w:val="24"/>
        </w:rPr>
        <w:t>s from OraSure.</w:t>
      </w:r>
      <w:r w:rsidR="00526D91" w:rsidRPr="00F97B2D">
        <w:rPr>
          <w:szCs w:val="24"/>
        </w:rPr>
        <w:t xml:space="preserve"> </w:t>
      </w:r>
      <w:r w:rsidRPr="00F97B2D">
        <w:rPr>
          <w:szCs w:val="24"/>
        </w:rPr>
        <w:t xml:space="preserve"> Each kit</w:t>
      </w:r>
      <w:r w:rsidR="004C38D6">
        <w:rPr>
          <w:szCs w:val="24"/>
        </w:rPr>
        <w:t xml:space="preserve"> consisted of 96-well microtiter</w:t>
      </w:r>
      <w:r w:rsidRPr="00F97B2D">
        <w:rPr>
          <w:szCs w:val="24"/>
        </w:rPr>
        <w:t xml:space="preserve"> plates coated with antibody for the targeted analyte, enzyme conjugate</w:t>
      </w:r>
      <w:r w:rsidR="009E0177" w:rsidRPr="00F97B2D">
        <w:rPr>
          <w:szCs w:val="24"/>
        </w:rPr>
        <w:t>, TMB,</w:t>
      </w:r>
      <w:r w:rsidRPr="00F97B2D">
        <w:rPr>
          <w:szCs w:val="24"/>
        </w:rPr>
        <w:t xml:space="preserve"> and an acid stop solution. </w:t>
      </w:r>
      <w:r w:rsidR="00526D91" w:rsidRPr="00F97B2D">
        <w:rPr>
          <w:szCs w:val="24"/>
        </w:rPr>
        <w:t xml:space="preserve"> </w:t>
      </w:r>
      <w:r w:rsidRPr="00F97B2D">
        <w:rPr>
          <w:szCs w:val="24"/>
        </w:rPr>
        <w:t>A summary of the commercial immunoassays teste</w:t>
      </w:r>
      <w:r w:rsidR="00744435" w:rsidRPr="00F97B2D">
        <w:rPr>
          <w:szCs w:val="24"/>
        </w:rPr>
        <w:t xml:space="preserve">d in this study can be found in </w:t>
      </w:r>
      <w:r w:rsidR="002E77C7">
        <w:fldChar w:fldCharType="begin"/>
      </w:r>
      <w:r w:rsidR="002E77C7">
        <w:instrText xml:space="preserve"> REF _Ref362524679 \h  \* MERGEFORMAT </w:instrText>
      </w:r>
      <w:r w:rsidR="002E77C7">
        <w:fldChar w:fldCharType="separate"/>
      </w:r>
      <w:r w:rsidR="00E37796" w:rsidRPr="00E37796">
        <w:rPr>
          <w:szCs w:val="24"/>
        </w:rPr>
        <w:t>Table 2</w:t>
      </w:r>
      <w:r w:rsidR="002E77C7">
        <w:fldChar w:fldCharType="end"/>
      </w:r>
      <w:r w:rsidRPr="00F97B2D">
        <w:rPr>
          <w:szCs w:val="24"/>
        </w:rPr>
        <w:t>.</w:t>
      </w:r>
    </w:p>
    <w:p w:rsidR="00D55EFA" w:rsidRDefault="00D55EFA" w:rsidP="00FD78D3">
      <w:pPr>
        <w:autoSpaceDE w:val="0"/>
        <w:autoSpaceDN w:val="0"/>
        <w:adjustRightInd w:val="0"/>
        <w:spacing w:after="0" w:line="480" w:lineRule="auto"/>
        <w:ind w:firstLine="720"/>
        <w:rPr>
          <w:szCs w:val="24"/>
        </w:rPr>
      </w:pPr>
    </w:p>
    <w:p w:rsidR="00C044ED" w:rsidRDefault="00C044ED" w:rsidP="00FD78D3">
      <w:pPr>
        <w:autoSpaceDE w:val="0"/>
        <w:autoSpaceDN w:val="0"/>
        <w:adjustRightInd w:val="0"/>
        <w:spacing w:after="0" w:line="480" w:lineRule="auto"/>
        <w:ind w:firstLine="720"/>
        <w:rPr>
          <w:szCs w:val="24"/>
        </w:rPr>
      </w:pPr>
    </w:p>
    <w:p w:rsidR="00C044ED" w:rsidRDefault="00C044ED" w:rsidP="00FD78D3">
      <w:pPr>
        <w:autoSpaceDE w:val="0"/>
        <w:autoSpaceDN w:val="0"/>
        <w:adjustRightInd w:val="0"/>
        <w:spacing w:after="0" w:line="480" w:lineRule="auto"/>
        <w:ind w:firstLine="720"/>
        <w:rPr>
          <w:szCs w:val="24"/>
        </w:rPr>
      </w:pPr>
    </w:p>
    <w:p w:rsidR="00C044ED" w:rsidRDefault="00C044ED" w:rsidP="00FD78D3">
      <w:pPr>
        <w:autoSpaceDE w:val="0"/>
        <w:autoSpaceDN w:val="0"/>
        <w:adjustRightInd w:val="0"/>
        <w:spacing w:after="0" w:line="480" w:lineRule="auto"/>
        <w:ind w:firstLine="720"/>
        <w:rPr>
          <w:szCs w:val="24"/>
        </w:rPr>
      </w:pPr>
    </w:p>
    <w:p w:rsidR="00C044ED" w:rsidRDefault="00C044ED" w:rsidP="00FD78D3">
      <w:pPr>
        <w:autoSpaceDE w:val="0"/>
        <w:autoSpaceDN w:val="0"/>
        <w:adjustRightInd w:val="0"/>
        <w:spacing w:after="0" w:line="480" w:lineRule="auto"/>
        <w:ind w:firstLine="720"/>
        <w:rPr>
          <w:szCs w:val="24"/>
        </w:rPr>
      </w:pPr>
    </w:p>
    <w:p w:rsidR="00C044ED" w:rsidRDefault="00C044ED" w:rsidP="00FD78D3">
      <w:pPr>
        <w:autoSpaceDE w:val="0"/>
        <w:autoSpaceDN w:val="0"/>
        <w:adjustRightInd w:val="0"/>
        <w:spacing w:after="0" w:line="480" w:lineRule="auto"/>
        <w:ind w:firstLine="720"/>
        <w:rPr>
          <w:szCs w:val="24"/>
        </w:rPr>
      </w:pPr>
    </w:p>
    <w:p w:rsidR="00C044ED" w:rsidRDefault="00C044ED" w:rsidP="00FD78D3">
      <w:pPr>
        <w:autoSpaceDE w:val="0"/>
        <w:autoSpaceDN w:val="0"/>
        <w:adjustRightInd w:val="0"/>
        <w:spacing w:after="0" w:line="480" w:lineRule="auto"/>
        <w:ind w:firstLine="720"/>
        <w:rPr>
          <w:szCs w:val="24"/>
        </w:rPr>
      </w:pPr>
    </w:p>
    <w:p w:rsidR="00C044ED" w:rsidRDefault="00C044ED" w:rsidP="00FD78D3">
      <w:pPr>
        <w:autoSpaceDE w:val="0"/>
        <w:autoSpaceDN w:val="0"/>
        <w:adjustRightInd w:val="0"/>
        <w:spacing w:after="0" w:line="480" w:lineRule="auto"/>
        <w:ind w:firstLine="720"/>
        <w:rPr>
          <w:szCs w:val="24"/>
        </w:rPr>
      </w:pPr>
    </w:p>
    <w:p w:rsidR="00B20DFC" w:rsidRPr="00F97B2D" w:rsidRDefault="00B20DFC" w:rsidP="00FD78D3">
      <w:pPr>
        <w:autoSpaceDE w:val="0"/>
        <w:autoSpaceDN w:val="0"/>
        <w:adjustRightInd w:val="0"/>
        <w:spacing w:after="0" w:line="480" w:lineRule="auto"/>
        <w:ind w:firstLine="720"/>
        <w:rPr>
          <w:szCs w:val="24"/>
        </w:rPr>
      </w:pPr>
    </w:p>
    <w:p w:rsidR="00744435" w:rsidRPr="00F97B2D" w:rsidRDefault="00744435" w:rsidP="00F97B2D">
      <w:pPr>
        <w:pStyle w:val="Caption"/>
      </w:pPr>
      <w:bookmarkStart w:id="115" w:name="_Ref362524679"/>
      <w:bookmarkStart w:id="116" w:name="_Toc372536117"/>
      <w:r w:rsidRPr="00F97B2D">
        <w:t xml:space="preserve">Table </w:t>
      </w:r>
      <w:r w:rsidR="000E239B" w:rsidRPr="00F97B2D">
        <w:fldChar w:fldCharType="begin"/>
      </w:r>
      <w:r w:rsidR="00B2107A" w:rsidRPr="00F97B2D">
        <w:instrText xml:space="preserve"> SEQ Table \* ARABIC </w:instrText>
      </w:r>
      <w:r w:rsidR="000E239B" w:rsidRPr="00F97B2D">
        <w:fldChar w:fldCharType="separate"/>
      </w:r>
      <w:r w:rsidR="00E37796">
        <w:rPr>
          <w:noProof/>
        </w:rPr>
        <w:t>2</w:t>
      </w:r>
      <w:r w:rsidR="000E239B" w:rsidRPr="00F97B2D">
        <w:rPr>
          <w:noProof/>
        </w:rPr>
        <w:fldChar w:fldCharType="end"/>
      </w:r>
      <w:bookmarkEnd w:id="115"/>
      <w:r w:rsidRPr="00F97B2D">
        <w:t>: Commercial ELISAs</w:t>
      </w:r>
      <w:bookmarkEnd w:id="116"/>
    </w:p>
    <w:tbl>
      <w:tblPr>
        <w:tblStyle w:val="TableGrid"/>
        <w:tblW w:w="0" w:type="auto"/>
        <w:tblCellMar>
          <w:top w:w="29" w:type="dxa"/>
          <w:left w:w="29" w:type="dxa"/>
          <w:bottom w:w="29" w:type="dxa"/>
          <w:right w:w="29" w:type="dxa"/>
        </w:tblCellMar>
        <w:tblLook w:val="04A0" w:firstRow="1" w:lastRow="0" w:firstColumn="1" w:lastColumn="0" w:noHBand="0" w:noVBand="1"/>
      </w:tblPr>
      <w:tblGrid>
        <w:gridCol w:w="1092"/>
        <w:gridCol w:w="3874"/>
        <w:gridCol w:w="1725"/>
        <w:gridCol w:w="1025"/>
        <w:gridCol w:w="808"/>
      </w:tblGrid>
      <w:tr w:rsidR="00744435" w:rsidRPr="00C044ED" w:rsidTr="00C67A58">
        <w:trPr>
          <w:tblHeader/>
        </w:trPr>
        <w:tc>
          <w:tcPr>
            <w:tcW w:w="0" w:type="auto"/>
            <w:vAlign w:val="center"/>
          </w:tcPr>
          <w:p w:rsidR="00744435" w:rsidRPr="00C044ED" w:rsidRDefault="0068761A" w:rsidP="00744435">
            <w:pPr>
              <w:widowControl w:val="0"/>
              <w:contextualSpacing/>
              <w:jc w:val="center"/>
              <w:rPr>
                <w:rFonts w:eastAsiaTheme="majorEastAsia" w:cs="Times New Roman"/>
                <w:b/>
                <w:bCs/>
                <w:color w:val="365F91" w:themeColor="accent1" w:themeShade="BF"/>
                <w:sz w:val="20"/>
                <w:szCs w:val="20"/>
              </w:rPr>
            </w:pPr>
            <w:r w:rsidRPr="00C044ED">
              <w:rPr>
                <w:rFonts w:eastAsia="Times New Roman" w:cs="Times New Roman"/>
                <w:b/>
                <w:sz w:val="20"/>
                <w:szCs w:val="20"/>
              </w:rPr>
              <w:t>Company</w:t>
            </w:r>
          </w:p>
        </w:tc>
        <w:tc>
          <w:tcPr>
            <w:tcW w:w="0" w:type="auto"/>
            <w:vAlign w:val="center"/>
          </w:tcPr>
          <w:p w:rsidR="00744435" w:rsidRPr="00C044ED" w:rsidRDefault="00F066F5" w:rsidP="00744435">
            <w:pPr>
              <w:widowControl w:val="0"/>
              <w:contextualSpacing/>
              <w:jc w:val="center"/>
              <w:rPr>
                <w:rFonts w:eastAsiaTheme="majorEastAsia" w:cs="Times New Roman"/>
                <w:b/>
                <w:bCs/>
                <w:color w:val="365F91" w:themeColor="accent1" w:themeShade="BF"/>
                <w:sz w:val="20"/>
                <w:szCs w:val="20"/>
              </w:rPr>
            </w:pPr>
            <w:r>
              <w:rPr>
                <w:rFonts w:eastAsia="Times New Roman" w:cs="Times New Roman"/>
                <w:b/>
                <w:sz w:val="20"/>
                <w:szCs w:val="20"/>
              </w:rPr>
              <w:t>Assay</w:t>
            </w:r>
          </w:p>
        </w:tc>
        <w:tc>
          <w:tcPr>
            <w:tcW w:w="0" w:type="auto"/>
            <w:vAlign w:val="center"/>
          </w:tcPr>
          <w:p w:rsidR="00744435" w:rsidRPr="00C044ED" w:rsidRDefault="00744435" w:rsidP="00744435">
            <w:pPr>
              <w:widowControl w:val="0"/>
              <w:contextualSpacing/>
              <w:jc w:val="center"/>
              <w:rPr>
                <w:rFonts w:eastAsiaTheme="majorEastAsia" w:cs="Times New Roman"/>
                <w:b/>
                <w:bCs/>
                <w:color w:val="365F91" w:themeColor="accent1" w:themeShade="BF"/>
                <w:sz w:val="20"/>
                <w:szCs w:val="20"/>
              </w:rPr>
            </w:pPr>
            <w:r w:rsidRPr="00C044ED">
              <w:rPr>
                <w:rFonts w:eastAsia="Times New Roman" w:cs="Times New Roman"/>
                <w:b/>
                <w:sz w:val="20"/>
                <w:szCs w:val="20"/>
              </w:rPr>
              <w:t>Targeted Analyte</w:t>
            </w:r>
            <w:r w:rsidRPr="00C044ED">
              <w:rPr>
                <w:rFonts w:eastAsia="Times New Roman" w:cs="Times New Roman"/>
                <w:b/>
                <w:sz w:val="20"/>
                <w:szCs w:val="20"/>
                <w:vertAlign w:val="superscript"/>
              </w:rPr>
              <w:t>a</w:t>
            </w:r>
          </w:p>
        </w:tc>
        <w:tc>
          <w:tcPr>
            <w:tcW w:w="0" w:type="auto"/>
            <w:vAlign w:val="center"/>
          </w:tcPr>
          <w:p w:rsidR="00744435" w:rsidRPr="00C044ED" w:rsidRDefault="00744435" w:rsidP="00744435">
            <w:pPr>
              <w:widowControl w:val="0"/>
              <w:contextualSpacing/>
              <w:jc w:val="center"/>
              <w:rPr>
                <w:rFonts w:eastAsia="Times New Roman" w:cs="Times New Roman"/>
                <w:b/>
                <w:sz w:val="20"/>
                <w:szCs w:val="20"/>
              </w:rPr>
            </w:pPr>
            <w:r w:rsidRPr="00C044ED">
              <w:rPr>
                <w:rFonts w:eastAsia="Times New Roman" w:cs="Times New Roman"/>
                <w:b/>
                <w:sz w:val="20"/>
                <w:szCs w:val="20"/>
              </w:rPr>
              <w:t>Type of</w:t>
            </w:r>
          </w:p>
          <w:p w:rsidR="00744435" w:rsidRPr="00C044ED" w:rsidRDefault="00744435" w:rsidP="00744435">
            <w:pPr>
              <w:widowControl w:val="0"/>
              <w:contextualSpacing/>
              <w:jc w:val="center"/>
              <w:rPr>
                <w:rFonts w:eastAsiaTheme="majorEastAsia" w:cs="Times New Roman"/>
                <w:b/>
                <w:bCs/>
                <w:color w:val="365F91" w:themeColor="accent1" w:themeShade="BF"/>
                <w:sz w:val="20"/>
                <w:szCs w:val="20"/>
              </w:rPr>
            </w:pPr>
            <w:r w:rsidRPr="00C044ED">
              <w:rPr>
                <w:rFonts w:eastAsia="Times New Roman" w:cs="Times New Roman"/>
                <w:b/>
                <w:sz w:val="20"/>
                <w:szCs w:val="20"/>
              </w:rPr>
              <w:t>Antibody</w:t>
            </w:r>
          </w:p>
        </w:tc>
        <w:tc>
          <w:tcPr>
            <w:tcW w:w="0" w:type="auto"/>
            <w:vAlign w:val="center"/>
          </w:tcPr>
          <w:p w:rsidR="00744435" w:rsidRPr="00C044ED" w:rsidRDefault="00744435" w:rsidP="00744435">
            <w:pPr>
              <w:widowControl w:val="0"/>
              <w:spacing w:before="240"/>
              <w:contextualSpacing/>
              <w:jc w:val="center"/>
              <w:rPr>
                <w:rFonts w:eastAsiaTheme="majorEastAsia" w:cs="Times New Roman"/>
                <w:b/>
                <w:bCs/>
                <w:color w:val="365F91" w:themeColor="accent1" w:themeShade="BF"/>
                <w:sz w:val="20"/>
                <w:szCs w:val="20"/>
              </w:rPr>
            </w:pPr>
            <w:r w:rsidRPr="00C044ED">
              <w:rPr>
                <w:rFonts w:eastAsia="Times New Roman" w:cs="Times New Roman"/>
                <w:b/>
                <w:sz w:val="20"/>
                <w:szCs w:val="20"/>
              </w:rPr>
              <w:t>Cut-Off</w:t>
            </w:r>
            <w:r w:rsidRPr="00C044ED">
              <w:rPr>
                <w:rFonts w:eastAsia="Times New Roman" w:cs="Times New Roman"/>
                <w:b/>
                <w:sz w:val="20"/>
                <w:szCs w:val="20"/>
                <w:vertAlign w:val="superscript"/>
              </w:rPr>
              <w:t>b</w:t>
            </w:r>
          </w:p>
          <w:p w:rsidR="00744435" w:rsidRPr="00C044ED" w:rsidRDefault="00744435" w:rsidP="00744435">
            <w:pPr>
              <w:widowControl w:val="0"/>
              <w:spacing w:before="240"/>
              <w:contextualSpacing/>
              <w:jc w:val="center"/>
              <w:rPr>
                <w:rFonts w:eastAsiaTheme="majorEastAsia" w:cs="Times New Roman"/>
                <w:b/>
                <w:bCs/>
                <w:color w:val="365F91" w:themeColor="accent1" w:themeShade="BF"/>
                <w:sz w:val="20"/>
                <w:szCs w:val="20"/>
              </w:rPr>
            </w:pPr>
            <w:r w:rsidRPr="00C044ED">
              <w:rPr>
                <w:rFonts w:eastAsia="Times New Roman" w:cs="Times New Roman"/>
                <w:b/>
                <w:sz w:val="20"/>
                <w:szCs w:val="20"/>
              </w:rPr>
              <w:t>(ng/mL)</w:t>
            </w:r>
          </w:p>
        </w:tc>
      </w:tr>
      <w:tr w:rsidR="00744435" w:rsidRPr="00C044ED" w:rsidTr="00C11BE0">
        <w:tc>
          <w:tcPr>
            <w:tcW w:w="0" w:type="auto"/>
            <w:vMerge w:val="restart"/>
            <w:vAlign w:val="center"/>
          </w:tcPr>
          <w:p w:rsidR="00744435" w:rsidRPr="00C044ED" w:rsidRDefault="00744435" w:rsidP="00744435">
            <w:pPr>
              <w:widowControl w:val="0"/>
              <w:jc w:val="center"/>
              <w:rPr>
                <w:rFonts w:eastAsiaTheme="majorEastAsia" w:cs="Times New Roman"/>
                <w:b/>
                <w:bCs/>
                <w:color w:val="365F91" w:themeColor="accent1" w:themeShade="BF"/>
                <w:sz w:val="20"/>
                <w:szCs w:val="20"/>
              </w:rPr>
            </w:pPr>
            <w:r w:rsidRPr="00C044ED">
              <w:rPr>
                <w:rFonts w:eastAsia="Times New Roman" w:cs="Times New Roman"/>
                <w:sz w:val="20"/>
                <w:szCs w:val="20"/>
              </w:rPr>
              <w:t>Immunalysis</w:t>
            </w:r>
          </w:p>
        </w:tc>
        <w:tc>
          <w:tcPr>
            <w:tcW w:w="0" w:type="auto"/>
            <w:vAlign w:val="center"/>
          </w:tcPr>
          <w:p w:rsidR="00744435" w:rsidRPr="00C044ED" w:rsidRDefault="00744435" w:rsidP="00744435">
            <w:pPr>
              <w:widowControl w:val="0"/>
              <w:jc w:val="center"/>
              <w:rPr>
                <w:rFonts w:eastAsiaTheme="majorEastAsia" w:cs="Times New Roman"/>
                <w:b/>
                <w:bCs/>
                <w:color w:val="365F91" w:themeColor="accent1" w:themeShade="BF"/>
                <w:sz w:val="20"/>
                <w:szCs w:val="20"/>
              </w:rPr>
            </w:pPr>
            <w:r w:rsidRPr="00C044ED">
              <w:rPr>
                <w:rFonts w:eastAsia="Times New Roman" w:cs="Times New Roman"/>
                <w:sz w:val="20"/>
                <w:szCs w:val="20"/>
              </w:rPr>
              <w:t>Amphetamine Direct ELISA</w:t>
            </w:r>
          </w:p>
        </w:tc>
        <w:tc>
          <w:tcPr>
            <w:tcW w:w="0" w:type="auto"/>
            <w:vAlign w:val="center"/>
          </w:tcPr>
          <w:p w:rsidR="00744435" w:rsidRPr="00C044ED" w:rsidRDefault="00744435" w:rsidP="00744435">
            <w:pPr>
              <w:widowControl w:val="0"/>
              <w:jc w:val="center"/>
              <w:rPr>
                <w:rFonts w:eastAsiaTheme="majorEastAsia" w:cs="Times New Roman"/>
                <w:b/>
                <w:bCs/>
                <w:color w:val="365F91" w:themeColor="accent1" w:themeShade="BF"/>
                <w:sz w:val="20"/>
                <w:szCs w:val="20"/>
              </w:rPr>
            </w:pPr>
            <w:r w:rsidRPr="00C044ED">
              <w:rPr>
                <w:rFonts w:eastAsia="Times New Roman" w:cs="Times New Roman"/>
                <w:sz w:val="20"/>
                <w:szCs w:val="20"/>
              </w:rPr>
              <w:t>d-Amphetamine</w:t>
            </w:r>
          </w:p>
        </w:tc>
        <w:tc>
          <w:tcPr>
            <w:tcW w:w="0" w:type="auto"/>
            <w:vAlign w:val="center"/>
          </w:tcPr>
          <w:p w:rsidR="00744435" w:rsidRPr="00C044ED" w:rsidRDefault="00744435" w:rsidP="00744435">
            <w:pPr>
              <w:widowControl w:val="0"/>
              <w:jc w:val="center"/>
              <w:rPr>
                <w:rFonts w:eastAsiaTheme="majorEastAsia" w:cs="Times New Roman"/>
                <w:b/>
                <w:bCs/>
                <w:color w:val="365F91" w:themeColor="accent1" w:themeShade="BF"/>
                <w:sz w:val="20"/>
                <w:szCs w:val="20"/>
              </w:rPr>
            </w:pPr>
            <w:r w:rsidRPr="00C044ED">
              <w:rPr>
                <w:rFonts w:eastAsia="Times New Roman" w:cs="Times New Roman"/>
                <w:sz w:val="20"/>
                <w:szCs w:val="20"/>
              </w:rPr>
              <w:t>Polyclonal</w:t>
            </w:r>
          </w:p>
        </w:tc>
        <w:tc>
          <w:tcPr>
            <w:tcW w:w="0" w:type="auto"/>
            <w:vAlign w:val="center"/>
          </w:tcPr>
          <w:p w:rsidR="00744435" w:rsidRPr="00C044ED" w:rsidRDefault="00744435" w:rsidP="00744435">
            <w:pPr>
              <w:widowControl w:val="0"/>
              <w:jc w:val="center"/>
              <w:rPr>
                <w:rFonts w:eastAsiaTheme="majorEastAsia" w:cs="Times New Roman"/>
                <w:b/>
                <w:bCs/>
                <w:color w:val="365F91" w:themeColor="accent1" w:themeShade="BF"/>
                <w:sz w:val="20"/>
                <w:szCs w:val="20"/>
              </w:rPr>
            </w:pPr>
            <w:r w:rsidRPr="00C044ED">
              <w:rPr>
                <w:rFonts w:eastAsia="Times New Roman" w:cs="Times New Roman"/>
                <w:sz w:val="20"/>
                <w:szCs w:val="20"/>
              </w:rPr>
              <w:t>25</w:t>
            </w:r>
          </w:p>
        </w:tc>
      </w:tr>
      <w:tr w:rsidR="00744435" w:rsidRPr="00C044ED" w:rsidTr="00C11BE0">
        <w:tc>
          <w:tcPr>
            <w:tcW w:w="0" w:type="auto"/>
            <w:vMerge/>
            <w:vAlign w:val="center"/>
          </w:tcPr>
          <w:p w:rsidR="00744435" w:rsidRPr="00C044ED" w:rsidRDefault="00744435" w:rsidP="00744435">
            <w:pPr>
              <w:widowControl w:val="0"/>
              <w:jc w:val="center"/>
              <w:rPr>
                <w:rFonts w:eastAsia="Times New Roman" w:cs="Times New Roman"/>
                <w:sz w:val="20"/>
                <w:szCs w:val="20"/>
              </w:rPr>
            </w:pP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Methamphetamine Direct ELISA</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d-Methamphetamine</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Polyclonal</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25</w:t>
            </w:r>
          </w:p>
        </w:tc>
      </w:tr>
      <w:tr w:rsidR="00744435" w:rsidRPr="00C044ED" w:rsidTr="00C11BE0">
        <w:tc>
          <w:tcPr>
            <w:tcW w:w="0" w:type="auto"/>
            <w:vMerge w:val="restart"/>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Neogen</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Amphetamine ELISA</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d-Amphetamine</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Polyclonal</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50</w:t>
            </w:r>
          </w:p>
        </w:tc>
      </w:tr>
      <w:tr w:rsidR="00744435" w:rsidRPr="00C044ED" w:rsidTr="00C11BE0">
        <w:tc>
          <w:tcPr>
            <w:tcW w:w="0" w:type="auto"/>
            <w:vMerge/>
            <w:vAlign w:val="center"/>
          </w:tcPr>
          <w:p w:rsidR="00744435" w:rsidRPr="00C044ED" w:rsidRDefault="00744435" w:rsidP="00744435">
            <w:pPr>
              <w:widowControl w:val="0"/>
              <w:jc w:val="center"/>
              <w:rPr>
                <w:rFonts w:eastAsia="Times New Roman" w:cs="Times New Roman"/>
                <w:sz w:val="20"/>
                <w:szCs w:val="20"/>
              </w:rPr>
            </w:pP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Amphetamine Specific Forensic ELISA</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d-Amphetamine</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Polyclonal</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50</w:t>
            </w:r>
          </w:p>
        </w:tc>
      </w:tr>
      <w:tr w:rsidR="00744435" w:rsidRPr="00C044ED" w:rsidTr="00C11BE0">
        <w:tc>
          <w:tcPr>
            <w:tcW w:w="0" w:type="auto"/>
            <w:vMerge/>
            <w:vAlign w:val="center"/>
          </w:tcPr>
          <w:p w:rsidR="00744435" w:rsidRPr="00C044ED" w:rsidRDefault="00744435" w:rsidP="00744435">
            <w:pPr>
              <w:widowControl w:val="0"/>
              <w:jc w:val="center"/>
              <w:rPr>
                <w:rFonts w:eastAsia="Times New Roman" w:cs="Times New Roman"/>
                <w:sz w:val="20"/>
                <w:szCs w:val="20"/>
              </w:rPr>
            </w:pP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Amphetamine Ultra Forensic ELISA</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d-Amphetamine</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Polyclonal</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50</w:t>
            </w:r>
          </w:p>
        </w:tc>
      </w:tr>
      <w:tr w:rsidR="00744435" w:rsidRPr="00C044ED" w:rsidTr="00C11BE0">
        <w:tc>
          <w:tcPr>
            <w:tcW w:w="0" w:type="auto"/>
            <w:vMerge/>
            <w:vAlign w:val="center"/>
          </w:tcPr>
          <w:p w:rsidR="00744435" w:rsidRPr="00C044ED" w:rsidRDefault="00744435" w:rsidP="00744435">
            <w:pPr>
              <w:widowControl w:val="0"/>
              <w:jc w:val="center"/>
              <w:rPr>
                <w:rFonts w:eastAsia="Times New Roman" w:cs="Times New Roman"/>
                <w:sz w:val="20"/>
                <w:szCs w:val="20"/>
              </w:rPr>
            </w:pP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Benzylpiperazine Forensic ELISA</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Benzylpiperazine</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Polyclonal</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25</w:t>
            </w:r>
          </w:p>
        </w:tc>
      </w:tr>
      <w:tr w:rsidR="00744435" w:rsidRPr="00C044ED" w:rsidTr="00C11BE0">
        <w:tc>
          <w:tcPr>
            <w:tcW w:w="0" w:type="auto"/>
            <w:vMerge/>
            <w:vAlign w:val="center"/>
          </w:tcPr>
          <w:p w:rsidR="00744435" w:rsidRPr="00C044ED" w:rsidRDefault="00744435" w:rsidP="00744435">
            <w:pPr>
              <w:widowControl w:val="0"/>
              <w:jc w:val="center"/>
              <w:rPr>
                <w:rFonts w:eastAsia="Times New Roman" w:cs="Times New Roman"/>
                <w:sz w:val="20"/>
                <w:szCs w:val="20"/>
              </w:rPr>
            </w:pP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Ketamine Forensic ELISA</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Ketamine</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Polyclonal</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50</w:t>
            </w:r>
          </w:p>
        </w:tc>
      </w:tr>
      <w:tr w:rsidR="00744435" w:rsidRPr="00C044ED" w:rsidTr="00C11BE0">
        <w:tc>
          <w:tcPr>
            <w:tcW w:w="0" w:type="auto"/>
            <w:vMerge/>
            <w:vAlign w:val="center"/>
          </w:tcPr>
          <w:p w:rsidR="00744435" w:rsidRPr="00C044ED" w:rsidRDefault="00744435" w:rsidP="00744435">
            <w:pPr>
              <w:widowControl w:val="0"/>
              <w:jc w:val="center"/>
              <w:rPr>
                <w:rFonts w:eastAsia="Times New Roman" w:cs="Times New Roman"/>
                <w:sz w:val="20"/>
                <w:szCs w:val="20"/>
              </w:rPr>
            </w:pP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Methylphenidate Forensic ELISA</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Methylphenidate</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Polyclonal</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10</w:t>
            </w:r>
          </w:p>
        </w:tc>
      </w:tr>
      <w:tr w:rsidR="00744435" w:rsidRPr="00C044ED" w:rsidTr="00C11BE0">
        <w:tc>
          <w:tcPr>
            <w:tcW w:w="0" w:type="auto"/>
            <w:vMerge/>
            <w:vAlign w:val="center"/>
          </w:tcPr>
          <w:p w:rsidR="00744435" w:rsidRPr="00C044ED" w:rsidRDefault="00744435" w:rsidP="00744435">
            <w:pPr>
              <w:widowControl w:val="0"/>
              <w:jc w:val="center"/>
              <w:rPr>
                <w:rFonts w:eastAsia="Times New Roman" w:cs="Times New Roman"/>
                <w:sz w:val="20"/>
                <w:szCs w:val="20"/>
              </w:rPr>
            </w:pP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Methamphetamine/MDMA Forensic ELISA</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d-Methamphetamine</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Polyclonal</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25</w:t>
            </w:r>
          </w:p>
        </w:tc>
      </w:tr>
      <w:tr w:rsidR="00744435" w:rsidRPr="00C044ED" w:rsidTr="00C11BE0">
        <w:tc>
          <w:tcPr>
            <w:tcW w:w="0" w:type="auto"/>
            <w:vMerge/>
            <w:vAlign w:val="center"/>
          </w:tcPr>
          <w:p w:rsidR="00744435" w:rsidRPr="00C044ED" w:rsidRDefault="00744435" w:rsidP="00744435">
            <w:pPr>
              <w:widowControl w:val="0"/>
              <w:jc w:val="center"/>
              <w:rPr>
                <w:rFonts w:eastAsia="Times New Roman" w:cs="Times New Roman"/>
                <w:sz w:val="20"/>
                <w:szCs w:val="20"/>
              </w:rPr>
            </w:pP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Mephentermine Forensic ELISA</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Mephentermine</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Polyclonal</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10</w:t>
            </w:r>
          </w:p>
        </w:tc>
      </w:tr>
      <w:tr w:rsidR="00744435" w:rsidRPr="00C044ED" w:rsidTr="00C11BE0">
        <w:tc>
          <w:tcPr>
            <w:tcW w:w="0" w:type="auto"/>
            <w:vMerge w:val="restart"/>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Randox</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MDPV ELISA</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MDPV</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Polyclonal</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10</w:t>
            </w:r>
          </w:p>
        </w:tc>
      </w:tr>
      <w:tr w:rsidR="00744435" w:rsidRPr="00C044ED" w:rsidTr="00C11BE0">
        <w:tc>
          <w:tcPr>
            <w:tcW w:w="0" w:type="auto"/>
            <w:vMerge/>
            <w:vAlign w:val="center"/>
          </w:tcPr>
          <w:p w:rsidR="00744435" w:rsidRPr="00C044ED" w:rsidRDefault="00744435" w:rsidP="00744435">
            <w:pPr>
              <w:widowControl w:val="0"/>
              <w:jc w:val="center"/>
              <w:rPr>
                <w:rFonts w:eastAsia="Times New Roman" w:cs="Times New Roman"/>
                <w:sz w:val="20"/>
                <w:szCs w:val="20"/>
              </w:rPr>
            </w:pP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Mephedrone/Methcathinone ELISA</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Mephedrone</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Polyclonal</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1.25</w:t>
            </w:r>
          </w:p>
        </w:tc>
      </w:tr>
      <w:tr w:rsidR="00744435" w:rsidRPr="00C044ED" w:rsidTr="00C11BE0">
        <w:tc>
          <w:tcPr>
            <w:tcW w:w="0" w:type="auto"/>
            <w:vMerge w:val="restart"/>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OraSure</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PCP Intercept® Micro-Plate EIA</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Phencyclidine</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Monoclonal</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20</w:t>
            </w:r>
          </w:p>
        </w:tc>
      </w:tr>
      <w:tr w:rsidR="00744435" w:rsidRPr="00C044ED" w:rsidTr="00C11BE0">
        <w:tc>
          <w:tcPr>
            <w:tcW w:w="0" w:type="auto"/>
            <w:vMerge/>
            <w:vAlign w:val="center"/>
          </w:tcPr>
          <w:p w:rsidR="00744435" w:rsidRPr="00C044ED" w:rsidRDefault="00744435" w:rsidP="00744435">
            <w:pPr>
              <w:widowControl w:val="0"/>
              <w:jc w:val="center"/>
              <w:rPr>
                <w:rFonts w:eastAsia="Times New Roman" w:cs="Times New Roman"/>
                <w:sz w:val="20"/>
                <w:szCs w:val="20"/>
              </w:rPr>
            </w:pP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Cotinine Serum Micro-Plate EIA</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Cotinine</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Polyclonal</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100</w:t>
            </w:r>
          </w:p>
        </w:tc>
      </w:tr>
      <w:tr w:rsidR="00744435" w:rsidRPr="00C044ED" w:rsidTr="00C11BE0">
        <w:tc>
          <w:tcPr>
            <w:tcW w:w="0" w:type="auto"/>
            <w:vMerge/>
            <w:vAlign w:val="center"/>
          </w:tcPr>
          <w:p w:rsidR="00744435" w:rsidRPr="00C044ED" w:rsidRDefault="00744435" w:rsidP="00744435">
            <w:pPr>
              <w:widowControl w:val="0"/>
              <w:jc w:val="center"/>
              <w:rPr>
                <w:rFonts w:eastAsia="Times New Roman" w:cs="Times New Roman"/>
                <w:sz w:val="20"/>
                <w:szCs w:val="20"/>
              </w:rPr>
            </w:pP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Amphetamine-Specific Serum Micro-Plate EIA</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d-Amphetamine</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Monoclonal</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50</w:t>
            </w:r>
          </w:p>
        </w:tc>
      </w:tr>
      <w:tr w:rsidR="00744435" w:rsidRPr="00C044ED" w:rsidTr="00C11BE0">
        <w:tc>
          <w:tcPr>
            <w:tcW w:w="0" w:type="auto"/>
            <w:vMerge/>
            <w:vAlign w:val="center"/>
          </w:tcPr>
          <w:p w:rsidR="00744435" w:rsidRPr="00C044ED" w:rsidRDefault="00744435" w:rsidP="00744435">
            <w:pPr>
              <w:widowControl w:val="0"/>
              <w:jc w:val="center"/>
              <w:rPr>
                <w:rFonts w:eastAsia="Times New Roman" w:cs="Times New Roman"/>
                <w:sz w:val="20"/>
                <w:szCs w:val="20"/>
              </w:rPr>
            </w:pP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Methamphetamine Intercept® Micro-Plate EIA</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d-Methamphetamine</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Polyclonal</w:t>
            </w:r>
          </w:p>
        </w:tc>
        <w:tc>
          <w:tcPr>
            <w:tcW w:w="0" w:type="auto"/>
            <w:vAlign w:val="center"/>
          </w:tcPr>
          <w:p w:rsidR="00744435" w:rsidRPr="00C044ED" w:rsidRDefault="00744435" w:rsidP="00744435">
            <w:pPr>
              <w:widowControl w:val="0"/>
              <w:jc w:val="center"/>
              <w:rPr>
                <w:rFonts w:eastAsia="Times New Roman" w:cs="Times New Roman"/>
                <w:sz w:val="20"/>
                <w:szCs w:val="20"/>
              </w:rPr>
            </w:pPr>
            <w:r w:rsidRPr="00C044ED">
              <w:rPr>
                <w:rFonts w:eastAsia="Times New Roman" w:cs="Times New Roman"/>
                <w:sz w:val="20"/>
                <w:szCs w:val="20"/>
              </w:rPr>
              <w:t>10</w:t>
            </w:r>
          </w:p>
        </w:tc>
      </w:tr>
    </w:tbl>
    <w:p w:rsidR="00744435" w:rsidRPr="00F97B2D" w:rsidRDefault="00744435" w:rsidP="00744435">
      <w:pPr>
        <w:widowControl w:val="0"/>
        <w:spacing w:after="0"/>
        <w:rPr>
          <w:szCs w:val="24"/>
        </w:rPr>
      </w:pPr>
      <w:proofErr w:type="gramStart"/>
      <w:r w:rsidRPr="00F97B2D">
        <w:rPr>
          <w:b/>
          <w:szCs w:val="24"/>
          <w:vertAlign w:val="superscript"/>
        </w:rPr>
        <w:t>a</w:t>
      </w:r>
      <w:proofErr w:type="gramEnd"/>
      <w:r w:rsidRPr="00F97B2D">
        <w:rPr>
          <w:szCs w:val="24"/>
        </w:rPr>
        <w:t xml:space="preserve"> </w:t>
      </w:r>
      <w:r w:rsidR="00F066F5">
        <w:rPr>
          <w:szCs w:val="24"/>
        </w:rPr>
        <w:t>Assay</w:t>
      </w:r>
      <w:r w:rsidRPr="00F97B2D">
        <w:rPr>
          <w:szCs w:val="24"/>
        </w:rPr>
        <w:t>’s targeted analyte used for controls.</w:t>
      </w:r>
    </w:p>
    <w:p w:rsidR="00744435" w:rsidRPr="00F97B2D" w:rsidRDefault="00744435" w:rsidP="00744435">
      <w:pPr>
        <w:widowControl w:val="0"/>
        <w:spacing w:after="0"/>
        <w:rPr>
          <w:szCs w:val="24"/>
        </w:rPr>
      </w:pPr>
      <w:proofErr w:type="gramStart"/>
      <w:r w:rsidRPr="00F97B2D">
        <w:rPr>
          <w:b/>
          <w:szCs w:val="24"/>
          <w:vertAlign w:val="superscript"/>
        </w:rPr>
        <w:t>b</w:t>
      </w:r>
      <w:proofErr w:type="gramEnd"/>
      <w:r w:rsidRPr="00F97B2D">
        <w:rPr>
          <w:szCs w:val="24"/>
        </w:rPr>
        <w:t xml:space="preserve"> Experimentally determined. See Materials and Methods.</w:t>
      </w:r>
    </w:p>
    <w:p w:rsidR="00B20DFC" w:rsidRPr="00F97B2D" w:rsidRDefault="00B20DFC" w:rsidP="00EC6F95">
      <w:pPr>
        <w:autoSpaceDE w:val="0"/>
        <w:autoSpaceDN w:val="0"/>
        <w:adjustRightInd w:val="0"/>
        <w:spacing w:after="0" w:line="480" w:lineRule="auto"/>
        <w:rPr>
          <w:szCs w:val="24"/>
        </w:rPr>
      </w:pPr>
    </w:p>
    <w:p w:rsidR="00D55EFA" w:rsidRPr="00F97B2D" w:rsidRDefault="00861B70" w:rsidP="00AC5F51">
      <w:pPr>
        <w:pStyle w:val="Heading4"/>
      </w:pPr>
      <w:bookmarkStart w:id="117" w:name="_Toc372536048"/>
      <w:bookmarkStart w:id="118" w:name="_Toc372538711"/>
      <w:r w:rsidRPr="00F97B2D">
        <w:t>EMIT</w:t>
      </w:r>
      <w:r w:rsidR="00854951">
        <w:t>s</w:t>
      </w:r>
      <w:bookmarkEnd w:id="117"/>
      <w:bookmarkEnd w:id="118"/>
    </w:p>
    <w:p w:rsidR="00D55EFA" w:rsidRPr="00F97B2D" w:rsidRDefault="00482CB1" w:rsidP="00D55EFA">
      <w:pPr>
        <w:autoSpaceDE w:val="0"/>
        <w:autoSpaceDN w:val="0"/>
        <w:adjustRightInd w:val="0"/>
        <w:spacing w:after="0" w:line="480" w:lineRule="auto"/>
        <w:ind w:firstLine="720"/>
        <w:rPr>
          <w:szCs w:val="24"/>
        </w:rPr>
      </w:pPr>
      <w:r w:rsidRPr="00F97B2D">
        <w:rPr>
          <w:szCs w:val="24"/>
        </w:rPr>
        <w:t xml:space="preserve">Two EMIT </w:t>
      </w:r>
      <w:r w:rsidR="00F066F5">
        <w:rPr>
          <w:szCs w:val="24"/>
        </w:rPr>
        <w:t>assay</w:t>
      </w:r>
      <w:r w:rsidRPr="00F97B2D">
        <w:rPr>
          <w:szCs w:val="24"/>
        </w:rPr>
        <w:t xml:space="preserve">s were obtained from Syva® (Siemens Healthcare Diagnostics; Newark, DE): EMIT® II </w:t>
      </w:r>
      <w:proofErr w:type="gramStart"/>
      <w:r w:rsidRPr="00F97B2D">
        <w:rPr>
          <w:szCs w:val="24"/>
        </w:rPr>
        <w:t>Plus</w:t>
      </w:r>
      <w:proofErr w:type="gramEnd"/>
      <w:r w:rsidRPr="00F97B2D">
        <w:rPr>
          <w:szCs w:val="24"/>
        </w:rPr>
        <w:t xml:space="preserve"> Ecstasy Assay and EMIT® II Plus Amphetamines Assay.  The antibodies for the Ecstasy assay were polyclonal while those for the Amphetamines assay were monoclonal.  Each kit supplied antibodies, drug-enzyme conjugate and all other necessary </w:t>
      </w:r>
      <w:r w:rsidR="00854951">
        <w:rPr>
          <w:szCs w:val="24"/>
        </w:rPr>
        <w:t>solutions</w:t>
      </w:r>
      <w:r w:rsidRPr="00F97B2D">
        <w:rPr>
          <w:szCs w:val="24"/>
        </w:rPr>
        <w:t xml:space="preserve">.  The EMIT® and EMIT® II </w:t>
      </w:r>
      <w:proofErr w:type="gramStart"/>
      <w:r w:rsidRPr="00F97B2D">
        <w:rPr>
          <w:szCs w:val="24"/>
        </w:rPr>
        <w:t>Plus</w:t>
      </w:r>
      <w:proofErr w:type="gramEnd"/>
      <w:r w:rsidRPr="00F97B2D">
        <w:rPr>
          <w:szCs w:val="24"/>
        </w:rPr>
        <w:t xml:space="preserve"> Ecstasy calibrators and controls were also purchased from Syva®.  A summary of these </w:t>
      </w:r>
      <w:r w:rsidR="00F066F5">
        <w:rPr>
          <w:szCs w:val="24"/>
        </w:rPr>
        <w:t>assay</w:t>
      </w:r>
      <w:r w:rsidR="00854951">
        <w:rPr>
          <w:szCs w:val="24"/>
        </w:rPr>
        <w:t>s</w:t>
      </w:r>
      <w:r w:rsidRPr="00F97B2D">
        <w:rPr>
          <w:szCs w:val="24"/>
        </w:rPr>
        <w:t xml:space="preserve"> can be found in </w:t>
      </w:r>
      <w:r w:rsidR="002E77C7">
        <w:fldChar w:fldCharType="begin"/>
      </w:r>
      <w:r w:rsidR="002E77C7">
        <w:instrText xml:space="preserve"> REF _Ref362530300 \</w:instrText>
      </w:r>
      <w:r w:rsidR="002E77C7">
        <w:instrText xml:space="preserve">h  \* MERGEFORMAT </w:instrText>
      </w:r>
      <w:r w:rsidR="002E77C7">
        <w:fldChar w:fldCharType="separate"/>
      </w:r>
      <w:r w:rsidR="00E37796" w:rsidRPr="00E37796">
        <w:rPr>
          <w:szCs w:val="24"/>
        </w:rPr>
        <w:t>Table 3</w:t>
      </w:r>
      <w:r w:rsidR="002E77C7">
        <w:fldChar w:fldCharType="end"/>
      </w:r>
      <w:r w:rsidRPr="00F97B2D">
        <w:rPr>
          <w:szCs w:val="24"/>
        </w:rPr>
        <w:t>.</w:t>
      </w:r>
    </w:p>
    <w:p w:rsidR="00D55EFA" w:rsidRDefault="00D55EFA" w:rsidP="00D55EFA">
      <w:pPr>
        <w:autoSpaceDE w:val="0"/>
        <w:autoSpaceDN w:val="0"/>
        <w:adjustRightInd w:val="0"/>
        <w:spacing w:after="0" w:line="480" w:lineRule="auto"/>
        <w:ind w:firstLine="720"/>
        <w:rPr>
          <w:szCs w:val="24"/>
        </w:rPr>
      </w:pPr>
    </w:p>
    <w:p w:rsidR="00574B1E" w:rsidRPr="00F97B2D" w:rsidRDefault="00574B1E" w:rsidP="00D55EFA">
      <w:pPr>
        <w:autoSpaceDE w:val="0"/>
        <w:autoSpaceDN w:val="0"/>
        <w:adjustRightInd w:val="0"/>
        <w:spacing w:after="0" w:line="480" w:lineRule="auto"/>
        <w:ind w:firstLine="720"/>
        <w:rPr>
          <w:szCs w:val="24"/>
        </w:rPr>
      </w:pPr>
    </w:p>
    <w:p w:rsidR="00D55EFA" w:rsidRPr="00F97B2D" w:rsidRDefault="00D55EFA" w:rsidP="00F97B2D">
      <w:pPr>
        <w:pStyle w:val="Caption"/>
      </w:pPr>
      <w:bookmarkStart w:id="119" w:name="_Ref362530300"/>
      <w:bookmarkStart w:id="120" w:name="_Toc372536118"/>
      <w:r w:rsidRPr="00F97B2D">
        <w:t xml:space="preserve">Table </w:t>
      </w:r>
      <w:r w:rsidR="000E239B" w:rsidRPr="00F97B2D">
        <w:fldChar w:fldCharType="begin"/>
      </w:r>
      <w:r w:rsidR="00B2107A" w:rsidRPr="00F97B2D">
        <w:instrText xml:space="preserve"> SEQ Table \* ARABIC </w:instrText>
      </w:r>
      <w:r w:rsidR="000E239B" w:rsidRPr="00F97B2D">
        <w:fldChar w:fldCharType="separate"/>
      </w:r>
      <w:r w:rsidR="00E37796">
        <w:rPr>
          <w:noProof/>
        </w:rPr>
        <w:t>3</w:t>
      </w:r>
      <w:r w:rsidR="000E239B" w:rsidRPr="00F97B2D">
        <w:rPr>
          <w:noProof/>
        </w:rPr>
        <w:fldChar w:fldCharType="end"/>
      </w:r>
      <w:bookmarkEnd w:id="119"/>
      <w:r w:rsidRPr="00F97B2D">
        <w:t>: Commercial EMITs</w:t>
      </w:r>
      <w:bookmarkEnd w:id="120"/>
    </w:p>
    <w:tbl>
      <w:tblPr>
        <w:tblStyle w:val="TableGrid"/>
        <w:tblW w:w="0" w:type="auto"/>
        <w:tblInd w:w="108" w:type="dxa"/>
        <w:tblLook w:val="04A0" w:firstRow="1" w:lastRow="0" w:firstColumn="1" w:lastColumn="0" w:noHBand="0" w:noVBand="1"/>
      </w:tblPr>
      <w:tblGrid>
        <w:gridCol w:w="1306"/>
        <w:gridCol w:w="2401"/>
        <w:gridCol w:w="1915"/>
        <w:gridCol w:w="1916"/>
      </w:tblGrid>
      <w:tr w:rsidR="00D55EFA" w:rsidRPr="00F97B2D" w:rsidTr="00D55EFA">
        <w:tc>
          <w:tcPr>
            <w:tcW w:w="1306" w:type="dxa"/>
            <w:vAlign w:val="center"/>
          </w:tcPr>
          <w:p w:rsidR="00D55EFA" w:rsidRPr="00F97B2D" w:rsidRDefault="0068761A" w:rsidP="00D55EFA">
            <w:pPr>
              <w:widowControl w:val="0"/>
              <w:contextualSpacing/>
              <w:jc w:val="center"/>
              <w:rPr>
                <w:rFonts w:eastAsiaTheme="majorEastAsia" w:cs="Times New Roman"/>
                <w:b/>
                <w:bCs/>
                <w:color w:val="365F91" w:themeColor="accent1" w:themeShade="BF"/>
                <w:szCs w:val="24"/>
              </w:rPr>
            </w:pPr>
            <w:r>
              <w:rPr>
                <w:rFonts w:eastAsia="Times New Roman" w:cs="Times New Roman"/>
                <w:b/>
                <w:szCs w:val="24"/>
              </w:rPr>
              <w:t>Company</w:t>
            </w:r>
          </w:p>
        </w:tc>
        <w:tc>
          <w:tcPr>
            <w:tcW w:w="2401" w:type="dxa"/>
            <w:vAlign w:val="center"/>
          </w:tcPr>
          <w:p w:rsidR="00D55EFA" w:rsidRPr="00F97B2D" w:rsidRDefault="00F066F5" w:rsidP="00D55EFA">
            <w:pPr>
              <w:widowControl w:val="0"/>
              <w:contextualSpacing/>
              <w:jc w:val="center"/>
              <w:rPr>
                <w:rFonts w:eastAsiaTheme="majorEastAsia" w:cs="Times New Roman"/>
                <w:b/>
                <w:bCs/>
                <w:color w:val="365F91" w:themeColor="accent1" w:themeShade="BF"/>
                <w:szCs w:val="24"/>
              </w:rPr>
            </w:pPr>
            <w:r>
              <w:rPr>
                <w:rFonts w:eastAsia="Times New Roman" w:cs="Times New Roman"/>
                <w:b/>
                <w:szCs w:val="24"/>
              </w:rPr>
              <w:t>Assay</w:t>
            </w:r>
          </w:p>
        </w:tc>
        <w:tc>
          <w:tcPr>
            <w:tcW w:w="1915" w:type="dxa"/>
            <w:vAlign w:val="center"/>
          </w:tcPr>
          <w:p w:rsidR="00D55EFA" w:rsidRPr="00F97B2D" w:rsidRDefault="00D55EFA" w:rsidP="00D55EFA">
            <w:pPr>
              <w:widowControl w:val="0"/>
              <w:contextualSpacing/>
              <w:jc w:val="center"/>
              <w:rPr>
                <w:rFonts w:eastAsiaTheme="majorEastAsia" w:cs="Times New Roman"/>
                <w:b/>
                <w:bCs/>
                <w:color w:val="365F91" w:themeColor="accent1" w:themeShade="BF"/>
                <w:szCs w:val="24"/>
              </w:rPr>
            </w:pPr>
            <w:r w:rsidRPr="00F97B2D">
              <w:rPr>
                <w:rFonts w:eastAsia="Times New Roman" w:cs="Times New Roman"/>
                <w:b/>
                <w:szCs w:val="24"/>
              </w:rPr>
              <w:t>Type of Antibody</w:t>
            </w:r>
          </w:p>
        </w:tc>
        <w:tc>
          <w:tcPr>
            <w:tcW w:w="1916" w:type="dxa"/>
            <w:vAlign w:val="center"/>
          </w:tcPr>
          <w:p w:rsidR="00D55EFA" w:rsidRPr="00F97B2D" w:rsidRDefault="00D55EFA" w:rsidP="00D55EFA">
            <w:pPr>
              <w:widowControl w:val="0"/>
              <w:spacing w:before="240"/>
              <w:contextualSpacing/>
              <w:jc w:val="center"/>
              <w:rPr>
                <w:rFonts w:eastAsiaTheme="majorEastAsia" w:cs="Times New Roman"/>
                <w:b/>
                <w:bCs/>
                <w:color w:val="365F91" w:themeColor="accent1" w:themeShade="BF"/>
                <w:szCs w:val="24"/>
              </w:rPr>
            </w:pPr>
            <w:r w:rsidRPr="00F97B2D">
              <w:rPr>
                <w:rFonts w:eastAsia="Times New Roman" w:cs="Times New Roman"/>
                <w:b/>
                <w:szCs w:val="24"/>
              </w:rPr>
              <w:t>Cut-Off</w:t>
            </w:r>
            <w:r w:rsidRPr="00F97B2D">
              <w:rPr>
                <w:rFonts w:eastAsia="Times New Roman" w:cs="Times New Roman"/>
                <w:b/>
                <w:szCs w:val="24"/>
                <w:vertAlign w:val="superscript"/>
              </w:rPr>
              <w:t>a</w:t>
            </w:r>
          </w:p>
          <w:p w:rsidR="00D55EFA" w:rsidRPr="00F97B2D" w:rsidRDefault="00D55EFA" w:rsidP="00D55EFA">
            <w:pPr>
              <w:widowControl w:val="0"/>
              <w:spacing w:before="240"/>
              <w:contextualSpacing/>
              <w:jc w:val="center"/>
              <w:rPr>
                <w:rFonts w:eastAsiaTheme="majorEastAsia" w:cs="Times New Roman"/>
                <w:b/>
                <w:bCs/>
                <w:color w:val="365F91" w:themeColor="accent1" w:themeShade="BF"/>
                <w:szCs w:val="24"/>
              </w:rPr>
            </w:pPr>
            <w:r w:rsidRPr="00F97B2D">
              <w:rPr>
                <w:rFonts w:eastAsia="Times New Roman" w:cs="Times New Roman"/>
                <w:b/>
                <w:szCs w:val="24"/>
              </w:rPr>
              <w:t>(ng/mL)</w:t>
            </w:r>
          </w:p>
        </w:tc>
      </w:tr>
      <w:tr w:rsidR="00D55EFA" w:rsidRPr="00F97B2D" w:rsidTr="00D55EFA">
        <w:tc>
          <w:tcPr>
            <w:tcW w:w="1306" w:type="dxa"/>
            <w:vMerge w:val="restart"/>
            <w:vAlign w:val="center"/>
          </w:tcPr>
          <w:p w:rsidR="00D55EFA" w:rsidRPr="00F97B2D" w:rsidRDefault="00D55EFA" w:rsidP="00D55EFA">
            <w:pPr>
              <w:widowControl w:val="0"/>
              <w:jc w:val="center"/>
              <w:rPr>
                <w:rFonts w:eastAsia="Times New Roman" w:cs="Times New Roman"/>
                <w:szCs w:val="24"/>
              </w:rPr>
            </w:pPr>
            <w:r w:rsidRPr="00F97B2D">
              <w:rPr>
                <w:rFonts w:eastAsia="Times New Roman" w:cs="Times New Roman"/>
                <w:szCs w:val="24"/>
              </w:rPr>
              <w:t>Syva</w:t>
            </w:r>
          </w:p>
        </w:tc>
        <w:tc>
          <w:tcPr>
            <w:tcW w:w="2401" w:type="dxa"/>
            <w:vAlign w:val="center"/>
          </w:tcPr>
          <w:p w:rsidR="00D55EFA" w:rsidRPr="00F97B2D" w:rsidRDefault="00D55EFA" w:rsidP="00D55EFA">
            <w:pPr>
              <w:widowControl w:val="0"/>
              <w:jc w:val="center"/>
              <w:rPr>
                <w:rFonts w:eastAsia="Times New Roman" w:cs="Times New Roman"/>
                <w:szCs w:val="24"/>
              </w:rPr>
            </w:pPr>
            <w:r w:rsidRPr="00F97B2D">
              <w:rPr>
                <w:rFonts w:eastAsia="Times New Roman" w:cs="Times New Roman"/>
                <w:szCs w:val="24"/>
              </w:rPr>
              <w:t>EMIT II Plus Amphetamines</w:t>
            </w:r>
          </w:p>
        </w:tc>
        <w:tc>
          <w:tcPr>
            <w:tcW w:w="1915" w:type="dxa"/>
            <w:vAlign w:val="center"/>
          </w:tcPr>
          <w:p w:rsidR="00D55EFA" w:rsidRPr="00F97B2D" w:rsidRDefault="00D55EFA" w:rsidP="00D55EFA">
            <w:pPr>
              <w:widowControl w:val="0"/>
              <w:jc w:val="center"/>
              <w:rPr>
                <w:rFonts w:eastAsia="Times New Roman" w:cs="Times New Roman"/>
                <w:szCs w:val="24"/>
              </w:rPr>
            </w:pPr>
            <w:r w:rsidRPr="00F97B2D">
              <w:rPr>
                <w:rFonts w:eastAsia="Times New Roman" w:cs="Times New Roman"/>
                <w:szCs w:val="24"/>
              </w:rPr>
              <w:t>Monoclonal</w:t>
            </w:r>
          </w:p>
        </w:tc>
        <w:tc>
          <w:tcPr>
            <w:tcW w:w="1916" w:type="dxa"/>
            <w:vAlign w:val="center"/>
          </w:tcPr>
          <w:p w:rsidR="00D55EFA" w:rsidRPr="00F97B2D" w:rsidRDefault="00D55EFA" w:rsidP="00D55EFA">
            <w:pPr>
              <w:widowControl w:val="0"/>
              <w:jc w:val="center"/>
              <w:rPr>
                <w:rFonts w:eastAsia="Times New Roman" w:cs="Times New Roman"/>
                <w:szCs w:val="24"/>
              </w:rPr>
            </w:pPr>
            <w:r w:rsidRPr="00F97B2D">
              <w:rPr>
                <w:rFonts w:eastAsia="Times New Roman" w:cs="Times New Roman"/>
                <w:szCs w:val="24"/>
              </w:rPr>
              <w:t>300</w:t>
            </w:r>
          </w:p>
        </w:tc>
      </w:tr>
      <w:tr w:rsidR="00D55EFA" w:rsidRPr="00F97B2D" w:rsidTr="00D55EFA">
        <w:tc>
          <w:tcPr>
            <w:tcW w:w="1306" w:type="dxa"/>
            <w:vMerge/>
            <w:vAlign w:val="center"/>
          </w:tcPr>
          <w:p w:rsidR="00D55EFA" w:rsidRPr="00F97B2D" w:rsidRDefault="00D55EFA" w:rsidP="00D55EFA">
            <w:pPr>
              <w:widowControl w:val="0"/>
              <w:jc w:val="center"/>
              <w:rPr>
                <w:rFonts w:eastAsia="Times New Roman" w:cs="Times New Roman"/>
                <w:szCs w:val="24"/>
              </w:rPr>
            </w:pPr>
          </w:p>
        </w:tc>
        <w:tc>
          <w:tcPr>
            <w:tcW w:w="2401" w:type="dxa"/>
            <w:vAlign w:val="center"/>
          </w:tcPr>
          <w:p w:rsidR="00D55EFA" w:rsidRPr="00F97B2D" w:rsidRDefault="00D55EFA" w:rsidP="00D55EFA">
            <w:pPr>
              <w:widowControl w:val="0"/>
              <w:jc w:val="center"/>
              <w:rPr>
                <w:rFonts w:eastAsia="Times New Roman" w:cs="Times New Roman"/>
                <w:szCs w:val="24"/>
              </w:rPr>
            </w:pPr>
            <w:r w:rsidRPr="00F97B2D">
              <w:rPr>
                <w:rFonts w:eastAsia="Times New Roman" w:cs="Times New Roman"/>
                <w:szCs w:val="24"/>
              </w:rPr>
              <w:t>EMIT II Plus Ecstasy</w:t>
            </w:r>
          </w:p>
        </w:tc>
        <w:tc>
          <w:tcPr>
            <w:tcW w:w="1915" w:type="dxa"/>
            <w:vAlign w:val="center"/>
          </w:tcPr>
          <w:p w:rsidR="00D55EFA" w:rsidRPr="00F97B2D" w:rsidRDefault="00D55EFA" w:rsidP="00D55EFA">
            <w:pPr>
              <w:widowControl w:val="0"/>
              <w:jc w:val="center"/>
              <w:rPr>
                <w:rFonts w:eastAsia="Times New Roman" w:cs="Times New Roman"/>
                <w:szCs w:val="24"/>
              </w:rPr>
            </w:pPr>
            <w:r w:rsidRPr="00F97B2D">
              <w:rPr>
                <w:rFonts w:eastAsia="Times New Roman" w:cs="Times New Roman"/>
                <w:szCs w:val="24"/>
              </w:rPr>
              <w:t>Polyclonal</w:t>
            </w:r>
          </w:p>
        </w:tc>
        <w:tc>
          <w:tcPr>
            <w:tcW w:w="1916" w:type="dxa"/>
            <w:vAlign w:val="center"/>
          </w:tcPr>
          <w:p w:rsidR="00D55EFA" w:rsidRPr="00F97B2D" w:rsidRDefault="00D55EFA" w:rsidP="00D55EFA">
            <w:pPr>
              <w:widowControl w:val="0"/>
              <w:jc w:val="center"/>
              <w:rPr>
                <w:rFonts w:eastAsia="Times New Roman" w:cs="Times New Roman"/>
                <w:szCs w:val="24"/>
              </w:rPr>
            </w:pPr>
            <w:r w:rsidRPr="00F97B2D">
              <w:rPr>
                <w:rFonts w:eastAsia="Times New Roman" w:cs="Times New Roman"/>
                <w:szCs w:val="24"/>
              </w:rPr>
              <w:t>300</w:t>
            </w:r>
          </w:p>
        </w:tc>
      </w:tr>
    </w:tbl>
    <w:p w:rsidR="00B07CC2" w:rsidRDefault="00D55EFA" w:rsidP="00D55EFA">
      <w:pPr>
        <w:widowControl w:val="0"/>
        <w:rPr>
          <w:szCs w:val="24"/>
        </w:rPr>
      </w:pPr>
      <w:proofErr w:type="gramStart"/>
      <w:r w:rsidRPr="00F97B2D">
        <w:rPr>
          <w:b/>
          <w:szCs w:val="24"/>
          <w:vertAlign w:val="superscript"/>
        </w:rPr>
        <w:t>a</w:t>
      </w:r>
      <w:proofErr w:type="gramEnd"/>
      <w:r w:rsidRPr="00F97B2D">
        <w:rPr>
          <w:szCs w:val="24"/>
        </w:rPr>
        <w:t xml:space="preserve"> Chosen from Manufacturer. See Materials and Methods</w:t>
      </w:r>
      <w:r w:rsidR="009E0177" w:rsidRPr="00F97B2D">
        <w:rPr>
          <w:szCs w:val="24"/>
        </w:rPr>
        <w:t xml:space="preserve"> (</w:t>
      </w:r>
      <w:r w:rsidR="002E77C7">
        <w:fldChar w:fldCharType="begin"/>
      </w:r>
      <w:r w:rsidR="002E77C7">
        <w:instrText xml:space="preserve"> REF _Ref364070654 \n \h  \* MERGEFORMAT </w:instrText>
      </w:r>
      <w:r w:rsidR="002E77C7">
        <w:fldChar w:fldCharType="separate"/>
      </w:r>
      <w:r w:rsidR="00E37796" w:rsidRPr="00E37796">
        <w:rPr>
          <w:szCs w:val="24"/>
        </w:rPr>
        <w:t>3.3.4.3</w:t>
      </w:r>
      <w:r w:rsidR="002E77C7">
        <w:fldChar w:fldCharType="end"/>
      </w:r>
      <w:r w:rsidR="009E0177" w:rsidRPr="00F97B2D">
        <w:rPr>
          <w:szCs w:val="24"/>
        </w:rPr>
        <w:t>)</w:t>
      </w:r>
      <w:r w:rsidRPr="00F97B2D">
        <w:rPr>
          <w:szCs w:val="24"/>
        </w:rPr>
        <w:t>.</w:t>
      </w:r>
    </w:p>
    <w:p w:rsidR="00B07CC2" w:rsidRDefault="00B07CC2" w:rsidP="00D55EFA">
      <w:pPr>
        <w:widowControl w:val="0"/>
        <w:rPr>
          <w:szCs w:val="24"/>
        </w:rPr>
      </w:pPr>
    </w:p>
    <w:p w:rsidR="00336075" w:rsidRPr="00F97B2D" w:rsidRDefault="00D55EFA" w:rsidP="00F97B2D">
      <w:pPr>
        <w:pStyle w:val="Heading3"/>
      </w:pPr>
      <w:bookmarkStart w:id="121" w:name="_Toc372536049"/>
      <w:bookmarkStart w:id="122" w:name="_Toc372538712"/>
      <w:r w:rsidRPr="00F97B2D">
        <w:t>S</w:t>
      </w:r>
      <w:r w:rsidR="00336075" w:rsidRPr="00F97B2D">
        <w:t>amples</w:t>
      </w:r>
      <w:bookmarkEnd w:id="121"/>
      <w:bookmarkEnd w:id="122"/>
    </w:p>
    <w:p w:rsidR="00336075" w:rsidRPr="00F97B2D" w:rsidRDefault="00336075" w:rsidP="00EC6F95">
      <w:pPr>
        <w:spacing w:after="0" w:line="480" w:lineRule="auto"/>
        <w:ind w:firstLine="720"/>
        <w:rPr>
          <w:szCs w:val="24"/>
        </w:rPr>
      </w:pPr>
      <w:r w:rsidRPr="00F97B2D">
        <w:rPr>
          <w:szCs w:val="24"/>
        </w:rPr>
        <w:t xml:space="preserve">Drug-free frozen serum, pooled from nine donors, was obtained from Utak Laboratories (Valencia, CA, USA) and screened negative by ELISA for amphetamine, benzoylecgonine, ethanol, methamphetamine, morphine, oxazepam, phencyclidine, secobarbital, and 11-nor-9-carboxy-THC. </w:t>
      </w:r>
      <w:r w:rsidR="00B92A10" w:rsidRPr="00F97B2D">
        <w:rPr>
          <w:szCs w:val="24"/>
        </w:rPr>
        <w:t xml:space="preserve"> </w:t>
      </w:r>
      <w:r w:rsidRPr="00F97B2D">
        <w:rPr>
          <w:szCs w:val="24"/>
        </w:rPr>
        <w:t xml:space="preserve">This blank matrix was used for the preparation of controls as well as spiked samples. </w:t>
      </w:r>
      <w:r w:rsidR="00B92A10" w:rsidRPr="00F97B2D">
        <w:rPr>
          <w:szCs w:val="24"/>
        </w:rPr>
        <w:t xml:space="preserve"> </w:t>
      </w:r>
      <w:r w:rsidRPr="00F97B2D">
        <w:rPr>
          <w:szCs w:val="24"/>
        </w:rPr>
        <w:t xml:space="preserve">After </w:t>
      </w:r>
      <w:r w:rsidR="00B92A10" w:rsidRPr="00F97B2D">
        <w:rPr>
          <w:szCs w:val="24"/>
        </w:rPr>
        <w:t>thawing, it was stored at 4°</w:t>
      </w:r>
      <w:r w:rsidRPr="00F97B2D">
        <w:rPr>
          <w:szCs w:val="24"/>
        </w:rPr>
        <w:t>C.</w:t>
      </w:r>
    </w:p>
    <w:p w:rsidR="00D55EFA" w:rsidRPr="00F97B2D" w:rsidRDefault="00D55EFA" w:rsidP="00EC6F95">
      <w:pPr>
        <w:spacing w:after="0" w:line="480" w:lineRule="auto"/>
        <w:ind w:firstLine="720"/>
        <w:rPr>
          <w:szCs w:val="24"/>
        </w:rPr>
      </w:pPr>
      <w:r w:rsidRPr="00F97B2D">
        <w:rPr>
          <w:szCs w:val="24"/>
        </w:rPr>
        <w:t>Drug-free urine was obtained from a volunteer and used for the preparation of spiked samples.  After collection, it was stored at 4°C.</w:t>
      </w:r>
    </w:p>
    <w:p w:rsidR="00336075" w:rsidRPr="00F97B2D" w:rsidRDefault="00336075" w:rsidP="00F97B2D">
      <w:pPr>
        <w:pStyle w:val="Heading3"/>
      </w:pPr>
      <w:bookmarkStart w:id="123" w:name="_Toc372536050"/>
      <w:bookmarkStart w:id="124" w:name="_Toc372538713"/>
      <w:r w:rsidRPr="00F97B2D">
        <w:t>Sample preparation</w:t>
      </w:r>
      <w:bookmarkEnd w:id="123"/>
      <w:bookmarkEnd w:id="124"/>
    </w:p>
    <w:p w:rsidR="00D55EFA" w:rsidRPr="00F97B2D" w:rsidRDefault="00D55EFA" w:rsidP="00EC6F95">
      <w:pPr>
        <w:spacing w:after="0" w:line="480" w:lineRule="auto"/>
        <w:ind w:firstLine="720"/>
        <w:rPr>
          <w:szCs w:val="24"/>
        </w:rPr>
      </w:pPr>
      <w:r w:rsidRPr="00F97B2D">
        <w:rPr>
          <w:szCs w:val="24"/>
        </w:rPr>
        <w:t>For determination of cross-reactivity by ELISA, samples of drug-free serum (0.5 mL) were fortified with 50 µL of a methanolic spiking solution for analysis (see below).  All calibrators, controls, and samples were subjected to a 1:4 (</w:t>
      </w:r>
      <w:r w:rsidRPr="00F97B2D">
        <w:rPr>
          <w:i/>
          <w:szCs w:val="24"/>
        </w:rPr>
        <w:t>i.e.</w:t>
      </w:r>
      <w:r w:rsidRPr="00F97B2D">
        <w:rPr>
          <w:szCs w:val="24"/>
        </w:rPr>
        <w:t xml:space="preserve">, 5-fold) dilution with buffer (EIA buffer) using a Hamilton Microlab® 500 Dual Syringe Diluter (Reno, NV).  The dilution factor chosen was recommended by the manufacturer for forensic blood specimens.  This helped to achieve uniformity and consistency between assays.  For analysis by EMIT, samples of drug-free urine (1 mL) were fortified with 100 µL of a methanolic spiking </w:t>
      </w:r>
      <w:r w:rsidR="009E0177" w:rsidRPr="00F97B2D">
        <w:rPr>
          <w:szCs w:val="24"/>
        </w:rPr>
        <w:t xml:space="preserve">solution for analysis (see section </w:t>
      </w:r>
      <w:r w:rsidR="002E77C7">
        <w:fldChar w:fldCharType="begin"/>
      </w:r>
      <w:r w:rsidR="002E77C7">
        <w:instrText xml:space="preserve"> REF _Ref364070633 \n \h  \* MERGEFORMAT </w:instrText>
      </w:r>
      <w:r w:rsidR="002E77C7">
        <w:fldChar w:fldCharType="separate"/>
      </w:r>
      <w:r w:rsidR="00E37796" w:rsidRPr="00E37796">
        <w:rPr>
          <w:szCs w:val="24"/>
        </w:rPr>
        <w:t>3.3.4.2</w:t>
      </w:r>
      <w:r w:rsidR="002E77C7">
        <w:fldChar w:fldCharType="end"/>
      </w:r>
      <w:r w:rsidR="009E0177" w:rsidRPr="00F97B2D">
        <w:rPr>
          <w:szCs w:val="24"/>
        </w:rPr>
        <w:t xml:space="preserve"> below</w:t>
      </w:r>
      <w:r w:rsidRPr="00F97B2D">
        <w:rPr>
          <w:szCs w:val="24"/>
        </w:rPr>
        <w:t xml:space="preserve">).  The urine samples were not diluted prior to analysis, per manufacturer instructions.  </w:t>
      </w:r>
    </w:p>
    <w:p w:rsidR="00336075" w:rsidRPr="00F97B2D" w:rsidRDefault="00861B70" w:rsidP="00F97B2D">
      <w:pPr>
        <w:pStyle w:val="Heading3"/>
      </w:pPr>
      <w:bookmarkStart w:id="125" w:name="_Toc372536051"/>
      <w:bookmarkStart w:id="126" w:name="_Toc372538714"/>
      <w:r w:rsidRPr="00F97B2D">
        <w:t>Evaluation of cross-reactivit</w:t>
      </w:r>
      <w:r w:rsidR="00336075" w:rsidRPr="00F97B2D">
        <w:t>y</w:t>
      </w:r>
      <w:bookmarkEnd w:id="125"/>
      <w:bookmarkEnd w:id="126"/>
    </w:p>
    <w:p w:rsidR="00336075" w:rsidRPr="00F97B2D" w:rsidRDefault="00336075" w:rsidP="00AC5F51">
      <w:pPr>
        <w:pStyle w:val="Heading4"/>
      </w:pPr>
      <w:bookmarkStart w:id="127" w:name="_Toc372536052"/>
      <w:bookmarkStart w:id="128" w:name="_Toc372538715"/>
      <w:r w:rsidRPr="00F97B2D">
        <w:t>Instrumentation</w:t>
      </w:r>
      <w:bookmarkEnd w:id="127"/>
      <w:bookmarkEnd w:id="128"/>
    </w:p>
    <w:p w:rsidR="00336075" w:rsidRPr="00F97B2D" w:rsidRDefault="00336075" w:rsidP="00574B1E">
      <w:pPr>
        <w:spacing w:after="0" w:line="480" w:lineRule="auto"/>
        <w:ind w:firstLine="720"/>
        <w:rPr>
          <w:szCs w:val="24"/>
        </w:rPr>
      </w:pPr>
      <w:r w:rsidRPr="00F97B2D">
        <w:rPr>
          <w:szCs w:val="24"/>
        </w:rPr>
        <w:t>The EL</w:t>
      </w:r>
      <w:r w:rsidR="00B92A10" w:rsidRPr="00F97B2D">
        <w:rPr>
          <w:szCs w:val="24"/>
        </w:rPr>
        <w:t>ISAs were performed using a DSX®</w:t>
      </w:r>
      <w:r w:rsidRPr="00F97B2D">
        <w:rPr>
          <w:szCs w:val="24"/>
        </w:rPr>
        <w:t xml:space="preserve"> Four-Plate Automated ELISA processing System (Dynex Technologies; Chantilly, VA, USA) operating Revelation version 6.15 software. </w:t>
      </w:r>
      <w:r w:rsidR="00B92A10" w:rsidRPr="00F97B2D">
        <w:rPr>
          <w:szCs w:val="24"/>
        </w:rPr>
        <w:t xml:space="preserve"> </w:t>
      </w:r>
      <w:r w:rsidRPr="00F97B2D">
        <w:rPr>
          <w:szCs w:val="24"/>
        </w:rPr>
        <w:t xml:space="preserve">The plates were read using a 450 nm filter. </w:t>
      </w:r>
      <w:r w:rsidR="00B92A10" w:rsidRPr="00F97B2D">
        <w:rPr>
          <w:szCs w:val="24"/>
        </w:rPr>
        <w:t xml:space="preserve"> </w:t>
      </w:r>
      <w:r w:rsidRPr="00F97B2D">
        <w:rPr>
          <w:szCs w:val="24"/>
        </w:rPr>
        <w:t xml:space="preserve">Test procedures were carried out according to manufacturers’ instructions listed in the package </w:t>
      </w:r>
      <w:r w:rsidR="00C11BE0" w:rsidRPr="00F97B2D">
        <w:rPr>
          <w:szCs w:val="24"/>
        </w:rPr>
        <w:t xml:space="preserve">inserts, as summarized </w:t>
      </w:r>
      <w:r w:rsidR="00FD78D3" w:rsidRPr="00F97B2D">
        <w:rPr>
          <w:szCs w:val="24"/>
        </w:rPr>
        <w:t xml:space="preserve">in </w:t>
      </w:r>
      <w:r w:rsidR="000E239B">
        <w:rPr>
          <w:szCs w:val="24"/>
        </w:rPr>
        <w:fldChar w:fldCharType="begin"/>
      </w:r>
      <w:r w:rsidR="00574B1E">
        <w:rPr>
          <w:szCs w:val="24"/>
        </w:rPr>
        <w:instrText xml:space="preserve"> REF _Ref362534652 \h </w:instrText>
      </w:r>
      <w:r w:rsidR="000E239B">
        <w:rPr>
          <w:szCs w:val="24"/>
        </w:rPr>
      </w:r>
      <w:r w:rsidR="000E239B">
        <w:rPr>
          <w:szCs w:val="24"/>
        </w:rPr>
        <w:fldChar w:fldCharType="separate"/>
      </w:r>
      <w:r w:rsidR="00E37796" w:rsidRPr="00F97B2D">
        <w:t xml:space="preserve">Appendix </w:t>
      </w:r>
      <w:r w:rsidR="00E37796">
        <w:rPr>
          <w:noProof/>
        </w:rPr>
        <w:t>3</w:t>
      </w:r>
      <w:r w:rsidR="000E239B">
        <w:rPr>
          <w:szCs w:val="24"/>
        </w:rPr>
        <w:fldChar w:fldCharType="end"/>
      </w:r>
      <w:r w:rsidR="00574B1E">
        <w:rPr>
          <w:szCs w:val="24"/>
        </w:rPr>
        <w:t>.</w:t>
      </w:r>
      <w:r w:rsidR="00574B1E" w:rsidRPr="00F97B2D">
        <w:rPr>
          <w:szCs w:val="24"/>
        </w:rPr>
        <w:t xml:space="preserve"> </w:t>
      </w:r>
      <w:r w:rsidR="00574B1E">
        <w:rPr>
          <w:szCs w:val="24"/>
        </w:rPr>
        <w:t xml:space="preserve"> </w:t>
      </w:r>
      <w:r w:rsidRPr="00F97B2D">
        <w:rPr>
          <w:szCs w:val="24"/>
        </w:rPr>
        <w:t>All incubations were performed at ambient temperature. Wash buffer was diluted 10X with deionized (DI) water for use in the wash step (unless otherwise noted).</w:t>
      </w:r>
      <w:r w:rsidR="00B92A10" w:rsidRPr="00F97B2D">
        <w:rPr>
          <w:szCs w:val="24"/>
        </w:rPr>
        <w:t xml:space="preserve"> </w:t>
      </w:r>
      <w:r w:rsidR="00F41504" w:rsidRPr="00F97B2D">
        <w:rPr>
          <w:szCs w:val="24"/>
        </w:rPr>
        <w:t xml:space="preserve"> </w:t>
      </w:r>
      <w:r w:rsidRPr="00F97B2D">
        <w:rPr>
          <w:szCs w:val="24"/>
        </w:rPr>
        <w:t>Conjugates that were not ‘ready-to-use’ were diluted according</w:t>
      </w:r>
      <w:r w:rsidR="00F41504" w:rsidRPr="00F97B2D">
        <w:rPr>
          <w:szCs w:val="24"/>
        </w:rPr>
        <w:t xml:space="preserve"> </w:t>
      </w:r>
      <w:r w:rsidRPr="00F97B2D">
        <w:rPr>
          <w:szCs w:val="24"/>
        </w:rPr>
        <w:t>to the package inserts with the appropriate diluents provided</w:t>
      </w:r>
      <w:r w:rsidR="00F41504" w:rsidRPr="00F97B2D">
        <w:rPr>
          <w:szCs w:val="24"/>
        </w:rPr>
        <w:t xml:space="preserve"> </w:t>
      </w:r>
      <w:r w:rsidRPr="00F97B2D">
        <w:rPr>
          <w:szCs w:val="24"/>
        </w:rPr>
        <w:t>from the manufacturer.</w:t>
      </w:r>
    </w:p>
    <w:p w:rsidR="00D55EFA" w:rsidRPr="00F97B2D" w:rsidRDefault="00D55EFA" w:rsidP="00FE04AF">
      <w:pPr>
        <w:spacing w:line="480" w:lineRule="auto"/>
        <w:ind w:firstLine="720"/>
        <w:rPr>
          <w:szCs w:val="24"/>
        </w:rPr>
      </w:pPr>
      <w:r w:rsidRPr="00F97B2D">
        <w:rPr>
          <w:szCs w:val="24"/>
        </w:rPr>
        <w:t xml:space="preserve">EMIT was performed using a V-Twin® analyzer (Siemens).  The methods for qualitative analyses were downloaded from the manufacturer and carried out according to instructions.  Daily calibrations were performed by running the appropriate calibrators for a 300 ng/mL cut-off.  The calibration was validated by running negative and positive controls at the appropriate levels, per the kit inserts.  Once the calibration was validated, urine specimens were analyzed.      </w:t>
      </w:r>
    </w:p>
    <w:p w:rsidR="00336075" w:rsidRPr="00F97B2D" w:rsidRDefault="00336075" w:rsidP="00AC5F51">
      <w:pPr>
        <w:pStyle w:val="Heading4"/>
      </w:pPr>
      <w:bookmarkStart w:id="129" w:name="_Ref364070633"/>
      <w:bookmarkStart w:id="130" w:name="_Toc372536053"/>
      <w:bookmarkStart w:id="131" w:name="_Toc372538716"/>
      <w:r w:rsidRPr="00F97B2D">
        <w:t>Preparation of solutions</w:t>
      </w:r>
      <w:bookmarkEnd w:id="129"/>
      <w:bookmarkEnd w:id="130"/>
      <w:bookmarkEnd w:id="131"/>
    </w:p>
    <w:p w:rsidR="00574B1E" w:rsidRPr="00F97B2D" w:rsidRDefault="00F41504" w:rsidP="00A944B9">
      <w:pPr>
        <w:autoSpaceDE w:val="0"/>
        <w:autoSpaceDN w:val="0"/>
        <w:adjustRightInd w:val="0"/>
        <w:spacing w:after="0" w:line="480" w:lineRule="auto"/>
        <w:ind w:firstLine="720"/>
        <w:rPr>
          <w:szCs w:val="24"/>
        </w:rPr>
      </w:pPr>
      <w:r w:rsidRPr="00F97B2D">
        <w:rPr>
          <w:szCs w:val="24"/>
        </w:rPr>
        <w:t>For ‘targeted analytes’ (</w:t>
      </w:r>
      <w:r w:rsidR="002E77C7">
        <w:fldChar w:fldCharType="begin"/>
      </w:r>
      <w:r w:rsidR="002E77C7">
        <w:instrText xml:space="preserve"> REF _Ref362524370 \h  \* MERGEFORMAT </w:instrText>
      </w:r>
      <w:r w:rsidR="002E77C7">
        <w:fldChar w:fldCharType="separate"/>
      </w:r>
      <w:r w:rsidR="00E37796" w:rsidRPr="00E37796">
        <w:rPr>
          <w:szCs w:val="24"/>
        </w:rPr>
        <w:t>Figure 4</w:t>
      </w:r>
      <w:r w:rsidR="002E77C7">
        <w:fldChar w:fldCharType="end"/>
      </w:r>
      <w:r w:rsidR="00211CA4">
        <w:rPr>
          <w:szCs w:val="24"/>
        </w:rPr>
        <w:t>), 1 mg/mL</w:t>
      </w:r>
      <w:r w:rsidRPr="00F97B2D">
        <w:rPr>
          <w:szCs w:val="24"/>
        </w:rPr>
        <w:t xml:space="preserve"> methanolic reference standards were diluted with methanol fo</w:t>
      </w:r>
      <w:r w:rsidR="009E0177" w:rsidRPr="00F97B2D">
        <w:rPr>
          <w:szCs w:val="24"/>
        </w:rPr>
        <w:t>r a final concentration of 100,</w:t>
      </w:r>
      <w:r w:rsidR="00211CA4">
        <w:rPr>
          <w:szCs w:val="24"/>
        </w:rPr>
        <w:t>000 ng/mL</w:t>
      </w:r>
      <w:r w:rsidRPr="00F97B2D">
        <w:rPr>
          <w:szCs w:val="24"/>
        </w:rPr>
        <w:t xml:space="preserve"> working stock. </w:t>
      </w:r>
      <w:r w:rsidR="00B92A10" w:rsidRPr="00F97B2D">
        <w:rPr>
          <w:szCs w:val="24"/>
        </w:rPr>
        <w:t xml:space="preserve"> </w:t>
      </w:r>
      <w:r w:rsidRPr="00F97B2D">
        <w:rPr>
          <w:szCs w:val="24"/>
        </w:rPr>
        <w:t>These were diluted further to create spiking standards at concentrations of 2</w:t>
      </w:r>
      <w:r w:rsidR="009E0177" w:rsidRPr="00F97B2D">
        <w:rPr>
          <w:szCs w:val="24"/>
        </w:rPr>
        <w:t>,</w:t>
      </w:r>
      <w:r w:rsidRPr="00F97B2D">
        <w:rPr>
          <w:szCs w:val="24"/>
        </w:rPr>
        <w:t>000, 1</w:t>
      </w:r>
      <w:r w:rsidR="009E0177" w:rsidRPr="00F97B2D">
        <w:rPr>
          <w:szCs w:val="24"/>
        </w:rPr>
        <w:t>,</w:t>
      </w:r>
      <w:r w:rsidRPr="00F97B2D">
        <w:rPr>
          <w:szCs w:val="24"/>
        </w:rPr>
        <w:t xml:space="preserve">000, 500, </w:t>
      </w:r>
      <w:r w:rsidR="00211CA4">
        <w:rPr>
          <w:szCs w:val="24"/>
        </w:rPr>
        <w:t>250, 100, 50, 25, and 10 ng/mL</w:t>
      </w:r>
      <w:r w:rsidRPr="00F97B2D">
        <w:rPr>
          <w:szCs w:val="24"/>
        </w:rPr>
        <w:t xml:space="preserve"> in methanol. </w:t>
      </w:r>
      <w:r w:rsidR="00B92A10" w:rsidRPr="00F97B2D">
        <w:rPr>
          <w:szCs w:val="24"/>
        </w:rPr>
        <w:t xml:space="preserve"> </w:t>
      </w:r>
      <w:r w:rsidRPr="00F97B2D">
        <w:rPr>
          <w:szCs w:val="24"/>
        </w:rPr>
        <w:t>For the analytes under investigation, ‘analytes of interest’ (</w:t>
      </w:r>
      <w:r w:rsidR="002E77C7">
        <w:fldChar w:fldCharType="begin"/>
      </w:r>
      <w:r w:rsidR="002E77C7">
        <w:instrText xml:space="preserve"> REF _Ref362870208 \h  \* MERGEFORMAT </w:instrText>
      </w:r>
      <w:r w:rsidR="002E77C7">
        <w:fldChar w:fldCharType="separate"/>
      </w:r>
      <w:r w:rsidR="00E37796" w:rsidRPr="00E37796">
        <w:rPr>
          <w:szCs w:val="24"/>
        </w:rPr>
        <w:t>Appendix 2</w:t>
      </w:r>
      <w:r w:rsidR="002E77C7">
        <w:fldChar w:fldCharType="end"/>
      </w:r>
      <w:r w:rsidR="00AA2498" w:rsidRPr="00F97B2D">
        <w:rPr>
          <w:szCs w:val="24"/>
        </w:rPr>
        <w:t xml:space="preserve">), </w:t>
      </w:r>
      <w:r w:rsidRPr="00F97B2D">
        <w:rPr>
          <w:szCs w:val="24"/>
        </w:rPr>
        <w:t>1 mg/</w:t>
      </w:r>
      <w:r w:rsidR="00211CA4">
        <w:rPr>
          <w:szCs w:val="24"/>
        </w:rPr>
        <w:t>mL</w:t>
      </w:r>
      <w:r w:rsidRPr="00F97B2D">
        <w:rPr>
          <w:szCs w:val="24"/>
        </w:rPr>
        <w:t xml:space="preserve"> reference standards were diluted with methanol (or appropriate solvent) for a final concentration of </w:t>
      </w:r>
      <w:r w:rsidR="009E0177" w:rsidRPr="00F97B2D">
        <w:rPr>
          <w:szCs w:val="24"/>
        </w:rPr>
        <w:t>100,</w:t>
      </w:r>
      <w:r w:rsidR="00211CA4">
        <w:rPr>
          <w:szCs w:val="24"/>
        </w:rPr>
        <w:t>000 ng/mL</w:t>
      </w:r>
      <w:r w:rsidRPr="00F97B2D">
        <w:rPr>
          <w:szCs w:val="24"/>
        </w:rPr>
        <w:t xml:space="preserve"> working stock. </w:t>
      </w:r>
      <w:r w:rsidR="00B92A10" w:rsidRPr="00F97B2D">
        <w:rPr>
          <w:szCs w:val="24"/>
        </w:rPr>
        <w:t xml:space="preserve"> </w:t>
      </w:r>
      <w:r w:rsidRPr="00F97B2D">
        <w:rPr>
          <w:szCs w:val="24"/>
        </w:rPr>
        <w:t>These were diluted further to create spiking standards at concentrations of 5</w:t>
      </w:r>
      <w:r w:rsidR="009E0177" w:rsidRPr="00F97B2D">
        <w:rPr>
          <w:szCs w:val="24"/>
        </w:rPr>
        <w:t>0,000, 25,000, 12,</w:t>
      </w:r>
      <w:r w:rsidRPr="00F97B2D">
        <w:rPr>
          <w:szCs w:val="24"/>
        </w:rPr>
        <w:t>500, 6</w:t>
      </w:r>
      <w:r w:rsidR="009E0177" w:rsidRPr="00F97B2D">
        <w:rPr>
          <w:szCs w:val="24"/>
        </w:rPr>
        <w:t>,</w:t>
      </w:r>
      <w:r w:rsidRPr="00F97B2D">
        <w:rPr>
          <w:szCs w:val="24"/>
        </w:rPr>
        <w:t>250, 3</w:t>
      </w:r>
      <w:r w:rsidR="009E0177" w:rsidRPr="00F97B2D">
        <w:rPr>
          <w:szCs w:val="24"/>
        </w:rPr>
        <w:t>,</w:t>
      </w:r>
      <w:r w:rsidRPr="00F97B2D">
        <w:rPr>
          <w:szCs w:val="24"/>
        </w:rPr>
        <w:t>125, 1</w:t>
      </w:r>
      <w:r w:rsidR="009E0177" w:rsidRPr="00F97B2D">
        <w:rPr>
          <w:szCs w:val="24"/>
        </w:rPr>
        <w:t>,</w:t>
      </w:r>
      <w:r w:rsidRPr="00F97B2D">
        <w:rPr>
          <w:szCs w:val="24"/>
        </w:rPr>
        <w:t>562, 781.2, 390.</w:t>
      </w:r>
      <w:r w:rsidR="00211CA4">
        <w:rPr>
          <w:szCs w:val="24"/>
        </w:rPr>
        <w:t xml:space="preserve">6, 195.3, </w:t>
      </w:r>
      <w:proofErr w:type="gramStart"/>
      <w:r w:rsidR="00211CA4">
        <w:rPr>
          <w:szCs w:val="24"/>
        </w:rPr>
        <w:t>97.6 ng/mL</w:t>
      </w:r>
      <w:r w:rsidRPr="00F97B2D">
        <w:rPr>
          <w:szCs w:val="24"/>
        </w:rPr>
        <w:t xml:space="preserve"> in methanol (or solvent)</w:t>
      </w:r>
      <w:proofErr w:type="gramEnd"/>
      <w:r w:rsidRPr="00F97B2D">
        <w:rPr>
          <w:szCs w:val="24"/>
        </w:rPr>
        <w:t>.</w:t>
      </w:r>
    </w:p>
    <w:p w:rsidR="00336075" w:rsidRPr="00F97B2D" w:rsidRDefault="00336075" w:rsidP="00AC5F51">
      <w:pPr>
        <w:pStyle w:val="Heading4"/>
      </w:pPr>
      <w:bookmarkStart w:id="132" w:name="_Ref364070654"/>
      <w:bookmarkStart w:id="133" w:name="_Toc372536054"/>
      <w:bookmarkStart w:id="134" w:name="_Toc372538717"/>
      <w:r w:rsidRPr="00F97B2D">
        <w:t>Establishing cut-off values</w:t>
      </w:r>
      <w:bookmarkEnd w:id="132"/>
      <w:bookmarkEnd w:id="133"/>
      <w:bookmarkEnd w:id="134"/>
    </w:p>
    <w:p w:rsidR="00574B1E" w:rsidRPr="00F97B2D" w:rsidRDefault="00F41504" w:rsidP="00B20DFC">
      <w:pPr>
        <w:autoSpaceDE w:val="0"/>
        <w:autoSpaceDN w:val="0"/>
        <w:adjustRightInd w:val="0"/>
        <w:spacing w:after="0" w:line="480" w:lineRule="auto"/>
        <w:ind w:firstLine="720"/>
        <w:rPr>
          <w:szCs w:val="24"/>
        </w:rPr>
      </w:pPr>
      <w:r w:rsidRPr="00F97B2D">
        <w:rPr>
          <w:szCs w:val="24"/>
        </w:rPr>
        <w:t>The optimal range for cut-off values is typically provided by the kit’s manufacturer</w:t>
      </w:r>
      <w:r w:rsidR="00EC6F95" w:rsidRPr="00F97B2D">
        <w:rPr>
          <w:szCs w:val="24"/>
        </w:rPr>
        <w:t xml:space="preserve"> for </w:t>
      </w:r>
      <w:r w:rsidR="00854951">
        <w:rPr>
          <w:szCs w:val="24"/>
        </w:rPr>
        <w:t>enzyme-linked immunosorbent assays</w:t>
      </w:r>
      <w:r w:rsidRPr="00F97B2D">
        <w:rPr>
          <w:szCs w:val="24"/>
        </w:rPr>
        <w:t>.</w:t>
      </w:r>
      <w:r w:rsidR="00B92A10" w:rsidRPr="00F97B2D">
        <w:rPr>
          <w:szCs w:val="24"/>
        </w:rPr>
        <w:t xml:space="preserve"> </w:t>
      </w:r>
      <w:r w:rsidRPr="00F97B2D">
        <w:rPr>
          <w:szCs w:val="24"/>
        </w:rPr>
        <w:t xml:space="preserve"> However, due to instrumental variation and varying matrices, it is important to determine the cut-off concentration from a dose response curve. </w:t>
      </w:r>
      <w:r w:rsidR="00B92A10" w:rsidRPr="00F97B2D">
        <w:rPr>
          <w:szCs w:val="24"/>
        </w:rPr>
        <w:t xml:space="preserve"> </w:t>
      </w:r>
      <w:r w:rsidRPr="00F97B2D">
        <w:rPr>
          <w:szCs w:val="24"/>
        </w:rPr>
        <w:t>There should be a displacement between 30 and 60% of B/B</w:t>
      </w:r>
      <w:r w:rsidRPr="00F97B2D">
        <w:rPr>
          <w:szCs w:val="24"/>
          <w:vertAlign w:val="subscript"/>
        </w:rPr>
        <w:t>0</w:t>
      </w:r>
      <w:r w:rsidRPr="00F97B2D">
        <w:rPr>
          <w:szCs w:val="24"/>
        </w:rPr>
        <w:t>, where B = raw absorbance and B</w:t>
      </w:r>
      <w:r w:rsidRPr="00F97B2D">
        <w:rPr>
          <w:szCs w:val="24"/>
          <w:vertAlign w:val="subscript"/>
        </w:rPr>
        <w:t>0</w:t>
      </w:r>
      <w:r w:rsidRPr="00F97B2D">
        <w:rPr>
          <w:szCs w:val="24"/>
        </w:rPr>
        <w:t xml:space="preserve"> = raw absorbance of the blank matrix, in order to </w:t>
      </w:r>
      <w:r w:rsidR="00C11BE0" w:rsidRPr="00F97B2D">
        <w:rPr>
          <w:szCs w:val="24"/>
        </w:rPr>
        <w:t xml:space="preserve">demonstrate the greatest </w:t>
      </w:r>
      <w:r w:rsidRPr="00F97B2D">
        <w:rPr>
          <w:szCs w:val="24"/>
        </w:rPr>
        <w:t xml:space="preserve">discrimination between positives and negatives. </w:t>
      </w:r>
      <w:r w:rsidR="00B92A10" w:rsidRPr="00F97B2D">
        <w:rPr>
          <w:szCs w:val="24"/>
        </w:rPr>
        <w:t xml:space="preserve"> </w:t>
      </w:r>
      <w:r w:rsidRPr="00F97B2D">
        <w:rPr>
          <w:szCs w:val="24"/>
        </w:rPr>
        <w:t>This level of displacement is consistent with the manufacturers’ kit inserts and was used for determining the matrix-matched serum controls for the study.</w:t>
      </w:r>
      <w:r w:rsidR="00EC6F95" w:rsidRPr="00F97B2D">
        <w:rPr>
          <w:szCs w:val="24"/>
        </w:rPr>
        <w:t xml:space="preserve">  </w:t>
      </w:r>
      <w:r w:rsidRPr="00F97B2D">
        <w:rPr>
          <w:szCs w:val="24"/>
        </w:rPr>
        <w:t xml:space="preserve">For each </w:t>
      </w:r>
      <w:r w:rsidR="00F066F5">
        <w:rPr>
          <w:szCs w:val="24"/>
        </w:rPr>
        <w:t>assay</w:t>
      </w:r>
      <w:r w:rsidRPr="00F97B2D">
        <w:rPr>
          <w:szCs w:val="24"/>
        </w:rPr>
        <w:t xml:space="preserve">, the cut-off value was determined by preparing dose response curves in triplicate at decreasing </w:t>
      </w:r>
      <w:r w:rsidR="00211CA4">
        <w:rPr>
          <w:szCs w:val="24"/>
        </w:rPr>
        <w:t xml:space="preserve">concentrations by spiking 0.5 mL of serum with 50 </w:t>
      </w:r>
      <w:r w:rsidR="00A37884">
        <w:rPr>
          <w:rFonts w:cs="Times New Roman"/>
          <w:szCs w:val="24"/>
        </w:rPr>
        <w:t>µ</w:t>
      </w:r>
      <w:r w:rsidR="00211CA4">
        <w:rPr>
          <w:szCs w:val="24"/>
        </w:rPr>
        <w:t>L</w:t>
      </w:r>
      <w:r w:rsidRPr="00F97B2D">
        <w:rPr>
          <w:szCs w:val="24"/>
        </w:rPr>
        <w:t xml:space="preserve"> of a methanolic spiking solution </w:t>
      </w:r>
      <w:r w:rsidR="009E0177" w:rsidRPr="00F97B2D">
        <w:rPr>
          <w:szCs w:val="24"/>
        </w:rPr>
        <w:t>of the targeted analyte (10–100,</w:t>
      </w:r>
      <w:r w:rsidR="00211CA4">
        <w:rPr>
          <w:szCs w:val="24"/>
        </w:rPr>
        <w:t>000 ng/mL</w:t>
      </w:r>
      <w:r w:rsidRPr="00F97B2D">
        <w:rPr>
          <w:szCs w:val="24"/>
        </w:rPr>
        <w:t>) to achieve concentrations in the rang</w:t>
      </w:r>
      <w:r w:rsidR="009E0177" w:rsidRPr="00F97B2D">
        <w:rPr>
          <w:szCs w:val="24"/>
        </w:rPr>
        <w:t>e of 1–10,</w:t>
      </w:r>
      <w:r w:rsidR="00211CA4">
        <w:rPr>
          <w:szCs w:val="24"/>
        </w:rPr>
        <w:t>000 ng/mL</w:t>
      </w:r>
      <w:r w:rsidRPr="00F97B2D">
        <w:rPr>
          <w:szCs w:val="24"/>
        </w:rPr>
        <w:t>.</w:t>
      </w:r>
      <w:r w:rsidR="00B92A10" w:rsidRPr="00F97B2D">
        <w:rPr>
          <w:szCs w:val="24"/>
        </w:rPr>
        <w:t xml:space="preserve"> </w:t>
      </w:r>
      <w:r w:rsidRPr="00F97B2D">
        <w:rPr>
          <w:szCs w:val="24"/>
        </w:rPr>
        <w:t xml:space="preserve"> These samples were subjected to the dilution as previously described before analysis.</w:t>
      </w:r>
      <w:r w:rsidR="00B92A10" w:rsidRPr="00F97B2D">
        <w:rPr>
          <w:szCs w:val="24"/>
        </w:rPr>
        <w:t xml:space="preserve"> </w:t>
      </w:r>
      <w:r w:rsidRPr="00F97B2D">
        <w:rPr>
          <w:szCs w:val="24"/>
        </w:rPr>
        <w:t xml:space="preserve"> The absorbance values at each concentration were averaged and displacement was calculated.</w:t>
      </w:r>
      <w:r w:rsidR="00B92A10" w:rsidRPr="00F97B2D">
        <w:rPr>
          <w:szCs w:val="24"/>
        </w:rPr>
        <w:t xml:space="preserve"> </w:t>
      </w:r>
      <w:r w:rsidRPr="00F97B2D">
        <w:rPr>
          <w:szCs w:val="24"/>
        </w:rPr>
        <w:t xml:space="preserve"> The cut-off value with a displacement between 30 and 60% was chosen to be the ‘positive cut-off’ for all future experiments with that </w:t>
      </w:r>
      <w:r w:rsidR="00F066F5">
        <w:rPr>
          <w:szCs w:val="24"/>
        </w:rPr>
        <w:t>assay</w:t>
      </w:r>
      <w:r w:rsidRPr="00F97B2D">
        <w:rPr>
          <w:szCs w:val="24"/>
        </w:rPr>
        <w:t xml:space="preserve">. </w:t>
      </w:r>
      <w:r w:rsidR="00B92A10" w:rsidRPr="00F97B2D">
        <w:rPr>
          <w:szCs w:val="24"/>
        </w:rPr>
        <w:t xml:space="preserve"> </w:t>
      </w:r>
      <w:r w:rsidRPr="00F97B2D">
        <w:rPr>
          <w:szCs w:val="24"/>
        </w:rPr>
        <w:t xml:space="preserve">Negative controls and positive cut-off controls, made fresh daily, were run in duplicate with each </w:t>
      </w:r>
      <w:r w:rsidR="00F066F5">
        <w:rPr>
          <w:szCs w:val="24"/>
        </w:rPr>
        <w:t>assay</w:t>
      </w:r>
      <w:r w:rsidRPr="00F97B2D">
        <w:rPr>
          <w:szCs w:val="24"/>
        </w:rPr>
        <w:t xml:space="preserve"> during an experiment.</w:t>
      </w:r>
      <w:r w:rsidR="00EC6F95" w:rsidRPr="00F97B2D">
        <w:rPr>
          <w:szCs w:val="24"/>
        </w:rPr>
        <w:t xml:space="preserve">  </w:t>
      </w:r>
      <w:r w:rsidRPr="00F97B2D">
        <w:rPr>
          <w:szCs w:val="24"/>
        </w:rPr>
        <w:t>A sample whose absorbance was greater than or equal to 1.2 times the absorbance of the positive cut-off control was considered negative.</w:t>
      </w:r>
      <w:r w:rsidR="00B92A10" w:rsidRPr="00F97B2D">
        <w:rPr>
          <w:szCs w:val="24"/>
        </w:rPr>
        <w:t xml:space="preserve"> </w:t>
      </w:r>
      <w:r w:rsidRPr="00F97B2D">
        <w:rPr>
          <w:szCs w:val="24"/>
        </w:rPr>
        <w:t xml:space="preserve"> A sample whose absorbance was less than or equal to the positive cut-off control was considered positive. </w:t>
      </w:r>
      <w:r w:rsidR="00B92A10" w:rsidRPr="00F97B2D">
        <w:rPr>
          <w:szCs w:val="24"/>
        </w:rPr>
        <w:t xml:space="preserve"> </w:t>
      </w:r>
      <w:r w:rsidRPr="00F97B2D">
        <w:rPr>
          <w:szCs w:val="24"/>
        </w:rPr>
        <w:t>A sample whose absorbance was between that of the positive cut-off control and 1.2 times the absorbance of the positive cut-</w:t>
      </w:r>
      <w:r w:rsidR="00B92A10" w:rsidRPr="00F97B2D">
        <w:rPr>
          <w:szCs w:val="24"/>
        </w:rPr>
        <w:t>off controls was considered ‘+/-</w:t>
      </w:r>
      <w:r w:rsidRPr="00F97B2D">
        <w:rPr>
          <w:szCs w:val="24"/>
        </w:rPr>
        <w:t>’ or indeterminate.</w:t>
      </w:r>
    </w:p>
    <w:p w:rsidR="00EC6F95" w:rsidRPr="00F97B2D" w:rsidRDefault="00EC6F95" w:rsidP="00EC6F95">
      <w:pPr>
        <w:widowControl w:val="0"/>
        <w:tabs>
          <w:tab w:val="left" w:pos="450"/>
        </w:tabs>
        <w:spacing w:after="0" w:line="480" w:lineRule="auto"/>
        <w:ind w:firstLine="720"/>
        <w:rPr>
          <w:szCs w:val="24"/>
        </w:rPr>
      </w:pPr>
      <w:r w:rsidRPr="00F97B2D">
        <w:rPr>
          <w:szCs w:val="24"/>
        </w:rPr>
        <w:t xml:space="preserve">For the EMIT </w:t>
      </w:r>
      <w:r w:rsidR="00854951">
        <w:rPr>
          <w:szCs w:val="24"/>
        </w:rPr>
        <w:t>assays</w:t>
      </w:r>
      <w:r w:rsidRPr="00F97B2D">
        <w:rPr>
          <w:szCs w:val="24"/>
        </w:rPr>
        <w:t>, calibrators and controls were purchased from the manufacturer.  To calibrate the Amphetamines assay for a 300 ng/mL cut-off, EMIT® Calibrator/Control Level 1 was used.  To calibrate the Ecstasy assay for a 300 ng/mL cut-off, EMIT® Ecstasy Calibrator/Control Level 2 was used.  For a negative control, EMIT® Calibrator/Control Level 0 was used for both assays.  For positive controls, EMIT® Calibrator/Control Level 5 (2</w:t>
      </w:r>
      <w:r w:rsidR="009E0177" w:rsidRPr="00F97B2D">
        <w:rPr>
          <w:szCs w:val="24"/>
        </w:rPr>
        <w:t>,</w:t>
      </w:r>
      <w:r w:rsidRPr="00F97B2D">
        <w:rPr>
          <w:szCs w:val="24"/>
        </w:rPr>
        <w:t>000 ng/mL) was used for Amphetamines and EMIT® Calibrator/Control Level 4 (1</w:t>
      </w:r>
      <w:r w:rsidR="009E0177" w:rsidRPr="00F97B2D">
        <w:rPr>
          <w:szCs w:val="24"/>
        </w:rPr>
        <w:t>,</w:t>
      </w:r>
      <w:r w:rsidRPr="00F97B2D">
        <w:rPr>
          <w:szCs w:val="24"/>
        </w:rPr>
        <w:t xml:space="preserve">000 ng/mL) was used for Ecstasy. </w:t>
      </w:r>
    </w:p>
    <w:p w:rsidR="00336075" w:rsidRPr="00F97B2D" w:rsidRDefault="00336075" w:rsidP="00AC5F51">
      <w:pPr>
        <w:pStyle w:val="Heading4"/>
      </w:pPr>
      <w:bookmarkStart w:id="135" w:name="_Toc372536055"/>
      <w:bookmarkStart w:id="136" w:name="_Toc372538718"/>
      <w:r w:rsidRPr="00F97B2D">
        <w:t>Determining cross-reactivity</w:t>
      </w:r>
      <w:bookmarkEnd w:id="135"/>
      <w:bookmarkEnd w:id="136"/>
    </w:p>
    <w:p w:rsidR="00F41504" w:rsidRPr="00F97B2D" w:rsidRDefault="00F41504" w:rsidP="00F41504">
      <w:pPr>
        <w:autoSpaceDE w:val="0"/>
        <w:autoSpaceDN w:val="0"/>
        <w:adjustRightInd w:val="0"/>
        <w:spacing w:after="0" w:line="480" w:lineRule="auto"/>
        <w:ind w:firstLine="720"/>
        <w:rPr>
          <w:szCs w:val="24"/>
        </w:rPr>
      </w:pPr>
      <w:r w:rsidRPr="00F97B2D">
        <w:rPr>
          <w:szCs w:val="24"/>
        </w:rPr>
        <w:t>In order to initially assess cross-reactivity</w:t>
      </w:r>
      <w:r w:rsidR="00EC6F95" w:rsidRPr="00F97B2D">
        <w:rPr>
          <w:szCs w:val="24"/>
        </w:rPr>
        <w:t xml:space="preserve"> by ELISA</w:t>
      </w:r>
      <w:r w:rsidR="00211CA4">
        <w:rPr>
          <w:szCs w:val="24"/>
        </w:rPr>
        <w:t xml:space="preserve">, 50 </w:t>
      </w:r>
      <w:r w:rsidR="00A37884">
        <w:rPr>
          <w:rFonts w:cs="Times New Roman"/>
          <w:szCs w:val="24"/>
        </w:rPr>
        <w:t>µ</w:t>
      </w:r>
      <w:r w:rsidR="00211CA4">
        <w:rPr>
          <w:szCs w:val="24"/>
        </w:rPr>
        <w:t>L</w:t>
      </w:r>
      <w:r w:rsidRPr="00F97B2D">
        <w:rPr>
          <w:szCs w:val="24"/>
        </w:rPr>
        <w:t xml:space="preserve"> of each </w:t>
      </w:r>
      <w:r w:rsidR="009E0177" w:rsidRPr="00F97B2D">
        <w:rPr>
          <w:szCs w:val="24"/>
        </w:rPr>
        <w:t xml:space="preserve">analyte of interest </w:t>
      </w:r>
      <w:proofErr w:type="gramStart"/>
      <w:r w:rsidR="009E0177" w:rsidRPr="00F97B2D">
        <w:rPr>
          <w:szCs w:val="24"/>
        </w:rPr>
        <w:t>at 100,</w:t>
      </w:r>
      <w:r w:rsidR="00211CA4">
        <w:rPr>
          <w:szCs w:val="24"/>
        </w:rPr>
        <w:t>000 ng/mL</w:t>
      </w:r>
      <w:proofErr w:type="gramEnd"/>
      <w:r w:rsidRPr="00F97B2D">
        <w:rPr>
          <w:szCs w:val="24"/>
        </w:rPr>
        <w:t xml:space="preserve"> was spiked</w:t>
      </w:r>
      <w:r w:rsidR="00211CA4">
        <w:rPr>
          <w:szCs w:val="24"/>
        </w:rPr>
        <w:t xml:space="preserve"> into 0.5 mL</w:t>
      </w:r>
      <w:r w:rsidRPr="00F97B2D">
        <w:rPr>
          <w:szCs w:val="24"/>
        </w:rPr>
        <w:t xml:space="preserve"> of serum, in duplicate, for a final concentration of </w:t>
      </w:r>
      <w:r w:rsidR="009E0177" w:rsidRPr="00F97B2D">
        <w:rPr>
          <w:szCs w:val="24"/>
        </w:rPr>
        <w:t>10,</w:t>
      </w:r>
      <w:r w:rsidR="00211CA4">
        <w:rPr>
          <w:szCs w:val="24"/>
        </w:rPr>
        <w:t>000 ng/mL</w:t>
      </w:r>
      <w:r w:rsidRPr="00F97B2D">
        <w:rPr>
          <w:szCs w:val="24"/>
        </w:rPr>
        <w:t>.</w:t>
      </w:r>
      <w:r w:rsidR="00B92A10" w:rsidRPr="00F97B2D">
        <w:rPr>
          <w:szCs w:val="24"/>
        </w:rPr>
        <w:t xml:space="preserve"> </w:t>
      </w:r>
      <w:r w:rsidRPr="00F97B2D">
        <w:rPr>
          <w:szCs w:val="24"/>
        </w:rPr>
        <w:t xml:space="preserve"> This concentration level was chosen based on the cross-reactivity studies performed by the manufacturers as outlined in the package inserts. </w:t>
      </w:r>
      <w:r w:rsidR="00B92A10" w:rsidRPr="00F97B2D">
        <w:rPr>
          <w:szCs w:val="24"/>
        </w:rPr>
        <w:t xml:space="preserve"> </w:t>
      </w:r>
      <w:r w:rsidRPr="00F97B2D">
        <w:rPr>
          <w:szCs w:val="24"/>
        </w:rPr>
        <w:t xml:space="preserve">These samples were diluted as previously described before analysis. </w:t>
      </w:r>
      <w:r w:rsidR="00B92A10" w:rsidRPr="00F97B2D">
        <w:rPr>
          <w:szCs w:val="24"/>
        </w:rPr>
        <w:t xml:space="preserve"> </w:t>
      </w:r>
      <w:r w:rsidRPr="00F97B2D">
        <w:rPr>
          <w:szCs w:val="24"/>
        </w:rPr>
        <w:t>The absorbance values at each concentration were averaged.</w:t>
      </w:r>
      <w:r w:rsidR="00B92A10" w:rsidRPr="00F97B2D">
        <w:rPr>
          <w:szCs w:val="24"/>
        </w:rPr>
        <w:t xml:space="preserve"> </w:t>
      </w:r>
      <w:r w:rsidRPr="00F97B2D">
        <w:rPr>
          <w:szCs w:val="24"/>
        </w:rPr>
        <w:t xml:space="preserve"> If a drug resulted in a ‘positive’ on the DSX report at this concentration when compared to the positive cut-off level, a dose response curve was then prepared and analyzed to calculate the cross-reactivity.</w:t>
      </w:r>
      <w:r w:rsidR="00B92A10" w:rsidRPr="00F97B2D">
        <w:rPr>
          <w:szCs w:val="24"/>
        </w:rPr>
        <w:t xml:space="preserve"> </w:t>
      </w:r>
      <w:r w:rsidRPr="00F97B2D">
        <w:rPr>
          <w:szCs w:val="24"/>
        </w:rPr>
        <w:t xml:space="preserve"> For these compounds, dose response curves were prepared in duplicate at decreasing concentrations by spiking 0.5 </w:t>
      </w:r>
      <w:r w:rsidR="00211CA4">
        <w:rPr>
          <w:szCs w:val="24"/>
        </w:rPr>
        <w:t>mL</w:t>
      </w:r>
      <w:r w:rsidRPr="00F97B2D">
        <w:rPr>
          <w:szCs w:val="24"/>
        </w:rPr>
        <w:t xml:space="preserve"> of serum with 50 </w:t>
      </w:r>
      <w:r w:rsidR="00A37884">
        <w:rPr>
          <w:rFonts w:cs="Times New Roman"/>
          <w:szCs w:val="24"/>
        </w:rPr>
        <w:t>µ</w:t>
      </w:r>
      <w:r w:rsidR="00211CA4">
        <w:rPr>
          <w:szCs w:val="24"/>
        </w:rPr>
        <w:t>L</w:t>
      </w:r>
      <w:r w:rsidRPr="00F97B2D">
        <w:rPr>
          <w:szCs w:val="24"/>
        </w:rPr>
        <w:t xml:space="preserve"> of a spiking solution</w:t>
      </w:r>
      <w:r w:rsidR="009E0177" w:rsidRPr="00F97B2D">
        <w:rPr>
          <w:szCs w:val="24"/>
        </w:rPr>
        <w:t xml:space="preserve"> (97.6–100,</w:t>
      </w:r>
      <w:r w:rsidRPr="00F97B2D">
        <w:rPr>
          <w:szCs w:val="24"/>
        </w:rPr>
        <w:t>000 ng/</w:t>
      </w:r>
      <w:r w:rsidR="00211CA4">
        <w:rPr>
          <w:szCs w:val="24"/>
        </w:rPr>
        <w:t>mL</w:t>
      </w:r>
      <w:r w:rsidRPr="00F97B2D">
        <w:rPr>
          <w:szCs w:val="24"/>
        </w:rPr>
        <w:t xml:space="preserve">) to achieve concentrations </w:t>
      </w:r>
      <w:r w:rsidR="00810B1A" w:rsidRPr="00F97B2D">
        <w:rPr>
          <w:szCs w:val="24"/>
        </w:rPr>
        <w:t xml:space="preserve">in the range </w:t>
      </w:r>
      <w:proofErr w:type="gramStart"/>
      <w:r w:rsidR="00810B1A" w:rsidRPr="00F97B2D">
        <w:rPr>
          <w:szCs w:val="24"/>
        </w:rPr>
        <w:t>of 9.76 to 10,</w:t>
      </w:r>
      <w:r w:rsidRPr="00F97B2D">
        <w:rPr>
          <w:szCs w:val="24"/>
        </w:rPr>
        <w:t>000 ng/</w:t>
      </w:r>
      <w:r w:rsidR="00211CA4">
        <w:rPr>
          <w:szCs w:val="24"/>
        </w:rPr>
        <w:t>mL</w:t>
      </w:r>
      <w:proofErr w:type="gramEnd"/>
      <w:r w:rsidRPr="00F97B2D">
        <w:rPr>
          <w:szCs w:val="24"/>
        </w:rPr>
        <w:t>.</w:t>
      </w:r>
    </w:p>
    <w:p w:rsidR="00336075" w:rsidRPr="00F97B2D" w:rsidRDefault="00F41504" w:rsidP="00EC6F95">
      <w:pPr>
        <w:autoSpaceDE w:val="0"/>
        <w:autoSpaceDN w:val="0"/>
        <w:adjustRightInd w:val="0"/>
        <w:spacing w:after="0" w:line="480" w:lineRule="auto"/>
        <w:ind w:firstLine="720"/>
        <w:rPr>
          <w:szCs w:val="24"/>
        </w:rPr>
      </w:pPr>
      <w:r w:rsidRPr="00F97B2D">
        <w:rPr>
          <w:szCs w:val="24"/>
        </w:rPr>
        <w:t>In order to calculate the percent cross-reactivity, the percent binding (calculated as [A</w:t>
      </w:r>
      <w:r w:rsidRPr="00F97B2D">
        <w:rPr>
          <w:szCs w:val="24"/>
          <w:vertAlign w:val="subscript"/>
        </w:rPr>
        <w:t>sample</w:t>
      </w:r>
      <w:r w:rsidRPr="00F97B2D">
        <w:rPr>
          <w:szCs w:val="24"/>
        </w:rPr>
        <w:t>/</w:t>
      </w:r>
      <w:r w:rsidR="00B92A10" w:rsidRPr="00F97B2D">
        <w:rPr>
          <w:szCs w:val="24"/>
        </w:rPr>
        <w:t xml:space="preserve"> </w:t>
      </w:r>
      <w:r w:rsidRPr="00F97B2D">
        <w:rPr>
          <w:szCs w:val="24"/>
        </w:rPr>
        <w:t>A</w:t>
      </w:r>
      <w:r w:rsidRPr="00F97B2D">
        <w:rPr>
          <w:szCs w:val="24"/>
          <w:vertAlign w:val="subscript"/>
        </w:rPr>
        <w:t>negative</w:t>
      </w:r>
      <w:r w:rsidRPr="00F97B2D">
        <w:rPr>
          <w:szCs w:val="24"/>
        </w:rPr>
        <w:t>]*100) was determined for each analyte at</w:t>
      </w:r>
      <w:r w:rsidR="00B92A10" w:rsidRPr="00F97B2D">
        <w:rPr>
          <w:szCs w:val="24"/>
        </w:rPr>
        <w:t xml:space="preserve"> each concentration tested.</w:t>
      </w:r>
      <w:sdt>
        <w:sdtPr>
          <w:rPr>
            <w:szCs w:val="24"/>
          </w:rPr>
          <w:id w:val="86858721"/>
          <w:citation/>
        </w:sdtPr>
        <w:sdtEndPr/>
        <w:sdtContent>
          <w:r w:rsidR="000E239B" w:rsidRPr="00420938">
            <w:rPr>
              <w:rStyle w:val="In-TextCitation"/>
            </w:rPr>
            <w:fldChar w:fldCharType="begin"/>
          </w:r>
          <w:r w:rsidR="00B92A10" w:rsidRPr="00420938">
            <w:rPr>
              <w:rStyle w:val="In-TextCitation"/>
            </w:rPr>
            <w:instrText xml:space="preserve"> CITATION SKe11 \l 1033 </w:instrText>
          </w:r>
          <w:r w:rsidR="000E239B" w:rsidRPr="00420938">
            <w:rPr>
              <w:rStyle w:val="In-TextCitation"/>
            </w:rPr>
            <w:fldChar w:fldCharType="separate"/>
          </w:r>
          <w:r w:rsidR="00420938" w:rsidRPr="00420938">
            <w:rPr>
              <w:rStyle w:val="In-TextCitation"/>
            </w:rPr>
            <w:t>(</w:t>
          </w:r>
          <w:hyperlink w:anchor="SKe11" w:history="1">
            <w:r w:rsidR="00420938" w:rsidRPr="00420938">
              <w:rPr>
                <w:rStyle w:val="In-TextCitation"/>
              </w:rPr>
              <w:t>121</w:t>
            </w:r>
          </w:hyperlink>
          <w:r w:rsidR="00420938" w:rsidRPr="00420938">
            <w:rPr>
              <w:rStyle w:val="In-TextCitation"/>
            </w:rPr>
            <w:t>)</w:t>
          </w:r>
          <w:r w:rsidR="000E239B" w:rsidRPr="00420938">
            <w:rPr>
              <w:rStyle w:val="In-TextCitation"/>
            </w:rPr>
            <w:fldChar w:fldCharType="end"/>
          </w:r>
        </w:sdtContent>
      </w:sdt>
      <w:r w:rsidR="00B92A10" w:rsidRPr="00F97B2D">
        <w:rPr>
          <w:szCs w:val="24"/>
        </w:rPr>
        <w:t xml:space="preserve">  </w:t>
      </w:r>
      <w:r w:rsidRPr="00F97B2D">
        <w:rPr>
          <w:szCs w:val="24"/>
        </w:rPr>
        <w:t>From these values, the EC</w:t>
      </w:r>
      <w:r w:rsidRPr="00F97B2D">
        <w:rPr>
          <w:szCs w:val="24"/>
          <w:vertAlign w:val="subscript"/>
        </w:rPr>
        <w:t>50</w:t>
      </w:r>
      <w:r w:rsidRPr="00F97B2D">
        <w:rPr>
          <w:szCs w:val="24"/>
        </w:rPr>
        <w:t xml:space="preserve"> (</w:t>
      </w:r>
      <w:r w:rsidR="0070539A" w:rsidRPr="00F97B2D">
        <w:rPr>
          <w:szCs w:val="24"/>
        </w:rPr>
        <w:t xml:space="preserve">half-maximal </w:t>
      </w:r>
      <w:r w:rsidRPr="00F97B2D">
        <w:rPr>
          <w:szCs w:val="24"/>
        </w:rPr>
        <w:t xml:space="preserve">effective concentration) was also calculated for each targeted analyte and each analyte of interest. </w:t>
      </w:r>
      <w:r w:rsidR="00B92A10" w:rsidRPr="00F97B2D">
        <w:rPr>
          <w:szCs w:val="24"/>
        </w:rPr>
        <w:t xml:space="preserve"> </w:t>
      </w:r>
      <w:r w:rsidRPr="00F97B2D">
        <w:rPr>
          <w:szCs w:val="24"/>
        </w:rPr>
        <w:t xml:space="preserve">The concentration of each analyte of interest that produced an absorbance reading closest to that of the positive cut-off control was also calculated. </w:t>
      </w:r>
      <w:r w:rsidR="00B92A10" w:rsidRPr="00F97B2D">
        <w:rPr>
          <w:szCs w:val="24"/>
        </w:rPr>
        <w:t xml:space="preserve"> </w:t>
      </w:r>
      <w:r w:rsidRPr="00F97B2D">
        <w:rPr>
          <w:szCs w:val="24"/>
        </w:rPr>
        <w:t>This value is represented by the A</w:t>
      </w:r>
      <w:r w:rsidRPr="00F97B2D">
        <w:rPr>
          <w:szCs w:val="24"/>
          <w:vertAlign w:val="subscript"/>
        </w:rPr>
        <w:t>sample</w:t>
      </w:r>
      <w:r w:rsidRPr="00F97B2D">
        <w:rPr>
          <w:szCs w:val="24"/>
        </w:rPr>
        <w:t>/A</w:t>
      </w:r>
      <w:r w:rsidRPr="00F97B2D">
        <w:rPr>
          <w:szCs w:val="24"/>
          <w:vertAlign w:val="subscript"/>
        </w:rPr>
        <w:t>negative</w:t>
      </w:r>
      <w:r w:rsidRPr="00F97B2D">
        <w:rPr>
          <w:szCs w:val="24"/>
        </w:rPr>
        <w:t xml:space="preserve"> with a ratio closest to 1. </w:t>
      </w:r>
      <w:r w:rsidR="00B92A10" w:rsidRPr="00F97B2D">
        <w:rPr>
          <w:szCs w:val="24"/>
        </w:rPr>
        <w:t xml:space="preserve"> </w:t>
      </w:r>
      <w:r w:rsidRPr="00F97B2D">
        <w:rPr>
          <w:szCs w:val="24"/>
        </w:rPr>
        <w:t xml:space="preserve">The positive cut-off level was then divided by the concentration of each analyte with the same absorbance value and expressed as a percent, representing the </w:t>
      </w:r>
      <w:r w:rsidR="00B92A10" w:rsidRPr="00F97B2D">
        <w:rPr>
          <w:szCs w:val="24"/>
        </w:rPr>
        <w:t>percent cross-reactivity.</w:t>
      </w:r>
      <w:sdt>
        <w:sdtPr>
          <w:rPr>
            <w:szCs w:val="24"/>
          </w:rPr>
          <w:id w:val="86858722"/>
          <w:citation/>
        </w:sdtPr>
        <w:sdtEndPr/>
        <w:sdtContent>
          <w:r w:rsidR="000E239B" w:rsidRPr="00420938">
            <w:rPr>
              <w:rStyle w:val="In-TextCitation"/>
            </w:rPr>
            <w:fldChar w:fldCharType="begin"/>
          </w:r>
          <w:r w:rsidR="00B92A10" w:rsidRPr="00420938">
            <w:rPr>
              <w:rStyle w:val="In-TextCitation"/>
            </w:rPr>
            <w:instrText xml:space="preserve"> CITATION SKe11 \l 1033 </w:instrText>
          </w:r>
          <w:r w:rsidR="000E239B" w:rsidRPr="00420938">
            <w:rPr>
              <w:rStyle w:val="In-TextCitation"/>
            </w:rPr>
            <w:fldChar w:fldCharType="separate"/>
          </w:r>
          <w:r w:rsidR="00420938" w:rsidRPr="00420938">
            <w:rPr>
              <w:rStyle w:val="In-TextCitation"/>
            </w:rPr>
            <w:t>(</w:t>
          </w:r>
          <w:hyperlink w:anchor="SKe11" w:history="1">
            <w:r w:rsidR="00420938" w:rsidRPr="00420938">
              <w:rPr>
                <w:rStyle w:val="In-TextCitation"/>
              </w:rPr>
              <w:t>121</w:t>
            </w:r>
          </w:hyperlink>
          <w:r w:rsidR="00420938" w:rsidRPr="00420938">
            <w:rPr>
              <w:rStyle w:val="In-TextCitation"/>
            </w:rPr>
            <w:t>)</w:t>
          </w:r>
          <w:r w:rsidR="000E239B" w:rsidRPr="00420938">
            <w:rPr>
              <w:rStyle w:val="In-TextCitation"/>
            </w:rPr>
            <w:fldChar w:fldCharType="end"/>
          </w:r>
        </w:sdtContent>
      </w:sdt>
      <w:r w:rsidR="00B92A10" w:rsidRPr="00F97B2D">
        <w:rPr>
          <w:szCs w:val="24"/>
        </w:rPr>
        <w:t xml:space="preserve">  </w:t>
      </w:r>
      <w:r w:rsidRPr="00F97B2D">
        <w:rPr>
          <w:szCs w:val="24"/>
        </w:rPr>
        <w:t>For terminology purposes, ‘cross-reactive’ is used for a compound of interest which exhibits a positive result by the DSX when compared to the positive cut-off control.</w:t>
      </w:r>
    </w:p>
    <w:p w:rsidR="00EC6F95" w:rsidRPr="00F97B2D" w:rsidRDefault="00EC6F95" w:rsidP="00EC6F95">
      <w:pPr>
        <w:widowControl w:val="0"/>
        <w:tabs>
          <w:tab w:val="left" w:pos="450"/>
        </w:tabs>
        <w:spacing w:after="0" w:line="480" w:lineRule="auto"/>
        <w:ind w:firstLine="720"/>
        <w:rPr>
          <w:szCs w:val="24"/>
        </w:rPr>
      </w:pPr>
      <w:r w:rsidRPr="00F97B2D">
        <w:rPr>
          <w:szCs w:val="24"/>
        </w:rPr>
        <w:t xml:space="preserve">In order to initially assess cross-reactivity via EMIT, 50 µL of each analyte of interest at 100,000 ng/mL was spiked into 0.5 mL of urine, in duplicate, for a final concentration of 10,000 ng/mL.  The samples were analyzed after calibration was validated with appropriate controls.  If a drug resulted in a “positive” on the V-Twin report at this concentration when compared to the cut-off level, a dose response curve was then prepared and analyzed to calculate cross-reactivity.  For these compounds, dose response curves were prepared in duplicate at decreasing concentrations by spiking 0.5 mL of urine with 50 µL of a spiking solution (97.6 – 100,000 ng/mL) to achieve concentrations in the range of 9.76 – 10,000 ng/mL.  In order to calculate the percent cross-reactivity, the concentration of each analyte of interest that produced an absorbance reading equivalent to that of the 300 ng/mL cut-off control was used (as described for the ELISA calculations above).   </w:t>
      </w:r>
    </w:p>
    <w:p w:rsidR="00730B45" w:rsidRPr="00F97B2D" w:rsidRDefault="00F41504" w:rsidP="00F97B2D">
      <w:pPr>
        <w:pStyle w:val="Heading2"/>
      </w:pPr>
      <w:bookmarkStart w:id="137" w:name="_Toc372536056"/>
      <w:bookmarkStart w:id="138" w:name="_Toc372538719"/>
      <w:r w:rsidRPr="00F97B2D">
        <w:t>Results and Discussion</w:t>
      </w:r>
      <w:bookmarkEnd w:id="137"/>
      <w:bookmarkEnd w:id="138"/>
    </w:p>
    <w:p w:rsidR="00F41504" w:rsidRPr="00F97B2D" w:rsidRDefault="00F41504" w:rsidP="00F97B2D">
      <w:pPr>
        <w:pStyle w:val="Heading3"/>
      </w:pPr>
      <w:bookmarkStart w:id="139" w:name="_Toc372536057"/>
      <w:bookmarkStart w:id="140" w:name="_Toc372538720"/>
      <w:r w:rsidRPr="00F97B2D">
        <w:t>Establishing cut-off values</w:t>
      </w:r>
      <w:bookmarkEnd w:id="139"/>
      <w:bookmarkEnd w:id="140"/>
    </w:p>
    <w:p w:rsidR="00F41504" w:rsidRPr="00F97B2D" w:rsidRDefault="00F41504" w:rsidP="00F41504">
      <w:pPr>
        <w:autoSpaceDE w:val="0"/>
        <w:autoSpaceDN w:val="0"/>
        <w:adjustRightInd w:val="0"/>
        <w:spacing w:after="0" w:line="480" w:lineRule="auto"/>
        <w:ind w:firstLine="720"/>
        <w:rPr>
          <w:b/>
          <w:szCs w:val="24"/>
        </w:rPr>
      </w:pPr>
      <w:r w:rsidRPr="00F97B2D">
        <w:rPr>
          <w:szCs w:val="24"/>
        </w:rPr>
        <w:t xml:space="preserve">For each </w:t>
      </w:r>
      <w:r w:rsidR="00854951">
        <w:rPr>
          <w:szCs w:val="24"/>
        </w:rPr>
        <w:t>assay</w:t>
      </w:r>
      <w:r w:rsidRPr="00F97B2D">
        <w:rPr>
          <w:szCs w:val="24"/>
        </w:rPr>
        <w:t>, the displacement was calculated for each level of target</w:t>
      </w:r>
      <w:r w:rsidR="00C11BE0" w:rsidRPr="00F97B2D">
        <w:rPr>
          <w:szCs w:val="24"/>
        </w:rPr>
        <w:t xml:space="preserve">ed analyte in the dose response </w:t>
      </w:r>
      <w:r w:rsidRPr="00F97B2D">
        <w:rPr>
          <w:szCs w:val="24"/>
        </w:rPr>
        <w:t xml:space="preserve">curve. </w:t>
      </w:r>
      <w:r w:rsidR="00B92A10" w:rsidRPr="00F97B2D">
        <w:rPr>
          <w:szCs w:val="24"/>
        </w:rPr>
        <w:t xml:space="preserve"> </w:t>
      </w:r>
      <w:r w:rsidRPr="00F97B2D">
        <w:rPr>
          <w:szCs w:val="24"/>
        </w:rPr>
        <w:t xml:space="preserve">The concentration with a displacement value from 30–60% was chosen as the cut-off and used as positive cut-off controls for future experiments. </w:t>
      </w:r>
      <w:r w:rsidR="00B92A10" w:rsidRPr="00F97B2D">
        <w:rPr>
          <w:szCs w:val="24"/>
        </w:rPr>
        <w:t xml:space="preserve"> </w:t>
      </w:r>
      <w:r w:rsidRPr="00F97B2D">
        <w:rPr>
          <w:szCs w:val="24"/>
        </w:rPr>
        <w:t xml:space="preserve">A summary of these concentrations can be found in </w:t>
      </w:r>
      <w:r w:rsidR="002E77C7">
        <w:fldChar w:fldCharType="begin"/>
      </w:r>
      <w:r w:rsidR="002E77C7">
        <w:instrText xml:space="preserve"> REF _Ref362524679 \h  \* MERGEFORMAT </w:instrText>
      </w:r>
      <w:r w:rsidR="002E77C7">
        <w:fldChar w:fldCharType="separate"/>
      </w:r>
      <w:r w:rsidR="00E37796" w:rsidRPr="00E37796">
        <w:rPr>
          <w:szCs w:val="24"/>
        </w:rPr>
        <w:t>Table 2</w:t>
      </w:r>
      <w:r w:rsidR="002E77C7">
        <w:fldChar w:fldCharType="end"/>
      </w:r>
      <w:r w:rsidRPr="00F97B2D">
        <w:rPr>
          <w:szCs w:val="24"/>
        </w:rPr>
        <w:t>.</w:t>
      </w:r>
      <w:r w:rsidR="00B92A10" w:rsidRPr="00F97B2D">
        <w:rPr>
          <w:szCs w:val="24"/>
        </w:rPr>
        <w:t xml:space="preserve"> </w:t>
      </w:r>
      <w:r w:rsidRPr="00F97B2D">
        <w:rPr>
          <w:szCs w:val="24"/>
        </w:rPr>
        <w:t xml:space="preserve"> An example of a dose response curve used for the determination of a cut-off value for Neogen Ketamine can be found in </w:t>
      </w:r>
      <w:r w:rsidR="002E77C7">
        <w:fldChar w:fldCharType="begin"/>
      </w:r>
      <w:r w:rsidR="002E77C7">
        <w:instrText xml:space="preserve"> REF _Ref362526131 \h  \* MERGEFORMAT </w:instrText>
      </w:r>
      <w:r w:rsidR="002E77C7">
        <w:fldChar w:fldCharType="separate"/>
      </w:r>
      <w:r w:rsidR="00E37796" w:rsidRPr="00E37796">
        <w:rPr>
          <w:szCs w:val="24"/>
        </w:rPr>
        <w:t>Figure 5</w:t>
      </w:r>
      <w:r w:rsidR="002E77C7">
        <w:fldChar w:fldCharType="end"/>
      </w:r>
      <w:r w:rsidRPr="00F97B2D">
        <w:rPr>
          <w:szCs w:val="24"/>
        </w:rPr>
        <w:t xml:space="preserve">. </w:t>
      </w:r>
      <w:r w:rsidR="00B92A10" w:rsidRPr="00F97B2D">
        <w:rPr>
          <w:szCs w:val="24"/>
        </w:rPr>
        <w:t xml:space="preserve"> </w:t>
      </w:r>
      <w:r w:rsidRPr="00F97B2D">
        <w:rPr>
          <w:szCs w:val="24"/>
        </w:rPr>
        <w:t>The values ranged from 1.25–100 ng/</w:t>
      </w:r>
      <w:r w:rsidR="00211CA4">
        <w:rPr>
          <w:szCs w:val="24"/>
        </w:rPr>
        <w:t>mL</w:t>
      </w:r>
      <w:r w:rsidRPr="00F97B2D">
        <w:rPr>
          <w:szCs w:val="24"/>
        </w:rPr>
        <w:t xml:space="preserve"> and were comparable to those cited in the package inserts. </w:t>
      </w:r>
      <w:r w:rsidR="00B92A10" w:rsidRPr="00F97B2D">
        <w:rPr>
          <w:szCs w:val="24"/>
        </w:rPr>
        <w:t xml:space="preserve"> </w:t>
      </w:r>
      <w:r w:rsidRPr="00F97B2D">
        <w:rPr>
          <w:szCs w:val="24"/>
        </w:rPr>
        <w:t xml:space="preserve">While some of these levels are quite low, the assays are not quantitative and can only presumptively identify a class of compounds. </w:t>
      </w:r>
      <w:r w:rsidR="00B92A10" w:rsidRPr="00F97B2D">
        <w:rPr>
          <w:szCs w:val="24"/>
        </w:rPr>
        <w:t xml:space="preserve"> </w:t>
      </w:r>
      <w:r w:rsidRPr="00F97B2D">
        <w:rPr>
          <w:szCs w:val="24"/>
        </w:rPr>
        <w:t xml:space="preserve">An analytical method with lower detection limits (such as LC-MS/MS) is recommended for confirmation or quantification of such </w:t>
      </w:r>
      <w:r w:rsidR="00EC6F95" w:rsidRPr="00F97B2D">
        <w:rPr>
          <w:szCs w:val="24"/>
        </w:rPr>
        <w:t xml:space="preserve">compounds.  For the EMIT </w:t>
      </w:r>
      <w:r w:rsidR="00854951">
        <w:rPr>
          <w:szCs w:val="24"/>
        </w:rPr>
        <w:t>assays</w:t>
      </w:r>
      <w:r w:rsidR="00EC6F95" w:rsidRPr="00F97B2D">
        <w:rPr>
          <w:szCs w:val="24"/>
        </w:rPr>
        <w:t xml:space="preserve">, there were several cut-off levels available among the various levels of EMIT® calibrators and controls.  For both the Amphetamines and Ecstasy </w:t>
      </w:r>
      <w:r w:rsidR="00F066F5">
        <w:rPr>
          <w:szCs w:val="24"/>
        </w:rPr>
        <w:t>assay</w:t>
      </w:r>
      <w:r w:rsidR="00EC6F95" w:rsidRPr="00F97B2D">
        <w:rPr>
          <w:szCs w:val="24"/>
        </w:rPr>
        <w:t xml:space="preserve">s, the lowest level </w:t>
      </w:r>
      <w:proofErr w:type="gramStart"/>
      <w:r w:rsidR="00EC6F95" w:rsidRPr="00F97B2D">
        <w:rPr>
          <w:szCs w:val="24"/>
        </w:rPr>
        <w:t>(300 ng/mL)</w:t>
      </w:r>
      <w:proofErr w:type="gramEnd"/>
      <w:r w:rsidR="00EC6F95" w:rsidRPr="00F97B2D">
        <w:rPr>
          <w:szCs w:val="24"/>
        </w:rPr>
        <w:t xml:space="preserve"> was chosen.  </w:t>
      </w:r>
    </w:p>
    <w:p w:rsidR="00B20DFC" w:rsidRDefault="00B20DFC" w:rsidP="00C11BE0">
      <w:pPr>
        <w:keepNext/>
        <w:autoSpaceDE w:val="0"/>
        <w:autoSpaceDN w:val="0"/>
        <w:adjustRightInd w:val="0"/>
        <w:spacing w:after="0" w:line="480" w:lineRule="auto"/>
        <w:rPr>
          <w:szCs w:val="24"/>
        </w:rPr>
        <w:sectPr w:rsidR="00B20DFC" w:rsidSect="00005A65">
          <w:pgSz w:w="12240" w:h="15840" w:code="1"/>
          <w:pgMar w:top="1440" w:right="1440" w:bottom="1800" w:left="2160" w:header="720" w:footer="720" w:gutter="0"/>
          <w:cols w:space="720"/>
          <w:docGrid w:linePitch="360"/>
        </w:sectPr>
      </w:pPr>
    </w:p>
    <w:p w:rsidR="00C11BE0" w:rsidRPr="00F97B2D" w:rsidRDefault="00C11BE0" w:rsidP="00B20DFC">
      <w:pPr>
        <w:keepNext/>
        <w:autoSpaceDE w:val="0"/>
        <w:autoSpaceDN w:val="0"/>
        <w:adjustRightInd w:val="0"/>
        <w:spacing w:after="0" w:line="480" w:lineRule="auto"/>
        <w:jc w:val="center"/>
        <w:rPr>
          <w:szCs w:val="24"/>
        </w:rPr>
      </w:pPr>
      <w:r w:rsidRPr="00F97B2D">
        <w:rPr>
          <w:noProof/>
          <w:szCs w:val="24"/>
          <w:lang w:bidi="ar-SA"/>
        </w:rPr>
        <w:drawing>
          <wp:inline distT="0" distB="0" distL="0" distR="0">
            <wp:extent cx="5486400" cy="3984546"/>
            <wp:effectExtent l="19050" t="19050" r="19050" b="15954"/>
            <wp:docPr id="5" name="Picture 4" descr="Ketamine Dose Response 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amine Dose Response Curve.jpg"/>
                    <pic:cNvPicPr/>
                  </pic:nvPicPr>
                  <pic:blipFill>
                    <a:blip r:embed="rId17"/>
                    <a:stretch>
                      <a:fillRect/>
                    </a:stretch>
                  </pic:blipFill>
                  <pic:spPr>
                    <a:xfrm>
                      <a:off x="0" y="0"/>
                      <a:ext cx="5486400" cy="3984546"/>
                    </a:xfrm>
                    <a:prstGeom prst="rect">
                      <a:avLst/>
                    </a:prstGeom>
                    <a:ln>
                      <a:solidFill>
                        <a:schemeClr val="tx1"/>
                      </a:solidFill>
                    </a:ln>
                  </pic:spPr>
                </pic:pic>
              </a:graphicData>
            </a:graphic>
          </wp:inline>
        </w:drawing>
      </w:r>
    </w:p>
    <w:p w:rsidR="00C11BE0" w:rsidRPr="00F97B2D" w:rsidRDefault="00C11BE0" w:rsidP="00F97B2D">
      <w:pPr>
        <w:pStyle w:val="Caption"/>
      </w:pPr>
      <w:bookmarkStart w:id="141" w:name="_Ref362526131"/>
      <w:bookmarkStart w:id="142" w:name="_Toc372536132"/>
      <w:r w:rsidRPr="00F97B2D">
        <w:t xml:space="preserve">Figure </w:t>
      </w:r>
      <w:r w:rsidR="000E239B" w:rsidRPr="00F97B2D">
        <w:fldChar w:fldCharType="begin"/>
      </w:r>
      <w:r w:rsidR="00B2107A" w:rsidRPr="00F97B2D">
        <w:instrText xml:space="preserve"> SEQ Figure \* ARABIC </w:instrText>
      </w:r>
      <w:r w:rsidR="000E239B" w:rsidRPr="00F97B2D">
        <w:fldChar w:fldCharType="separate"/>
      </w:r>
      <w:r w:rsidR="00E37796">
        <w:rPr>
          <w:noProof/>
        </w:rPr>
        <w:t>5</w:t>
      </w:r>
      <w:r w:rsidR="000E239B" w:rsidRPr="00F97B2D">
        <w:rPr>
          <w:noProof/>
        </w:rPr>
        <w:fldChar w:fldCharType="end"/>
      </w:r>
      <w:bookmarkEnd w:id="141"/>
      <w:r w:rsidRPr="00F97B2D">
        <w:t>: Ketamine Dose Response Curve</w:t>
      </w:r>
      <w:bookmarkEnd w:id="142"/>
    </w:p>
    <w:p w:rsidR="00B20DFC" w:rsidRDefault="00C67A58" w:rsidP="00B20DFC">
      <w:pPr>
        <w:jc w:val="center"/>
        <w:rPr>
          <w:b/>
          <w:bCs/>
          <w:spacing w:val="10"/>
          <w:szCs w:val="24"/>
        </w:rPr>
        <w:sectPr w:rsidR="00B20DFC" w:rsidSect="00005A65">
          <w:pgSz w:w="12240" w:h="15840" w:code="1"/>
          <w:pgMar w:top="1440" w:right="1440" w:bottom="1800" w:left="2160" w:header="720" w:footer="720" w:gutter="0"/>
          <w:cols w:space="720"/>
          <w:docGrid w:linePitch="360"/>
        </w:sectPr>
      </w:pPr>
      <w:proofErr w:type="gramStart"/>
      <w:r w:rsidRPr="00F97B2D">
        <w:rPr>
          <w:b/>
          <w:bCs/>
          <w:spacing w:val="10"/>
          <w:szCs w:val="24"/>
        </w:rPr>
        <w:t>Demonstrates</w:t>
      </w:r>
      <w:r w:rsidR="00C11BE0" w:rsidRPr="00F97B2D">
        <w:rPr>
          <w:b/>
          <w:bCs/>
          <w:spacing w:val="10"/>
          <w:szCs w:val="24"/>
        </w:rPr>
        <w:t xml:space="preserve"> displacement (%) versus concentration (ng/mL).</w:t>
      </w:r>
      <w:proofErr w:type="gramEnd"/>
      <w:r w:rsidR="00C11BE0" w:rsidRPr="00F97B2D">
        <w:rPr>
          <w:b/>
          <w:bCs/>
          <w:spacing w:val="10"/>
          <w:szCs w:val="24"/>
        </w:rPr>
        <w:t xml:space="preserve">  The ideal range for percent displacement is shaded.  The data point for the chosen cut-off level is indicated by </w:t>
      </w:r>
      <w:r w:rsidR="00C11BE0" w:rsidRPr="00F97B2D">
        <w:rPr>
          <w:rFonts w:ascii="Arial" w:hAnsi="Arial" w:cs="Arial"/>
          <w:b/>
          <w:bCs/>
          <w:spacing w:val="10"/>
          <w:szCs w:val="24"/>
        </w:rPr>
        <w:t>▀</w:t>
      </w:r>
      <w:r w:rsidR="00C11BE0" w:rsidRPr="00F97B2D">
        <w:rPr>
          <w:rFonts w:ascii="Calibri" w:hAnsi="Calibri" w:cs="Calibri"/>
          <w:b/>
          <w:bCs/>
          <w:spacing w:val="10"/>
          <w:szCs w:val="24"/>
        </w:rPr>
        <w:t>.</w:t>
      </w:r>
    </w:p>
    <w:p w:rsidR="00F41504" w:rsidRPr="00F97B2D" w:rsidRDefault="00F41504" w:rsidP="00F97B2D">
      <w:pPr>
        <w:pStyle w:val="Heading3"/>
      </w:pPr>
      <w:bookmarkStart w:id="143" w:name="_Toc372536058"/>
      <w:bookmarkStart w:id="144" w:name="_Toc372538721"/>
      <w:r w:rsidRPr="00F97B2D">
        <w:t>Determining cross-reactivity</w:t>
      </w:r>
      <w:bookmarkEnd w:id="143"/>
      <w:bookmarkEnd w:id="144"/>
    </w:p>
    <w:p w:rsidR="00B63B8A" w:rsidRPr="00F97B2D" w:rsidRDefault="00B63B8A" w:rsidP="00AC5F51">
      <w:pPr>
        <w:pStyle w:val="Heading4"/>
      </w:pPr>
      <w:bookmarkStart w:id="145" w:name="_Toc372536059"/>
      <w:bookmarkStart w:id="146" w:name="_Toc372538722"/>
      <w:r w:rsidRPr="00F97B2D">
        <w:t>ELISA</w:t>
      </w:r>
      <w:bookmarkEnd w:id="145"/>
      <w:bookmarkEnd w:id="146"/>
    </w:p>
    <w:p w:rsidR="00EC6F95" w:rsidRPr="00F97B2D" w:rsidRDefault="00B63B8A" w:rsidP="00FE04AF">
      <w:pPr>
        <w:autoSpaceDE w:val="0"/>
        <w:autoSpaceDN w:val="0"/>
        <w:adjustRightInd w:val="0"/>
        <w:spacing w:after="0" w:line="480" w:lineRule="auto"/>
        <w:ind w:firstLine="720"/>
        <w:rPr>
          <w:szCs w:val="24"/>
        </w:rPr>
      </w:pPr>
      <w:r w:rsidRPr="00F97B2D">
        <w:rPr>
          <w:szCs w:val="24"/>
        </w:rPr>
        <w:t xml:space="preserve">The analytes of interest which did not generate a positive result for a specific </w:t>
      </w:r>
      <w:r w:rsidR="00854951">
        <w:rPr>
          <w:szCs w:val="24"/>
        </w:rPr>
        <w:t>assay</w:t>
      </w:r>
      <w:r w:rsidR="00810B1A" w:rsidRPr="00F97B2D">
        <w:rPr>
          <w:szCs w:val="24"/>
        </w:rPr>
        <w:t xml:space="preserve"> </w:t>
      </w:r>
      <w:proofErr w:type="gramStart"/>
      <w:r w:rsidR="00810B1A" w:rsidRPr="00F97B2D">
        <w:rPr>
          <w:szCs w:val="24"/>
        </w:rPr>
        <w:t>at 10,</w:t>
      </w:r>
      <w:r w:rsidRPr="00F97B2D">
        <w:rPr>
          <w:szCs w:val="24"/>
        </w:rPr>
        <w:t>000 ng/</w:t>
      </w:r>
      <w:r w:rsidR="00211CA4">
        <w:rPr>
          <w:szCs w:val="24"/>
        </w:rPr>
        <w:t>mL</w:t>
      </w:r>
      <w:proofErr w:type="gramEnd"/>
      <w:r w:rsidRPr="00F97B2D">
        <w:rPr>
          <w:szCs w:val="24"/>
        </w:rPr>
        <w:t xml:space="preserve"> were not further analyzed for that </w:t>
      </w:r>
      <w:r w:rsidR="00F066F5">
        <w:rPr>
          <w:szCs w:val="24"/>
        </w:rPr>
        <w:t>assay</w:t>
      </w:r>
      <w:r w:rsidRPr="00F97B2D">
        <w:rPr>
          <w:szCs w:val="24"/>
        </w:rPr>
        <w:t xml:space="preserve">. </w:t>
      </w:r>
      <w:r w:rsidR="00B92A10" w:rsidRPr="00F97B2D">
        <w:rPr>
          <w:szCs w:val="24"/>
        </w:rPr>
        <w:t xml:space="preserve"> </w:t>
      </w:r>
      <w:r w:rsidRPr="00F97B2D">
        <w:rPr>
          <w:szCs w:val="24"/>
        </w:rPr>
        <w:t>The cut-off equivalent concentration, percent cross</w:t>
      </w:r>
      <w:r w:rsidR="00B92A10" w:rsidRPr="00F97B2D">
        <w:rPr>
          <w:szCs w:val="24"/>
        </w:rPr>
        <w:t>-</w:t>
      </w:r>
      <w:r w:rsidRPr="00F97B2D">
        <w:rPr>
          <w:szCs w:val="24"/>
        </w:rPr>
        <w:t>reactivity, and EC</w:t>
      </w:r>
      <w:r w:rsidRPr="00F97B2D">
        <w:rPr>
          <w:szCs w:val="24"/>
          <w:vertAlign w:val="subscript"/>
        </w:rPr>
        <w:t>50</w:t>
      </w:r>
      <w:r w:rsidRPr="00F97B2D">
        <w:rPr>
          <w:szCs w:val="24"/>
        </w:rPr>
        <w:t xml:space="preserve"> for these analytes were calculated using the value at that level. </w:t>
      </w:r>
      <w:r w:rsidR="00B92A10" w:rsidRPr="00F97B2D">
        <w:rPr>
          <w:szCs w:val="24"/>
        </w:rPr>
        <w:t xml:space="preserve"> </w:t>
      </w:r>
      <w:r w:rsidRPr="00F97B2D">
        <w:rPr>
          <w:szCs w:val="24"/>
        </w:rPr>
        <w:t xml:space="preserve">Compounds which did indicate a positive result </w:t>
      </w:r>
      <w:r w:rsidR="00810B1A" w:rsidRPr="00F97B2D">
        <w:rPr>
          <w:szCs w:val="24"/>
        </w:rPr>
        <w:t>at 10,</w:t>
      </w:r>
      <w:r w:rsidRPr="00F97B2D">
        <w:rPr>
          <w:szCs w:val="24"/>
        </w:rPr>
        <w:t>000 ng/</w:t>
      </w:r>
      <w:r w:rsidR="00211CA4">
        <w:rPr>
          <w:szCs w:val="24"/>
        </w:rPr>
        <w:t>mL</w:t>
      </w:r>
      <w:r w:rsidRPr="00F97B2D">
        <w:rPr>
          <w:szCs w:val="24"/>
        </w:rPr>
        <w:t xml:space="preserve"> were further analyzed down to concentrations as low as 10 ng/</w:t>
      </w:r>
      <w:r w:rsidR="00211CA4">
        <w:rPr>
          <w:szCs w:val="24"/>
        </w:rPr>
        <w:t>mL</w:t>
      </w:r>
      <w:r w:rsidRPr="00F97B2D">
        <w:rPr>
          <w:szCs w:val="24"/>
        </w:rPr>
        <w:t xml:space="preserve"> or until a negative result was produced.</w:t>
      </w:r>
      <w:r w:rsidR="00B92A10" w:rsidRPr="00F97B2D">
        <w:rPr>
          <w:szCs w:val="24"/>
        </w:rPr>
        <w:t xml:space="preserve"> </w:t>
      </w:r>
      <w:r w:rsidRPr="00F97B2D">
        <w:rPr>
          <w:szCs w:val="24"/>
        </w:rPr>
        <w:t xml:space="preserve"> The dose response curves for these analytes were constructed (% binding vs</w:t>
      </w:r>
      <w:r w:rsidR="00810B1A" w:rsidRPr="00F97B2D">
        <w:rPr>
          <w:szCs w:val="24"/>
        </w:rPr>
        <w:t>.</w:t>
      </w:r>
      <w:r w:rsidRPr="00F97B2D">
        <w:rPr>
          <w:szCs w:val="24"/>
        </w:rPr>
        <w:t xml:space="preserve"> analyte concentration) in order to visually examine the cross-reactivity as well as the EC</w:t>
      </w:r>
      <w:r w:rsidRPr="00F97B2D">
        <w:rPr>
          <w:szCs w:val="24"/>
          <w:vertAlign w:val="subscript"/>
        </w:rPr>
        <w:t>50</w:t>
      </w:r>
      <w:r w:rsidRPr="00F97B2D">
        <w:rPr>
          <w:szCs w:val="24"/>
        </w:rPr>
        <w:t xml:space="preserve">. </w:t>
      </w:r>
      <w:r w:rsidR="00B92A10" w:rsidRPr="00F97B2D">
        <w:rPr>
          <w:szCs w:val="24"/>
        </w:rPr>
        <w:t xml:space="preserve"> </w:t>
      </w:r>
      <w:r w:rsidR="00EC6F95" w:rsidRPr="00F97B2D">
        <w:rPr>
          <w:szCs w:val="24"/>
        </w:rPr>
        <w:t>Detailed results for individual platforms are presented in</w:t>
      </w:r>
      <w:r w:rsidR="002D3C40" w:rsidRPr="00F97B2D">
        <w:rPr>
          <w:szCs w:val="24"/>
        </w:rPr>
        <w:t xml:space="preserve"> </w:t>
      </w:r>
      <w:r w:rsidR="002E77C7">
        <w:fldChar w:fldCharType="begin"/>
      </w:r>
      <w:r w:rsidR="002E77C7">
        <w:instrText xml:space="preserve"> REF _Ref362529456 \h  \* MERGEFORMAT </w:instrText>
      </w:r>
      <w:r w:rsidR="002E77C7">
        <w:fldChar w:fldCharType="separate"/>
      </w:r>
      <w:r w:rsidR="00E37796" w:rsidRPr="00E37796">
        <w:rPr>
          <w:szCs w:val="24"/>
        </w:rPr>
        <w:t>Appendix 4</w:t>
      </w:r>
      <w:r w:rsidR="002E77C7">
        <w:fldChar w:fldCharType="end"/>
      </w:r>
      <w:r w:rsidR="002D3C40" w:rsidRPr="00F97B2D">
        <w:rPr>
          <w:szCs w:val="24"/>
        </w:rPr>
        <w:t xml:space="preserve"> </w:t>
      </w:r>
      <w:r w:rsidRPr="00F97B2D">
        <w:rPr>
          <w:szCs w:val="24"/>
        </w:rPr>
        <w:t xml:space="preserve">for all 16 </w:t>
      </w:r>
      <w:r w:rsidR="00854951">
        <w:rPr>
          <w:szCs w:val="24"/>
        </w:rPr>
        <w:t>assays</w:t>
      </w:r>
      <w:r w:rsidRPr="00F97B2D">
        <w:rPr>
          <w:szCs w:val="24"/>
        </w:rPr>
        <w:t>.</w:t>
      </w:r>
      <w:r w:rsidR="00EC6F95" w:rsidRPr="00F97B2D">
        <w:rPr>
          <w:szCs w:val="24"/>
        </w:rPr>
        <w:t xml:space="preserve">  A </w:t>
      </w:r>
      <w:r w:rsidR="00FF77AD" w:rsidRPr="00F97B2D">
        <w:rPr>
          <w:szCs w:val="24"/>
        </w:rPr>
        <w:t xml:space="preserve">brief </w:t>
      </w:r>
      <w:r w:rsidR="00EC6F95" w:rsidRPr="00F97B2D">
        <w:rPr>
          <w:szCs w:val="24"/>
        </w:rPr>
        <w:t>summary of the findings can also be found in</w:t>
      </w:r>
      <w:r w:rsidR="00FE04AF" w:rsidRPr="00F97B2D">
        <w:rPr>
          <w:szCs w:val="24"/>
        </w:rPr>
        <w:t xml:space="preserve"> </w:t>
      </w:r>
      <w:r w:rsidR="002E77C7">
        <w:fldChar w:fldCharType="begin"/>
      </w:r>
      <w:r w:rsidR="002E77C7">
        <w:instrText xml:space="preserve"> REF _Ref362531455 \h  \* MERGEFORMAT </w:instrText>
      </w:r>
      <w:r w:rsidR="002E77C7">
        <w:fldChar w:fldCharType="separate"/>
      </w:r>
      <w:r w:rsidR="00E37796" w:rsidRPr="00E37796">
        <w:rPr>
          <w:szCs w:val="24"/>
        </w:rPr>
        <w:t>Table 4</w:t>
      </w:r>
      <w:r w:rsidR="002E77C7">
        <w:fldChar w:fldCharType="end"/>
      </w:r>
      <w:r w:rsidR="00EC6F95" w:rsidRPr="00F97B2D">
        <w:rPr>
          <w:szCs w:val="24"/>
        </w:rPr>
        <w:t>.</w:t>
      </w:r>
    </w:p>
    <w:p w:rsidR="00B63B8A" w:rsidRPr="00F97B2D" w:rsidRDefault="00B63B8A" w:rsidP="00B63B8A">
      <w:pPr>
        <w:autoSpaceDE w:val="0"/>
        <w:autoSpaceDN w:val="0"/>
        <w:adjustRightInd w:val="0"/>
        <w:spacing w:after="0" w:line="480" w:lineRule="auto"/>
        <w:ind w:firstLine="720"/>
        <w:rPr>
          <w:szCs w:val="24"/>
        </w:rPr>
      </w:pPr>
      <w:r w:rsidRPr="00F97B2D">
        <w:rPr>
          <w:szCs w:val="24"/>
        </w:rPr>
        <w:t xml:space="preserve">Several </w:t>
      </w:r>
      <w:r w:rsidR="00F066F5">
        <w:rPr>
          <w:szCs w:val="24"/>
        </w:rPr>
        <w:t>assay</w:t>
      </w:r>
      <w:r w:rsidRPr="00F97B2D">
        <w:rPr>
          <w:szCs w:val="24"/>
        </w:rPr>
        <w:t>s did not exhibit cross-reactivity with any of the analytes of interest: Neogen Ketamine, Neogen Methylphenidate, OraSure PCP, and OraSure Cotinine.</w:t>
      </w:r>
      <w:r w:rsidR="00B92A10" w:rsidRPr="00F97B2D">
        <w:rPr>
          <w:szCs w:val="24"/>
        </w:rPr>
        <w:t xml:space="preserve"> </w:t>
      </w:r>
      <w:r w:rsidRPr="00F97B2D">
        <w:rPr>
          <w:szCs w:val="24"/>
        </w:rPr>
        <w:t xml:space="preserve"> This was not unexpected, due to the structural differences between the analytes targeted by the </w:t>
      </w:r>
      <w:r w:rsidR="00F066F5">
        <w:rPr>
          <w:szCs w:val="24"/>
        </w:rPr>
        <w:t>assay</w:t>
      </w:r>
      <w:r w:rsidRPr="00F97B2D">
        <w:rPr>
          <w:szCs w:val="24"/>
        </w:rPr>
        <w:t xml:space="preserve"> and those under investigation here. </w:t>
      </w:r>
      <w:r w:rsidR="00B92A10" w:rsidRPr="00F97B2D">
        <w:rPr>
          <w:szCs w:val="24"/>
        </w:rPr>
        <w:t xml:space="preserve"> </w:t>
      </w:r>
      <w:r w:rsidRPr="00F97B2D">
        <w:rPr>
          <w:szCs w:val="24"/>
        </w:rPr>
        <w:t xml:space="preserve">The Neogen BZP </w:t>
      </w:r>
      <w:r w:rsidR="00F066F5">
        <w:rPr>
          <w:szCs w:val="24"/>
        </w:rPr>
        <w:t>assay</w:t>
      </w:r>
      <w:r w:rsidRPr="00F97B2D">
        <w:rPr>
          <w:szCs w:val="24"/>
        </w:rPr>
        <w:t xml:space="preserve"> demonstrated minimal cross-reactivity with MDEA, MDMA, and DMT at concentrations </w:t>
      </w:r>
      <w:proofErr w:type="gramStart"/>
      <w:r w:rsidRPr="00F97B2D">
        <w:rPr>
          <w:szCs w:val="24"/>
        </w:rPr>
        <w:t>(5</w:t>
      </w:r>
      <w:r w:rsidR="00810B1A" w:rsidRPr="00F97B2D">
        <w:rPr>
          <w:szCs w:val="24"/>
        </w:rPr>
        <w:t>,000 to 10,</w:t>
      </w:r>
      <w:r w:rsidRPr="00F97B2D">
        <w:rPr>
          <w:szCs w:val="24"/>
        </w:rPr>
        <w:t>000 ng/</w:t>
      </w:r>
      <w:r w:rsidR="00211CA4">
        <w:rPr>
          <w:szCs w:val="24"/>
        </w:rPr>
        <w:t>mL</w:t>
      </w:r>
      <w:r w:rsidRPr="00F97B2D">
        <w:rPr>
          <w:szCs w:val="24"/>
        </w:rPr>
        <w:t>)</w:t>
      </w:r>
      <w:proofErr w:type="gramEnd"/>
      <w:r w:rsidRPr="00F97B2D">
        <w:rPr>
          <w:szCs w:val="24"/>
        </w:rPr>
        <w:t xml:space="preserve"> which most likely would not be encountered in a case. </w:t>
      </w:r>
      <w:r w:rsidR="00B92A10" w:rsidRPr="00F97B2D">
        <w:rPr>
          <w:szCs w:val="24"/>
        </w:rPr>
        <w:t xml:space="preserve"> </w:t>
      </w:r>
      <w:r w:rsidRPr="00F97B2D">
        <w:rPr>
          <w:szCs w:val="24"/>
        </w:rPr>
        <w:t xml:space="preserve">There are other more sensitive </w:t>
      </w:r>
      <w:r w:rsidR="00932348">
        <w:rPr>
          <w:szCs w:val="24"/>
        </w:rPr>
        <w:t>assay</w:t>
      </w:r>
      <w:r w:rsidRPr="00F97B2D">
        <w:rPr>
          <w:szCs w:val="24"/>
        </w:rPr>
        <w:t xml:space="preserve">s useful for detecting </w:t>
      </w:r>
      <w:r w:rsidR="00A37884">
        <w:rPr>
          <w:szCs w:val="24"/>
        </w:rPr>
        <w:t>MDEA and MDMA</w:t>
      </w:r>
      <w:r w:rsidRPr="00F97B2D">
        <w:rPr>
          <w:szCs w:val="24"/>
        </w:rPr>
        <w:t xml:space="preserve">. </w:t>
      </w:r>
      <w:r w:rsidR="00B92A10" w:rsidRPr="00F97B2D">
        <w:rPr>
          <w:szCs w:val="24"/>
        </w:rPr>
        <w:t xml:space="preserve"> </w:t>
      </w:r>
      <w:r w:rsidRPr="00F97B2D">
        <w:rPr>
          <w:szCs w:val="24"/>
        </w:rPr>
        <w:t xml:space="preserve">The cross-reactivity values for these compounds were less than 0.5% and are probably not significant. </w:t>
      </w:r>
      <w:r w:rsidR="00B92A10" w:rsidRPr="00F97B2D">
        <w:rPr>
          <w:szCs w:val="24"/>
        </w:rPr>
        <w:t xml:space="preserve"> </w:t>
      </w:r>
      <w:r w:rsidRPr="00F97B2D">
        <w:rPr>
          <w:szCs w:val="24"/>
        </w:rPr>
        <w:t xml:space="preserve">As reported in the manufacturer package inserts, amphetamine and/or methamphetamine were without any cross-reactivity, consequently positives from similar compounds to the amphetamines would not be anticipated. </w:t>
      </w:r>
      <w:r w:rsidR="00B92A10" w:rsidRPr="00F97B2D">
        <w:rPr>
          <w:szCs w:val="24"/>
        </w:rPr>
        <w:t xml:space="preserve"> </w:t>
      </w:r>
      <w:r w:rsidRPr="00F97B2D">
        <w:rPr>
          <w:szCs w:val="24"/>
        </w:rPr>
        <w:t>As mephentermine is structurally similar to methamphetamine, it was not a surprise that methamphetamine and MDMA demonstrated cross-reactivity at concentrations as low as 250 and 200 ng/</w:t>
      </w:r>
      <w:r w:rsidR="00211CA4">
        <w:rPr>
          <w:szCs w:val="24"/>
        </w:rPr>
        <w:t>mL</w:t>
      </w:r>
      <w:r w:rsidRPr="00F97B2D">
        <w:rPr>
          <w:szCs w:val="24"/>
        </w:rPr>
        <w:t xml:space="preserve">, respectively, with cross-reactivity values of 4% and 5%, respectively. </w:t>
      </w:r>
      <w:r w:rsidR="00B92A10" w:rsidRPr="00F97B2D">
        <w:rPr>
          <w:szCs w:val="24"/>
        </w:rPr>
        <w:t xml:space="preserve"> </w:t>
      </w:r>
      <w:r w:rsidRPr="00F97B2D">
        <w:rPr>
          <w:szCs w:val="24"/>
        </w:rPr>
        <w:t xml:space="preserve">These concentrations are well within the range of those typically encountered in forensic specimens. </w:t>
      </w:r>
      <w:r w:rsidR="00B92A10" w:rsidRPr="00F97B2D">
        <w:rPr>
          <w:szCs w:val="24"/>
        </w:rPr>
        <w:t xml:space="preserve"> </w:t>
      </w:r>
      <w:r w:rsidRPr="00F97B2D">
        <w:rPr>
          <w:szCs w:val="24"/>
        </w:rPr>
        <w:t xml:space="preserve">The Neogen mephentermine </w:t>
      </w:r>
      <w:r w:rsidR="00854951">
        <w:rPr>
          <w:szCs w:val="24"/>
        </w:rPr>
        <w:t>assay</w:t>
      </w:r>
      <w:r w:rsidR="00854951" w:rsidRPr="00F97B2D">
        <w:rPr>
          <w:szCs w:val="24"/>
        </w:rPr>
        <w:t xml:space="preserve"> </w:t>
      </w:r>
      <w:r w:rsidRPr="00F97B2D">
        <w:rPr>
          <w:szCs w:val="24"/>
        </w:rPr>
        <w:t>also demonstrated minimal cross</w:t>
      </w:r>
      <w:r w:rsidR="00B92A10" w:rsidRPr="00F97B2D">
        <w:rPr>
          <w:szCs w:val="24"/>
        </w:rPr>
        <w:t>-</w:t>
      </w:r>
      <w:r w:rsidRPr="00F97B2D">
        <w:rPr>
          <w:szCs w:val="24"/>
        </w:rPr>
        <w:t xml:space="preserve">reactivity with MDEA and ethylamphetamine, analytes that are also structurally similar. </w:t>
      </w:r>
      <w:r w:rsidR="00B92A10" w:rsidRPr="00F97B2D">
        <w:rPr>
          <w:szCs w:val="24"/>
        </w:rPr>
        <w:t xml:space="preserve"> </w:t>
      </w:r>
      <w:r w:rsidRPr="00F97B2D">
        <w:rPr>
          <w:szCs w:val="24"/>
        </w:rPr>
        <w:t>This cross-reactivity is also likely to be of less significance, since the positive results occurred at relatively high concentrations: 1</w:t>
      </w:r>
      <w:r w:rsidR="00810B1A" w:rsidRPr="00F97B2D">
        <w:rPr>
          <w:szCs w:val="24"/>
        </w:rPr>
        <w:t>,</w:t>
      </w:r>
      <w:r w:rsidRPr="00F97B2D">
        <w:rPr>
          <w:szCs w:val="24"/>
        </w:rPr>
        <w:t>250 and 1</w:t>
      </w:r>
      <w:r w:rsidR="00810B1A" w:rsidRPr="00F97B2D">
        <w:rPr>
          <w:szCs w:val="24"/>
        </w:rPr>
        <w:t>,</w:t>
      </w:r>
      <w:r w:rsidRPr="00F97B2D">
        <w:rPr>
          <w:szCs w:val="24"/>
        </w:rPr>
        <w:t>750 ng/</w:t>
      </w:r>
      <w:r w:rsidR="00211CA4">
        <w:rPr>
          <w:szCs w:val="24"/>
        </w:rPr>
        <w:t>mL</w:t>
      </w:r>
      <w:r w:rsidRPr="00F97B2D">
        <w:rPr>
          <w:szCs w:val="24"/>
        </w:rPr>
        <w:t>, respectively.</w:t>
      </w:r>
    </w:p>
    <w:p w:rsidR="00FE04AF" w:rsidRPr="00F97B2D" w:rsidRDefault="00FE04AF" w:rsidP="00B63B8A">
      <w:pPr>
        <w:autoSpaceDE w:val="0"/>
        <w:autoSpaceDN w:val="0"/>
        <w:adjustRightInd w:val="0"/>
        <w:spacing w:after="0" w:line="480" w:lineRule="auto"/>
        <w:ind w:firstLine="720"/>
        <w:rPr>
          <w:szCs w:val="24"/>
        </w:rPr>
        <w:sectPr w:rsidR="00FE04AF" w:rsidRPr="00F97B2D" w:rsidSect="00005A65">
          <w:pgSz w:w="12240" w:h="15840" w:code="1"/>
          <w:pgMar w:top="1440" w:right="1440" w:bottom="1800" w:left="2160" w:header="720" w:footer="720" w:gutter="0"/>
          <w:cols w:space="720"/>
          <w:docGrid w:linePitch="360"/>
        </w:sectPr>
      </w:pPr>
    </w:p>
    <w:p w:rsidR="00FE04AF" w:rsidRPr="00F97B2D" w:rsidRDefault="00FE04AF" w:rsidP="00F97B2D">
      <w:pPr>
        <w:pStyle w:val="Caption"/>
      </w:pPr>
      <w:bookmarkStart w:id="147" w:name="_Ref362531455"/>
      <w:bookmarkStart w:id="148" w:name="_Toc372536119"/>
      <w:r w:rsidRPr="00F97B2D">
        <w:t xml:space="preserve">Table </w:t>
      </w:r>
      <w:r w:rsidR="000E239B" w:rsidRPr="00F97B2D">
        <w:fldChar w:fldCharType="begin"/>
      </w:r>
      <w:r w:rsidR="00B2107A" w:rsidRPr="00F97B2D">
        <w:instrText xml:space="preserve"> SEQ Table \* ARABIC </w:instrText>
      </w:r>
      <w:r w:rsidR="000E239B" w:rsidRPr="00F97B2D">
        <w:fldChar w:fldCharType="separate"/>
      </w:r>
      <w:r w:rsidR="00E37796">
        <w:rPr>
          <w:noProof/>
        </w:rPr>
        <w:t>4</w:t>
      </w:r>
      <w:r w:rsidR="000E239B" w:rsidRPr="00F97B2D">
        <w:rPr>
          <w:noProof/>
        </w:rPr>
        <w:fldChar w:fldCharType="end"/>
      </w:r>
      <w:bookmarkEnd w:id="147"/>
      <w:r w:rsidRPr="00F97B2D">
        <w:t xml:space="preserve">: Summary of Cross-Reactivity Data by </w:t>
      </w:r>
      <w:r w:rsidR="00854951">
        <w:t>Assay</w:t>
      </w:r>
      <w:bookmarkEnd w:id="148"/>
    </w:p>
    <w:p w:rsidR="00FE04AF" w:rsidRPr="00F97B2D" w:rsidRDefault="00284E98" w:rsidP="00FE04AF">
      <w:pPr>
        <w:autoSpaceDE w:val="0"/>
        <w:autoSpaceDN w:val="0"/>
        <w:adjustRightInd w:val="0"/>
        <w:spacing w:after="0" w:line="480" w:lineRule="auto"/>
        <w:rPr>
          <w:szCs w:val="24"/>
        </w:rPr>
        <w:sectPr w:rsidR="00FE04AF" w:rsidRPr="00F97B2D" w:rsidSect="00005A65">
          <w:pgSz w:w="15840" w:h="12240" w:orient="landscape" w:code="1"/>
          <w:pgMar w:top="2160" w:right="1440" w:bottom="1440" w:left="1800" w:header="720" w:footer="720" w:gutter="0"/>
          <w:cols w:space="720"/>
          <w:docGrid w:linePitch="360"/>
        </w:sectPr>
      </w:pPr>
      <w:r>
        <w:rPr>
          <w:noProof/>
          <w:szCs w:val="24"/>
          <w:lang w:bidi="ar-SA"/>
        </w:rPr>
        <w:drawing>
          <wp:inline distT="0" distB="0" distL="0" distR="0">
            <wp:extent cx="7772400" cy="5271977"/>
            <wp:effectExtent l="19050" t="0" r="0" b="0"/>
            <wp:docPr id="4" name="Picture 3" descr="CrossRea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Reactivity.jpg"/>
                    <pic:cNvPicPr/>
                  </pic:nvPicPr>
                  <pic:blipFill>
                    <a:blip r:embed="rId18"/>
                    <a:stretch>
                      <a:fillRect/>
                    </a:stretch>
                  </pic:blipFill>
                  <pic:spPr>
                    <a:xfrm>
                      <a:off x="0" y="0"/>
                      <a:ext cx="7772400" cy="5271977"/>
                    </a:xfrm>
                    <a:prstGeom prst="rect">
                      <a:avLst/>
                    </a:prstGeom>
                  </pic:spPr>
                </pic:pic>
              </a:graphicData>
            </a:graphic>
          </wp:inline>
        </w:drawing>
      </w:r>
    </w:p>
    <w:p w:rsidR="00B63B8A" w:rsidRPr="00F97B2D" w:rsidRDefault="00B63B8A" w:rsidP="00B63B8A">
      <w:pPr>
        <w:autoSpaceDE w:val="0"/>
        <w:autoSpaceDN w:val="0"/>
        <w:adjustRightInd w:val="0"/>
        <w:spacing w:after="0" w:line="480" w:lineRule="auto"/>
        <w:ind w:firstLine="720"/>
        <w:rPr>
          <w:szCs w:val="24"/>
        </w:rPr>
      </w:pPr>
      <w:r w:rsidRPr="00F97B2D">
        <w:rPr>
          <w:szCs w:val="24"/>
        </w:rPr>
        <w:t xml:space="preserve">Upon investigation of the amphetamine-targeting </w:t>
      </w:r>
      <w:r w:rsidR="00932348">
        <w:rPr>
          <w:szCs w:val="24"/>
        </w:rPr>
        <w:t>assay</w:t>
      </w:r>
      <w:r w:rsidRPr="00F97B2D">
        <w:rPr>
          <w:szCs w:val="24"/>
        </w:rPr>
        <w:t xml:space="preserve">s, it became apparent that these </w:t>
      </w:r>
      <w:r w:rsidR="00854951">
        <w:rPr>
          <w:szCs w:val="24"/>
        </w:rPr>
        <w:t>assays</w:t>
      </w:r>
      <w:r w:rsidRPr="00F97B2D">
        <w:rPr>
          <w:szCs w:val="24"/>
        </w:rPr>
        <w:t xml:space="preserve"> are quite selective. </w:t>
      </w:r>
      <w:r w:rsidR="00B92A10" w:rsidRPr="00F97B2D">
        <w:rPr>
          <w:szCs w:val="24"/>
        </w:rPr>
        <w:t xml:space="preserve"> </w:t>
      </w:r>
      <w:r w:rsidRPr="00F97B2D">
        <w:rPr>
          <w:szCs w:val="24"/>
        </w:rPr>
        <w:t>The Immunalysis amphetamine, Neoge</w:t>
      </w:r>
      <w:r w:rsidR="00E951CA">
        <w:rPr>
          <w:szCs w:val="24"/>
        </w:rPr>
        <w:t>n amphetamine specific, and OraS</w:t>
      </w:r>
      <w:r w:rsidRPr="00F97B2D">
        <w:rPr>
          <w:szCs w:val="24"/>
        </w:rPr>
        <w:t xml:space="preserve">ure amphetamine specific </w:t>
      </w:r>
      <w:r w:rsidR="00854951">
        <w:rPr>
          <w:szCs w:val="24"/>
        </w:rPr>
        <w:t>assays</w:t>
      </w:r>
      <w:r w:rsidRPr="00F97B2D">
        <w:rPr>
          <w:szCs w:val="24"/>
        </w:rPr>
        <w:t xml:space="preserve"> all produced positive test results for MDA and AMT at concentrations between 10–150 ng/</w:t>
      </w:r>
      <w:r w:rsidR="00211CA4">
        <w:rPr>
          <w:szCs w:val="24"/>
        </w:rPr>
        <w:t>mL</w:t>
      </w:r>
      <w:r w:rsidRPr="00F97B2D">
        <w:rPr>
          <w:szCs w:val="24"/>
        </w:rPr>
        <w:t xml:space="preserve">, depending on the </w:t>
      </w:r>
      <w:r w:rsidR="00854951">
        <w:rPr>
          <w:szCs w:val="24"/>
        </w:rPr>
        <w:t>kit</w:t>
      </w:r>
      <w:r w:rsidRPr="00F97B2D">
        <w:rPr>
          <w:szCs w:val="24"/>
        </w:rPr>
        <w:t>.</w:t>
      </w:r>
      <w:r w:rsidR="00B92A10" w:rsidRPr="00F97B2D">
        <w:rPr>
          <w:szCs w:val="24"/>
        </w:rPr>
        <w:t xml:space="preserve"> </w:t>
      </w:r>
      <w:r w:rsidRPr="00F97B2D">
        <w:rPr>
          <w:szCs w:val="24"/>
        </w:rPr>
        <w:t xml:space="preserve"> The extensive cross-reactivity with</w:t>
      </w:r>
      <w:r w:rsidR="00B92A10" w:rsidRPr="00F97B2D">
        <w:rPr>
          <w:szCs w:val="24"/>
        </w:rPr>
        <w:t xml:space="preserve"> </w:t>
      </w:r>
      <w:r w:rsidRPr="00F97B2D">
        <w:rPr>
          <w:szCs w:val="24"/>
        </w:rPr>
        <w:t>MDA (90–250%) was expected, per the manufacturers’ data.</w:t>
      </w:r>
      <w:r w:rsidR="00B92A10" w:rsidRPr="00F97B2D">
        <w:rPr>
          <w:szCs w:val="24"/>
        </w:rPr>
        <w:t xml:space="preserve"> </w:t>
      </w:r>
      <w:r w:rsidRPr="00F97B2D">
        <w:rPr>
          <w:szCs w:val="24"/>
        </w:rPr>
        <w:t xml:space="preserve"> The cross</w:t>
      </w:r>
      <w:r w:rsidR="00B92A10" w:rsidRPr="00F97B2D">
        <w:rPr>
          <w:szCs w:val="24"/>
        </w:rPr>
        <w:t>-</w:t>
      </w:r>
      <w:r w:rsidRPr="00F97B2D">
        <w:rPr>
          <w:szCs w:val="24"/>
        </w:rPr>
        <w:t>reactivity with AMT (30–120%) was not entirely surprising, given the cross-reactivity reported by Boland et al. for the same compound in post-mortem urine and gastric contents when analyzed by EMIT amphetamine immunoas</w:t>
      </w:r>
      <w:r w:rsidR="00B92A10" w:rsidRPr="00F97B2D">
        <w:rPr>
          <w:szCs w:val="24"/>
        </w:rPr>
        <w:t>say.</w:t>
      </w:r>
      <w:sdt>
        <w:sdtPr>
          <w:rPr>
            <w:szCs w:val="24"/>
          </w:rPr>
          <w:id w:val="86858723"/>
          <w:citation/>
        </w:sdtPr>
        <w:sdtEndPr/>
        <w:sdtContent>
          <w:r w:rsidR="000E239B" w:rsidRPr="00420938">
            <w:rPr>
              <w:rStyle w:val="In-TextCitation"/>
            </w:rPr>
            <w:fldChar w:fldCharType="begin"/>
          </w:r>
          <w:r w:rsidR="00B92A10" w:rsidRPr="00420938">
            <w:rPr>
              <w:rStyle w:val="In-TextCitation"/>
            </w:rPr>
            <w:instrText xml:space="preserve"> CITATION DMB05 \l 1033 </w:instrText>
          </w:r>
          <w:r w:rsidR="000E239B" w:rsidRPr="00420938">
            <w:rPr>
              <w:rStyle w:val="In-TextCitation"/>
            </w:rPr>
            <w:fldChar w:fldCharType="separate"/>
          </w:r>
          <w:r w:rsidR="00420938" w:rsidRPr="00420938">
            <w:rPr>
              <w:rStyle w:val="In-TextCitation"/>
            </w:rPr>
            <w:t>(</w:t>
          </w:r>
          <w:hyperlink w:anchor="DMB05" w:history="1">
            <w:r w:rsidR="00420938" w:rsidRPr="00420938">
              <w:rPr>
                <w:rStyle w:val="In-TextCitation"/>
              </w:rPr>
              <w:t>25</w:t>
            </w:r>
          </w:hyperlink>
          <w:r w:rsidR="00420938" w:rsidRPr="00420938">
            <w:rPr>
              <w:rStyle w:val="In-TextCitation"/>
            </w:rPr>
            <w:t>)</w:t>
          </w:r>
          <w:r w:rsidR="000E239B" w:rsidRPr="00420938">
            <w:rPr>
              <w:rStyle w:val="In-TextCitation"/>
            </w:rPr>
            <w:fldChar w:fldCharType="end"/>
          </w:r>
        </w:sdtContent>
      </w:sdt>
      <w:r w:rsidR="00B92A10" w:rsidRPr="00F97B2D">
        <w:rPr>
          <w:szCs w:val="24"/>
        </w:rPr>
        <w:t xml:space="preserve">  </w:t>
      </w:r>
      <w:r w:rsidRPr="00F97B2D">
        <w:rPr>
          <w:szCs w:val="24"/>
        </w:rPr>
        <w:t xml:space="preserve">The other two </w:t>
      </w:r>
      <w:r w:rsidR="00932348">
        <w:rPr>
          <w:szCs w:val="24"/>
        </w:rPr>
        <w:t>assay</w:t>
      </w:r>
      <w:r w:rsidR="00854951">
        <w:rPr>
          <w:szCs w:val="24"/>
        </w:rPr>
        <w:t>s</w:t>
      </w:r>
      <w:r w:rsidRPr="00F97B2D">
        <w:rPr>
          <w:szCs w:val="24"/>
        </w:rPr>
        <w:t>, Neogen Amphetamine and Neogen Amphetamine Ultra, were less specific and dem</w:t>
      </w:r>
      <w:r w:rsidR="00B92A10" w:rsidRPr="00F97B2D">
        <w:rPr>
          <w:szCs w:val="24"/>
        </w:rPr>
        <w:t xml:space="preserve">onstrated cross-reactivity with </w:t>
      </w:r>
      <w:r w:rsidRPr="00F97B2D">
        <w:rPr>
          <w:szCs w:val="24"/>
        </w:rPr>
        <w:t>methamphetamine, MDEA, MDMA, ethylamphetamine, mCPP, and AMT in the range of 10–1</w:t>
      </w:r>
      <w:r w:rsidR="00810B1A" w:rsidRPr="00F97B2D">
        <w:rPr>
          <w:szCs w:val="24"/>
        </w:rPr>
        <w:t>,</w:t>
      </w:r>
      <w:r w:rsidRPr="00F97B2D">
        <w:rPr>
          <w:szCs w:val="24"/>
        </w:rPr>
        <w:t>250 ng/</w:t>
      </w:r>
      <w:r w:rsidR="00211CA4">
        <w:rPr>
          <w:szCs w:val="24"/>
        </w:rPr>
        <w:t>mL</w:t>
      </w:r>
      <w:r w:rsidRPr="00F97B2D">
        <w:rPr>
          <w:szCs w:val="24"/>
        </w:rPr>
        <w:t xml:space="preserve">. </w:t>
      </w:r>
      <w:r w:rsidR="00B92A10" w:rsidRPr="00F97B2D">
        <w:rPr>
          <w:szCs w:val="24"/>
        </w:rPr>
        <w:t xml:space="preserve"> </w:t>
      </w:r>
      <w:r w:rsidRPr="00F97B2D">
        <w:rPr>
          <w:szCs w:val="24"/>
        </w:rPr>
        <w:t xml:space="preserve">The results for methamphetamine and MDMA were consistent with those reported in the package inserts. MDEA and ethylamphetamine, both structurally similar to amphetamine, were not included in the manufacturer’s data but the results appear reasonable given those for MDMA. </w:t>
      </w:r>
      <w:r w:rsidR="00B92A10" w:rsidRPr="00F97B2D">
        <w:rPr>
          <w:szCs w:val="24"/>
        </w:rPr>
        <w:t xml:space="preserve"> </w:t>
      </w:r>
      <w:r w:rsidRPr="00F97B2D">
        <w:rPr>
          <w:szCs w:val="24"/>
        </w:rPr>
        <w:t xml:space="preserve">The cross-reactivity towards AMT was also not unexpected, given the results from the more specific amphetamine </w:t>
      </w:r>
      <w:r w:rsidR="00932348">
        <w:rPr>
          <w:szCs w:val="24"/>
        </w:rPr>
        <w:t>assay</w:t>
      </w:r>
      <w:r w:rsidRPr="00F97B2D">
        <w:rPr>
          <w:szCs w:val="24"/>
        </w:rPr>
        <w:t xml:space="preserve">s. </w:t>
      </w:r>
      <w:r w:rsidR="00B92A10" w:rsidRPr="00F97B2D">
        <w:rPr>
          <w:szCs w:val="24"/>
        </w:rPr>
        <w:t xml:space="preserve"> </w:t>
      </w:r>
      <w:r w:rsidRPr="00F97B2D">
        <w:rPr>
          <w:szCs w:val="24"/>
        </w:rPr>
        <w:t xml:space="preserve">The most remarkable result was that for mCPP, with cross-reactivity noted at concentrations </w:t>
      </w:r>
      <w:proofErr w:type="gramStart"/>
      <w:r w:rsidRPr="00F97B2D">
        <w:rPr>
          <w:szCs w:val="24"/>
        </w:rPr>
        <w:t>of approximately 150 ng/</w:t>
      </w:r>
      <w:r w:rsidR="00211CA4">
        <w:rPr>
          <w:szCs w:val="24"/>
        </w:rPr>
        <w:t>mL</w:t>
      </w:r>
      <w:proofErr w:type="gramEnd"/>
      <w:r w:rsidRPr="00F97B2D">
        <w:rPr>
          <w:szCs w:val="24"/>
        </w:rPr>
        <w:t xml:space="preserve"> for both of these </w:t>
      </w:r>
      <w:r w:rsidR="00932348">
        <w:rPr>
          <w:szCs w:val="24"/>
        </w:rPr>
        <w:t>assay</w:t>
      </w:r>
      <w:r w:rsidRPr="00F97B2D">
        <w:rPr>
          <w:szCs w:val="24"/>
        </w:rPr>
        <w:t xml:space="preserve">s, resulting in cross-reactivity values of 32%. </w:t>
      </w:r>
      <w:r w:rsidR="00B92A10" w:rsidRPr="00F97B2D">
        <w:rPr>
          <w:szCs w:val="24"/>
        </w:rPr>
        <w:t xml:space="preserve"> </w:t>
      </w:r>
      <w:r w:rsidRPr="00F97B2D">
        <w:rPr>
          <w:szCs w:val="24"/>
        </w:rPr>
        <w:t>Without additional information regarding the specific antibody used in the kits (</w:t>
      </w:r>
      <w:r w:rsidRPr="00F97B2D">
        <w:rPr>
          <w:i/>
          <w:szCs w:val="24"/>
        </w:rPr>
        <w:t>e.g.</w:t>
      </w:r>
      <w:r w:rsidR="00CE1144" w:rsidRPr="00F97B2D">
        <w:rPr>
          <w:szCs w:val="24"/>
        </w:rPr>
        <w:t>,</w:t>
      </w:r>
      <w:r w:rsidRPr="00F97B2D">
        <w:rPr>
          <w:szCs w:val="24"/>
        </w:rPr>
        <w:t xml:space="preserve"> hapten and carrier used for immunization, method of purification), it is difficult to explain this phenomenon. </w:t>
      </w:r>
      <w:r w:rsidR="00B92A10" w:rsidRPr="00F97B2D">
        <w:rPr>
          <w:szCs w:val="24"/>
        </w:rPr>
        <w:t xml:space="preserve"> </w:t>
      </w:r>
      <w:r w:rsidRPr="00F97B2D">
        <w:rPr>
          <w:szCs w:val="24"/>
        </w:rPr>
        <w:t xml:space="preserve">However, it is corroborated by the fact that TFMPP, similar in structure to mCPP, also demonstrated cross-reactivity at concentrations </w:t>
      </w:r>
      <w:proofErr w:type="gramStart"/>
      <w:r w:rsidRPr="00F97B2D">
        <w:rPr>
          <w:szCs w:val="24"/>
        </w:rPr>
        <w:t>around 2</w:t>
      </w:r>
      <w:r w:rsidR="00810B1A" w:rsidRPr="00F97B2D">
        <w:rPr>
          <w:szCs w:val="24"/>
        </w:rPr>
        <w:t>,</w:t>
      </w:r>
      <w:r w:rsidRPr="00F97B2D">
        <w:rPr>
          <w:szCs w:val="24"/>
        </w:rPr>
        <w:t>500 ng/</w:t>
      </w:r>
      <w:r w:rsidR="00211CA4">
        <w:rPr>
          <w:szCs w:val="24"/>
        </w:rPr>
        <w:t>mL</w:t>
      </w:r>
      <w:proofErr w:type="gramEnd"/>
      <w:r w:rsidRPr="00F97B2D">
        <w:rPr>
          <w:szCs w:val="24"/>
        </w:rPr>
        <w:t>.</w:t>
      </w:r>
      <w:r w:rsidR="00B92A10" w:rsidRPr="00F97B2D">
        <w:rPr>
          <w:szCs w:val="24"/>
        </w:rPr>
        <w:t xml:space="preserve"> </w:t>
      </w:r>
      <w:r w:rsidRPr="00F97B2D">
        <w:rPr>
          <w:szCs w:val="24"/>
        </w:rPr>
        <w:t xml:space="preserve"> This result could be further explored by analysis with authentic specimens.</w:t>
      </w:r>
    </w:p>
    <w:p w:rsidR="00B63B8A" w:rsidRPr="00F97B2D" w:rsidRDefault="00B63B8A" w:rsidP="00B63B8A">
      <w:pPr>
        <w:autoSpaceDE w:val="0"/>
        <w:autoSpaceDN w:val="0"/>
        <w:adjustRightInd w:val="0"/>
        <w:spacing w:after="0" w:line="480" w:lineRule="auto"/>
        <w:ind w:firstLine="720"/>
        <w:rPr>
          <w:szCs w:val="24"/>
        </w:rPr>
      </w:pPr>
      <w:r w:rsidRPr="00F97B2D">
        <w:rPr>
          <w:szCs w:val="24"/>
        </w:rPr>
        <w:t xml:space="preserve">After examining the analytes of interest by methamphetamine-based </w:t>
      </w:r>
      <w:r w:rsidR="00854951">
        <w:rPr>
          <w:szCs w:val="24"/>
        </w:rPr>
        <w:t>assays</w:t>
      </w:r>
      <w:r w:rsidRPr="00F97B2D">
        <w:rPr>
          <w:szCs w:val="24"/>
        </w:rPr>
        <w:t xml:space="preserve">, it was evident that the results were comparable to those using </w:t>
      </w:r>
      <w:r w:rsidR="00932348">
        <w:rPr>
          <w:szCs w:val="24"/>
        </w:rPr>
        <w:t>assay</w:t>
      </w:r>
      <w:r w:rsidRPr="00F97B2D">
        <w:rPr>
          <w:szCs w:val="24"/>
        </w:rPr>
        <w:t xml:space="preserve">s targeting amphetamine, except with regard to the cathinone derivatives. </w:t>
      </w:r>
      <w:r w:rsidR="00B92A10" w:rsidRPr="00F97B2D">
        <w:rPr>
          <w:szCs w:val="24"/>
        </w:rPr>
        <w:t xml:space="preserve"> </w:t>
      </w:r>
      <w:r w:rsidRPr="00F97B2D">
        <w:rPr>
          <w:szCs w:val="24"/>
        </w:rPr>
        <w:t xml:space="preserve">The Immunalysis Methamphetamine, Neogen Methamphetamine/MDMA, and OraSure Methamphetamine </w:t>
      </w:r>
      <w:r w:rsidR="00932348">
        <w:rPr>
          <w:szCs w:val="24"/>
        </w:rPr>
        <w:t>assay</w:t>
      </w:r>
      <w:r w:rsidRPr="00F97B2D">
        <w:rPr>
          <w:szCs w:val="24"/>
        </w:rPr>
        <w:t xml:space="preserve">s displayed positive test results for MDEA, MDMA, and ethylamphetamine at low concentrations, with cross-reactivities between 15 and 250%. </w:t>
      </w:r>
      <w:r w:rsidR="00B92A10" w:rsidRPr="00F97B2D">
        <w:rPr>
          <w:szCs w:val="24"/>
        </w:rPr>
        <w:t xml:space="preserve"> </w:t>
      </w:r>
      <w:r w:rsidRPr="00F97B2D">
        <w:rPr>
          <w:szCs w:val="24"/>
        </w:rPr>
        <w:t xml:space="preserve">While cross-reactivity was less than 2% for the cathinone derivatives using the Immunalysis or Neogen methamphetamine </w:t>
      </w:r>
      <w:r w:rsidR="00932348">
        <w:rPr>
          <w:szCs w:val="24"/>
        </w:rPr>
        <w:t>assay</w:t>
      </w:r>
      <w:r w:rsidR="00854951">
        <w:rPr>
          <w:szCs w:val="24"/>
        </w:rPr>
        <w:t>s</w:t>
      </w:r>
      <w:r w:rsidRPr="00F97B2D">
        <w:rPr>
          <w:szCs w:val="24"/>
        </w:rPr>
        <w:t>, with positive test results at levels as low as 1</w:t>
      </w:r>
      <w:r w:rsidR="00810B1A" w:rsidRPr="00F97B2D">
        <w:rPr>
          <w:szCs w:val="24"/>
        </w:rPr>
        <w:t>,</w:t>
      </w:r>
      <w:r w:rsidRPr="00F97B2D">
        <w:rPr>
          <w:szCs w:val="24"/>
        </w:rPr>
        <w:t>250 ng/</w:t>
      </w:r>
      <w:r w:rsidR="00211CA4">
        <w:rPr>
          <w:szCs w:val="24"/>
        </w:rPr>
        <w:t>mL</w:t>
      </w:r>
      <w:r w:rsidRPr="00F97B2D">
        <w:rPr>
          <w:szCs w:val="24"/>
        </w:rPr>
        <w:t>, the OraSure assay demonstrated greater cross-reactivity for this class of compounds.</w:t>
      </w:r>
      <w:r w:rsidR="00B92A10" w:rsidRPr="00F97B2D">
        <w:rPr>
          <w:szCs w:val="24"/>
        </w:rPr>
        <w:t xml:space="preserve"> </w:t>
      </w:r>
      <w:r w:rsidRPr="00F97B2D">
        <w:rPr>
          <w:szCs w:val="24"/>
        </w:rPr>
        <w:t xml:space="preserve"> Positive test results for mephedrone, methcathinone, methylone, 4-MEC, flephedrone, butylone, and methedrone were still observed at concentrations as low as 40–450 ng/</w:t>
      </w:r>
      <w:r w:rsidR="00211CA4">
        <w:rPr>
          <w:szCs w:val="24"/>
        </w:rPr>
        <w:t>mL</w:t>
      </w:r>
      <w:r w:rsidRPr="00F97B2D">
        <w:rPr>
          <w:szCs w:val="24"/>
        </w:rPr>
        <w:t>, with cross-reactivity values in the range of 2–25%.</w:t>
      </w:r>
      <w:r w:rsidR="00B92A10" w:rsidRPr="00F97B2D">
        <w:rPr>
          <w:szCs w:val="24"/>
        </w:rPr>
        <w:t xml:space="preserve"> </w:t>
      </w:r>
      <w:r w:rsidRPr="00F97B2D">
        <w:rPr>
          <w:szCs w:val="24"/>
        </w:rPr>
        <w:t xml:space="preserve"> While these findings indicate that the OraSure methamphetamine </w:t>
      </w:r>
      <w:r w:rsidR="00854951">
        <w:rPr>
          <w:szCs w:val="24"/>
        </w:rPr>
        <w:t>assay</w:t>
      </w:r>
      <w:r w:rsidR="00854951" w:rsidRPr="00F97B2D">
        <w:rPr>
          <w:szCs w:val="24"/>
        </w:rPr>
        <w:t xml:space="preserve"> </w:t>
      </w:r>
      <w:r w:rsidR="00854951">
        <w:rPr>
          <w:szCs w:val="24"/>
        </w:rPr>
        <w:t>is</w:t>
      </w:r>
      <w:r w:rsidRPr="00F97B2D">
        <w:rPr>
          <w:szCs w:val="24"/>
        </w:rPr>
        <w:t xml:space="preserve"> less specific than those from Immunalysis or Neogen, they also demonstrate that this </w:t>
      </w:r>
      <w:r w:rsidR="00932348">
        <w:rPr>
          <w:szCs w:val="24"/>
        </w:rPr>
        <w:t>assay</w:t>
      </w:r>
      <w:r w:rsidRPr="00F97B2D">
        <w:rPr>
          <w:szCs w:val="24"/>
        </w:rPr>
        <w:t xml:space="preserve"> may be a viable screening tool for presumptively detecting bath salts in biological fluids at concentrations that can be encountered in forensic specimens, without necessarily targeting overdose levels.</w:t>
      </w:r>
      <w:r w:rsidR="00B92A10" w:rsidRPr="00F97B2D">
        <w:rPr>
          <w:szCs w:val="24"/>
        </w:rPr>
        <w:t xml:space="preserve"> </w:t>
      </w:r>
      <w:r w:rsidRPr="00F97B2D">
        <w:rPr>
          <w:szCs w:val="24"/>
        </w:rPr>
        <w:t xml:space="preserve"> It is important to note that the OraSure Methamphetamine kit is designed for screening in oral fluid, so it may not be commonly used by laboratories screening other matrices and may require additional validation.</w:t>
      </w:r>
    </w:p>
    <w:p w:rsidR="00B63B8A" w:rsidRPr="00F97B2D" w:rsidRDefault="00B63B8A" w:rsidP="00B63B8A">
      <w:pPr>
        <w:autoSpaceDE w:val="0"/>
        <w:autoSpaceDN w:val="0"/>
        <w:adjustRightInd w:val="0"/>
        <w:spacing w:after="0" w:line="480" w:lineRule="auto"/>
        <w:ind w:firstLine="720"/>
        <w:rPr>
          <w:szCs w:val="24"/>
        </w:rPr>
      </w:pPr>
      <w:r w:rsidRPr="00F97B2D">
        <w:rPr>
          <w:szCs w:val="24"/>
        </w:rPr>
        <w:t xml:space="preserve">While the previously described assays targeted amphetamine, methamphetamine, or other commonly encountered drugs, the Randox </w:t>
      </w:r>
      <w:r w:rsidR="00854951">
        <w:rPr>
          <w:szCs w:val="24"/>
        </w:rPr>
        <w:t>assays</w:t>
      </w:r>
      <w:r w:rsidRPr="00F97B2D">
        <w:rPr>
          <w:szCs w:val="24"/>
        </w:rPr>
        <w:t xml:space="preserve"> were specifically designed to detect bath salts or cathinone derivatives.</w:t>
      </w:r>
      <w:r w:rsidR="00B92A10" w:rsidRPr="00F97B2D">
        <w:rPr>
          <w:szCs w:val="24"/>
        </w:rPr>
        <w:t xml:space="preserve"> </w:t>
      </w:r>
      <w:r w:rsidRPr="00F97B2D">
        <w:rPr>
          <w:szCs w:val="24"/>
        </w:rPr>
        <w:t xml:space="preserve"> The Randox MDPV </w:t>
      </w:r>
      <w:r w:rsidR="00932348">
        <w:rPr>
          <w:szCs w:val="24"/>
        </w:rPr>
        <w:t>assay</w:t>
      </w:r>
      <w:r w:rsidRPr="00F97B2D">
        <w:rPr>
          <w:szCs w:val="24"/>
        </w:rPr>
        <w:t xml:space="preserve"> was extremely selective, with only butylone demonstrating cross-reactivity at levels as low </w:t>
      </w:r>
      <w:proofErr w:type="gramStart"/>
      <w:r w:rsidRPr="00F97B2D">
        <w:rPr>
          <w:szCs w:val="24"/>
        </w:rPr>
        <w:t>as 150 ng/</w:t>
      </w:r>
      <w:r w:rsidR="00211CA4">
        <w:rPr>
          <w:szCs w:val="24"/>
        </w:rPr>
        <w:t>mL</w:t>
      </w:r>
      <w:proofErr w:type="gramEnd"/>
      <w:r w:rsidRPr="00F97B2D">
        <w:rPr>
          <w:szCs w:val="24"/>
        </w:rPr>
        <w:t>.</w:t>
      </w:r>
      <w:r w:rsidR="00B92A10" w:rsidRPr="00F97B2D">
        <w:rPr>
          <w:szCs w:val="24"/>
        </w:rPr>
        <w:t xml:space="preserve"> </w:t>
      </w:r>
      <w:r w:rsidRPr="00F97B2D">
        <w:rPr>
          <w:szCs w:val="24"/>
        </w:rPr>
        <w:t xml:space="preserve"> Since the MDPV </w:t>
      </w:r>
      <w:r w:rsidR="00854951">
        <w:rPr>
          <w:szCs w:val="24"/>
        </w:rPr>
        <w:t>assay</w:t>
      </w:r>
      <w:r w:rsidRPr="00F97B2D">
        <w:rPr>
          <w:szCs w:val="24"/>
        </w:rPr>
        <w:t xml:space="preserve"> did not produce positive test results with other cathinone derivatives, it can be hypothesized that the side chain on the alpha-carbon of MDPV behaves similarly to the side chain on butylone. </w:t>
      </w:r>
      <w:r w:rsidR="00B92A10" w:rsidRPr="00F97B2D">
        <w:rPr>
          <w:szCs w:val="24"/>
        </w:rPr>
        <w:t xml:space="preserve"> </w:t>
      </w:r>
      <w:r w:rsidRPr="00F97B2D">
        <w:rPr>
          <w:szCs w:val="24"/>
        </w:rPr>
        <w:t xml:space="preserve">The Randox Mephedrone/Methcathinone </w:t>
      </w:r>
      <w:r w:rsidR="00932348">
        <w:rPr>
          <w:szCs w:val="24"/>
        </w:rPr>
        <w:t>assay</w:t>
      </w:r>
      <w:r w:rsidRPr="00F97B2D">
        <w:rPr>
          <w:szCs w:val="24"/>
        </w:rPr>
        <w:t xml:space="preserve"> was less specific, since the other cathinone derivatives were still positive by the DSX </w:t>
      </w:r>
      <w:proofErr w:type="gramStart"/>
      <w:r w:rsidRPr="00F97B2D">
        <w:rPr>
          <w:szCs w:val="24"/>
        </w:rPr>
        <w:t>at 150 ng/</w:t>
      </w:r>
      <w:r w:rsidR="00211CA4">
        <w:rPr>
          <w:szCs w:val="24"/>
        </w:rPr>
        <w:t>mL</w:t>
      </w:r>
      <w:r w:rsidRPr="00F97B2D">
        <w:rPr>
          <w:szCs w:val="24"/>
        </w:rPr>
        <w:t xml:space="preserve"> when compared to the positive cut-off control</w:t>
      </w:r>
      <w:proofErr w:type="gramEnd"/>
      <w:r w:rsidRPr="00F97B2D">
        <w:rPr>
          <w:szCs w:val="24"/>
        </w:rPr>
        <w:t>.</w:t>
      </w:r>
      <w:r w:rsidR="00B92A10" w:rsidRPr="00F97B2D">
        <w:rPr>
          <w:szCs w:val="24"/>
        </w:rPr>
        <w:t xml:space="preserve"> </w:t>
      </w:r>
      <w:r w:rsidRPr="00F97B2D">
        <w:rPr>
          <w:szCs w:val="24"/>
        </w:rPr>
        <w:t xml:space="preserve"> Alternatively, the Mephedrone/Methcathinone </w:t>
      </w:r>
      <w:r w:rsidR="00932348">
        <w:rPr>
          <w:szCs w:val="24"/>
        </w:rPr>
        <w:t>assay</w:t>
      </w:r>
      <w:r w:rsidRPr="00F97B2D">
        <w:rPr>
          <w:szCs w:val="24"/>
        </w:rPr>
        <w:t xml:space="preserve"> did not demonstrate cross-reactivity towards MDPV, which might indicate that the activity is hindered by the nitrogen-containing ring system on MDPV. </w:t>
      </w:r>
      <w:r w:rsidR="00B92A10" w:rsidRPr="00F97B2D">
        <w:rPr>
          <w:szCs w:val="24"/>
        </w:rPr>
        <w:t xml:space="preserve"> </w:t>
      </w:r>
      <w:r w:rsidRPr="00F97B2D">
        <w:rPr>
          <w:szCs w:val="24"/>
        </w:rPr>
        <w:t>This assay, however, did not demonstrate cross</w:t>
      </w:r>
      <w:r w:rsidR="00E951CA">
        <w:rPr>
          <w:szCs w:val="24"/>
        </w:rPr>
        <w:t xml:space="preserve"> </w:t>
      </w:r>
      <w:r w:rsidRPr="00F97B2D">
        <w:rPr>
          <w:szCs w:val="24"/>
        </w:rPr>
        <w:t xml:space="preserve">reactivity towards other phenethylamines. </w:t>
      </w:r>
      <w:r w:rsidR="00B92A10" w:rsidRPr="00F97B2D">
        <w:rPr>
          <w:szCs w:val="24"/>
        </w:rPr>
        <w:t xml:space="preserve"> </w:t>
      </w:r>
      <w:r w:rsidRPr="00F97B2D">
        <w:rPr>
          <w:szCs w:val="24"/>
        </w:rPr>
        <w:t xml:space="preserve">While decomposed specimens have not yet been evaluated in the present study, the Randox Mephedrone/Methcathinone assay may be beneficial as a screening tool for targeting bath salts, as putrefactive amines may not interfere due to the high selectivity of these </w:t>
      </w:r>
      <w:r w:rsidR="00854951">
        <w:rPr>
          <w:szCs w:val="24"/>
        </w:rPr>
        <w:t>assays</w:t>
      </w:r>
      <w:r w:rsidRPr="00F97B2D">
        <w:rPr>
          <w:szCs w:val="24"/>
        </w:rPr>
        <w:t>.</w:t>
      </w:r>
    </w:p>
    <w:p w:rsidR="00B63B8A" w:rsidRPr="00F97B2D" w:rsidRDefault="00B63B8A" w:rsidP="00AC5F51">
      <w:pPr>
        <w:pStyle w:val="Heading4"/>
      </w:pPr>
      <w:bookmarkStart w:id="149" w:name="_Toc372536060"/>
      <w:bookmarkStart w:id="150" w:name="_Toc372538723"/>
      <w:r w:rsidRPr="00F97B2D">
        <w:t>EMIT</w:t>
      </w:r>
      <w:bookmarkEnd w:id="149"/>
      <w:bookmarkEnd w:id="150"/>
    </w:p>
    <w:p w:rsidR="00FE04AF" w:rsidRDefault="00FE04AF" w:rsidP="00FE04AF">
      <w:pPr>
        <w:spacing w:line="480" w:lineRule="auto"/>
        <w:ind w:firstLine="720"/>
        <w:rPr>
          <w:szCs w:val="24"/>
        </w:rPr>
      </w:pPr>
      <w:r w:rsidRPr="00F97B2D">
        <w:rPr>
          <w:szCs w:val="24"/>
        </w:rPr>
        <w:t xml:space="preserve">The analytes of </w:t>
      </w:r>
      <w:r w:rsidR="00FF77AD" w:rsidRPr="00F97B2D">
        <w:rPr>
          <w:szCs w:val="24"/>
        </w:rPr>
        <w:t xml:space="preserve">interest that did not generate a positive result for a specific </w:t>
      </w:r>
      <w:r w:rsidR="00854951">
        <w:rPr>
          <w:szCs w:val="24"/>
        </w:rPr>
        <w:t>assay</w:t>
      </w:r>
      <w:r w:rsidR="00FF77AD" w:rsidRPr="00F97B2D">
        <w:rPr>
          <w:szCs w:val="24"/>
        </w:rPr>
        <w:t xml:space="preserve"> </w:t>
      </w:r>
      <w:proofErr w:type="gramStart"/>
      <w:r w:rsidR="00FF77AD" w:rsidRPr="00F97B2D">
        <w:rPr>
          <w:szCs w:val="24"/>
        </w:rPr>
        <w:t>at 10,000 ng/mL</w:t>
      </w:r>
      <w:proofErr w:type="gramEnd"/>
      <w:r w:rsidRPr="00F97B2D">
        <w:rPr>
          <w:szCs w:val="24"/>
        </w:rPr>
        <w:t xml:space="preserve"> were not further analyzed for that kit.  The cut-off equivalent concentration and percent cross-reactivity were calculated using the value at that level.  Compounds which did indicate a positive result at 10,000 ng/mL were further analyzed down to concentrations as low as 10 ng/mL or until a negative result was produced.  The dose response curves for these analytes were constructed in order to examine the cross-reactivity.  These data are summarized in </w:t>
      </w:r>
      <w:r w:rsidR="002E77C7">
        <w:fldChar w:fldCharType="begin"/>
      </w:r>
      <w:r w:rsidR="002E77C7">
        <w:instrText xml:space="preserve"> REF _Ref362531744 \h  \* MERGEFORMAT </w:instrText>
      </w:r>
      <w:r w:rsidR="002E77C7">
        <w:fldChar w:fldCharType="separate"/>
      </w:r>
      <w:r w:rsidR="00E37796" w:rsidRPr="00E37796">
        <w:rPr>
          <w:szCs w:val="24"/>
        </w:rPr>
        <w:t>Table 5</w:t>
      </w:r>
      <w:r w:rsidR="002E77C7">
        <w:fldChar w:fldCharType="end"/>
      </w:r>
      <w:r w:rsidRPr="00F97B2D">
        <w:rPr>
          <w:szCs w:val="24"/>
        </w:rPr>
        <w:t>.</w:t>
      </w:r>
    </w:p>
    <w:p w:rsidR="008C1AC3" w:rsidRDefault="008C1AC3" w:rsidP="00FE04AF">
      <w:pPr>
        <w:spacing w:line="480" w:lineRule="auto"/>
        <w:ind w:firstLine="720"/>
        <w:rPr>
          <w:szCs w:val="24"/>
        </w:rPr>
      </w:pPr>
    </w:p>
    <w:p w:rsidR="008C1AC3" w:rsidRDefault="008C1AC3" w:rsidP="00FE04AF">
      <w:pPr>
        <w:spacing w:line="480" w:lineRule="auto"/>
        <w:ind w:firstLine="720"/>
        <w:rPr>
          <w:szCs w:val="24"/>
        </w:rPr>
      </w:pPr>
    </w:p>
    <w:p w:rsidR="00FE04AF" w:rsidRPr="00F97B2D" w:rsidRDefault="00FE04AF" w:rsidP="00F97B2D">
      <w:pPr>
        <w:pStyle w:val="Caption"/>
      </w:pPr>
      <w:bookmarkStart w:id="151" w:name="_Ref362531744"/>
      <w:bookmarkStart w:id="152" w:name="_Toc372536120"/>
      <w:r w:rsidRPr="00F97B2D">
        <w:t xml:space="preserve">Table </w:t>
      </w:r>
      <w:r w:rsidR="000E239B" w:rsidRPr="00F97B2D">
        <w:fldChar w:fldCharType="begin"/>
      </w:r>
      <w:r w:rsidR="00B2107A" w:rsidRPr="00F97B2D">
        <w:instrText xml:space="preserve"> SEQ Table \* ARABIC </w:instrText>
      </w:r>
      <w:r w:rsidR="000E239B" w:rsidRPr="00F97B2D">
        <w:fldChar w:fldCharType="separate"/>
      </w:r>
      <w:r w:rsidR="00E37796">
        <w:rPr>
          <w:noProof/>
        </w:rPr>
        <w:t>5</w:t>
      </w:r>
      <w:r w:rsidR="000E239B" w:rsidRPr="00F97B2D">
        <w:rPr>
          <w:noProof/>
        </w:rPr>
        <w:fldChar w:fldCharType="end"/>
      </w:r>
      <w:bookmarkEnd w:id="151"/>
      <w:r w:rsidRPr="00F97B2D">
        <w:t>: Cross-Reactivity Data for EMITs</w:t>
      </w:r>
      <w:bookmarkEnd w:id="152"/>
    </w:p>
    <w:tbl>
      <w:tblPr>
        <w:tblStyle w:val="TableGrid"/>
        <w:tblW w:w="0" w:type="auto"/>
        <w:tblCellMar>
          <w:left w:w="43" w:type="dxa"/>
          <w:right w:w="43" w:type="dxa"/>
        </w:tblCellMar>
        <w:tblLook w:val="04A0" w:firstRow="1" w:lastRow="0" w:firstColumn="1" w:lastColumn="0" w:noHBand="0" w:noVBand="1"/>
      </w:tblPr>
      <w:tblGrid>
        <w:gridCol w:w="2418"/>
        <w:gridCol w:w="942"/>
        <w:gridCol w:w="1586"/>
        <w:gridCol w:w="942"/>
        <w:gridCol w:w="1586"/>
      </w:tblGrid>
      <w:tr w:rsidR="00FE04AF" w:rsidRPr="00F97B2D" w:rsidTr="0068761A">
        <w:trPr>
          <w:trHeight w:val="140"/>
          <w:tblHeader/>
        </w:trPr>
        <w:tc>
          <w:tcPr>
            <w:tcW w:w="0" w:type="auto"/>
            <w:vMerge w:val="restart"/>
            <w:vAlign w:val="center"/>
          </w:tcPr>
          <w:p w:rsidR="00FE04AF" w:rsidRPr="00F97B2D" w:rsidRDefault="00FE04AF" w:rsidP="00FE04AF">
            <w:pPr>
              <w:widowControl w:val="0"/>
              <w:jc w:val="center"/>
              <w:rPr>
                <w:rFonts w:eastAsiaTheme="majorEastAsia" w:cstheme="majorBidi"/>
                <w:b/>
                <w:bCs/>
                <w:color w:val="365F91" w:themeColor="accent1" w:themeShade="BF"/>
                <w:szCs w:val="24"/>
              </w:rPr>
            </w:pPr>
          </w:p>
        </w:tc>
        <w:tc>
          <w:tcPr>
            <w:tcW w:w="0" w:type="auto"/>
            <w:gridSpan w:val="4"/>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Syva</w:t>
            </w:r>
          </w:p>
        </w:tc>
      </w:tr>
      <w:tr w:rsidR="00FE04AF" w:rsidRPr="00F97B2D" w:rsidTr="0068761A">
        <w:trPr>
          <w:trHeight w:val="139"/>
          <w:tblHeader/>
        </w:trPr>
        <w:tc>
          <w:tcPr>
            <w:tcW w:w="0" w:type="auto"/>
            <w:vMerge/>
            <w:vAlign w:val="center"/>
          </w:tcPr>
          <w:p w:rsidR="00FE04AF" w:rsidRPr="00F97B2D" w:rsidRDefault="00FE04AF" w:rsidP="00FE04AF">
            <w:pPr>
              <w:widowControl w:val="0"/>
              <w:jc w:val="center"/>
              <w:rPr>
                <w:rFonts w:eastAsia="Times New Roman" w:cs="Times New Roman"/>
                <w:b/>
                <w:szCs w:val="24"/>
              </w:rPr>
            </w:pPr>
          </w:p>
        </w:tc>
        <w:tc>
          <w:tcPr>
            <w:tcW w:w="0" w:type="auto"/>
            <w:gridSpan w:val="2"/>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Amphetamines</w:t>
            </w:r>
          </w:p>
        </w:tc>
        <w:tc>
          <w:tcPr>
            <w:tcW w:w="0" w:type="auto"/>
            <w:gridSpan w:val="2"/>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Ecstasy</w:t>
            </w:r>
          </w:p>
        </w:tc>
      </w:tr>
      <w:tr w:rsidR="00FE04AF" w:rsidRPr="00F97B2D" w:rsidTr="0068761A">
        <w:trPr>
          <w:tblHeader/>
        </w:trPr>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Drug</w:t>
            </w:r>
          </w:p>
        </w:tc>
        <w:tc>
          <w:tcPr>
            <w:tcW w:w="0" w:type="auto"/>
            <w:vAlign w:val="center"/>
          </w:tcPr>
          <w:p w:rsidR="00FE04AF" w:rsidRPr="00F97B2D" w:rsidRDefault="00FE04AF" w:rsidP="00FE04AF">
            <w:pPr>
              <w:widowControl w:val="0"/>
              <w:jc w:val="center"/>
              <w:rPr>
                <w:rFonts w:eastAsia="Times New Roman" w:cs="Times New Roman"/>
                <w:b/>
                <w:szCs w:val="24"/>
                <w:vertAlign w:val="superscript"/>
              </w:rPr>
            </w:pPr>
            <w:r w:rsidRPr="00F97B2D">
              <w:rPr>
                <w:rFonts w:eastAsia="Times New Roman" w:cs="Times New Roman"/>
                <w:b/>
                <w:szCs w:val="24"/>
              </w:rPr>
              <w:t>C</w:t>
            </w:r>
            <w:r w:rsidRPr="00F97B2D">
              <w:rPr>
                <w:rFonts w:eastAsia="Times New Roman" w:cs="Times New Roman"/>
                <w:b/>
                <w:szCs w:val="24"/>
                <w:vertAlign w:val="subscript"/>
              </w:rPr>
              <w:t>300</w:t>
            </w:r>
            <w:r w:rsidRPr="00F97B2D">
              <w:rPr>
                <w:rFonts w:eastAsia="Times New Roman" w:cs="Times New Roman"/>
                <w:b/>
                <w:szCs w:val="24"/>
                <w:vertAlign w:val="superscript"/>
              </w:rPr>
              <w:t>a</w:t>
            </w:r>
          </w:p>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(ng/mL)</w:t>
            </w:r>
          </w:p>
        </w:tc>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Cross-</w:t>
            </w:r>
          </w:p>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Reactivity (%)</w:t>
            </w:r>
          </w:p>
        </w:tc>
        <w:tc>
          <w:tcPr>
            <w:tcW w:w="0" w:type="auto"/>
            <w:vAlign w:val="center"/>
          </w:tcPr>
          <w:p w:rsidR="00FE04AF" w:rsidRPr="00F97B2D" w:rsidRDefault="00FE04AF" w:rsidP="00FE04AF">
            <w:pPr>
              <w:widowControl w:val="0"/>
              <w:jc w:val="center"/>
              <w:rPr>
                <w:rFonts w:eastAsia="Times New Roman" w:cs="Times New Roman"/>
                <w:b/>
                <w:szCs w:val="24"/>
                <w:vertAlign w:val="superscript"/>
              </w:rPr>
            </w:pPr>
            <w:r w:rsidRPr="00F97B2D">
              <w:rPr>
                <w:rFonts w:eastAsia="Times New Roman" w:cs="Times New Roman"/>
                <w:b/>
                <w:szCs w:val="24"/>
              </w:rPr>
              <w:t>C</w:t>
            </w:r>
            <w:r w:rsidRPr="00F97B2D">
              <w:rPr>
                <w:rFonts w:eastAsia="Times New Roman" w:cs="Times New Roman"/>
                <w:b/>
                <w:szCs w:val="24"/>
                <w:vertAlign w:val="subscript"/>
              </w:rPr>
              <w:t>300</w:t>
            </w:r>
            <w:r w:rsidRPr="00F97B2D">
              <w:rPr>
                <w:rFonts w:eastAsia="Times New Roman" w:cs="Times New Roman"/>
                <w:b/>
                <w:szCs w:val="24"/>
                <w:vertAlign w:val="superscript"/>
              </w:rPr>
              <w:t>a</w:t>
            </w:r>
          </w:p>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(ng/mL)</w:t>
            </w:r>
          </w:p>
        </w:tc>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Cross-</w:t>
            </w:r>
          </w:p>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Reactivity (%)</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(+)-Methamphetamine</w:t>
            </w:r>
          </w:p>
        </w:tc>
        <w:tc>
          <w:tcPr>
            <w:tcW w:w="0" w:type="auto"/>
            <w:shd w:val="clear" w:color="auto" w:fill="auto"/>
            <w:vAlign w:val="center"/>
          </w:tcPr>
          <w:p w:rsidR="00FE04AF" w:rsidRPr="00F97B2D" w:rsidRDefault="00FE04AF" w:rsidP="00FE04AF">
            <w:pPr>
              <w:widowControl w:val="0"/>
              <w:jc w:val="center"/>
              <w:rPr>
                <w:rFonts w:eastAsia="Times New Roman" w:cs="Times New Roman"/>
                <w:b/>
                <w:i/>
                <w:szCs w:val="24"/>
              </w:rPr>
            </w:pPr>
            <w:r w:rsidRPr="00F97B2D">
              <w:rPr>
                <w:rFonts w:eastAsia="Times New Roman" w:cs="Times New Roman"/>
                <w:b/>
                <w:i/>
                <w:szCs w:val="24"/>
              </w:rPr>
              <w:t>300</w:t>
            </w:r>
          </w:p>
        </w:tc>
        <w:tc>
          <w:tcPr>
            <w:tcW w:w="0" w:type="auto"/>
            <w:shd w:val="clear" w:color="auto" w:fill="auto"/>
            <w:vAlign w:val="center"/>
          </w:tcPr>
          <w:p w:rsidR="00FE04AF" w:rsidRPr="00F97B2D" w:rsidRDefault="00FE04AF" w:rsidP="00FE04AF">
            <w:pPr>
              <w:widowControl w:val="0"/>
              <w:jc w:val="center"/>
              <w:rPr>
                <w:rFonts w:eastAsia="Times New Roman" w:cs="Times New Roman"/>
                <w:b/>
                <w:i/>
                <w:szCs w:val="24"/>
              </w:rPr>
            </w:pPr>
            <w:r w:rsidRPr="00F97B2D">
              <w:rPr>
                <w:rFonts w:eastAsia="Times New Roman" w:cs="Times New Roman"/>
                <w:b/>
                <w:i/>
                <w:szCs w:val="24"/>
              </w:rPr>
              <w:t>100</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(±)-Amphetamine</w:t>
            </w:r>
          </w:p>
        </w:tc>
        <w:tc>
          <w:tcPr>
            <w:tcW w:w="0" w:type="auto"/>
            <w:shd w:val="clear" w:color="auto" w:fill="D9D9D9" w:themeFill="background1" w:themeFillShade="D9"/>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&lt; 2,000</w:t>
            </w:r>
          </w:p>
        </w:tc>
        <w:tc>
          <w:tcPr>
            <w:tcW w:w="0" w:type="auto"/>
            <w:shd w:val="clear" w:color="auto" w:fill="D9D9D9" w:themeFill="background1" w:themeFillShade="D9"/>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&gt; 15</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2C-E</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(±)-DOET</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(±)-DOM</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(±)-TMA</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(±)-MDA</w:t>
            </w:r>
          </w:p>
        </w:tc>
        <w:tc>
          <w:tcPr>
            <w:tcW w:w="0" w:type="auto"/>
            <w:shd w:val="clear" w:color="auto" w:fill="D9D9D9" w:themeFill="background1" w:themeFillShade="D9"/>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&lt; 2,000</w:t>
            </w:r>
          </w:p>
        </w:tc>
        <w:tc>
          <w:tcPr>
            <w:tcW w:w="0" w:type="auto"/>
            <w:shd w:val="clear" w:color="auto" w:fill="D9D9D9" w:themeFill="background1" w:themeFillShade="D9"/>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&gt; 15</w:t>
            </w:r>
          </w:p>
        </w:tc>
        <w:tc>
          <w:tcPr>
            <w:tcW w:w="0" w:type="auto"/>
            <w:shd w:val="clear" w:color="auto" w:fill="D9D9D9" w:themeFill="background1" w:themeFillShade="D9"/>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&lt; 2,000</w:t>
            </w:r>
          </w:p>
        </w:tc>
        <w:tc>
          <w:tcPr>
            <w:tcW w:w="0" w:type="auto"/>
            <w:shd w:val="clear" w:color="auto" w:fill="D9D9D9" w:themeFill="background1" w:themeFillShade="D9"/>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&gt; 15</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(±)-MDEA</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4,000</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7.5</w:t>
            </w:r>
          </w:p>
        </w:tc>
        <w:tc>
          <w:tcPr>
            <w:tcW w:w="0" w:type="auto"/>
            <w:shd w:val="clear" w:color="auto" w:fill="D9D9D9" w:themeFill="background1" w:themeFillShade="D9"/>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&lt; 2,000</w:t>
            </w:r>
          </w:p>
        </w:tc>
        <w:tc>
          <w:tcPr>
            <w:tcW w:w="0" w:type="auto"/>
            <w:shd w:val="clear" w:color="auto" w:fill="D9D9D9" w:themeFill="background1" w:themeFillShade="D9"/>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&gt; 15</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(±)-MDMA</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4,000</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7.5</w:t>
            </w:r>
          </w:p>
        </w:tc>
        <w:tc>
          <w:tcPr>
            <w:tcW w:w="0" w:type="auto"/>
            <w:shd w:val="clear" w:color="auto" w:fill="auto"/>
            <w:vAlign w:val="center"/>
          </w:tcPr>
          <w:p w:rsidR="00FE04AF" w:rsidRPr="00F97B2D" w:rsidRDefault="00FE04AF" w:rsidP="00FE04AF">
            <w:pPr>
              <w:widowControl w:val="0"/>
              <w:jc w:val="center"/>
              <w:rPr>
                <w:rFonts w:eastAsia="Times New Roman" w:cs="Times New Roman"/>
                <w:b/>
                <w:i/>
                <w:szCs w:val="24"/>
              </w:rPr>
            </w:pPr>
            <w:r w:rsidRPr="00F97B2D">
              <w:rPr>
                <w:rFonts w:eastAsia="Times New Roman" w:cs="Times New Roman"/>
                <w:b/>
                <w:i/>
                <w:szCs w:val="24"/>
              </w:rPr>
              <w:t>300</w:t>
            </w:r>
          </w:p>
        </w:tc>
        <w:tc>
          <w:tcPr>
            <w:tcW w:w="0" w:type="auto"/>
            <w:shd w:val="clear" w:color="auto" w:fill="auto"/>
            <w:vAlign w:val="center"/>
          </w:tcPr>
          <w:p w:rsidR="00FE04AF" w:rsidRPr="00F97B2D" w:rsidRDefault="00FE04AF" w:rsidP="00FE04AF">
            <w:pPr>
              <w:widowControl w:val="0"/>
              <w:jc w:val="center"/>
              <w:rPr>
                <w:rFonts w:eastAsia="Times New Roman" w:cs="Times New Roman"/>
                <w:b/>
                <w:i/>
                <w:szCs w:val="24"/>
              </w:rPr>
            </w:pPr>
            <w:r w:rsidRPr="00F97B2D">
              <w:rPr>
                <w:rFonts w:eastAsia="Times New Roman" w:cs="Times New Roman"/>
                <w:b/>
                <w:i/>
                <w:szCs w:val="24"/>
              </w:rPr>
              <w:t>100</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(±)-Ethylamphetamine</w:t>
            </w:r>
          </w:p>
        </w:tc>
        <w:tc>
          <w:tcPr>
            <w:tcW w:w="0" w:type="auto"/>
            <w:shd w:val="clear" w:color="auto" w:fill="D9D9D9" w:themeFill="background1" w:themeFillShade="D9"/>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&lt; 2,000</w:t>
            </w:r>
          </w:p>
        </w:tc>
        <w:tc>
          <w:tcPr>
            <w:tcW w:w="0" w:type="auto"/>
            <w:shd w:val="clear" w:color="auto" w:fill="D9D9D9" w:themeFill="background1" w:themeFillShade="D9"/>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&gt; 15</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4,000</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7.5</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(±)-MDPV</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(±)-Mephedrone</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(±)-Cathinone</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(±)-Methcathinone</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(±)-Methylone</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(±)-4-MEC</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(±)-Flephedrone</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(±)-Butylone</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4,000</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7.5</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mCPP</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(±)-Methedrone</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5-MeO-DiPT</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(±)-DOB</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3,000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10</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2C-B</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DMT</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BZP</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AMT</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4,000</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7.5</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2C-I</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2C-T-7</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TFMPP</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r>
      <w:tr w:rsidR="00FE04AF" w:rsidRPr="00F97B2D" w:rsidTr="0068761A">
        <w:tc>
          <w:tcPr>
            <w:tcW w:w="0" w:type="auto"/>
            <w:vAlign w:val="center"/>
          </w:tcPr>
          <w:p w:rsidR="00FE04AF" w:rsidRPr="00F97B2D" w:rsidRDefault="00FE04AF" w:rsidP="00FE04AF">
            <w:pPr>
              <w:widowControl w:val="0"/>
              <w:jc w:val="center"/>
              <w:rPr>
                <w:rFonts w:eastAsia="Times New Roman" w:cs="Times New Roman"/>
                <w:b/>
                <w:szCs w:val="24"/>
              </w:rPr>
            </w:pPr>
            <w:r w:rsidRPr="00F97B2D">
              <w:rPr>
                <w:rFonts w:eastAsia="Times New Roman" w:cs="Times New Roman"/>
                <w:b/>
                <w:szCs w:val="24"/>
              </w:rPr>
              <w:t>2C-T-4</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 xml:space="preserve">&gt; 10,000  </w:t>
            </w:r>
          </w:p>
        </w:tc>
        <w:tc>
          <w:tcPr>
            <w:tcW w:w="0" w:type="auto"/>
            <w:shd w:val="clear" w:color="auto" w:fill="auto"/>
            <w:vAlign w:val="center"/>
          </w:tcPr>
          <w:p w:rsidR="00FE04AF" w:rsidRPr="00F97B2D" w:rsidRDefault="00FE04AF" w:rsidP="00FE04AF">
            <w:pPr>
              <w:widowControl w:val="0"/>
              <w:jc w:val="center"/>
              <w:rPr>
                <w:rFonts w:eastAsia="Times New Roman" w:cs="Times New Roman"/>
                <w:szCs w:val="24"/>
              </w:rPr>
            </w:pPr>
            <w:r w:rsidRPr="00F97B2D">
              <w:rPr>
                <w:rFonts w:eastAsia="Times New Roman" w:cs="Times New Roman"/>
                <w:szCs w:val="24"/>
              </w:rPr>
              <w:t>&lt; 3</w:t>
            </w:r>
          </w:p>
        </w:tc>
      </w:tr>
    </w:tbl>
    <w:p w:rsidR="00FE04AF" w:rsidRPr="0068761A" w:rsidRDefault="00FE04AF" w:rsidP="00FE04AF">
      <w:pPr>
        <w:widowControl w:val="0"/>
        <w:spacing w:after="0"/>
        <w:rPr>
          <w:rFonts w:cs="Times New Roman"/>
          <w:szCs w:val="20"/>
        </w:rPr>
      </w:pPr>
      <w:proofErr w:type="gramStart"/>
      <w:r w:rsidRPr="0068761A">
        <w:rPr>
          <w:rFonts w:cs="Times New Roman"/>
          <w:b/>
          <w:szCs w:val="20"/>
          <w:vertAlign w:val="superscript"/>
        </w:rPr>
        <w:t>a</w:t>
      </w:r>
      <w:proofErr w:type="gramEnd"/>
      <w:r w:rsidRPr="0068761A">
        <w:rPr>
          <w:rFonts w:cs="Times New Roman"/>
          <w:szCs w:val="20"/>
        </w:rPr>
        <w:t xml:space="preserve"> Concentration of the drug that produces an absorbance reading equivalent to the 300 ng/mL cut-off.</w:t>
      </w:r>
    </w:p>
    <w:p w:rsidR="00FE04AF" w:rsidRPr="0068761A" w:rsidRDefault="00FE04AF" w:rsidP="00FE04AF">
      <w:pPr>
        <w:widowControl w:val="0"/>
        <w:spacing w:after="0"/>
        <w:rPr>
          <w:rFonts w:cs="Times New Roman"/>
          <w:szCs w:val="20"/>
        </w:rPr>
      </w:pPr>
      <w:r w:rsidRPr="0068761A">
        <w:rPr>
          <w:rFonts w:cs="Times New Roman"/>
          <w:szCs w:val="20"/>
        </w:rPr>
        <w:t xml:space="preserve">Analytes demonstrating high cross-reactivity </w:t>
      </w:r>
      <w:proofErr w:type="gramStart"/>
      <w:r w:rsidRPr="0068761A">
        <w:rPr>
          <w:rFonts w:cs="Times New Roman"/>
          <w:szCs w:val="20"/>
        </w:rPr>
        <w:t>are</w:t>
      </w:r>
      <w:proofErr w:type="gramEnd"/>
      <w:r w:rsidRPr="0068761A">
        <w:rPr>
          <w:rFonts w:cs="Times New Roman"/>
          <w:szCs w:val="20"/>
        </w:rPr>
        <w:t xml:space="preserve"> </w:t>
      </w:r>
      <w:r w:rsidRPr="0068761A">
        <w:rPr>
          <w:rFonts w:cs="Times New Roman"/>
          <w:b/>
          <w:szCs w:val="20"/>
          <w:shd w:val="clear" w:color="auto" w:fill="D9D9D9" w:themeFill="background1" w:themeFillShade="D9"/>
        </w:rPr>
        <w:t>highlighted and bolded</w:t>
      </w:r>
      <w:r w:rsidRPr="0068761A">
        <w:rPr>
          <w:rFonts w:cs="Times New Roman"/>
          <w:szCs w:val="20"/>
        </w:rPr>
        <w:t>.</w:t>
      </w:r>
    </w:p>
    <w:p w:rsidR="00FE04AF" w:rsidRDefault="00FE04AF" w:rsidP="00FE04AF">
      <w:pPr>
        <w:widowControl w:val="0"/>
        <w:spacing w:after="0"/>
        <w:rPr>
          <w:rFonts w:cs="Times New Roman"/>
          <w:szCs w:val="20"/>
        </w:rPr>
      </w:pPr>
      <w:r w:rsidRPr="0068761A">
        <w:rPr>
          <w:rFonts w:cs="Times New Roman"/>
          <w:szCs w:val="20"/>
        </w:rPr>
        <w:t xml:space="preserve">The target analytes for each </w:t>
      </w:r>
      <w:r w:rsidR="00932348">
        <w:rPr>
          <w:rFonts w:cs="Times New Roman"/>
          <w:szCs w:val="20"/>
        </w:rPr>
        <w:t>assay</w:t>
      </w:r>
      <w:r w:rsidRPr="0068761A">
        <w:rPr>
          <w:rFonts w:cs="Times New Roman"/>
          <w:szCs w:val="20"/>
        </w:rPr>
        <w:t xml:space="preserve"> are </w:t>
      </w:r>
      <w:r w:rsidRPr="0068761A">
        <w:rPr>
          <w:rFonts w:cs="Times New Roman"/>
          <w:b/>
          <w:i/>
          <w:szCs w:val="20"/>
        </w:rPr>
        <w:t>italicized and bolded</w:t>
      </w:r>
      <w:r w:rsidRPr="0068761A">
        <w:rPr>
          <w:rFonts w:cs="Times New Roman"/>
          <w:szCs w:val="20"/>
        </w:rPr>
        <w:t>.</w:t>
      </w:r>
    </w:p>
    <w:p w:rsidR="002E77C7" w:rsidRDefault="002E77C7" w:rsidP="00FE04AF">
      <w:pPr>
        <w:widowControl w:val="0"/>
        <w:spacing w:after="0"/>
        <w:rPr>
          <w:rFonts w:cs="Times New Roman"/>
          <w:szCs w:val="20"/>
        </w:rPr>
      </w:pPr>
    </w:p>
    <w:p w:rsidR="002E77C7" w:rsidRPr="0068761A" w:rsidRDefault="002E77C7" w:rsidP="00FE04AF">
      <w:pPr>
        <w:widowControl w:val="0"/>
        <w:spacing w:after="0"/>
        <w:rPr>
          <w:rFonts w:cs="Times New Roman"/>
          <w:szCs w:val="20"/>
        </w:rPr>
      </w:pPr>
    </w:p>
    <w:p w:rsidR="008C1AC3" w:rsidRPr="00F97B2D" w:rsidRDefault="008C1AC3" w:rsidP="004C38D6">
      <w:pPr>
        <w:widowControl w:val="0"/>
        <w:tabs>
          <w:tab w:val="left" w:pos="450"/>
        </w:tabs>
        <w:spacing w:after="0" w:line="480" w:lineRule="auto"/>
        <w:rPr>
          <w:szCs w:val="24"/>
        </w:rPr>
      </w:pPr>
    </w:p>
    <w:p w:rsidR="00FE04AF" w:rsidRPr="00F97B2D" w:rsidRDefault="00FE04AF" w:rsidP="00FE04AF">
      <w:pPr>
        <w:widowControl w:val="0"/>
        <w:tabs>
          <w:tab w:val="left" w:pos="450"/>
        </w:tabs>
        <w:spacing w:line="480" w:lineRule="auto"/>
        <w:ind w:firstLine="720"/>
        <w:rPr>
          <w:szCs w:val="24"/>
        </w:rPr>
      </w:pPr>
      <w:r w:rsidRPr="00F97B2D">
        <w:rPr>
          <w:szCs w:val="24"/>
        </w:rPr>
        <w:t xml:space="preserve">The values for cross-reactivity for the compounds of interest were consistent with literature and the package inserts.  The Amphetamines </w:t>
      </w:r>
      <w:r w:rsidR="00932348">
        <w:rPr>
          <w:szCs w:val="24"/>
        </w:rPr>
        <w:t>assay</w:t>
      </w:r>
      <w:r w:rsidRPr="00F97B2D">
        <w:rPr>
          <w:szCs w:val="24"/>
        </w:rPr>
        <w:t xml:space="preserve"> uses </w:t>
      </w:r>
      <w:r w:rsidRPr="00F97B2D">
        <w:rPr>
          <w:i/>
          <w:szCs w:val="24"/>
        </w:rPr>
        <w:t>d</w:t>
      </w:r>
      <w:r w:rsidRPr="00F97B2D">
        <w:rPr>
          <w:szCs w:val="24"/>
        </w:rPr>
        <w:t xml:space="preserve">-methamphetamine as the cut-off control, so the results for amphetamine were to be expected.  The cross-reactivity with MDA, MDEA, and MDMA are comparable to those in the kit insert.  From the behavior of AMT in the serum ELISAs, the reactivity of AMT was not unexpected, although it was not very high.  With regard to the Ecstasy </w:t>
      </w:r>
      <w:r w:rsidR="00932348">
        <w:rPr>
          <w:szCs w:val="24"/>
        </w:rPr>
        <w:t>assay</w:t>
      </w:r>
      <w:r w:rsidRPr="00F97B2D">
        <w:rPr>
          <w:szCs w:val="24"/>
        </w:rPr>
        <w:t xml:space="preserve">, the cross-reactivities for MDA and MDEA were comparable to those stated in the package insert.  Surprisingly, butylone exhibited some cross-reactivity down to 4,000 ng/mL, which may indicate the level at which antibody binding occurs.  However, the cathinone derivatives remained undetected by these </w:t>
      </w:r>
      <w:r w:rsidR="00932348">
        <w:rPr>
          <w:szCs w:val="24"/>
        </w:rPr>
        <w:t>assay</w:t>
      </w:r>
      <w:r w:rsidR="00854951">
        <w:rPr>
          <w:szCs w:val="24"/>
        </w:rPr>
        <w:t>s</w:t>
      </w:r>
      <w:r w:rsidRPr="00F97B2D">
        <w:rPr>
          <w:szCs w:val="24"/>
        </w:rPr>
        <w:t xml:space="preserve"> at high concentrations and would not be expected to be identified in urine by either of these </w:t>
      </w:r>
      <w:r w:rsidR="00854951">
        <w:rPr>
          <w:szCs w:val="24"/>
        </w:rPr>
        <w:t>assays</w:t>
      </w:r>
      <w:r w:rsidRPr="00F97B2D">
        <w:rPr>
          <w:szCs w:val="24"/>
        </w:rPr>
        <w:t>.</w:t>
      </w:r>
    </w:p>
    <w:p w:rsidR="00730B45" w:rsidRPr="00F97B2D" w:rsidRDefault="00F41504" w:rsidP="00F97B2D">
      <w:pPr>
        <w:pStyle w:val="Heading2"/>
      </w:pPr>
      <w:bookmarkStart w:id="153" w:name="_Toc372536061"/>
      <w:bookmarkStart w:id="154" w:name="_Toc372538724"/>
      <w:r w:rsidRPr="00F97B2D">
        <w:t>Conclusions</w:t>
      </w:r>
      <w:bookmarkEnd w:id="153"/>
      <w:bookmarkEnd w:id="154"/>
    </w:p>
    <w:p w:rsidR="00B63B8A" w:rsidRPr="00F97B2D" w:rsidRDefault="00B63B8A" w:rsidP="00C80482">
      <w:pPr>
        <w:autoSpaceDE w:val="0"/>
        <w:autoSpaceDN w:val="0"/>
        <w:adjustRightInd w:val="0"/>
        <w:spacing w:after="0" w:line="480" w:lineRule="auto"/>
        <w:ind w:firstLine="720"/>
        <w:rPr>
          <w:szCs w:val="24"/>
        </w:rPr>
      </w:pPr>
      <w:r w:rsidRPr="00F97B2D">
        <w:rPr>
          <w:szCs w:val="24"/>
        </w:rPr>
        <w:t xml:space="preserve">In this comprehensive study, 30 designer drug entities from the phenethylamine, tryptamine, and piperazine structural classes were evaluated against 16 different commercial ELISA </w:t>
      </w:r>
      <w:r w:rsidR="00854951">
        <w:rPr>
          <w:szCs w:val="24"/>
        </w:rPr>
        <w:t>kits</w:t>
      </w:r>
      <w:r w:rsidRPr="00F97B2D">
        <w:rPr>
          <w:szCs w:val="24"/>
        </w:rPr>
        <w:t xml:space="preserve"> in order to determine cross-reactivity. </w:t>
      </w:r>
      <w:r w:rsidR="00B92A10" w:rsidRPr="00F97B2D">
        <w:rPr>
          <w:szCs w:val="24"/>
        </w:rPr>
        <w:t xml:space="preserve"> </w:t>
      </w:r>
      <w:r w:rsidRPr="00F97B2D">
        <w:rPr>
          <w:szCs w:val="24"/>
        </w:rPr>
        <w:t>Since few assays are currently available that target these analytes, particularly the bath salts, it was important to understand how they may react, especially in presumptive screens.</w:t>
      </w:r>
      <w:r w:rsidR="00B92A10" w:rsidRPr="00F97B2D">
        <w:rPr>
          <w:szCs w:val="24"/>
        </w:rPr>
        <w:t xml:space="preserve"> </w:t>
      </w:r>
      <w:r w:rsidRPr="00F97B2D">
        <w:rPr>
          <w:szCs w:val="24"/>
        </w:rPr>
        <w:t xml:space="preserve"> For the </w:t>
      </w:r>
      <w:r w:rsidR="00854951">
        <w:rPr>
          <w:szCs w:val="24"/>
        </w:rPr>
        <w:t>assays</w:t>
      </w:r>
      <w:r w:rsidRPr="00F97B2D">
        <w:rPr>
          <w:szCs w:val="24"/>
        </w:rPr>
        <w:t xml:space="preserve"> targeting amphetamine or methamphetamine, cross-reactivity towards the cathinone derivatives was </w:t>
      </w:r>
      <w:r w:rsidR="00932348">
        <w:rPr>
          <w:szCs w:val="24"/>
        </w:rPr>
        <w:t>minimal</w:t>
      </w:r>
      <w:r w:rsidRPr="00F97B2D">
        <w:rPr>
          <w:szCs w:val="24"/>
        </w:rPr>
        <w:t xml:space="preserve">. </w:t>
      </w:r>
      <w:r w:rsidR="00B92A10" w:rsidRPr="00F97B2D">
        <w:rPr>
          <w:szCs w:val="24"/>
        </w:rPr>
        <w:t xml:space="preserve"> </w:t>
      </w:r>
      <w:r w:rsidRPr="00F97B2D">
        <w:rPr>
          <w:szCs w:val="24"/>
        </w:rPr>
        <w:t>MDA, MDMA, ethylamphetamine, and</w:t>
      </w:r>
      <w:r w:rsidR="00C80482" w:rsidRPr="00F97B2D">
        <w:rPr>
          <w:szCs w:val="24"/>
        </w:rPr>
        <w:t xml:space="preserve"> </w:t>
      </w:r>
      <w:r w:rsidR="00B92A10" w:rsidRPr="00F97B2D">
        <w:rPr>
          <w:rFonts w:cs="Times New Roman"/>
          <w:szCs w:val="24"/>
        </w:rPr>
        <w:t>α</w:t>
      </w:r>
      <w:r w:rsidRPr="00F97B2D">
        <w:rPr>
          <w:szCs w:val="24"/>
        </w:rPr>
        <w:t>-methyltryptamine (AMT) demonstrated cross-reactivity at low</w:t>
      </w:r>
      <w:r w:rsidR="00C80482" w:rsidRPr="00F97B2D">
        <w:rPr>
          <w:szCs w:val="24"/>
        </w:rPr>
        <w:t xml:space="preserve"> </w:t>
      </w:r>
      <w:r w:rsidRPr="00F97B2D">
        <w:rPr>
          <w:szCs w:val="24"/>
        </w:rPr>
        <w:t>concentrations, but results were consistent with those published</w:t>
      </w:r>
      <w:r w:rsidR="00C80482" w:rsidRPr="00F97B2D">
        <w:rPr>
          <w:szCs w:val="24"/>
        </w:rPr>
        <w:t xml:space="preserve"> </w:t>
      </w:r>
      <w:r w:rsidRPr="00F97B2D">
        <w:rPr>
          <w:szCs w:val="24"/>
        </w:rPr>
        <w:t>by the manufacturer or as reported in the literature.</w:t>
      </w:r>
      <w:r w:rsidR="00B92A10" w:rsidRPr="00F97B2D">
        <w:rPr>
          <w:szCs w:val="24"/>
        </w:rPr>
        <w:t xml:space="preserve"> </w:t>
      </w:r>
      <w:r w:rsidRPr="00F97B2D">
        <w:rPr>
          <w:szCs w:val="24"/>
        </w:rPr>
        <w:t xml:space="preserve"> Of note,</w:t>
      </w:r>
      <w:r w:rsidR="00C80482" w:rsidRPr="00F97B2D">
        <w:rPr>
          <w:szCs w:val="24"/>
        </w:rPr>
        <w:t xml:space="preserve"> </w:t>
      </w:r>
      <w:r w:rsidRPr="00F97B2D">
        <w:rPr>
          <w:szCs w:val="24"/>
        </w:rPr>
        <w:t>the cathinone derivatives demonstrated cross-reactivity at low</w:t>
      </w:r>
      <w:r w:rsidR="00C80482" w:rsidRPr="00F97B2D">
        <w:rPr>
          <w:szCs w:val="24"/>
        </w:rPr>
        <w:t xml:space="preserve"> </w:t>
      </w:r>
      <w:r w:rsidRPr="00F97B2D">
        <w:rPr>
          <w:szCs w:val="24"/>
        </w:rPr>
        <w:t>concentrations (&lt;150 ng/</w:t>
      </w:r>
      <w:r w:rsidR="00211CA4">
        <w:rPr>
          <w:szCs w:val="24"/>
        </w:rPr>
        <w:t>mL</w:t>
      </w:r>
      <w:r w:rsidRPr="00F97B2D">
        <w:rPr>
          <w:szCs w:val="24"/>
        </w:rPr>
        <w:t>) when analyzed against the Randox</w:t>
      </w:r>
      <w:r w:rsidR="00C80482" w:rsidRPr="00F97B2D">
        <w:rPr>
          <w:szCs w:val="24"/>
        </w:rPr>
        <w:t xml:space="preserve"> </w:t>
      </w:r>
      <w:r w:rsidRPr="00F97B2D">
        <w:rPr>
          <w:szCs w:val="24"/>
        </w:rPr>
        <w:t xml:space="preserve">Mephedrone/Methcathinone </w:t>
      </w:r>
      <w:r w:rsidR="00932348">
        <w:rPr>
          <w:szCs w:val="24"/>
        </w:rPr>
        <w:t>assay</w:t>
      </w:r>
      <w:r w:rsidRPr="00F97B2D">
        <w:rPr>
          <w:szCs w:val="24"/>
        </w:rPr>
        <w:t>.</w:t>
      </w:r>
      <w:r w:rsidR="00B92A10" w:rsidRPr="00F97B2D">
        <w:rPr>
          <w:szCs w:val="24"/>
        </w:rPr>
        <w:t xml:space="preserve"> </w:t>
      </w:r>
      <w:r w:rsidRPr="00F97B2D">
        <w:rPr>
          <w:szCs w:val="24"/>
        </w:rPr>
        <w:t xml:space="preserve"> While this </w:t>
      </w:r>
      <w:r w:rsidR="00932348">
        <w:rPr>
          <w:szCs w:val="24"/>
        </w:rPr>
        <w:t>assay</w:t>
      </w:r>
      <w:r w:rsidRPr="00F97B2D">
        <w:rPr>
          <w:szCs w:val="24"/>
        </w:rPr>
        <w:t xml:space="preserve"> seemed less</w:t>
      </w:r>
      <w:r w:rsidR="00C80482" w:rsidRPr="00F97B2D">
        <w:rPr>
          <w:szCs w:val="24"/>
        </w:rPr>
        <w:t xml:space="preserve"> </w:t>
      </w:r>
      <w:r w:rsidRPr="00F97B2D">
        <w:rPr>
          <w:szCs w:val="24"/>
        </w:rPr>
        <w:t>selective, there was no cross-reactivity with other amphetamine</w:t>
      </w:r>
      <w:r w:rsidR="0070539A" w:rsidRPr="00F97B2D">
        <w:rPr>
          <w:szCs w:val="24"/>
        </w:rPr>
        <w:t>-</w:t>
      </w:r>
      <w:r w:rsidRPr="00F97B2D">
        <w:rPr>
          <w:szCs w:val="24"/>
        </w:rPr>
        <w:t>like</w:t>
      </w:r>
      <w:r w:rsidR="00C80482" w:rsidRPr="00F97B2D">
        <w:rPr>
          <w:szCs w:val="24"/>
        </w:rPr>
        <w:t xml:space="preserve"> </w:t>
      </w:r>
      <w:r w:rsidRPr="00F97B2D">
        <w:rPr>
          <w:szCs w:val="24"/>
        </w:rPr>
        <w:t xml:space="preserve">compounds. </w:t>
      </w:r>
      <w:r w:rsidR="00B92A10" w:rsidRPr="00F97B2D">
        <w:rPr>
          <w:szCs w:val="24"/>
        </w:rPr>
        <w:t xml:space="preserve"> </w:t>
      </w:r>
      <w:r w:rsidRPr="00F97B2D">
        <w:rPr>
          <w:szCs w:val="24"/>
        </w:rPr>
        <w:t xml:space="preserve">This finding suggests that the Randox </w:t>
      </w:r>
      <w:r w:rsidR="00932348">
        <w:rPr>
          <w:szCs w:val="24"/>
        </w:rPr>
        <w:t>assay</w:t>
      </w:r>
      <w:r w:rsidRPr="00F97B2D">
        <w:rPr>
          <w:szCs w:val="24"/>
        </w:rPr>
        <w:t xml:space="preserve"> may</w:t>
      </w:r>
      <w:r w:rsidR="00C80482" w:rsidRPr="00F97B2D">
        <w:rPr>
          <w:szCs w:val="24"/>
        </w:rPr>
        <w:t xml:space="preserve"> </w:t>
      </w:r>
      <w:r w:rsidRPr="00F97B2D">
        <w:rPr>
          <w:szCs w:val="24"/>
        </w:rPr>
        <w:t>be useful for detecting a wide range of bath salts in postmortem</w:t>
      </w:r>
      <w:r w:rsidR="00C80482" w:rsidRPr="00F97B2D">
        <w:rPr>
          <w:szCs w:val="24"/>
        </w:rPr>
        <w:t xml:space="preserve"> </w:t>
      </w:r>
      <w:r w:rsidRPr="00F97B2D">
        <w:rPr>
          <w:szCs w:val="24"/>
        </w:rPr>
        <w:t>specimens, without the usual interference from putrefactive</w:t>
      </w:r>
      <w:r w:rsidR="00C80482" w:rsidRPr="00F97B2D">
        <w:rPr>
          <w:szCs w:val="24"/>
        </w:rPr>
        <w:t xml:space="preserve"> </w:t>
      </w:r>
      <w:r w:rsidRPr="00F97B2D">
        <w:rPr>
          <w:szCs w:val="24"/>
        </w:rPr>
        <w:t xml:space="preserve">amines formed during decomposition. </w:t>
      </w:r>
      <w:r w:rsidR="00B92A10" w:rsidRPr="00F97B2D">
        <w:rPr>
          <w:szCs w:val="24"/>
        </w:rPr>
        <w:t xml:space="preserve"> </w:t>
      </w:r>
      <w:r w:rsidRPr="00F97B2D">
        <w:rPr>
          <w:szCs w:val="24"/>
        </w:rPr>
        <w:t>However, a majority of</w:t>
      </w:r>
      <w:r w:rsidR="00C80482" w:rsidRPr="00F97B2D">
        <w:rPr>
          <w:szCs w:val="24"/>
        </w:rPr>
        <w:t xml:space="preserve"> </w:t>
      </w:r>
      <w:r w:rsidRPr="00F97B2D">
        <w:rPr>
          <w:szCs w:val="24"/>
        </w:rPr>
        <w:t xml:space="preserve">the </w:t>
      </w:r>
      <w:r w:rsidR="00932348">
        <w:rPr>
          <w:szCs w:val="24"/>
        </w:rPr>
        <w:t>assay</w:t>
      </w:r>
      <w:r w:rsidRPr="00F97B2D">
        <w:rPr>
          <w:szCs w:val="24"/>
        </w:rPr>
        <w:t>s analyzed, particularly those targeting phenethylamines,</w:t>
      </w:r>
      <w:r w:rsidR="00C80482" w:rsidRPr="00F97B2D">
        <w:rPr>
          <w:szCs w:val="24"/>
        </w:rPr>
        <w:t xml:space="preserve"> </w:t>
      </w:r>
      <w:r w:rsidRPr="00F97B2D">
        <w:rPr>
          <w:szCs w:val="24"/>
        </w:rPr>
        <w:t>did not exhibit cross-reactivity with the compounds of interest,</w:t>
      </w:r>
      <w:r w:rsidR="00C80482" w:rsidRPr="00F97B2D">
        <w:rPr>
          <w:szCs w:val="24"/>
        </w:rPr>
        <w:t xml:space="preserve"> </w:t>
      </w:r>
      <w:r w:rsidRPr="00F97B2D">
        <w:rPr>
          <w:szCs w:val="24"/>
        </w:rPr>
        <w:t>particularly the cathinone derivatives.</w:t>
      </w:r>
    </w:p>
    <w:p w:rsidR="00B63B8A" w:rsidRPr="00F97B2D" w:rsidRDefault="00B63B8A" w:rsidP="00C80482">
      <w:pPr>
        <w:autoSpaceDE w:val="0"/>
        <w:autoSpaceDN w:val="0"/>
        <w:adjustRightInd w:val="0"/>
        <w:spacing w:after="0" w:line="480" w:lineRule="auto"/>
        <w:ind w:firstLine="720"/>
        <w:rPr>
          <w:szCs w:val="24"/>
        </w:rPr>
      </w:pPr>
      <w:r w:rsidRPr="00F97B2D">
        <w:rPr>
          <w:szCs w:val="24"/>
        </w:rPr>
        <w:t>An important conclusion from the present study is that</w:t>
      </w:r>
      <w:r w:rsidR="00C80482" w:rsidRPr="00F97B2D">
        <w:rPr>
          <w:szCs w:val="24"/>
        </w:rPr>
        <w:t xml:space="preserve"> </w:t>
      </w:r>
      <w:r w:rsidRPr="00F97B2D">
        <w:rPr>
          <w:szCs w:val="24"/>
        </w:rPr>
        <w:t>current immunoassay-based screening methods may not be</w:t>
      </w:r>
      <w:r w:rsidR="00C80482" w:rsidRPr="00F97B2D">
        <w:rPr>
          <w:szCs w:val="24"/>
        </w:rPr>
        <w:t xml:space="preserve"> </w:t>
      </w:r>
      <w:r w:rsidRPr="00F97B2D">
        <w:rPr>
          <w:szCs w:val="24"/>
        </w:rPr>
        <w:t>ideal for presumptively identifying most designer drugs, including</w:t>
      </w:r>
      <w:r w:rsidR="00C80482" w:rsidRPr="00F97B2D">
        <w:rPr>
          <w:szCs w:val="24"/>
        </w:rPr>
        <w:t xml:space="preserve"> </w:t>
      </w:r>
      <w:r w:rsidRPr="00F97B2D">
        <w:rPr>
          <w:szCs w:val="24"/>
        </w:rPr>
        <w:t xml:space="preserve">the bath salts. </w:t>
      </w:r>
      <w:r w:rsidR="00B92A10" w:rsidRPr="00F97B2D">
        <w:rPr>
          <w:szCs w:val="24"/>
        </w:rPr>
        <w:t xml:space="preserve"> </w:t>
      </w:r>
      <w:r w:rsidRPr="00F97B2D">
        <w:rPr>
          <w:szCs w:val="24"/>
        </w:rPr>
        <w:t>Recently, there has been a trend toward the</w:t>
      </w:r>
      <w:r w:rsidR="00C80482" w:rsidRPr="00F97B2D">
        <w:rPr>
          <w:szCs w:val="24"/>
        </w:rPr>
        <w:t xml:space="preserve"> </w:t>
      </w:r>
      <w:r w:rsidRPr="00F97B2D">
        <w:rPr>
          <w:szCs w:val="24"/>
        </w:rPr>
        <w:t>introduction of new immunoassays with specificity for individual</w:t>
      </w:r>
      <w:r w:rsidR="00C80482" w:rsidRPr="00F97B2D">
        <w:rPr>
          <w:szCs w:val="24"/>
        </w:rPr>
        <w:t xml:space="preserve"> </w:t>
      </w:r>
      <w:r w:rsidRPr="00F97B2D">
        <w:rPr>
          <w:szCs w:val="24"/>
        </w:rPr>
        <w:t>designer drugs or groups of drugs, a development that</w:t>
      </w:r>
      <w:r w:rsidR="00C80482" w:rsidRPr="00F97B2D">
        <w:rPr>
          <w:szCs w:val="24"/>
        </w:rPr>
        <w:t xml:space="preserve"> </w:t>
      </w:r>
      <w:r w:rsidRPr="00F97B2D">
        <w:rPr>
          <w:szCs w:val="24"/>
        </w:rPr>
        <w:t>can, at least to some extent, help address this problem.</w:t>
      </w:r>
      <w:r w:rsidR="00C80482" w:rsidRPr="00F97B2D">
        <w:rPr>
          <w:szCs w:val="24"/>
        </w:rPr>
        <w:t xml:space="preserve"> </w:t>
      </w:r>
      <w:r w:rsidR="00B92A10" w:rsidRPr="00F97B2D">
        <w:rPr>
          <w:szCs w:val="24"/>
        </w:rPr>
        <w:t xml:space="preserve"> </w:t>
      </w:r>
      <w:r w:rsidRPr="00F97B2D">
        <w:rPr>
          <w:szCs w:val="24"/>
        </w:rPr>
        <w:t>Alternatively, as more laboratories move towards LC-MS/MS as</w:t>
      </w:r>
      <w:r w:rsidR="00C80482" w:rsidRPr="00F97B2D">
        <w:rPr>
          <w:szCs w:val="24"/>
        </w:rPr>
        <w:t xml:space="preserve"> </w:t>
      </w:r>
      <w:r w:rsidRPr="00F97B2D">
        <w:rPr>
          <w:szCs w:val="24"/>
        </w:rPr>
        <w:t>an in-house analytical tool, screening methods for such analytes</w:t>
      </w:r>
      <w:r w:rsidR="00C80482" w:rsidRPr="00F97B2D">
        <w:rPr>
          <w:szCs w:val="24"/>
        </w:rPr>
        <w:t xml:space="preserve"> </w:t>
      </w:r>
      <w:r w:rsidRPr="00F97B2D">
        <w:rPr>
          <w:szCs w:val="24"/>
        </w:rPr>
        <w:t>will likely gravitate towards higher specificity approaches, in</w:t>
      </w:r>
      <w:r w:rsidR="00C80482" w:rsidRPr="00F97B2D">
        <w:rPr>
          <w:szCs w:val="24"/>
        </w:rPr>
        <w:t xml:space="preserve"> </w:t>
      </w:r>
      <w:r w:rsidRPr="00F97B2D">
        <w:rPr>
          <w:szCs w:val="24"/>
        </w:rPr>
        <w:t>particular high-resolution, high mass accuracy MS.</w:t>
      </w:r>
    </w:p>
    <w:p w:rsidR="004F4AE4" w:rsidRPr="00F97B2D" w:rsidRDefault="004F4AE4">
      <w:pPr>
        <w:rPr>
          <w:rFonts w:eastAsiaTheme="majorEastAsia" w:cs="Times New Roman"/>
          <w:bCs/>
          <w:szCs w:val="24"/>
        </w:rPr>
      </w:pPr>
    </w:p>
    <w:p w:rsidR="0068761A" w:rsidRDefault="0068761A">
      <w:pPr>
        <w:rPr>
          <w:rFonts w:eastAsiaTheme="majorEastAsia" w:cs="Times New Roman"/>
          <w:b/>
          <w:bCs/>
          <w:szCs w:val="24"/>
        </w:rPr>
      </w:pPr>
      <w:r>
        <w:br w:type="page"/>
      </w:r>
    </w:p>
    <w:p w:rsidR="004F4AE4" w:rsidRDefault="00694CE8" w:rsidP="00F97B2D">
      <w:pPr>
        <w:pStyle w:val="Heading1"/>
      </w:pPr>
      <w:bookmarkStart w:id="155" w:name="_Toc372536062"/>
      <w:bookmarkStart w:id="156" w:name="_Toc372538725"/>
      <w:r w:rsidRPr="00F97B2D">
        <w:t>COMPREHENSIVE LC-MS METHOD</w:t>
      </w:r>
      <w:bookmarkEnd w:id="155"/>
      <w:bookmarkEnd w:id="156"/>
    </w:p>
    <w:p w:rsidR="003D3BF8" w:rsidRPr="003D3BF8" w:rsidRDefault="003D3BF8" w:rsidP="003D3BF8">
      <w:pPr>
        <w:spacing w:after="0" w:line="480" w:lineRule="auto"/>
        <w:rPr>
          <w:rFonts w:cs="Times New Roman"/>
          <w:szCs w:val="24"/>
        </w:rPr>
      </w:pPr>
      <w:r w:rsidRPr="003D3BF8">
        <w:rPr>
          <w:rFonts w:cs="Times New Roman"/>
          <w:szCs w:val="24"/>
        </w:rPr>
        <w:t>Copyright © 2012 Springer-Verlag Berlin Heidelberg</w:t>
      </w:r>
    </w:p>
    <w:p w:rsidR="003D3BF8" w:rsidRDefault="003D3BF8" w:rsidP="003D3BF8">
      <w:pPr>
        <w:spacing w:after="0" w:line="480" w:lineRule="auto"/>
        <w:rPr>
          <w:rFonts w:cs="Times New Roman"/>
          <w:szCs w:val="24"/>
        </w:rPr>
      </w:pPr>
      <w:r w:rsidRPr="003D3BF8">
        <w:rPr>
          <w:rFonts w:cs="Times New Roman"/>
          <w:szCs w:val="24"/>
        </w:rPr>
        <w:t xml:space="preserve">Swortwood, M. J., Boland, D. M., DeCaprio, A. P. (2012) Determination of 32 cathinone derivatives and other designer drugs in serum by comprehensive LC-QQQ-MS/MS analysis.  </w:t>
      </w:r>
      <w:proofErr w:type="gramStart"/>
      <w:r w:rsidRPr="003D3BF8">
        <w:rPr>
          <w:rFonts w:cs="Times New Roman"/>
          <w:szCs w:val="24"/>
        </w:rPr>
        <w:t>Anal</w:t>
      </w:r>
      <w:r w:rsidR="0047139F">
        <w:rPr>
          <w:rFonts w:cs="Times New Roman"/>
          <w:szCs w:val="24"/>
        </w:rPr>
        <w:t>ytical and</w:t>
      </w:r>
      <w:r w:rsidRPr="003D3BF8">
        <w:rPr>
          <w:rFonts w:cs="Times New Roman"/>
          <w:szCs w:val="24"/>
        </w:rPr>
        <w:t xml:space="preserve"> Bioanal</w:t>
      </w:r>
      <w:r w:rsidR="0047139F">
        <w:rPr>
          <w:rFonts w:cs="Times New Roman"/>
          <w:szCs w:val="24"/>
        </w:rPr>
        <w:t>ytical</w:t>
      </w:r>
      <w:r w:rsidRPr="003D3BF8">
        <w:rPr>
          <w:rFonts w:cs="Times New Roman"/>
          <w:szCs w:val="24"/>
        </w:rPr>
        <w:t xml:space="preserve"> Chem</w:t>
      </w:r>
      <w:r w:rsidR="0047139F">
        <w:rPr>
          <w:rFonts w:cs="Times New Roman"/>
          <w:szCs w:val="24"/>
        </w:rPr>
        <w:t>istry</w:t>
      </w:r>
      <w:r w:rsidRPr="003D3BF8">
        <w:rPr>
          <w:rFonts w:cs="Times New Roman"/>
          <w:szCs w:val="24"/>
        </w:rPr>
        <w:t xml:space="preserve"> 405, 1383.</w:t>
      </w:r>
      <w:proofErr w:type="gramEnd"/>
      <w:r w:rsidRPr="003D3BF8">
        <w:rPr>
          <w:rFonts w:cs="Times New Roman"/>
          <w:szCs w:val="24"/>
        </w:rPr>
        <w:t xml:space="preserve"> DOI 10.1007/s00216-012-6548-8</w:t>
      </w:r>
    </w:p>
    <w:p w:rsidR="003D3BF8" w:rsidRDefault="003D3BF8" w:rsidP="003D3BF8">
      <w:pPr>
        <w:spacing w:after="0" w:line="480" w:lineRule="auto"/>
        <w:rPr>
          <w:rFonts w:cs="Times New Roman"/>
          <w:szCs w:val="24"/>
        </w:rPr>
      </w:pPr>
    </w:p>
    <w:p w:rsidR="003D3BF8" w:rsidRDefault="003D3BF8" w:rsidP="003D3BF8">
      <w:pPr>
        <w:spacing w:after="0" w:line="480" w:lineRule="auto"/>
        <w:rPr>
          <w:rFonts w:cs="Times New Roman"/>
          <w:szCs w:val="24"/>
        </w:rPr>
      </w:pPr>
      <w:r>
        <w:rPr>
          <w:rFonts w:cs="Times New Roman"/>
          <w:szCs w:val="24"/>
        </w:rPr>
        <w:t>Original copyright notice</w:t>
      </w:r>
      <w:r w:rsidRPr="003D3BF8">
        <w:rPr>
          <w:rFonts w:cs="Times New Roman"/>
          <w:szCs w:val="24"/>
        </w:rPr>
        <w:t xml:space="preserve"> is given to the </w:t>
      </w:r>
      <w:r>
        <w:rPr>
          <w:rFonts w:cs="Times New Roman"/>
          <w:szCs w:val="24"/>
        </w:rPr>
        <w:t xml:space="preserve">above </w:t>
      </w:r>
      <w:r w:rsidRPr="003D3BF8">
        <w:rPr>
          <w:rFonts w:cs="Times New Roman"/>
          <w:szCs w:val="24"/>
        </w:rPr>
        <w:t>publication in which the material was originally published, with kind permission from Springer Science and Business Media</w:t>
      </w:r>
      <w:r>
        <w:rPr>
          <w:rFonts w:cs="Times New Roman"/>
          <w:szCs w:val="24"/>
        </w:rPr>
        <w:t>.</w:t>
      </w:r>
    </w:p>
    <w:p w:rsidR="003D3BF8" w:rsidRPr="003D3BF8" w:rsidRDefault="003D3BF8" w:rsidP="003D3BF8">
      <w:pPr>
        <w:spacing w:after="0" w:line="480" w:lineRule="auto"/>
        <w:rPr>
          <w:rFonts w:cs="Times New Roman"/>
          <w:szCs w:val="24"/>
        </w:rPr>
      </w:pPr>
    </w:p>
    <w:p w:rsidR="004F4AE4" w:rsidRPr="00F97B2D" w:rsidRDefault="004F4AE4" w:rsidP="00F97B2D">
      <w:pPr>
        <w:pStyle w:val="Heading2"/>
      </w:pPr>
      <w:bookmarkStart w:id="157" w:name="_Toc372536063"/>
      <w:bookmarkStart w:id="158" w:name="_Toc372538726"/>
      <w:r w:rsidRPr="00F97B2D">
        <w:t>Overview</w:t>
      </w:r>
      <w:bookmarkEnd w:id="157"/>
      <w:bookmarkEnd w:id="158"/>
    </w:p>
    <w:p w:rsidR="00FC0F8F" w:rsidRDefault="00810B1A" w:rsidP="00FC0F8F">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Recently, the use of LC-MS</w:t>
      </w:r>
      <w:r w:rsidR="00FC0F8F" w:rsidRPr="00F97B2D">
        <w:rPr>
          <w:rFonts w:cs="Times New Roman"/>
          <w:color w:val="131413"/>
          <w:szCs w:val="24"/>
          <w:lang w:bidi="ar-SA"/>
        </w:rPr>
        <w:t xml:space="preserve"> for analysis of drugs of abuse has been on the rise.  </w:t>
      </w:r>
      <w:r w:rsidRPr="00F97B2D">
        <w:rPr>
          <w:rFonts w:cs="Times New Roman"/>
          <w:color w:val="131413"/>
          <w:szCs w:val="24"/>
          <w:lang w:bidi="ar-SA"/>
        </w:rPr>
        <w:t>While GC-MS</w:t>
      </w:r>
      <w:r w:rsidR="00FC0F8F" w:rsidRPr="00F97B2D">
        <w:rPr>
          <w:rFonts w:cs="Times New Roman"/>
          <w:color w:val="131413"/>
          <w:szCs w:val="24"/>
          <w:lang w:bidi="ar-SA"/>
        </w:rPr>
        <w:t xml:space="preserve"> used to be the analytical method of choice, mass spectral library entries for many of the designer entities do not exist and GC-based methods are often limited to non</w:t>
      </w:r>
      <w:r w:rsidR="00E951CA">
        <w:rPr>
          <w:rFonts w:cs="Times New Roman"/>
          <w:color w:val="131413"/>
          <w:szCs w:val="24"/>
          <w:lang w:bidi="ar-SA"/>
        </w:rPr>
        <w:t>-</w:t>
      </w:r>
      <w:r w:rsidR="00FC0F8F" w:rsidRPr="00F97B2D">
        <w:rPr>
          <w:rFonts w:cs="Times New Roman"/>
          <w:color w:val="131413"/>
          <w:szCs w:val="24"/>
          <w:lang w:bidi="ar-SA"/>
        </w:rPr>
        <w:t>polar, volatile, and thermally stable compounds.  LC-based methods allow for increased sensitivity of a wide variety of compounds without the need for derivatization, while offering higher sample throughput, easier sample preparation, and structural elucidation.</w:t>
      </w:r>
      <w:r w:rsidR="00B56C9B" w:rsidRPr="00B56C9B">
        <w:rPr>
          <w:rFonts w:cs="Times New Roman"/>
          <w:color w:val="131413"/>
          <w:szCs w:val="24"/>
          <w:vertAlign w:val="superscript"/>
          <w:lang w:bidi="ar-SA"/>
        </w:rPr>
        <w:t>(41,91,92)</w:t>
      </w:r>
      <w:r w:rsidR="00FC0F8F" w:rsidRPr="00F97B2D">
        <w:rPr>
          <w:rFonts w:cs="Times New Roman"/>
          <w:color w:val="131413"/>
          <w:szCs w:val="24"/>
          <w:lang w:bidi="ar-SA"/>
        </w:rPr>
        <w:t xml:space="preserve"> </w:t>
      </w:r>
      <w:r w:rsidR="00ED524D" w:rsidRPr="00F97B2D">
        <w:rPr>
          <w:rFonts w:cs="Times New Roman"/>
          <w:color w:val="131413"/>
          <w:szCs w:val="24"/>
          <w:lang w:bidi="ar-SA"/>
        </w:rPr>
        <w:t xml:space="preserve"> </w:t>
      </w:r>
      <w:r w:rsidR="00FC0F8F" w:rsidRPr="00F97B2D">
        <w:rPr>
          <w:rFonts w:cs="Times New Roman"/>
          <w:color w:val="131413"/>
          <w:szCs w:val="24"/>
          <w:lang w:bidi="ar-SA"/>
        </w:rPr>
        <w:t>Ultra-fast methods, such as the one presented here, can be used when applying ultrahigh-pressure to the chromatographic system.</w:t>
      </w:r>
      <w:r w:rsidR="00ED524D" w:rsidRPr="00F97B2D">
        <w:rPr>
          <w:rFonts w:cs="Times New Roman"/>
          <w:color w:val="131413"/>
          <w:szCs w:val="24"/>
          <w:lang w:bidi="ar-SA"/>
        </w:rPr>
        <w:t xml:space="preserve"> </w:t>
      </w:r>
      <w:r w:rsidR="00FC0F8F" w:rsidRPr="00F97B2D">
        <w:rPr>
          <w:rFonts w:cs="Times New Roman"/>
          <w:color w:val="131413"/>
          <w:szCs w:val="24"/>
          <w:lang w:bidi="ar-SA"/>
        </w:rPr>
        <w:t xml:space="preserve"> Several methods exist for the detection of these compounds in biological specimens but comprehensive methods incorporating such a high number of compounds across the three major classes are lacking.</w:t>
      </w:r>
    </w:p>
    <w:p w:rsidR="00A944B9" w:rsidRDefault="00A944B9" w:rsidP="00FC0F8F">
      <w:pPr>
        <w:autoSpaceDE w:val="0"/>
        <w:autoSpaceDN w:val="0"/>
        <w:adjustRightInd w:val="0"/>
        <w:spacing w:after="0" w:line="480" w:lineRule="auto"/>
        <w:ind w:firstLine="720"/>
        <w:rPr>
          <w:rFonts w:cs="Times New Roman"/>
          <w:color w:val="131413"/>
          <w:szCs w:val="24"/>
          <w:lang w:bidi="ar-SA"/>
        </w:rPr>
      </w:pPr>
    </w:p>
    <w:p w:rsidR="004F4AE4" w:rsidRPr="00F97B2D" w:rsidRDefault="004F4AE4" w:rsidP="00F97B2D">
      <w:pPr>
        <w:pStyle w:val="Heading2"/>
      </w:pPr>
      <w:bookmarkStart w:id="159" w:name="_Toc370733053"/>
      <w:bookmarkStart w:id="160" w:name="_Toc372536064"/>
      <w:bookmarkStart w:id="161" w:name="_Toc372538727"/>
      <w:bookmarkEnd w:id="159"/>
      <w:r w:rsidRPr="00F97B2D">
        <w:t>Introduction</w:t>
      </w:r>
      <w:bookmarkEnd w:id="160"/>
      <w:bookmarkEnd w:id="161"/>
    </w:p>
    <w:p w:rsidR="00073EB2" w:rsidRPr="00F97B2D" w:rsidRDefault="00073EB2" w:rsidP="00073EB2">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In 2010, Wohlfarth et al. described a method for the detection of amphetamines, tryptamines, piperazines, and several cathinone derivatives in human serum by LC-MS/MS with limits of detection in the 1.0 to 5.0 ng/mL range.</w:t>
      </w:r>
      <w:sdt>
        <w:sdtPr>
          <w:rPr>
            <w:rFonts w:cs="Times New Roman"/>
            <w:color w:val="131413"/>
            <w:szCs w:val="24"/>
            <w:lang w:bidi="ar-SA"/>
          </w:rPr>
          <w:id w:val="68920604"/>
          <w:citation/>
        </w:sdtPr>
        <w:sdtEndPr/>
        <w:sdtContent>
          <w:r w:rsidR="000E239B" w:rsidRPr="00420938">
            <w:rPr>
              <w:rStyle w:val="In-TextCitation"/>
            </w:rPr>
            <w:fldChar w:fldCharType="begin"/>
          </w:r>
          <w:r w:rsidR="000B1037" w:rsidRPr="00420938">
            <w:rPr>
              <w:rStyle w:val="In-TextCitation"/>
            </w:rPr>
            <w:instrText xml:space="preserve"> CITATION Woh10 \l 1033 </w:instrText>
          </w:r>
          <w:r w:rsidR="000E239B" w:rsidRPr="00420938">
            <w:rPr>
              <w:rStyle w:val="In-TextCitation"/>
            </w:rPr>
            <w:fldChar w:fldCharType="separate"/>
          </w:r>
          <w:r w:rsidR="00420938" w:rsidRPr="00420938">
            <w:rPr>
              <w:rStyle w:val="In-TextCitation"/>
            </w:rPr>
            <w:t>(</w:t>
          </w:r>
          <w:hyperlink w:anchor="Woh10" w:history="1">
            <w:r w:rsidR="00420938" w:rsidRPr="00420938">
              <w:rPr>
                <w:rStyle w:val="In-TextCitation"/>
              </w:rPr>
              <w:t>53</w:t>
            </w:r>
          </w:hyperlink>
          <w:r w:rsidR="00420938" w:rsidRPr="00420938">
            <w:rPr>
              <w:rStyle w:val="In-TextCitation"/>
            </w:rPr>
            <w:t>)</w:t>
          </w:r>
          <w:r w:rsidR="000E239B" w:rsidRPr="00420938">
            <w:rPr>
              <w:rStyle w:val="In-TextCitation"/>
            </w:rPr>
            <w:fldChar w:fldCharType="end"/>
          </w:r>
        </w:sdtContent>
      </w:sdt>
      <w:r w:rsidRPr="00F97B2D">
        <w:rPr>
          <w:rFonts w:cs="Times New Roman"/>
          <w:color w:val="131413"/>
          <w:szCs w:val="24"/>
          <w:lang w:bidi="ar-SA"/>
        </w:rPr>
        <w:t xml:space="preserve"> </w:t>
      </w:r>
      <w:r w:rsidR="00861B70" w:rsidRPr="00F97B2D">
        <w:rPr>
          <w:rFonts w:cs="Times New Roman"/>
          <w:color w:val="131413"/>
          <w:szCs w:val="24"/>
          <w:lang w:bidi="ar-SA"/>
        </w:rPr>
        <w:t xml:space="preserve"> </w:t>
      </w:r>
      <w:r w:rsidRPr="00F97B2D">
        <w:rPr>
          <w:rFonts w:cs="Times New Roman"/>
          <w:color w:val="131413"/>
          <w:szCs w:val="24"/>
          <w:lang w:bidi="ar-SA"/>
        </w:rPr>
        <w:t xml:space="preserve">However, the method was not fully validated and does not include some of the more popular synthetic drugs. Other research has focused on LC-MS analysis of a single drug </w:t>
      </w:r>
      <w:r w:rsidR="00E951CA" w:rsidRPr="00F97B2D">
        <w:rPr>
          <w:rFonts w:cs="Times New Roman"/>
          <w:color w:val="131413"/>
          <w:szCs w:val="24"/>
          <w:lang w:bidi="ar-SA"/>
        </w:rPr>
        <w:t xml:space="preserve">class </w:t>
      </w:r>
      <w:sdt>
        <w:sdtPr>
          <w:rPr>
            <w:rFonts w:cs="Times New Roman"/>
            <w:color w:val="131413"/>
            <w:szCs w:val="24"/>
            <w:lang w:bidi="ar-SA"/>
          </w:rPr>
          <w:id w:val="68920605"/>
          <w:citation/>
        </w:sdtPr>
        <w:sdtEndPr/>
        <w:sdtContent>
          <w:r w:rsidR="000E239B" w:rsidRPr="00420938">
            <w:rPr>
              <w:rStyle w:val="In-TextCitation"/>
            </w:rPr>
            <w:fldChar w:fldCharType="begin"/>
          </w:r>
          <w:r w:rsidR="00407BBF" w:rsidRPr="00420938">
            <w:rPr>
              <w:rStyle w:val="In-TextCitation"/>
            </w:rPr>
            <w:instrText xml:space="preserve"> CITATION Amm12 \l 1033  \m Ker11</w:instrText>
          </w:r>
          <w:r w:rsidR="000E239B" w:rsidRPr="00420938">
            <w:rPr>
              <w:rStyle w:val="In-TextCitation"/>
            </w:rPr>
            <w:fldChar w:fldCharType="separate"/>
          </w:r>
          <w:r w:rsidR="00420938" w:rsidRPr="00420938">
            <w:rPr>
              <w:rStyle w:val="In-TextCitation"/>
            </w:rPr>
            <w:t>(</w:t>
          </w:r>
          <w:hyperlink w:anchor="Amm12" w:history="1">
            <w:r w:rsidR="00420938" w:rsidRPr="00420938">
              <w:rPr>
                <w:rStyle w:val="In-TextCitation"/>
              </w:rPr>
              <w:t>130</w:t>
            </w:r>
          </w:hyperlink>
          <w:r w:rsidR="00420938" w:rsidRPr="00420938">
            <w:rPr>
              <w:rStyle w:val="In-TextCitation"/>
            </w:rPr>
            <w:t>,</w:t>
          </w:r>
          <w:hyperlink w:anchor="Ker11" w:history="1">
            <w:r w:rsidR="00420938" w:rsidRPr="00420938">
              <w:rPr>
                <w:rStyle w:val="In-TextCitation"/>
              </w:rPr>
              <w:t>131</w:t>
            </w:r>
          </w:hyperlink>
          <w:r w:rsidR="00420938" w:rsidRPr="00420938">
            <w:rPr>
              <w:rStyle w:val="In-TextCitation"/>
            </w:rPr>
            <w:t>)</w:t>
          </w:r>
          <w:r w:rsidR="000E239B" w:rsidRPr="00420938">
            <w:rPr>
              <w:rStyle w:val="In-TextCitation"/>
            </w:rPr>
            <w:fldChar w:fldCharType="end"/>
          </w:r>
        </w:sdtContent>
      </w:sdt>
      <w:r w:rsidRPr="00F97B2D">
        <w:rPr>
          <w:rFonts w:cs="Times New Roman"/>
          <w:color w:val="131413"/>
          <w:szCs w:val="24"/>
          <w:lang w:bidi="ar-SA"/>
        </w:rPr>
        <w:t xml:space="preserve"> or a smaller selection of analytes</w:t>
      </w:r>
      <w:r w:rsidR="00407BBF" w:rsidRPr="00F97B2D">
        <w:rPr>
          <w:rFonts w:cs="Times New Roman"/>
          <w:color w:val="131413"/>
          <w:szCs w:val="24"/>
          <w:lang w:bidi="ar-SA"/>
        </w:rPr>
        <w:t>.</w:t>
      </w:r>
      <w:sdt>
        <w:sdtPr>
          <w:rPr>
            <w:rFonts w:cs="Times New Roman"/>
            <w:color w:val="131413"/>
            <w:szCs w:val="24"/>
            <w:lang w:bidi="ar-SA"/>
          </w:rPr>
          <w:id w:val="68920606"/>
          <w:citation/>
        </w:sdtPr>
        <w:sdtEndPr/>
        <w:sdtContent>
          <w:r w:rsidR="000E239B" w:rsidRPr="00420938">
            <w:rPr>
              <w:rStyle w:val="In-TextCitation"/>
            </w:rPr>
            <w:fldChar w:fldCharType="begin"/>
          </w:r>
          <w:r w:rsidR="00407BBF" w:rsidRPr="00420938">
            <w:rPr>
              <w:rStyle w:val="In-TextCitation"/>
            </w:rPr>
            <w:instrText xml:space="preserve"> CITATION CBe11 \l 1033  \m Sor11</w:instrText>
          </w:r>
          <w:r w:rsidR="000E239B" w:rsidRPr="00420938">
            <w:rPr>
              <w:rStyle w:val="In-TextCitation"/>
            </w:rPr>
            <w:fldChar w:fldCharType="separate"/>
          </w:r>
          <w:r w:rsidR="00420938" w:rsidRPr="00420938">
            <w:rPr>
              <w:rStyle w:val="In-TextCitation"/>
            </w:rPr>
            <w:t>(</w:t>
          </w:r>
          <w:hyperlink w:anchor="CBe11" w:history="1">
            <w:r w:rsidR="00420938" w:rsidRPr="00420938">
              <w:rPr>
                <w:rStyle w:val="In-TextCitation"/>
              </w:rPr>
              <w:t>128</w:t>
            </w:r>
          </w:hyperlink>
          <w:r w:rsidR="00420938" w:rsidRPr="00420938">
            <w:rPr>
              <w:rStyle w:val="In-TextCitation"/>
            </w:rPr>
            <w:t>,</w:t>
          </w:r>
          <w:hyperlink w:anchor="Sor11" w:history="1">
            <w:r w:rsidR="00420938" w:rsidRPr="00420938">
              <w:rPr>
                <w:rStyle w:val="In-TextCitation"/>
              </w:rPr>
              <w:t>132</w:t>
            </w:r>
          </w:hyperlink>
          <w:r w:rsidR="00420938" w:rsidRPr="00420938">
            <w:rPr>
              <w:rStyle w:val="In-TextCitation"/>
            </w:rPr>
            <w:t>)</w:t>
          </w:r>
          <w:r w:rsidR="000E239B" w:rsidRPr="00420938">
            <w:rPr>
              <w:rStyle w:val="In-TextCitation"/>
            </w:rPr>
            <w:fldChar w:fldCharType="end"/>
          </w:r>
        </w:sdtContent>
      </w:sdt>
      <w:r w:rsidRPr="00F97B2D">
        <w:rPr>
          <w:rFonts w:cs="Times New Roman"/>
          <w:color w:val="131413"/>
          <w:szCs w:val="24"/>
          <w:lang w:bidi="ar-SA"/>
        </w:rPr>
        <w:t xml:space="preserve"> </w:t>
      </w:r>
      <w:r w:rsidR="00661688" w:rsidRPr="00F97B2D">
        <w:rPr>
          <w:rFonts w:cs="Times New Roman"/>
          <w:color w:val="131413"/>
          <w:szCs w:val="24"/>
          <w:lang w:bidi="ar-SA"/>
        </w:rPr>
        <w:t xml:space="preserve"> </w:t>
      </w:r>
      <w:r w:rsidRPr="00F97B2D">
        <w:rPr>
          <w:rFonts w:cs="Times New Roman"/>
          <w:color w:val="131413"/>
          <w:szCs w:val="24"/>
          <w:lang w:bidi="ar-SA"/>
        </w:rPr>
        <w:t xml:space="preserve">Currently, there are few published bioanalytical methods available for the comprehensive confirmatory analysis of all these compounds. </w:t>
      </w:r>
      <w:r w:rsidR="00661688" w:rsidRPr="00F97B2D">
        <w:rPr>
          <w:rFonts w:cs="Times New Roman"/>
          <w:color w:val="131413"/>
          <w:szCs w:val="24"/>
          <w:lang w:bidi="ar-SA"/>
        </w:rPr>
        <w:t xml:space="preserve"> </w:t>
      </w:r>
      <w:r w:rsidRPr="00F97B2D">
        <w:rPr>
          <w:rFonts w:cs="Times New Roman"/>
          <w:color w:val="131413"/>
          <w:szCs w:val="24"/>
          <w:lang w:bidi="ar-SA"/>
        </w:rPr>
        <w:t>The method</w:t>
      </w:r>
      <w:r w:rsidRPr="00F97B2D">
        <w:rPr>
          <w:rFonts w:cs="Times New Roman"/>
          <w:color w:val="131413"/>
          <w:szCs w:val="24"/>
          <w:lang w:bidi="ar-SA"/>
        </w:rPr>
        <w:tab/>
        <w:t xml:space="preserve"> presented here utilizes LC coupled to a triple quadrupole (QQQ) m</w:t>
      </w:r>
      <w:r w:rsidR="00810B1A" w:rsidRPr="00F97B2D">
        <w:rPr>
          <w:rFonts w:cs="Times New Roman"/>
          <w:color w:val="131413"/>
          <w:szCs w:val="24"/>
          <w:lang w:bidi="ar-SA"/>
        </w:rPr>
        <w:t>ass spectrometer for the quantific</w:t>
      </w:r>
      <w:r w:rsidRPr="00F97B2D">
        <w:rPr>
          <w:rFonts w:cs="Times New Roman"/>
          <w:color w:val="131413"/>
          <w:szCs w:val="24"/>
          <w:lang w:bidi="ar-SA"/>
        </w:rPr>
        <w:t xml:space="preserve">ation of over thirty designer drugs in serum, </w:t>
      </w:r>
      <w:r w:rsidR="00810B1A" w:rsidRPr="00F97B2D">
        <w:rPr>
          <w:rFonts w:cs="Times New Roman"/>
          <w:color w:val="131413"/>
          <w:szCs w:val="24"/>
          <w:lang w:bidi="ar-SA"/>
        </w:rPr>
        <w:t>after sample processing by SPE</w:t>
      </w:r>
      <w:r w:rsidRPr="00F97B2D">
        <w:rPr>
          <w:rFonts w:cs="Times New Roman"/>
          <w:color w:val="131413"/>
          <w:szCs w:val="24"/>
          <w:lang w:bidi="ar-SA"/>
        </w:rPr>
        <w:t>.</w:t>
      </w:r>
      <w:r w:rsidR="00661688" w:rsidRPr="00F97B2D">
        <w:rPr>
          <w:rFonts w:cs="Times New Roman"/>
          <w:color w:val="131413"/>
          <w:szCs w:val="24"/>
          <w:lang w:bidi="ar-SA"/>
        </w:rPr>
        <w:t xml:space="preserve"> </w:t>
      </w:r>
      <w:r w:rsidRPr="00F97B2D">
        <w:rPr>
          <w:rFonts w:cs="Times New Roman"/>
          <w:color w:val="131413"/>
          <w:szCs w:val="24"/>
          <w:lang w:bidi="ar-SA"/>
        </w:rPr>
        <w:t xml:space="preserve"> LC-QQQ-MS is becoming more widely available in the forensic </w:t>
      </w:r>
      <w:r w:rsidR="00661688" w:rsidRPr="00F97B2D">
        <w:rPr>
          <w:rFonts w:cs="Times New Roman"/>
          <w:color w:val="131413"/>
          <w:szCs w:val="24"/>
          <w:lang w:bidi="ar-SA"/>
        </w:rPr>
        <w:t xml:space="preserve">toxicology laboratory community.  </w:t>
      </w:r>
      <w:r w:rsidRPr="00F97B2D">
        <w:rPr>
          <w:rFonts w:cs="Times New Roman"/>
          <w:color w:val="131413"/>
          <w:szCs w:val="24"/>
          <w:lang w:bidi="ar-SA"/>
        </w:rPr>
        <w:t>In contrast, while high resolution MS, such as a quadrupole-time-of-flight</w:t>
      </w:r>
      <w:r w:rsidR="00A37884">
        <w:rPr>
          <w:rFonts w:cs="Times New Roman"/>
          <w:color w:val="131413"/>
          <w:szCs w:val="24"/>
          <w:lang w:bidi="ar-SA"/>
        </w:rPr>
        <w:t xml:space="preserve"> (QTOF)</w:t>
      </w:r>
      <w:r w:rsidRPr="00F97B2D">
        <w:rPr>
          <w:rFonts w:cs="Times New Roman"/>
          <w:color w:val="131413"/>
          <w:szCs w:val="24"/>
          <w:lang w:bidi="ar-SA"/>
        </w:rPr>
        <w:t xml:space="preserve">, is ideal for identifying designer drugs by exact mass analysis, the cost of </w:t>
      </w:r>
      <w:r w:rsidR="00A37884">
        <w:rPr>
          <w:rFonts w:cs="Times New Roman"/>
          <w:color w:val="131413"/>
          <w:szCs w:val="24"/>
          <w:lang w:bidi="ar-SA"/>
        </w:rPr>
        <w:t>instrumentation QTOF</w:t>
      </w:r>
      <w:r w:rsidRPr="00F97B2D">
        <w:rPr>
          <w:rFonts w:cs="Times New Roman"/>
          <w:color w:val="131413"/>
          <w:szCs w:val="24"/>
          <w:lang w:bidi="ar-SA"/>
        </w:rPr>
        <w:t xml:space="preserve"> often prohibits </w:t>
      </w:r>
      <w:r w:rsidR="00A37884">
        <w:rPr>
          <w:rFonts w:cs="Times New Roman"/>
          <w:color w:val="131413"/>
          <w:szCs w:val="24"/>
          <w:lang w:bidi="ar-SA"/>
        </w:rPr>
        <w:t>its</w:t>
      </w:r>
      <w:r w:rsidRPr="00F97B2D">
        <w:rPr>
          <w:rFonts w:cs="Times New Roman"/>
          <w:color w:val="131413"/>
          <w:szCs w:val="24"/>
          <w:lang w:bidi="ar-SA"/>
        </w:rPr>
        <w:t xml:space="preserve"> use in toxicology </w:t>
      </w:r>
      <w:r w:rsidR="00C06AE3">
        <w:rPr>
          <w:rFonts w:cs="Times New Roman"/>
          <w:color w:val="131413"/>
          <w:szCs w:val="24"/>
          <w:lang w:bidi="ar-SA"/>
        </w:rPr>
        <w:t>laboratories</w:t>
      </w:r>
      <w:r w:rsidRPr="00F97B2D">
        <w:rPr>
          <w:rFonts w:cs="Times New Roman"/>
          <w:color w:val="131413"/>
          <w:szCs w:val="24"/>
          <w:lang w:bidi="ar-SA"/>
        </w:rPr>
        <w:t xml:space="preserve"> for method development or routine casework. </w:t>
      </w:r>
      <w:r w:rsidR="00661688" w:rsidRPr="00F97B2D">
        <w:rPr>
          <w:rFonts w:cs="Times New Roman"/>
          <w:color w:val="131413"/>
          <w:szCs w:val="24"/>
          <w:lang w:bidi="ar-SA"/>
        </w:rPr>
        <w:t xml:space="preserve"> </w:t>
      </w:r>
      <w:r w:rsidRPr="00F97B2D">
        <w:rPr>
          <w:rFonts w:cs="Times New Roman"/>
          <w:color w:val="131413"/>
          <w:szCs w:val="24"/>
          <w:lang w:bidi="ar-SA"/>
        </w:rPr>
        <w:t>The LC-QQQ</w:t>
      </w:r>
      <w:r w:rsidR="0070539A" w:rsidRPr="00F97B2D">
        <w:rPr>
          <w:rFonts w:cs="Times New Roman"/>
          <w:color w:val="131413"/>
          <w:szCs w:val="24"/>
          <w:lang w:bidi="ar-SA"/>
        </w:rPr>
        <w:t>-</w:t>
      </w:r>
      <w:r w:rsidRPr="00F97B2D">
        <w:rPr>
          <w:rFonts w:cs="Times New Roman"/>
          <w:color w:val="131413"/>
          <w:szCs w:val="24"/>
          <w:lang w:bidi="ar-SA"/>
        </w:rPr>
        <w:t>MS method was fully validated and was also successfully applied to the analysis of two post-mortem specimens involving suspected “bath salts” use.</w:t>
      </w:r>
    </w:p>
    <w:p w:rsidR="004F4AE4" w:rsidRPr="00F97B2D" w:rsidRDefault="004F4AE4" w:rsidP="00F97B2D">
      <w:pPr>
        <w:pStyle w:val="Heading2"/>
      </w:pPr>
      <w:bookmarkStart w:id="162" w:name="_Toc372536065"/>
      <w:bookmarkStart w:id="163" w:name="_Toc372538728"/>
      <w:r w:rsidRPr="00F97B2D">
        <w:t>Materials and Methods</w:t>
      </w:r>
      <w:bookmarkEnd w:id="162"/>
      <w:bookmarkEnd w:id="163"/>
    </w:p>
    <w:p w:rsidR="001E7D36" w:rsidRPr="00F97B2D" w:rsidRDefault="001E7D36" w:rsidP="00F97B2D">
      <w:pPr>
        <w:pStyle w:val="Heading3"/>
      </w:pPr>
      <w:bookmarkStart w:id="164" w:name="_Toc372536066"/>
      <w:bookmarkStart w:id="165" w:name="_Toc372538729"/>
      <w:r w:rsidRPr="00F97B2D">
        <w:t>Chemicals</w:t>
      </w:r>
      <w:bookmarkEnd w:id="164"/>
      <w:bookmarkEnd w:id="165"/>
    </w:p>
    <w:p w:rsidR="00861B70" w:rsidRPr="00F97B2D" w:rsidRDefault="00861B70" w:rsidP="00661688">
      <w:pPr>
        <w:spacing w:after="0" w:line="480" w:lineRule="auto"/>
        <w:ind w:firstLine="720"/>
        <w:rPr>
          <w:rFonts w:cs="Times New Roman"/>
          <w:szCs w:val="24"/>
          <w:lang w:bidi="ar-SA"/>
        </w:rPr>
      </w:pPr>
      <w:r w:rsidRPr="00F97B2D">
        <w:rPr>
          <w:szCs w:val="24"/>
          <w:lang w:bidi="ar-SA"/>
        </w:rPr>
        <w:t xml:space="preserve">The following drugs were obtained from LipoMed (Cambridge, MA) as 1 mg/mL calibrated reference standards in </w:t>
      </w:r>
      <w:r w:rsidR="0028722F" w:rsidRPr="00F97B2D">
        <w:rPr>
          <w:szCs w:val="24"/>
          <w:lang w:bidi="ar-SA"/>
        </w:rPr>
        <w:t xml:space="preserve">solvent (see </w:t>
      </w:r>
      <w:r w:rsidR="002E77C7">
        <w:fldChar w:fldCharType="begin"/>
      </w:r>
      <w:r w:rsidR="002E77C7">
        <w:instrText xml:space="preserve"> REF _Ref362611478 \h  \* MERGEFORMAT </w:instrText>
      </w:r>
      <w:r w:rsidR="002E77C7">
        <w:fldChar w:fldCharType="separate"/>
      </w:r>
      <w:r w:rsidR="00E37796" w:rsidRPr="00E37796">
        <w:rPr>
          <w:szCs w:val="24"/>
        </w:rPr>
        <w:t>Table 1</w:t>
      </w:r>
      <w:r w:rsidR="002E77C7">
        <w:fldChar w:fldCharType="end"/>
      </w:r>
      <w:r w:rsidRPr="00F97B2D">
        <w:rPr>
          <w:color w:val="3A2A98"/>
          <w:szCs w:val="24"/>
          <w:lang w:bidi="ar-SA"/>
        </w:rPr>
        <w:t xml:space="preserve"> </w:t>
      </w:r>
      <w:r w:rsidRPr="00F97B2D">
        <w:rPr>
          <w:szCs w:val="24"/>
          <w:lang w:bidi="ar-SA"/>
        </w:rPr>
        <w:t xml:space="preserve">for abbreviations): 2C-B, 3,4,5-TMA, 4-MEC, butylone, cathinone, DMT, DOB, DOET, DOM, flephedrone, mCPP, MDPV, mephedrone, methcathinone, methedrone, methylone, N-ethylamphetamine, and TFMPP.  The following drugs were obtained from Cerilliant (Round Rock, TX) as 1 mg/mL calibrated reference standards in solvent: amphetamine, MDA, MDEA, MDMA, and methamphetamine. </w:t>
      </w:r>
      <w:r w:rsidR="00661688" w:rsidRPr="00F97B2D">
        <w:rPr>
          <w:szCs w:val="24"/>
          <w:lang w:bidi="ar-SA"/>
        </w:rPr>
        <w:t xml:space="preserve"> </w:t>
      </w:r>
      <w:r w:rsidRPr="00F97B2D">
        <w:rPr>
          <w:szCs w:val="24"/>
          <w:lang w:bidi="ar-SA"/>
        </w:rPr>
        <w:t xml:space="preserve">The following drugs were obtained from Grace Davison Discovery Sciences (Deerfield, IL) as 1 mg/mL calibrated reference standards in solvent: 2C-T-4 2C-T-7, 2C-E, </w:t>
      </w:r>
      <w:proofErr w:type="gramStart"/>
      <w:r w:rsidRPr="00F97B2D">
        <w:rPr>
          <w:szCs w:val="24"/>
          <w:lang w:bidi="ar-SA"/>
        </w:rPr>
        <w:t>2C</w:t>
      </w:r>
      <w:proofErr w:type="gramEnd"/>
      <w:r w:rsidRPr="00F97B2D">
        <w:rPr>
          <w:szCs w:val="24"/>
          <w:lang w:bidi="ar-SA"/>
        </w:rPr>
        <w:t>-I, 5-MeO-DiPT, 5-MeO-DMT, AMT, an</w:t>
      </w:r>
      <w:r w:rsidR="00A37884">
        <w:rPr>
          <w:szCs w:val="24"/>
          <w:lang w:bidi="ar-SA"/>
        </w:rPr>
        <w:t>d</w:t>
      </w:r>
      <w:r w:rsidRPr="00F97B2D">
        <w:rPr>
          <w:szCs w:val="24"/>
          <w:lang w:bidi="ar-SA"/>
        </w:rPr>
        <w:t xml:space="preserve"> BZP. </w:t>
      </w:r>
      <w:r w:rsidR="00661688" w:rsidRPr="00F97B2D">
        <w:rPr>
          <w:szCs w:val="24"/>
          <w:lang w:bidi="ar-SA"/>
        </w:rPr>
        <w:t xml:space="preserve"> </w:t>
      </w:r>
      <w:r w:rsidRPr="00F97B2D">
        <w:rPr>
          <w:szCs w:val="24"/>
          <w:lang w:bidi="ar-SA"/>
        </w:rPr>
        <w:t>The structures, drug classes (</w:t>
      </w:r>
      <w:r w:rsidRPr="00F97B2D">
        <w:rPr>
          <w:i/>
          <w:szCs w:val="24"/>
          <w:lang w:bidi="ar-SA"/>
        </w:rPr>
        <w:t>i.e.</w:t>
      </w:r>
      <w:r w:rsidR="00CE1144" w:rsidRPr="00F97B2D">
        <w:rPr>
          <w:szCs w:val="24"/>
          <w:lang w:bidi="ar-SA"/>
        </w:rPr>
        <w:t>,</w:t>
      </w:r>
      <w:r w:rsidRPr="00F97B2D">
        <w:rPr>
          <w:szCs w:val="24"/>
          <w:lang w:bidi="ar-SA"/>
        </w:rPr>
        <w:t xml:space="preserve"> phenethylamines</w:t>
      </w:r>
      <w:r w:rsidR="00810B1A" w:rsidRPr="00F97B2D">
        <w:rPr>
          <w:szCs w:val="24"/>
          <w:lang w:bidi="ar-SA"/>
        </w:rPr>
        <w:t>,</w:t>
      </w:r>
      <w:r w:rsidRPr="00F97B2D">
        <w:rPr>
          <w:szCs w:val="24"/>
          <w:lang w:bidi="ar-SA"/>
        </w:rPr>
        <w:t xml:space="preserve"> tryptamines, and piperazines), and compound names can be found in </w:t>
      </w:r>
      <w:r w:rsidR="002E77C7">
        <w:fldChar w:fldCharType="begin"/>
      </w:r>
      <w:r w:rsidR="002E77C7">
        <w:instrText xml:space="preserve"> REF _Ref362611954 \h  \* MERGEFORMAT </w:instrText>
      </w:r>
      <w:r w:rsidR="002E77C7">
        <w:fldChar w:fldCharType="separate"/>
      </w:r>
      <w:r w:rsidR="00E37796" w:rsidRPr="00E37796">
        <w:rPr>
          <w:szCs w:val="24"/>
        </w:rPr>
        <w:t>Appendix 1</w:t>
      </w:r>
      <w:r w:rsidR="002E77C7">
        <w:fldChar w:fldCharType="end"/>
      </w:r>
      <w:r w:rsidRPr="00F97B2D">
        <w:rPr>
          <w:szCs w:val="24"/>
          <w:lang w:bidi="ar-SA"/>
        </w:rPr>
        <w:t xml:space="preserve">. </w:t>
      </w:r>
      <w:r w:rsidR="00661688" w:rsidRPr="00F97B2D">
        <w:rPr>
          <w:szCs w:val="24"/>
          <w:lang w:bidi="ar-SA"/>
        </w:rPr>
        <w:t xml:space="preserve"> </w:t>
      </w:r>
      <w:r w:rsidRPr="00F97B2D">
        <w:rPr>
          <w:szCs w:val="24"/>
          <w:lang w:bidi="ar-SA"/>
        </w:rPr>
        <w:t xml:space="preserve">Methanolic solutions of the following deuterated internal standards were purchased from LipoMed as 0.1 mg/mL standards: </w:t>
      </w:r>
      <w:r w:rsidRPr="00F97B2D">
        <w:rPr>
          <w:i/>
          <w:szCs w:val="24"/>
          <w:lang w:bidi="ar-SA"/>
        </w:rPr>
        <w:t>d</w:t>
      </w:r>
      <w:r w:rsidRPr="00F97B2D">
        <w:rPr>
          <w:szCs w:val="24"/>
          <w:lang w:bidi="ar-SA"/>
        </w:rPr>
        <w:t xml:space="preserve">6-amphetamine, </w:t>
      </w:r>
      <w:r w:rsidRPr="00F97B2D">
        <w:rPr>
          <w:i/>
          <w:szCs w:val="24"/>
          <w:lang w:bidi="ar-SA"/>
        </w:rPr>
        <w:t>d</w:t>
      </w:r>
      <w:r w:rsidRPr="00F97B2D">
        <w:rPr>
          <w:szCs w:val="24"/>
          <w:lang w:bidi="ar-SA"/>
        </w:rPr>
        <w:t xml:space="preserve">5-MDMA, and </w:t>
      </w:r>
      <w:r w:rsidRPr="00F97B2D">
        <w:rPr>
          <w:i/>
          <w:szCs w:val="24"/>
          <w:lang w:bidi="ar-SA"/>
        </w:rPr>
        <w:t>d</w:t>
      </w:r>
      <w:r w:rsidRPr="00F97B2D">
        <w:rPr>
          <w:szCs w:val="24"/>
          <w:lang w:bidi="ar-SA"/>
        </w:rPr>
        <w:t xml:space="preserve">3-mephedrone. </w:t>
      </w:r>
      <w:r w:rsidR="00661688" w:rsidRPr="00F97B2D">
        <w:rPr>
          <w:szCs w:val="24"/>
          <w:lang w:bidi="ar-SA"/>
        </w:rPr>
        <w:t xml:space="preserve"> </w:t>
      </w:r>
      <w:r w:rsidRPr="00F97B2D">
        <w:rPr>
          <w:szCs w:val="24"/>
          <w:lang w:bidi="ar-SA"/>
        </w:rPr>
        <w:t xml:space="preserve">Methanolic solutions of the following deuterated internal standards were purchased from Cerilliant as 0.1 mg/mL standards: </w:t>
      </w:r>
      <w:r w:rsidRPr="00F97B2D">
        <w:rPr>
          <w:i/>
          <w:szCs w:val="24"/>
          <w:lang w:bidi="ar-SA"/>
        </w:rPr>
        <w:t>d</w:t>
      </w:r>
      <w:r w:rsidRPr="00F97B2D">
        <w:rPr>
          <w:szCs w:val="24"/>
          <w:lang w:bidi="ar-SA"/>
        </w:rPr>
        <w:t xml:space="preserve">7-BZP, </w:t>
      </w:r>
      <w:r w:rsidRPr="00F97B2D">
        <w:rPr>
          <w:i/>
          <w:szCs w:val="24"/>
          <w:lang w:bidi="ar-SA"/>
        </w:rPr>
        <w:t>d</w:t>
      </w:r>
      <w:r w:rsidRPr="00F97B2D">
        <w:rPr>
          <w:szCs w:val="24"/>
          <w:lang w:bidi="ar-SA"/>
        </w:rPr>
        <w:t xml:space="preserve">3-methylone, and </w:t>
      </w:r>
      <w:r w:rsidRPr="00F97B2D">
        <w:rPr>
          <w:i/>
          <w:szCs w:val="24"/>
          <w:lang w:bidi="ar-SA"/>
        </w:rPr>
        <w:t>d</w:t>
      </w:r>
      <w:r w:rsidRPr="00F97B2D">
        <w:rPr>
          <w:szCs w:val="24"/>
          <w:lang w:bidi="ar-SA"/>
        </w:rPr>
        <w:t xml:space="preserve">4- TFMPP. </w:t>
      </w:r>
      <w:r w:rsidR="00661688" w:rsidRPr="00F97B2D">
        <w:rPr>
          <w:szCs w:val="24"/>
          <w:lang w:bidi="ar-SA"/>
        </w:rPr>
        <w:t xml:space="preserve"> </w:t>
      </w:r>
      <w:r w:rsidR="00FF77AD" w:rsidRPr="00F97B2D">
        <w:rPr>
          <w:szCs w:val="24"/>
          <w:lang w:bidi="ar-SA"/>
        </w:rPr>
        <w:t xml:space="preserve">Structures of the internal standards can be found in </w:t>
      </w:r>
      <w:r w:rsidR="002E77C7">
        <w:fldChar w:fldCharType="begin"/>
      </w:r>
      <w:r w:rsidR="002E77C7">
        <w:instrText xml:space="preserve"> REF _Ref237682108 \h  \* MERGEFORMAT </w:instrText>
      </w:r>
      <w:r w:rsidR="002E77C7">
        <w:fldChar w:fldCharType="separate"/>
      </w:r>
      <w:r w:rsidR="00E37796" w:rsidRPr="00E37796">
        <w:rPr>
          <w:szCs w:val="24"/>
        </w:rPr>
        <w:t>Table 6</w:t>
      </w:r>
      <w:r w:rsidR="002E77C7">
        <w:fldChar w:fldCharType="end"/>
      </w:r>
      <w:r w:rsidR="00FF77AD" w:rsidRPr="00F97B2D">
        <w:rPr>
          <w:szCs w:val="24"/>
          <w:lang w:bidi="ar-SA"/>
        </w:rPr>
        <w:t xml:space="preserve">.  </w:t>
      </w:r>
      <w:r w:rsidRPr="00F97B2D">
        <w:rPr>
          <w:szCs w:val="24"/>
          <w:lang w:bidi="ar-SA"/>
        </w:rPr>
        <w:t xml:space="preserve">DBZP was purchased as a bulk powder from Sigma-Aldrich (St. Louis, MO) as it was not </w:t>
      </w:r>
      <w:r w:rsidRPr="00F97B2D">
        <w:rPr>
          <w:rFonts w:cs="Times New Roman"/>
          <w:szCs w:val="24"/>
          <w:lang w:bidi="ar-SA"/>
        </w:rPr>
        <w:t>available as a calibrated reference standard.</w:t>
      </w:r>
    </w:p>
    <w:p w:rsidR="00FF77AD" w:rsidRDefault="00661688" w:rsidP="00A944B9">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 xml:space="preserve">2-Propanol (IPA, analytical grade), acetonitrile (Optima® LC-MS grade), ammonium formate, hydrochloric acid (HCl, analytical grade), glacial acetic acid (analytical grade), and methanol (Optima® LC-MS grade) were obtained from Fisher Scientific (Fair Lawn, NJ).  Ammonium hydroxide (analytical grade) from Acros Organics (NJ), dichloromethane (analytical grade) from EMD Chemicals (Gibbstown, NJ), formic acid (Optima® LC-MS grade) from Fisher Scientific (Fair Lawn, NJ), and sodium phosphate monobasic monohydrate and dibasic heptahydrate (both analytical grade) from Acros (NJ) were also purchased for preparation of SPE </w:t>
      </w:r>
      <w:r w:rsidR="00854951">
        <w:rPr>
          <w:rFonts w:cs="Times New Roman"/>
          <w:color w:val="131413"/>
          <w:szCs w:val="24"/>
          <w:lang w:bidi="ar-SA"/>
        </w:rPr>
        <w:t>solutions</w:t>
      </w:r>
      <w:r w:rsidR="00854951" w:rsidRPr="00F97B2D">
        <w:rPr>
          <w:rFonts w:cs="Times New Roman"/>
          <w:color w:val="131413"/>
          <w:szCs w:val="24"/>
          <w:lang w:bidi="ar-SA"/>
        </w:rPr>
        <w:t xml:space="preserve"> </w:t>
      </w:r>
      <w:r w:rsidRPr="00F97B2D">
        <w:rPr>
          <w:rFonts w:cs="Times New Roman"/>
          <w:color w:val="131413"/>
          <w:szCs w:val="24"/>
          <w:lang w:bidi="ar-SA"/>
        </w:rPr>
        <w:t>and mobile phases.  All water was purified using a Barnstead NanoPure Infinity filtration system (Dubuque, IA).  Resprep Drug Prep I cartridges (200 mg; 10 mL) for solid-phase extraction were purchased from Restek (Bellefonte, PA) for manual extraction performed on a Supelco Visiprep-DL Disposable Liner SPE vacuum manifold.</w:t>
      </w:r>
    </w:p>
    <w:p w:rsidR="00494D40" w:rsidRPr="00F97B2D" w:rsidRDefault="00494D40" w:rsidP="00A944B9">
      <w:pPr>
        <w:autoSpaceDE w:val="0"/>
        <w:autoSpaceDN w:val="0"/>
        <w:adjustRightInd w:val="0"/>
        <w:spacing w:after="0" w:line="480" w:lineRule="auto"/>
        <w:ind w:firstLine="720"/>
        <w:rPr>
          <w:rFonts w:cs="Times New Roman"/>
          <w:color w:val="131413"/>
          <w:szCs w:val="24"/>
          <w:lang w:bidi="ar-SA"/>
        </w:rPr>
      </w:pPr>
    </w:p>
    <w:p w:rsidR="000C2BF9" w:rsidRPr="00F97B2D" w:rsidRDefault="00FF77AD" w:rsidP="008C1AC3">
      <w:pPr>
        <w:pStyle w:val="Caption"/>
        <w:jc w:val="left"/>
      </w:pPr>
      <w:bookmarkStart w:id="166" w:name="_Ref237682108"/>
      <w:bookmarkStart w:id="167" w:name="_Toc372536121"/>
      <w:r w:rsidRPr="00F97B2D">
        <w:t xml:space="preserve">Table </w:t>
      </w:r>
      <w:r w:rsidR="000E239B" w:rsidRPr="00F97B2D">
        <w:fldChar w:fldCharType="begin"/>
      </w:r>
      <w:r w:rsidR="00B2107A" w:rsidRPr="00F97B2D">
        <w:instrText xml:space="preserve"> SEQ Table \* ARABIC </w:instrText>
      </w:r>
      <w:r w:rsidR="000E239B" w:rsidRPr="00F97B2D">
        <w:fldChar w:fldCharType="separate"/>
      </w:r>
      <w:r w:rsidR="00E37796">
        <w:rPr>
          <w:noProof/>
        </w:rPr>
        <w:t>6</w:t>
      </w:r>
      <w:r w:rsidR="000E239B" w:rsidRPr="00F97B2D">
        <w:rPr>
          <w:noProof/>
        </w:rPr>
        <w:fldChar w:fldCharType="end"/>
      </w:r>
      <w:bookmarkEnd w:id="166"/>
      <w:r w:rsidRPr="00F97B2D">
        <w:t>: Structures of Deuterated Internal Standards</w:t>
      </w:r>
      <w:bookmarkEnd w:id="1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1919"/>
        <w:gridCol w:w="3208"/>
      </w:tblGrid>
      <w:tr w:rsidR="00FF77AD" w:rsidRPr="00F97B2D" w:rsidTr="000C2BF9">
        <w:trPr>
          <w:trHeight w:val="422"/>
          <w:tblHeader/>
        </w:trPr>
        <w:tc>
          <w:tcPr>
            <w:tcW w:w="0" w:type="auto"/>
            <w:shd w:val="clear" w:color="auto" w:fill="auto"/>
            <w:noWrap/>
            <w:vAlign w:val="center"/>
            <w:hideMark/>
          </w:tcPr>
          <w:p w:rsidR="00FF77AD" w:rsidRPr="00F97B2D" w:rsidRDefault="00FF77AD" w:rsidP="00FF77AD">
            <w:pPr>
              <w:spacing w:after="0" w:line="240" w:lineRule="auto"/>
              <w:jc w:val="both"/>
              <w:rPr>
                <w:rFonts w:eastAsia="Times New Roman" w:cs="Times New Roman"/>
                <w:b/>
                <w:color w:val="000000"/>
                <w:szCs w:val="24"/>
              </w:rPr>
            </w:pPr>
            <w:r w:rsidRPr="00F97B2D">
              <w:rPr>
                <w:rFonts w:eastAsia="Times New Roman" w:cs="Times New Roman"/>
                <w:b/>
                <w:color w:val="000000"/>
                <w:szCs w:val="24"/>
              </w:rPr>
              <w:t>Internal Standard</w:t>
            </w:r>
          </w:p>
        </w:tc>
        <w:tc>
          <w:tcPr>
            <w:tcW w:w="0" w:type="auto"/>
            <w:shd w:val="clear" w:color="auto" w:fill="auto"/>
            <w:noWrap/>
            <w:vAlign w:val="center"/>
            <w:hideMark/>
          </w:tcPr>
          <w:p w:rsidR="00FF77AD" w:rsidRPr="00F97B2D" w:rsidRDefault="00FF77AD" w:rsidP="00FF77AD">
            <w:pPr>
              <w:spacing w:after="0" w:line="240" w:lineRule="auto"/>
              <w:jc w:val="center"/>
              <w:rPr>
                <w:rFonts w:eastAsia="Times New Roman" w:cs="Times New Roman"/>
                <w:b/>
                <w:color w:val="000000"/>
                <w:szCs w:val="24"/>
              </w:rPr>
            </w:pPr>
            <w:r w:rsidRPr="00F97B2D">
              <w:rPr>
                <w:rFonts w:eastAsia="Times New Roman" w:cs="Times New Roman"/>
                <w:b/>
                <w:color w:val="000000"/>
                <w:szCs w:val="24"/>
              </w:rPr>
              <w:t>Structure</w:t>
            </w:r>
          </w:p>
        </w:tc>
      </w:tr>
      <w:tr w:rsidR="00FF77AD" w:rsidRPr="00F97B2D" w:rsidTr="000C2BF9">
        <w:trPr>
          <w:trHeight w:val="1440"/>
        </w:trPr>
        <w:tc>
          <w:tcPr>
            <w:tcW w:w="0" w:type="auto"/>
            <w:shd w:val="clear" w:color="auto" w:fill="auto"/>
            <w:noWrap/>
            <w:vAlign w:val="center"/>
            <w:hideMark/>
          </w:tcPr>
          <w:p w:rsidR="00FF77AD" w:rsidRPr="00F97B2D" w:rsidRDefault="00FF77AD" w:rsidP="00FF77AD">
            <w:pPr>
              <w:spacing w:after="0" w:line="240" w:lineRule="auto"/>
              <w:jc w:val="center"/>
              <w:rPr>
                <w:rFonts w:eastAsia="Times New Roman" w:cs="Times New Roman"/>
                <w:color w:val="000000"/>
                <w:szCs w:val="24"/>
              </w:rPr>
            </w:pPr>
            <w:r w:rsidRPr="00F97B2D">
              <w:rPr>
                <w:rFonts w:eastAsia="Times New Roman" w:cs="Times New Roman"/>
                <w:color w:val="000000"/>
                <w:szCs w:val="24"/>
              </w:rPr>
              <w:t>Amphetamine-D</w:t>
            </w:r>
            <w:r w:rsidRPr="00F97B2D">
              <w:rPr>
                <w:rFonts w:eastAsia="Times New Roman" w:cs="Times New Roman"/>
                <w:color w:val="000000"/>
                <w:szCs w:val="24"/>
                <w:vertAlign w:val="subscript"/>
              </w:rPr>
              <w:t>6</w:t>
            </w:r>
          </w:p>
        </w:tc>
        <w:tc>
          <w:tcPr>
            <w:tcW w:w="0" w:type="auto"/>
            <w:shd w:val="clear" w:color="auto" w:fill="auto"/>
            <w:noWrap/>
            <w:vAlign w:val="center"/>
            <w:hideMark/>
          </w:tcPr>
          <w:p w:rsidR="00FF77AD" w:rsidRPr="00F97B2D" w:rsidRDefault="00FF77AD" w:rsidP="00FF77AD">
            <w:pPr>
              <w:spacing w:after="0" w:line="240" w:lineRule="auto"/>
              <w:jc w:val="center"/>
              <w:rPr>
                <w:rFonts w:eastAsia="Times New Roman" w:cs="Times New Roman"/>
                <w:color w:val="000000"/>
                <w:szCs w:val="24"/>
              </w:rPr>
            </w:pPr>
            <w:r w:rsidRPr="00F97B2D">
              <w:rPr>
                <w:szCs w:val="24"/>
              </w:rPr>
              <w:object w:dxaOrig="2573"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54pt" o:ole="">
                  <v:imagedata r:id="rId19" o:title=""/>
                </v:shape>
                <o:OLEObject Type="Embed" ProgID="ACD.ChemSketch.20" ShapeID="_x0000_i1025" DrawAspect="Content" ObjectID="_1448215284" r:id="rId20"/>
              </w:object>
            </w:r>
          </w:p>
        </w:tc>
      </w:tr>
      <w:tr w:rsidR="00FF77AD" w:rsidRPr="00F97B2D" w:rsidTr="000C2BF9">
        <w:trPr>
          <w:trHeight w:val="1440"/>
        </w:trPr>
        <w:tc>
          <w:tcPr>
            <w:tcW w:w="0" w:type="auto"/>
            <w:shd w:val="clear" w:color="auto" w:fill="auto"/>
            <w:noWrap/>
            <w:vAlign w:val="center"/>
            <w:hideMark/>
          </w:tcPr>
          <w:p w:rsidR="00FF77AD" w:rsidRPr="00F97B2D" w:rsidRDefault="00FF77AD" w:rsidP="00FF77AD">
            <w:pPr>
              <w:spacing w:after="0" w:line="240" w:lineRule="auto"/>
              <w:jc w:val="center"/>
              <w:rPr>
                <w:rFonts w:eastAsia="Times New Roman" w:cs="Times New Roman"/>
                <w:color w:val="000000"/>
                <w:szCs w:val="24"/>
              </w:rPr>
            </w:pPr>
            <w:r w:rsidRPr="00F97B2D">
              <w:rPr>
                <w:rFonts w:eastAsia="Times New Roman" w:cs="Times New Roman"/>
                <w:color w:val="000000"/>
                <w:szCs w:val="24"/>
              </w:rPr>
              <w:t>MDMA-D</w:t>
            </w:r>
            <w:r w:rsidRPr="00F97B2D">
              <w:rPr>
                <w:rFonts w:eastAsia="Times New Roman" w:cs="Times New Roman"/>
                <w:color w:val="000000"/>
                <w:szCs w:val="24"/>
                <w:vertAlign w:val="subscript"/>
              </w:rPr>
              <w:t>5</w:t>
            </w:r>
          </w:p>
        </w:tc>
        <w:tc>
          <w:tcPr>
            <w:tcW w:w="0" w:type="auto"/>
            <w:shd w:val="clear" w:color="auto" w:fill="auto"/>
            <w:noWrap/>
            <w:vAlign w:val="center"/>
            <w:hideMark/>
          </w:tcPr>
          <w:p w:rsidR="00FF77AD" w:rsidRPr="00F97B2D" w:rsidRDefault="00FF77AD" w:rsidP="00FF77AD">
            <w:pPr>
              <w:spacing w:after="0" w:line="240" w:lineRule="auto"/>
              <w:jc w:val="center"/>
              <w:rPr>
                <w:rFonts w:eastAsia="Times New Roman" w:cs="Times New Roman"/>
                <w:color w:val="000000"/>
                <w:szCs w:val="24"/>
              </w:rPr>
            </w:pPr>
            <w:r w:rsidRPr="00F97B2D">
              <w:rPr>
                <w:szCs w:val="24"/>
              </w:rPr>
              <w:object w:dxaOrig="3115" w:dyaOrig="1286">
                <v:shape id="_x0000_i1026" type="#_x0000_t75" style="width:157.5pt;height:64.5pt" o:ole="">
                  <v:imagedata r:id="rId21" o:title=""/>
                </v:shape>
                <o:OLEObject Type="Embed" ProgID="ACD.ChemSketch.20" ShapeID="_x0000_i1026" DrawAspect="Content" ObjectID="_1448215285" r:id="rId22"/>
              </w:object>
            </w:r>
          </w:p>
        </w:tc>
      </w:tr>
      <w:tr w:rsidR="00FF77AD" w:rsidRPr="00F97B2D" w:rsidTr="000C2BF9">
        <w:trPr>
          <w:trHeight w:val="1440"/>
        </w:trPr>
        <w:tc>
          <w:tcPr>
            <w:tcW w:w="0" w:type="auto"/>
            <w:shd w:val="clear" w:color="auto" w:fill="auto"/>
            <w:noWrap/>
            <w:vAlign w:val="center"/>
            <w:hideMark/>
          </w:tcPr>
          <w:p w:rsidR="00FF77AD" w:rsidRPr="00F97B2D" w:rsidRDefault="00FF77AD" w:rsidP="00FF77AD">
            <w:pPr>
              <w:spacing w:after="0" w:line="240" w:lineRule="auto"/>
              <w:jc w:val="center"/>
              <w:rPr>
                <w:rFonts w:eastAsia="Times New Roman" w:cs="Times New Roman"/>
                <w:color w:val="000000"/>
                <w:szCs w:val="24"/>
              </w:rPr>
            </w:pPr>
            <w:r w:rsidRPr="00F97B2D">
              <w:rPr>
                <w:rFonts w:eastAsia="Times New Roman" w:cs="Times New Roman"/>
                <w:color w:val="000000"/>
                <w:szCs w:val="24"/>
              </w:rPr>
              <w:t>Mephedrone-D</w:t>
            </w:r>
            <w:r w:rsidRPr="00F97B2D">
              <w:rPr>
                <w:rFonts w:eastAsia="Times New Roman" w:cs="Times New Roman"/>
                <w:color w:val="000000"/>
                <w:szCs w:val="24"/>
                <w:vertAlign w:val="subscript"/>
              </w:rPr>
              <w:t>3</w:t>
            </w:r>
          </w:p>
        </w:tc>
        <w:tc>
          <w:tcPr>
            <w:tcW w:w="0" w:type="auto"/>
            <w:shd w:val="clear" w:color="auto" w:fill="auto"/>
            <w:noWrap/>
            <w:vAlign w:val="center"/>
            <w:hideMark/>
          </w:tcPr>
          <w:p w:rsidR="00FF77AD" w:rsidRPr="00F97B2D" w:rsidRDefault="00FF77AD" w:rsidP="00FF77AD">
            <w:pPr>
              <w:spacing w:after="0" w:line="240" w:lineRule="auto"/>
              <w:jc w:val="center"/>
              <w:rPr>
                <w:rFonts w:eastAsia="Times New Roman" w:cs="Times New Roman"/>
                <w:color w:val="000000"/>
                <w:szCs w:val="24"/>
              </w:rPr>
            </w:pPr>
            <w:r w:rsidRPr="00F97B2D">
              <w:rPr>
                <w:szCs w:val="24"/>
              </w:rPr>
              <w:object w:dxaOrig="3053" w:dyaOrig="1479">
                <v:shape id="_x0000_i1027" type="#_x0000_t75" style="width:152.25pt;height:74.25pt" o:ole="">
                  <v:imagedata r:id="rId23" o:title=""/>
                </v:shape>
                <o:OLEObject Type="Embed" ProgID="ACD.ChemSketch.20" ShapeID="_x0000_i1027" DrawAspect="Content" ObjectID="_1448215286" r:id="rId24"/>
              </w:object>
            </w:r>
          </w:p>
        </w:tc>
      </w:tr>
      <w:tr w:rsidR="00FF77AD" w:rsidRPr="00F97B2D" w:rsidTr="000C2BF9">
        <w:trPr>
          <w:trHeight w:val="1440"/>
        </w:trPr>
        <w:tc>
          <w:tcPr>
            <w:tcW w:w="0" w:type="auto"/>
            <w:shd w:val="clear" w:color="auto" w:fill="auto"/>
            <w:noWrap/>
            <w:vAlign w:val="center"/>
          </w:tcPr>
          <w:p w:rsidR="00FF77AD" w:rsidRPr="00F97B2D" w:rsidRDefault="00FF77AD" w:rsidP="00FF77AD">
            <w:pPr>
              <w:spacing w:after="0" w:line="240" w:lineRule="auto"/>
              <w:jc w:val="center"/>
              <w:rPr>
                <w:rFonts w:eastAsia="Times New Roman" w:cs="Times New Roman"/>
                <w:color w:val="000000"/>
                <w:szCs w:val="24"/>
              </w:rPr>
            </w:pPr>
            <w:r w:rsidRPr="00F97B2D">
              <w:rPr>
                <w:rFonts w:eastAsia="Times New Roman" w:cs="Times New Roman"/>
                <w:color w:val="000000"/>
                <w:szCs w:val="24"/>
              </w:rPr>
              <w:t>Methylone-D</w:t>
            </w:r>
            <w:r w:rsidRPr="00F97B2D">
              <w:rPr>
                <w:rFonts w:eastAsia="Times New Roman" w:cs="Times New Roman"/>
                <w:color w:val="000000"/>
                <w:szCs w:val="24"/>
                <w:vertAlign w:val="subscript"/>
              </w:rPr>
              <w:t>3</w:t>
            </w:r>
          </w:p>
        </w:tc>
        <w:tc>
          <w:tcPr>
            <w:tcW w:w="0" w:type="auto"/>
            <w:shd w:val="clear" w:color="auto" w:fill="auto"/>
            <w:noWrap/>
            <w:vAlign w:val="center"/>
          </w:tcPr>
          <w:p w:rsidR="00FF77AD" w:rsidRPr="00F97B2D" w:rsidRDefault="00FF77AD" w:rsidP="00FF77AD">
            <w:pPr>
              <w:spacing w:after="0" w:line="240" w:lineRule="auto"/>
              <w:jc w:val="center"/>
              <w:rPr>
                <w:rFonts w:cs="Times New Roman"/>
                <w:szCs w:val="24"/>
              </w:rPr>
            </w:pPr>
            <w:r w:rsidRPr="00F97B2D">
              <w:rPr>
                <w:szCs w:val="24"/>
              </w:rPr>
              <w:object w:dxaOrig="3101" w:dyaOrig="1421">
                <v:shape id="_x0000_i1028" type="#_x0000_t75" style="width:155.25pt;height:71.25pt" o:ole="">
                  <v:imagedata r:id="rId25" o:title=""/>
                </v:shape>
                <o:OLEObject Type="Embed" ProgID="ACD.ChemSketch.20" ShapeID="_x0000_i1028" DrawAspect="Content" ObjectID="_1448215287" r:id="rId26"/>
              </w:object>
            </w:r>
          </w:p>
        </w:tc>
      </w:tr>
      <w:tr w:rsidR="00FF77AD" w:rsidRPr="00F97B2D" w:rsidTr="000C2BF9">
        <w:trPr>
          <w:trHeight w:val="1440"/>
        </w:trPr>
        <w:tc>
          <w:tcPr>
            <w:tcW w:w="0" w:type="auto"/>
            <w:shd w:val="clear" w:color="auto" w:fill="auto"/>
            <w:noWrap/>
            <w:vAlign w:val="center"/>
          </w:tcPr>
          <w:p w:rsidR="00FF77AD" w:rsidRPr="00F97B2D" w:rsidRDefault="00FF77AD" w:rsidP="00FF77AD">
            <w:pPr>
              <w:spacing w:after="0" w:line="240" w:lineRule="auto"/>
              <w:jc w:val="center"/>
              <w:rPr>
                <w:rFonts w:eastAsia="Times New Roman" w:cs="Times New Roman"/>
                <w:color w:val="000000"/>
                <w:szCs w:val="24"/>
              </w:rPr>
            </w:pPr>
            <w:r w:rsidRPr="00F97B2D">
              <w:rPr>
                <w:rFonts w:eastAsia="Times New Roman" w:cs="Times New Roman"/>
                <w:color w:val="000000"/>
                <w:szCs w:val="24"/>
              </w:rPr>
              <w:t>BZP-D</w:t>
            </w:r>
            <w:r w:rsidRPr="00F97B2D">
              <w:rPr>
                <w:rFonts w:eastAsia="Times New Roman" w:cs="Times New Roman"/>
                <w:color w:val="000000"/>
                <w:szCs w:val="24"/>
                <w:vertAlign w:val="subscript"/>
              </w:rPr>
              <w:t>7</w:t>
            </w:r>
          </w:p>
        </w:tc>
        <w:tc>
          <w:tcPr>
            <w:tcW w:w="0" w:type="auto"/>
            <w:shd w:val="clear" w:color="auto" w:fill="auto"/>
            <w:noWrap/>
            <w:vAlign w:val="center"/>
          </w:tcPr>
          <w:p w:rsidR="00FF77AD" w:rsidRPr="00F97B2D" w:rsidRDefault="00FF77AD" w:rsidP="00FF77AD">
            <w:pPr>
              <w:spacing w:after="0" w:line="240" w:lineRule="auto"/>
              <w:jc w:val="center"/>
              <w:rPr>
                <w:rFonts w:cs="Times New Roman"/>
                <w:szCs w:val="24"/>
              </w:rPr>
            </w:pPr>
            <w:r w:rsidRPr="00F97B2D">
              <w:rPr>
                <w:szCs w:val="24"/>
              </w:rPr>
              <w:object w:dxaOrig="2707" w:dyaOrig="1829">
                <v:shape id="_x0000_i1029" type="#_x0000_t75" style="width:123.75pt;height:84pt" o:ole="">
                  <v:imagedata r:id="rId27" o:title=""/>
                </v:shape>
                <o:OLEObject Type="Embed" ProgID="ACD.ChemSketch.20" ShapeID="_x0000_i1029" DrawAspect="Content" ObjectID="_1448215288" r:id="rId28"/>
              </w:object>
            </w:r>
          </w:p>
        </w:tc>
      </w:tr>
      <w:tr w:rsidR="00FF77AD" w:rsidRPr="00F97B2D" w:rsidTr="000C2BF9">
        <w:trPr>
          <w:trHeight w:val="1440"/>
        </w:trPr>
        <w:tc>
          <w:tcPr>
            <w:tcW w:w="0" w:type="auto"/>
            <w:shd w:val="clear" w:color="auto" w:fill="auto"/>
            <w:noWrap/>
            <w:vAlign w:val="center"/>
            <w:hideMark/>
          </w:tcPr>
          <w:p w:rsidR="00FF77AD" w:rsidRPr="00F97B2D" w:rsidRDefault="00FF77AD" w:rsidP="00FF77AD">
            <w:pPr>
              <w:spacing w:after="0" w:line="240" w:lineRule="auto"/>
              <w:jc w:val="center"/>
              <w:rPr>
                <w:rFonts w:eastAsia="Times New Roman" w:cs="Times New Roman"/>
                <w:color w:val="000000"/>
                <w:szCs w:val="24"/>
              </w:rPr>
            </w:pPr>
            <w:r w:rsidRPr="00F97B2D">
              <w:rPr>
                <w:rFonts w:eastAsia="Times New Roman" w:cs="Times New Roman"/>
                <w:color w:val="000000"/>
                <w:szCs w:val="24"/>
              </w:rPr>
              <w:t>TFMPP-D</w:t>
            </w:r>
            <w:r w:rsidRPr="00F97B2D">
              <w:rPr>
                <w:rFonts w:eastAsia="Times New Roman" w:cs="Times New Roman"/>
                <w:color w:val="000000"/>
                <w:szCs w:val="24"/>
                <w:vertAlign w:val="subscript"/>
              </w:rPr>
              <w:t>4</w:t>
            </w:r>
          </w:p>
        </w:tc>
        <w:tc>
          <w:tcPr>
            <w:tcW w:w="0" w:type="auto"/>
            <w:shd w:val="clear" w:color="auto" w:fill="auto"/>
            <w:noWrap/>
            <w:vAlign w:val="center"/>
            <w:hideMark/>
          </w:tcPr>
          <w:p w:rsidR="00FF77AD" w:rsidRPr="00F97B2D" w:rsidRDefault="00FF77AD" w:rsidP="00FF77AD">
            <w:pPr>
              <w:spacing w:after="0" w:line="240" w:lineRule="auto"/>
              <w:jc w:val="center"/>
              <w:rPr>
                <w:rFonts w:eastAsia="Times New Roman" w:cs="Times New Roman"/>
                <w:color w:val="000000"/>
                <w:szCs w:val="24"/>
              </w:rPr>
            </w:pPr>
            <w:r w:rsidRPr="00F97B2D">
              <w:rPr>
                <w:szCs w:val="24"/>
              </w:rPr>
              <w:object w:dxaOrig="2611" w:dyaOrig="1983">
                <v:shape id="_x0000_i1030" type="#_x0000_t75" style="width:116.25pt;height:87.75pt" o:ole="">
                  <v:imagedata r:id="rId29" o:title=""/>
                </v:shape>
                <o:OLEObject Type="Embed" ProgID="ACD.ChemSketch.20" ShapeID="_x0000_i1030" DrawAspect="Content" ObjectID="_1448215289" r:id="rId30"/>
              </w:object>
            </w:r>
          </w:p>
        </w:tc>
      </w:tr>
    </w:tbl>
    <w:p w:rsidR="00FF77AD" w:rsidRDefault="00FF77AD" w:rsidP="00661688">
      <w:pPr>
        <w:autoSpaceDE w:val="0"/>
        <w:autoSpaceDN w:val="0"/>
        <w:adjustRightInd w:val="0"/>
        <w:spacing w:after="0" w:line="480" w:lineRule="auto"/>
        <w:ind w:firstLine="720"/>
        <w:rPr>
          <w:rFonts w:cs="Times New Roman"/>
          <w:color w:val="131413"/>
          <w:szCs w:val="24"/>
          <w:lang w:bidi="ar-SA"/>
        </w:rPr>
      </w:pPr>
    </w:p>
    <w:p w:rsidR="002F660C" w:rsidRDefault="002F660C" w:rsidP="00661688">
      <w:pPr>
        <w:autoSpaceDE w:val="0"/>
        <w:autoSpaceDN w:val="0"/>
        <w:adjustRightInd w:val="0"/>
        <w:spacing w:after="0" w:line="480" w:lineRule="auto"/>
        <w:ind w:firstLine="720"/>
        <w:rPr>
          <w:rFonts w:cs="Times New Roman"/>
          <w:color w:val="131413"/>
          <w:szCs w:val="24"/>
          <w:lang w:bidi="ar-SA"/>
        </w:rPr>
      </w:pPr>
    </w:p>
    <w:p w:rsidR="001E7D36" w:rsidRPr="00F97B2D" w:rsidRDefault="001E7D36" w:rsidP="00F97B2D">
      <w:pPr>
        <w:pStyle w:val="Heading3"/>
      </w:pPr>
      <w:bookmarkStart w:id="168" w:name="_Toc372536067"/>
      <w:bookmarkStart w:id="169" w:name="_Toc372538730"/>
      <w:r w:rsidRPr="00F97B2D">
        <w:t>Samples</w:t>
      </w:r>
      <w:bookmarkEnd w:id="168"/>
      <w:bookmarkEnd w:id="169"/>
    </w:p>
    <w:p w:rsidR="00661688" w:rsidRPr="00F97B2D" w:rsidRDefault="00661688" w:rsidP="00661688">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 xml:space="preserve">Pooled blank human serum recovered from six whole blood donations (three male, three female) was used for method development and validation and was obtained from Bioreclamation (Westbury, NY).  Quantitative analysis was performed on authentic post-mortem blood specimens that were submitted to </w:t>
      </w:r>
      <w:r w:rsidR="000C2BF9" w:rsidRPr="00F97B2D">
        <w:rPr>
          <w:rFonts w:cs="Times New Roman"/>
          <w:color w:val="131413"/>
          <w:szCs w:val="24"/>
          <w:lang w:bidi="ar-SA"/>
        </w:rPr>
        <w:t xml:space="preserve">our </w:t>
      </w:r>
      <w:r w:rsidRPr="00F97B2D">
        <w:rPr>
          <w:rFonts w:cs="Times New Roman"/>
          <w:color w:val="131413"/>
          <w:szCs w:val="24"/>
          <w:lang w:bidi="ar-SA"/>
        </w:rPr>
        <w:t>laboratory</w:t>
      </w:r>
      <w:r w:rsidR="00A37884">
        <w:rPr>
          <w:rFonts w:cs="Times New Roman"/>
          <w:color w:val="131413"/>
          <w:szCs w:val="24"/>
          <w:lang w:bidi="ar-SA"/>
        </w:rPr>
        <w:t xml:space="preserve"> at Florida International University</w:t>
      </w:r>
      <w:r w:rsidRPr="00F97B2D">
        <w:rPr>
          <w:rFonts w:cs="Times New Roman"/>
          <w:color w:val="131413"/>
          <w:szCs w:val="24"/>
          <w:lang w:bidi="ar-SA"/>
        </w:rPr>
        <w:t>.</w:t>
      </w:r>
      <w:r w:rsidR="000C2BF9" w:rsidRPr="00F97B2D">
        <w:rPr>
          <w:rFonts w:cs="Times New Roman"/>
          <w:color w:val="131413"/>
          <w:szCs w:val="24"/>
          <w:lang w:bidi="ar-SA"/>
        </w:rPr>
        <w:t xml:space="preserve">  The forensic specimens contained no identifying information about the decedent and were merely labeled “Case 1” and “Case 2”. </w:t>
      </w:r>
      <w:r w:rsidRPr="00F97B2D">
        <w:rPr>
          <w:rFonts w:cs="Times New Roman"/>
          <w:color w:val="131413"/>
          <w:szCs w:val="24"/>
          <w:lang w:bidi="ar-SA"/>
        </w:rPr>
        <w:t xml:space="preserve"> All samples were stored at −20 °C.</w:t>
      </w:r>
    </w:p>
    <w:p w:rsidR="001E7D36" w:rsidRPr="00F97B2D" w:rsidRDefault="001E7D36" w:rsidP="00F97B2D">
      <w:pPr>
        <w:pStyle w:val="Heading3"/>
      </w:pPr>
      <w:bookmarkStart w:id="170" w:name="_Toc372536068"/>
      <w:bookmarkStart w:id="171" w:name="_Toc372538731"/>
      <w:r w:rsidRPr="00F97B2D">
        <w:t>Sample Preparation</w:t>
      </w:r>
      <w:bookmarkEnd w:id="170"/>
      <w:bookmarkEnd w:id="171"/>
    </w:p>
    <w:p w:rsidR="00661688" w:rsidRDefault="00661688" w:rsidP="00661688">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 xml:space="preserve">Serum samples (1 mL) were diluted with 2 mL of sodium phosphate buffer (100 mM, pH 6.0).  After addition of 20 μL of internal standards (IS) containing 1 μg/mL each of d6-amphetamine, d7-BZP, d5-MDMA, d3-mephedrone, d3-methylone, and d4-TFMPP, the samples were gently vortexed and loaded onto a mixed-mode (Drug Prep I) SPE cartridge that was previously conditioned with 3 mL of methanol, 3 mL of water, and 1 mL of phosphate buffer.  After extraction, the cartridges were sequentially washed with 1 mL of water, 1 mL of 0.1 M acetic acid, and then 1 mL of methanol.  Vacuum was applied until the cartridges were dry.  Analytes were then eluted slowly using two rounds of 1.5 mL of elution </w:t>
      </w:r>
      <w:r w:rsidR="00932348">
        <w:rPr>
          <w:rFonts w:cs="Times New Roman"/>
          <w:color w:val="131413"/>
          <w:szCs w:val="24"/>
          <w:lang w:bidi="ar-SA"/>
        </w:rPr>
        <w:t>solvent</w:t>
      </w:r>
      <w:r w:rsidRPr="00F97B2D">
        <w:rPr>
          <w:rFonts w:cs="Times New Roman"/>
          <w:color w:val="131413"/>
          <w:szCs w:val="24"/>
          <w:lang w:bidi="ar-SA"/>
        </w:rPr>
        <w:t>, which consisted of dichloromethane, IPA, and ammonium hydroxide (80:20:2 v/v/v).</w:t>
      </w:r>
      <w:r w:rsidR="00A74E23" w:rsidRPr="00A74E23">
        <w:rPr>
          <w:rFonts w:cs="Times New Roman"/>
          <w:color w:val="131413"/>
          <w:szCs w:val="24"/>
          <w:vertAlign w:val="superscript"/>
          <w:lang w:bidi="ar-SA"/>
        </w:rPr>
        <w:t>(53,96)</w:t>
      </w:r>
      <w:r w:rsidRPr="00F97B2D">
        <w:rPr>
          <w:rFonts w:cs="Times New Roman"/>
          <w:color w:val="131413"/>
          <w:szCs w:val="24"/>
          <w:lang w:bidi="ar-SA"/>
        </w:rPr>
        <w:t xml:space="preserve"> </w:t>
      </w:r>
      <w:r w:rsidR="00E9449A" w:rsidRPr="00F97B2D">
        <w:rPr>
          <w:rFonts w:cs="Times New Roman"/>
          <w:color w:val="131413"/>
          <w:szCs w:val="24"/>
          <w:lang w:bidi="ar-SA"/>
        </w:rPr>
        <w:t xml:space="preserve"> </w:t>
      </w:r>
      <w:r w:rsidRPr="00F97B2D">
        <w:rPr>
          <w:rFonts w:cs="Times New Roman"/>
          <w:color w:val="131413"/>
          <w:szCs w:val="24"/>
          <w:lang w:bidi="ar-SA"/>
        </w:rPr>
        <w:t>The combined eluates were acidified with 100 μL of HCl –IPA (1:3 v/v) before evaporation in an Eppendorf Vacufuge at 30 °C.  When dry, the residue was reconstituted in 50 μL of mobile phase and 5 μL of extract was injected into the LC-MS/MS system.</w:t>
      </w:r>
    </w:p>
    <w:p w:rsidR="00574B1E" w:rsidRDefault="00574B1E" w:rsidP="00661688">
      <w:pPr>
        <w:autoSpaceDE w:val="0"/>
        <w:autoSpaceDN w:val="0"/>
        <w:adjustRightInd w:val="0"/>
        <w:spacing w:after="0" w:line="480" w:lineRule="auto"/>
        <w:ind w:firstLine="720"/>
        <w:rPr>
          <w:rFonts w:cs="Times New Roman"/>
          <w:color w:val="131413"/>
          <w:szCs w:val="24"/>
          <w:lang w:bidi="ar-SA"/>
        </w:rPr>
      </w:pPr>
    </w:p>
    <w:p w:rsidR="001E7D36" w:rsidRPr="00F97B2D" w:rsidRDefault="001E7D36" w:rsidP="00F97B2D">
      <w:pPr>
        <w:pStyle w:val="Heading3"/>
      </w:pPr>
      <w:bookmarkStart w:id="172" w:name="_Toc370733059"/>
      <w:bookmarkStart w:id="173" w:name="_Toc372536069"/>
      <w:bookmarkStart w:id="174" w:name="_Toc372538732"/>
      <w:bookmarkEnd w:id="172"/>
      <w:r w:rsidRPr="00F97B2D">
        <w:t>LC-QQQ Analysis</w:t>
      </w:r>
      <w:bookmarkEnd w:id="173"/>
      <w:bookmarkEnd w:id="174"/>
    </w:p>
    <w:p w:rsidR="001E7D36" w:rsidRPr="00F97B2D" w:rsidRDefault="001E7D36" w:rsidP="00AC5F51">
      <w:pPr>
        <w:pStyle w:val="Heading4"/>
      </w:pPr>
      <w:bookmarkStart w:id="175" w:name="_Toc372536070"/>
      <w:bookmarkStart w:id="176" w:name="_Toc372538733"/>
      <w:r w:rsidRPr="00F97B2D">
        <w:t>Instrumentation</w:t>
      </w:r>
      <w:bookmarkEnd w:id="175"/>
      <w:bookmarkEnd w:id="176"/>
    </w:p>
    <w:p w:rsidR="00661688" w:rsidRPr="00F97B2D" w:rsidRDefault="00661688" w:rsidP="00661688">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 xml:space="preserve">The samples were analyzed using an Agilent 1290 Infinity Binary Pump LC coupled to an Agilent 6460 triple quadrupole MS/MS with Jet Streaming technology and electrospray ionization (ESI) using Agilent MassHunter software.  Separation occurred on an Agilent Zorbax Rapid Resolution HD Eclipse </w:t>
      </w:r>
      <w:proofErr w:type="gramStart"/>
      <w:r w:rsidRPr="00F97B2D">
        <w:rPr>
          <w:rFonts w:cs="Times New Roman"/>
          <w:color w:val="131413"/>
          <w:szCs w:val="24"/>
          <w:lang w:bidi="ar-SA"/>
        </w:rPr>
        <w:t>Plus</w:t>
      </w:r>
      <w:proofErr w:type="gramEnd"/>
      <w:r w:rsidRPr="00F97B2D">
        <w:rPr>
          <w:rFonts w:cs="Times New Roman"/>
          <w:color w:val="131413"/>
          <w:szCs w:val="24"/>
          <w:lang w:bidi="ar-SA"/>
        </w:rPr>
        <w:t xml:space="preserve"> C18 LC column (50 x 2.1 mm, 1.8 μm particle size).  Data acquisition was performed in Dynamic MRM mode with positive ESI using one principal MRM transition </w:t>
      </w:r>
      <w:r w:rsidR="00810B1A" w:rsidRPr="00F97B2D">
        <w:rPr>
          <w:rFonts w:cs="Times New Roman"/>
          <w:color w:val="131413"/>
          <w:szCs w:val="24"/>
          <w:lang w:bidi="ar-SA"/>
        </w:rPr>
        <w:t>for quantific</w:t>
      </w:r>
      <w:r w:rsidRPr="00F97B2D">
        <w:rPr>
          <w:rFonts w:cs="Times New Roman"/>
          <w:color w:val="131413"/>
          <w:szCs w:val="24"/>
          <w:lang w:bidi="ar-SA"/>
        </w:rPr>
        <w:t>ation and one additional transition to serve as a qualifier for each analyte.</w:t>
      </w:r>
    </w:p>
    <w:p w:rsidR="001E7D36" w:rsidRPr="00F97B2D" w:rsidRDefault="001E7D36" w:rsidP="00AC5F51">
      <w:pPr>
        <w:pStyle w:val="Heading4"/>
      </w:pPr>
      <w:bookmarkStart w:id="177" w:name="_Toc372536071"/>
      <w:bookmarkStart w:id="178" w:name="_Toc372538734"/>
      <w:r w:rsidRPr="00F97B2D">
        <w:t>LC Conditions</w:t>
      </w:r>
      <w:bookmarkEnd w:id="177"/>
      <w:bookmarkEnd w:id="178"/>
    </w:p>
    <w:p w:rsidR="00CC41AA" w:rsidRPr="00F97B2D" w:rsidRDefault="00CC41AA" w:rsidP="00CC41AA">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Chromatographic separation occurred with gradient elution at a flow rate of 0.5 mL/min using 2 mM ammonium formate/0.1 % formic acid in water as mobile phase A and acetonitrile/water (90:10 v/v) with 0.1 % formic acid as mobile phase B.  The gradient was as follows: 5 % B up to 35 % B in 6 min as the analytical run, followed by a 30 s ramp up to 95 % B and then a 1 min hold at 95 % B for clean-up before a 3.5-min re-equilibration at 5 % B.  The analytical column was kept at a temperature of 40°C in a thermostatted column compartment during separation.</w:t>
      </w:r>
    </w:p>
    <w:p w:rsidR="001E7D36" w:rsidRPr="00F97B2D" w:rsidRDefault="001E7D36" w:rsidP="00AC5F51">
      <w:pPr>
        <w:pStyle w:val="Heading4"/>
      </w:pPr>
      <w:bookmarkStart w:id="179" w:name="_Toc372536072"/>
      <w:bookmarkStart w:id="180" w:name="_Toc372538735"/>
      <w:r w:rsidRPr="00F97B2D">
        <w:t>MS parameters</w:t>
      </w:r>
      <w:bookmarkEnd w:id="179"/>
      <w:bookmarkEnd w:id="180"/>
    </w:p>
    <w:p w:rsidR="000E25A1" w:rsidRPr="00F97B2D" w:rsidRDefault="00CC41AA" w:rsidP="000E25A1">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 xml:space="preserve">MS source parameters were as follows: gas temperature, 320 °C; gas flow 8 L/min; nebulizer 27 psi; sheath gas heater 380 °C; sheath gas flow 12 L/min; capillary voltage 3,750 V; and charging voltage 500 V. </w:t>
      </w:r>
      <w:r w:rsidR="000E25A1" w:rsidRPr="00F97B2D">
        <w:rPr>
          <w:rFonts w:cs="Times New Roman"/>
          <w:color w:val="131413"/>
          <w:szCs w:val="24"/>
          <w:lang w:bidi="ar-SA"/>
        </w:rPr>
        <w:t xml:space="preserve"> </w:t>
      </w:r>
      <w:r w:rsidRPr="00F97B2D">
        <w:rPr>
          <w:rFonts w:cs="Times New Roman"/>
          <w:color w:val="131413"/>
          <w:szCs w:val="24"/>
          <w:lang w:bidi="ar-SA"/>
        </w:rPr>
        <w:t>Agilent MassHunter Optimizer</w:t>
      </w:r>
      <w:r w:rsidR="000E25A1" w:rsidRPr="00F97B2D">
        <w:rPr>
          <w:rFonts w:cs="Times New Roman"/>
          <w:color w:val="131413"/>
          <w:szCs w:val="24"/>
          <w:lang w:bidi="ar-SA"/>
        </w:rPr>
        <w:t xml:space="preserve"> </w:t>
      </w:r>
      <w:r w:rsidRPr="00F97B2D">
        <w:rPr>
          <w:rFonts w:cs="Times New Roman"/>
          <w:color w:val="131413"/>
          <w:szCs w:val="24"/>
          <w:lang w:bidi="ar-SA"/>
        </w:rPr>
        <w:t>software was used to optimize the data acquisition parameters</w:t>
      </w:r>
      <w:r w:rsidR="000E25A1" w:rsidRPr="00F97B2D">
        <w:rPr>
          <w:rFonts w:cs="Times New Roman"/>
          <w:color w:val="131413"/>
          <w:szCs w:val="24"/>
          <w:lang w:bidi="ar-SA"/>
        </w:rPr>
        <w:t xml:space="preserve"> </w:t>
      </w:r>
      <w:r w:rsidRPr="00F97B2D">
        <w:rPr>
          <w:rFonts w:cs="Times New Roman"/>
          <w:color w:val="131413"/>
          <w:szCs w:val="24"/>
          <w:lang w:bidi="ar-SA"/>
        </w:rPr>
        <w:t>for MRM mode by automatically selecting the best precursor</w:t>
      </w:r>
      <w:r w:rsidR="000E25A1" w:rsidRPr="00F97B2D">
        <w:rPr>
          <w:rFonts w:cs="Times New Roman"/>
          <w:color w:val="131413"/>
          <w:szCs w:val="24"/>
          <w:lang w:bidi="ar-SA"/>
        </w:rPr>
        <w:t xml:space="preserve"> </w:t>
      </w:r>
      <w:r w:rsidRPr="00F97B2D">
        <w:rPr>
          <w:rFonts w:cs="Times New Roman"/>
          <w:color w:val="131413"/>
          <w:szCs w:val="24"/>
          <w:lang w:bidi="ar-SA"/>
        </w:rPr>
        <w:t>ions and associated fragmentor voltages in addition to selecting</w:t>
      </w:r>
      <w:r w:rsidR="000E25A1" w:rsidRPr="00F97B2D">
        <w:rPr>
          <w:rFonts w:cs="Times New Roman"/>
          <w:color w:val="131413"/>
          <w:szCs w:val="24"/>
          <w:lang w:bidi="ar-SA"/>
        </w:rPr>
        <w:t xml:space="preserve"> </w:t>
      </w:r>
      <w:r w:rsidRPr="00F97B2D">
        <w:rPr>
          <w:rFonts w:cs="Times New Roman"/>
          <w:color w:val="131413"/>
          <w:szCs w:val="24"/>
          <w:lang w:bidi="ar-SA"/>
        </w:rPr>
        <w:t>the best fragment ions and collision energies for each</w:t>
      </w:r>
      <w:r w:rsidR="000E25A1" w:rsidRPr="00F97B2D">
        <w:rPr>
          <w:rFonts w:cs="Times New Roman"/>
          <w:color w:val="131413"/>
          <w:szCs w:val="24"/>
          <w:lang w:bidi="ar-SA"/>
        </w:rPr>
        <w:t xml:space="preserve"> </w:t>
      </w:r>
      <w:r w:rsidRPr="00F97B2D">
        <w:rPr>
          <w:rFonts w:cs="Times New Roman"/>
          <w:color w:val="131413"/>
          <w:szCs w:val="24"/>
          <w:lang w:bidi="ar-SA"/>
        </w:rPr>
        <w:t>transition.</w:t>
      </w:r>
      <w:r w:rsidR="000E25A1" w:rsidRPr="00F97B2D">
        <w:rPr>
          <w:rFonts w:cs="Times New Roman"/>
          <w:color w:val="131413"/>
          <w:szCs w:val="24"/>
          <w:lang w:bidi="ar-SA"/>
        </w:rPr>
        <w:t xml:space="preserve"> </w:t>
      </w:r>
      <w:r w:rsidRPr="00F97B2D">
        <w:rPr>
          <w:rFonts w:cs="Times New Roman"/>
          <w:color w:val="131413"/>
          <w:szCs w:val="24"/>
          <w:lang w:bidi="ar-SA"/>
        </w:rPr>
        <w:t xml:space="preserve"> Enhanced sensitivity was achieved with the</w:t>
      </w:r>
      <w:r w:rsidR="000E25A1" w:rsidRPr="00F97B2D">
        <w:rPr>
          <w:rFonts w:cs="Times New Roman"/>
          <w:color w:val="131413"/>
          <w:szCs w:val="24"/>
          <w:lang w:bidi="ar-SA"/>
        </w:rPr>
        <w:t xml:space="preserve"> </w:t>
      </w:r>
      <w:r w:rsidRPr="00F97B2D">
        <w:rPr>
          <w:rFonts w:cs="Times New Roman"/>
          <w:color w:val="131413"/>
          <w:szCs w:val="24"/>
          <w:lang w:bidi="ar-SA"/>
        </w:rPr>
        <w:t>Dynamic</w:t>
      </w:r>
      <w:r w:rsidR="000E25A1" w:rsidRPr="00F97B2D">
        <w:rPr>
          <w:rFonts w:cs="Times New Roman"/>
          <w:color w:val="131413"/>
          <w:szCs w:val="24"/>
          <w:lang w:bidi="ar-SA"/>
        </w:rPr>
        <w:t xml:space="preserve"> </w:t>
      </w:r>
      <w:r w:rsidRPr="00F97B2D">
        <w:rPr>
          <w:rFonts w:cs="Times New Roman"/>
          <w:color w:val="131413"/>
          <w:szCs w:val="24"/>
          <w:lang w:bidi="ar-SA"/>
        </w:rPr>
        <w:t>MRM</w:t>
      </w:r>
      <w:r w:rsidR="000E25A1" w:rsidRPr="00F97B2D">
        <w:rPr>
          <w:rFonts w:cs="Times New Roman"/>
          <w:color w:val="131413"/>
          <w:szCs w:val="24"/>
          <w:lang w:bidi="ar-SA"/>
        </w:rPr>
        <w:t xml:space="preserve"> </w:t>
      </w:r>
      <w:r w:rsidRPr="00F97B2D">
        <w:rPr>
          <w:rFonts w:cs="Times New Roman"/>
          <w:color w:val="131413"/>
          <w:szCs w:val="24"/>
          <w:lang w:bidi="ar-SA"/>
        </w:rPr>
        <w:t>acquisition capabilities of the Agilent system,</w:t>
      </w:r>
      <w:r w:rsidR="000E25A1" w:rsidRPr="00F97B2D">
        <w:rPr>
          <w:rFonts w:cs="Times New Roman"/>
          <w:color w:val="131413"/>
          <w:szCs w:val="24"/>
          <w:lang w:bidi="ar-SA"/>
        </w:rPr>
        <w:t xml:space="preserve"> </w:t>
      </w:r>
      <w:r w:rsidRPr="00F97B2D">
        <w:rPr>
          <w:rFonts w:cs="Times New Roman"/>
          <w:color w:val="131413"/>
          <w:szCs w:val="24"/>
          <w:lang w:bidi="ar-SA"/>
        </w:rPr>
        <w:t>which utilizes analyte retention times, detection windows</w:t>
      </w:r>
      <w:r w:rsidR="000E25A1" w:rsidRPr="00F97B2D">
        <w:rPr>
          <w:rFonts w:cs="Times New Roman"/>
          <w:color w:val="131413"/>
          <w:szCs w:val="24"/>
          <w:lang w:bidi="ar-SA"/>
        </w:rPr>
        <w:t xml:space="preserve"> </w:t>
      </w:r>
      <w:r w:rsidRPr="00F97B2D">
        <w:rPr>
          <w:rFonts w:cs="Times New Roman"/>
          <w:color w:val="131413"/>
          <w:szCs w:val="24"/>
          <w:lang w:bidi="ar-SA"/>
        </w:rPr>
        <w:t>(Δt</w:t>
      </w:r>
      <w:r w:rsidRPr="00F97B2D">
        <w:rPr>
          <w:rFonts w:cs="Times New Roman"/>
          <w:color w:val="131413"/>
          <w:szCs w:val="24"/>
          <w:vertAlign w:val="subscript"/>
          <w:lang w:bidi="ar-SA"/>
        </w:rPr>
        <w:t>R</w:t>
      </w:r>
      <w:r w:rsidRPr="00F97B2D">
        <w:rPr>
          <w:rFonts w:cs="Times New Roman"/>
          <w:color w:val="131413"/>
          <w:szCs w:val="24"/>
          <w:lang w:bidi="ar-SA"/>
        </w:rPr>
        <w:t>), and a constant scan cycle time for precise detection of</w:t>
      </w:r>
      <w:r w:rsidR="000E25A1" w:rsidRPr="00F97B2D">
        <w:rPr>
          <w:rFonts w:cs="Times New Roman"/>
          <w:color w:val="131413"/>
          <w:szCs w:val="24"/>
          <w:lang w:bidi="ar-SA"/>
        </w:rPr>
        <w:t xml:space="preserve"> </w:t>
      </w:r>
      <w:r w:rsidRPr="00F97B2D">
        <w:rPr>
          <w:rFonts w:cs="Times New Roman"/>
          <w:color w:val="131413"/>
          <w:szCs w:val="24"/>
          <w:lang w:bidi="ar-SA"/>
        </w:rPr>
        <w:t>multiple analytes in a small Δt</w:t>
      </w:r>
      <w:r w:rsidRPr="00F97B2D">
        <w:rPr>
          <w:rFonts w:cs="Times New Roman"/>
          <w:color w:val="131413"/>
          <w:szCs w:val="24"/>
          <w:vertAlign w:val="subscript"/>
          <w:lang w:bidi="ar-SA"/>
        </w:rPr>
        <w:t>R</w:t>
      </w:r>
      <w:r w:rsidRPr="00F97B2D">
        <w:rPr>
          <w:rFonts w:cs="Times New Roman"/>
          <w:color w:val="131413"/>
          <w:szCs w:val="24"/>
          <w:lang w:bidi="ar-SA"/>
        </w:rPr>
        <w:t xml:space="preserve">. </w:t>
      </w:r>
      <w:r w:rsidR="000E25A1" w:rsidRPr="00F97B2D">
        <w:rPr>
          <w:rFonts w:cs="Times New Roman"/>
          <w:color w:val="131413"/>
          <w:szCs w:val="24"/>
          <w:lang w:bidi="ar-SA"/>
        </w:rPr>
        <w:t xml:space="preserve"> </w:t>
      </w:r>
      <w:r w:rsidR="00AB7A45">
        <w:rPr>
          <w:rFonts w:cs="Times New Roman"/>
          <w:color w:val="131413"/>
          <w:szCs w:val="24"/>
          <w:lang w:bidi="ar-SA"/>
        </w:rPr>
        <w:t xml:space="preserve">Essentially, Dynamic MRM will only scan for the targeted transitions within a detection window centered </w:t>
      </w:r>
      <w:proofErr w:type="gramStart"/>
      <w:r w:rsidR="00AB7A45">
        <w:rPr>
          <w:rFonts w:cs="Times New Roman"/>
          <w:color w:val="131413"/>
          <w:szCs w:val="24"/>
          <w:lang w:bidi="ar-SA"/>
        </w:rPr>
        <w:t>around</w:t>
      </w:r>
      <w:proofErr w:type="gramEnd"/>
      <w:r w:rsidR="00AB7A45">
        <w:rPr>
          <w:rFonts w:cs="Times New Roman"/>
          <w:color w:val="131413"/>
          <w:szCs w:val="24"/>
          <w:lang w:bidi="ar-SA"/>
        </w:rPr>
        <w:t xml:space="preserve"> the analyte’s retention time.  When dealing with such a large number of compounds, this allows for increased sensitivity as the method will only be scanning for the expected transitions at a given chromatographic time.  </w:t>
      </w:r>
      <w:r w:rsidRPr="00F97B2D">
        <w:rPr>
          <w:rFonts w:cs="Times New Roman"/>
          <w:color w:val="131413"/>
          <w:szCs w:val="24"/>
          <w:lang w:bidi="ar-SA"/>
        </w:rPr>
        <w:t>All detection windows were</w:t>
      </w:r>
      <w:r w:rsidR="000E25A1" w:rsidRPr="00F97B2D">
        <w:rPr>
          <w:rFonts w:cs="Times New Roman"/>
          <w:color w:val="131413"/>
          <w:szCs w:val="24"/>
          <w:lang w:bidi="ar-SA"/>
        </w:rPr>
        <w:t xml:space="preserve"> set at 0.4 min (± 0.2 min around </w:t>
      </w:r>
      <w:proofErr w:type="gramStart"/>
      <w:r w:rsidR="000E25A1" w:rsidRPr="00F97B2D">
        <w:rPr>
          <w:rFonts w:cs="Times New Roman"/>
          <w:color w:val="131413"/>
          <w:szCs w:val="24"/>
          <w:lang w:bidi="ar-SA"/>
        </w:rPr>
        <w:t>t</w:t>
      </w:r>
      <w:r w:rsidR="000E25A1" w:rsidRPr="00F97B2D">
        <w:rPr>
          <w:rFonts w:cs="Times New Roman"/>
          <w:color w:val="131413"/>
          <w:szCs w:val="24"/>
          <w:vertAlign w:val="subscript"/>
          <w:lang w:bidi="ar-SA"/>
        </w:rPr>
        <w:t>R</w:t>
      </w:r>
      <w:proofErr w:type="gramEnd"/>
      <w:r w:rsidR="000E25A1" w:rsidRPr="00F97B2D">
        <w:rPr>
          <w:rFonts w:cs="Times New Roman"/>
          <w:color w:val="131413"/>
          <w:szCs w:val="24"/>
          <w:lang w:bidi="ar-SA"/>
        </w:rPr>
        <w:t xml:space="preserve">).  The dynamic MRM parameters are summarized in </w:t>
      </w:r>
      <w:r w:rsidR="002E77C7">
        <w:fldChar w:fldCharType="begin"/>
      </w:r>
      <w:r w:rsidR="002E77C7">
        <w:instrText xml:space="preserve"> REF _Ref362612561 \h  \* MERGEFORMAT </w:instrText>
      </w:r>
      <w:r w:rsidR="002E77C7">
        <w:fldChar w:fldCharType="separate"/>
      </w:r>
      <w:r w:rsidR="00E37796" w:rsidRPr="00E37796">
        <w:rPr>
          <w:szCs w:val="24"/>
        </w:rPr>
        <w:t>Appendix 5</w:t>
      </w:r>
      <w:r w:rsidR="002E77C7">
        <w:fldChar w:fldCharType="end"/>
      </w:r>
      <w:r w:rsidR="00CD767F" w:rsidRPr="00F97B2D">
        <w:rPr>
          <w:rFonts w:cs="Times New Roman"/>
          <w:color w:val="131413"/>
          <w:szCs w:val="24"/>
          <w:lang w:bidi="ar-SA"/>
        </w:rPr>
        <w:t>.</w:t>
      </w:r>
    </w:p>
    <w:p w:rsidR="001E7D36" w:rsidRPr="00F97B2D" w:rsidRDefault="001E7D36" w:rsidP="00AC5F51">
      <w:pPr>
        <w:pStyle w:val="Heading4"/>
      </w:pPr>
      <w:bookmarkStart w:id="181" w:name="_Toc372536073"/>
      <w:bookmarkStart w:id="182" w:name="_Toc372538736"/>
      <w:r w:rsidRPr="00F97B2D">
        <w:t>Quantification</w:t>
      </w:r>
      <w:bookmarkEnd w:id="181"/>
      <w:bookmarkEnd w:id="182"/>
    </w:p>
    <w:p w:rsidR="000E25A1" w:rsidRPr="00F97B2D" w:rsidRDefault="000E25A1" w:rsidP="000E25A1">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Agilent MassHunter Quantitative Analysis software version B.04.00 was employed for the quantification of the analytes.  Peak area ratios (</w:t>
      </w:r>
      <w:r w:rsidRPr="00F97B2D">
        <w:rPr>
          <w:rFonts w:cs="Times New Roman"/>
          <w:i/>
          <w:color w:val="131413"/>
          <w:szCs w:val="24"/>
          <w:lang w:bidi="ar-SA"/>
        </w:rPr>
        <w:t>i.e.</w:t>
      </w:r>
      <w:r w:rsidRPr="00F97B2D">
        <w:rPr>
          <w:rFonts w:cs="Times New Roman"/>
          <w:color w:val="131413"/>
          <w:szCs w:val="24"/>
          <w:lang w:bidi="ar-SA"/>
        </w:rPr>
        <w:t>, drug vs</w:t>
      </w:r>
      <w:r w:rsidR="00810B1A" w:rsidRPr="00F97B2D">
        <w:rPr>
          <w:rFonts w:cs="Times New Roman"/>
          <w:color w:val="131413"/>
          <w:szCs w:val="24"/>
          <w:lang w:bidi="ar-SA"/>
        </w:rPr>
        <w:t>.</w:t>
      </w:r>
      <w:r w:rsidRPr="00F97B2D">
        <w:rPr>
          <w:rFonts w:cs="Times New Roman"/>
          <w:color w:val="131413"/>
          <w:szCs w:val="24"/>
          <w:lang w:bidi="ar-SA"/>
        </w:rPr>
        <w:t xml:space="preserve"> IS) were calculated and plotted against concentrations within the software.  The internal standards for each analyte are indicated in</w:t>
      </w:r>
      <w:r w:rsidR="00CD767F" w:rsidRPr="00F97B2D">
        <w:rPr>
          <w:rFonts w:cs="Times New Roman"/>
          <w:color w:val="131413"/>
          <w:szCs w:val="24"/>
          <w:lang w:bidi="ar-SA"/>
        </w:rPr>
        <w:t xml:space="preserve"> </w:t>
      </w:r>
      <w:r w:rsidR="002E77C7">
        <w:fldChar w:fldCharType="begin"/>
      </w:r>
      <w:r w:rsidR="002E77C7">
        <w:instrText xml:space="preserve"> REF _Ref362612561 \h  \* MERGEFORMAT </w:instrText>
      </w:r>
      <w:r w:rsidR="002E77C7">
        <w:fldChar w:fldCharType="separate"/>
      </w:r>
      <w:r w:rsidR="00E37796" w:rsidRPr="00E37796">
        <w:rPr>
          <w:szCs w:val="24"/>
        </w:rPr>
        <w:t>Appendix 5</w:t>
      </w:r>
      <w:r w:rsidR="002E77C7">
        <w:fldChar w:fldCharType="end"/>
      </w:r>
      <w:r w:rsidR="00CD767F" w:rsidRPr="00F97B2D">
        <w:rPr>
          <w:rFonts w:cs="Times New Roman"/>
          <w:color w:val="131413"/>
          <w:szCs w:val="24"/>
          <w:lang w:bidi="ar-SA"/>
        </w:rPr>
        <w:t>.</w:t>
      </w:r>
    </w:p>
    <w:p w:rsidR="001E7D36" w:rsidRPr="00F97B2D" w:rsidRDefault="001E7D36" w:rsidP="00AC5F51">
      <w:pPr>
        <w:pStyle w:val="Heading4"/>
      </w:pPr>
      <w:bookmarkStart w:id="183" w:name="_Toc372536074"/>
      <w:bookmarkStart w:id="184" w:name="_Toc372538737"/>
      <w:r w:rsidRPr="00F97B2D">
        <w:t>Assay Validation</w:t>
      </w:r>
      <w:bookmarkEnd w:id="183"/>
      <w:bookmarkEnd w:id="184"/>
    </w:p>
    <w:p w:rsidR="000E25A1" w:rsidRDefault="000E25A1" w:rsidP="000E25A1">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The LC-MS/MS assay was fully validated according to generally accepted guidelines.  The experimental design for the validation experiments was based on those proposed by Peters et al.</w:t>
      </w:r>
      <w:sdt>
        <w:sdtPr>
          <w:rPr>
            <w:rFonts w:cs="Times New Roman"/>
            <w:color w:val="131413"/>
            <w:szCs w:val="24"/>
            <w:lang w:bidi="ar-SA"/>
          </w:rPr>
          <w:id w:val="68920730"/>
          <w:citation/>
        </w:sdtPr>
        <w:sdtEndPr/>
        <w:sdtContent>
          <w:r w:rsidR="000E239B" w:rsidRPr="00420938">
            <w:rPr>
              <w:rStyle w:val="In-TextCitation"/>
            </w:rPr>
            <w:fldChar w:fldCharType="begin"/>
          </w:r>
          <w:r w:rsidR="00455FA6" w:rsidRPr="00420938">
            <w:rPr>
              <w:rStyle w:val="In-TextCitation"/>
            </w:rPr>
            <w:instrText xml:space="preserve"> CITATION Pet07 \l 1033 </w:instrText>
          </w:r>
          <w:r w:rsidR="000E239B" w:rsidRPr="00420938">
            <w:rPr>
              <w:rStyle w:val="In-TextCitation"/>
            </w:rPr>
            <w:fldChar w:fldCharType="separate"/>
          </w:r>
          <w:r w:rsidR="00420938" w:rsidRPr="00420938">
            <w:rPr>
              <w:rStyle w:val="In-TextCitation"/>
            </w:rPr>
            <w:t>(</w:t>
          </w:r>
          <w:hyperlink w:anchor="Pet07" w:history="1">
            <w:r w:rsidR="00420938" w:rsidRPr="00420938">
              <w:rPr>
                <w:rStyle w:val="In-TextCitation"/>
              </w:rPr>
              <w:t>133</w:t>
            </w:r>
          </w:hyperlink>
          <w:r w:rsidR="00420938" w:rsidRPr="00420938">
            <w:rPr>
              <w:rStyle w:val="In-TextCitation"/>
            </w:rPr>
            <w:t>)</w:t>
          </w:r>
          <w:r w:rsidR="000E239B" w:rsidRPr="00420938">
            <w:rPr>
              <w:rStyle w:val="In-TextCitation"/>
            </w:rPr>
            <w:fldChar w:fldCharType="end"/>
          </w:r>
        </w:sdtContent>
      </w:sdt>
      <w:r w:rsidRPr="00F97B2D">
        <w:rPr>
          <w:rFonts w:cs="Times New Roman"/>
          <w:color w:val="131413"/>
          <w:szCs w:val="24"/>
          <w:lang w:bidi="ar-SA"/>
        </w:rPr>
        <w:t xml:space="preserve">  The parameters evaluated included selectivity, matrix effects, recovery, process efficiency, linearity, processed sample stability, freeze–thaw stability, precision, and accuracy.</w:t>
      </w:r>
      <w:r w:rsidR="00F65245" w:rsidRPr="00F97B2D">
        <w:rPr>
          <w:rFonts w:cs="Times New Roman"/>
          <w:color w:val="131413"/>
          <w:szCs w:val="24"/>
          <w:lang w:bidi="ar-SA"/>
        </w:rPr>
        <w:t xml:space="preserve">  </w:t>
      </w:r>
    </w:p>
    <w:p w:rsidR="002F660C" w:rsidRDefault="002F660C" w:rsidP="000E25A1">
      <w:pPr>
        <w:autoSpaceDE w:val="0"/>
        <w:autoSpaceDN w:val="0"/>
        <w:adjustRightInd w:val="0"/>
        <w:spacing w:after="0" w:line="480" w:lineRule="auto"/>
        <w:ind w:firstLine="720"/>
        <w:rPr>
          <w:rFonts w:cs="Times New Roman"/>
          <w:color w:val="131413"/>
          <w:szCs w:val="24"/>
          <w:lang w:bidi="ar-SA"/>
        </w:rPr>
      </w:pPr>
    </w:p>
    <w:p w:rsidR="002F660C" w:rsidRPr="00F97B2D" w:rsidRDefault="002F660C" w:rsidP="000E25A1">
      <w:pPr>
        <w:autoSpaceDE w:val="0"/>
        <w:autoSpaceDN w:val="0"/>
        <w:adjustRightInd w:val="0"/>
        <w:spacing w:after="0" w:line="480" w:lineRule="auto"/>
        <w:ind w:firstLine="720"/>
        <w:rPr>
          <w:rFonts w:cs="Times New Roman"/>
          <w:color w:val="131413"/>
          <w:szCs w:val="24"/>
          <w:lang w:bidi="ar-SA"/>
        </w:rPr>
      </w:pPr>
    </w:p>
    <w:p w:rsidR="001E7D36" w:rsidRPr="00F97B2D" w:rsidRDefault="001E7D36" w:rsidP="00AC5F51">
      <w:pPr>
        <w:pStyle w:val="Heading4"/>
      </w:pPr>
      <w:bookmarkStart w:id="185" w:name="_Toc372536075"/>
      <w:bookmarkStart w:id="186" w:name="_Toc372538738"/>
      <w:r w:rsidRPr="00F97B2D">
        <w:t>Preparation of solutions</w:t>
      </w:r>
      <w:bookmarkEnd w:id="185"/>
      <w:bookmarkEnd w:id="186"/>
    </w:p>
    <w:p w:rsidR="008C1AC3" w:rsidRPr="00F97B2D" w:rsidRDefault="00AA237A" w:rsidP="00574B1E">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 xml:space="preserve">Separate aqueous stock solutions were prepared during method development and optimization for each analyte at a concentration of 1 μg/mL from the commercially available </w:t>
      </w:r>
      <w:r w:rsidR="00782D74" w:rsidRPr="00F97B2D">
        <w:rPr>
          <w:rFonts w:cs="Times New Roman"/>
          <w:color w:val="131413"/>
          <w:szCs w:val="24"/>
          <w:lang w:bidi="ar-SA"/>
        </w:rPr>
        <w:t xml:space="preserve">calibrated reference standard </w:t>
      </w:r>
      <w:r w:rsidRPr="00F97B2D">
        <w:rPr>
          <w:rFonts w:cs="Times New Roman"/>
          <w:color w:val="131413"/>
          <w:szCs w:val="24"/>
          <w:lang w:bidi="ar-SA"/>
        </w:rPr>
        <w:t>(1 mg/mL for targeted compounds,</w:t>
      </w:r>
      <w:r w:rsidR="00782D74" w:rsidRPr="00F97B2D">
        <w:rPr>
          <w:rFonts w:cs="Times New Roman"/>
          <w:color w:val="131413"/>
          <w:szCs w:val="24"/>
          <w:lang w:bidi="ar-SA"/>
        </w:rPr>
        <w:t xml:space="preserve"> </w:t>
      </w:r>
      <w:r w:rsidRPr="00F97B2D">
        <w:rPr>
          <w:rFonts w:cs="Times New Roman"/>
          <w:color w:val="131413"/>
          <w:szCs w:val="24"/>
          <w:lang w:bidi="ar-SA"/>
        </w:rPr>
        <w:t>0.1 mg/mL for internal standards).</w:t>
      </w:r>
      <w:r w:rsidR="00782D74" w:rsidRPr="00F97B2D">
        <w:rPr>
          <w:rFonts w:cs="Times New Roman"/>
          <w:color w:val="131413"/>
          <w:szCs w:val="24"/>
          <w:lang w:bidi="ar-SA"/>
        </w:rPr>
        <w:t xml:space="preserve"> </w:t>
      </w:r>
      <w:r w:rsidRPr="00F97B2D">
        <w:rPr>
          <w:rFonts w:cs="Times New Roman"/>
          <w:color w:val="131413"/>
          <w:szCs w:val="24"/>
          <w:lang w:bidi="ar-SA"/>
        </w:rPr>
        <w:t xml:space="preserve"> An aqueous</w:t>
      </w:r>
      <w:r w:rsidR="00782D74" w:rsidRPr="00F97B2D">
        <w:rPr>
          <w:rFonts w:cs="Times New Roman"/>
          <w:color w:val="131413"/>
          <w:szCs w:val="24"/>
          <w:lang w:bidi="ar-SA"/>
        </w:rPr>
        <w:t xml:space="preserve"> </w:t>
      </w:r>
      <w:r w:rsidRPr="00F97B2D">
        <w:rPr>
          <w:rFonts w:cs="Times New Roman"/>
          <w:color w:val="131413"/>
          <w:szCs w:val="24"/>
          <w:lang w:bidi="ar-SA"/>
        </w:rPr>
        <w:t>spiking solution of the 32 analytes was prepared at a concentration</w:t>
      </w:r>
      <w:r w:rsidR="00782D74" w:rsidRPr="00F97B2D">
        <w:rPr>
          <w:rFonts w:cs="Times New Roman"/>
          <w:color w:val="131413"/>
          <w:szCs w:val="24"/>
          <w:lang w:bidi="ar-SA"/>
        </w:rPr>
        <w:t xml:space="preserve"> </w:t>
      </w:r>
      <w:proofErr w:type="gramStart"/>
      <w:r w:rsidRPr="00F97B2D">
        <w:rPr>
          <w:rFonts w:cs="Times New Roman"/>
          <w:color w:val="131413"/>
          <w:szCs w:val="24"/>
          <w:lang w:bidi="ar-SA"/>
        </w:rPr>
        <w:t>of 10 μg/mL for each drug</w:t>
      </w:r>
      <w:proofErr w:type="gramEnd"/>
      <w:r w:rsidRPr="00F97B2D">
        <w:rPr>
          <w:rFonts w:cs="Times New Roman"/>
          <w:color w:val="131413"/>
          <w:szCs w:val="24"/>
          <w:lang w:bidi="ar-SA"/>
        </w:rPr>
        <w:t xml:space="preserve">. </w:t>
      </w:r>
      <w:r w:rsidR="00782D74" w:rsidRPr="00F97B2D">
        <w:rPr>
          <w:rFonts w:cs="Times New Roman"/>
          <w:color w:val="131413"/>
          <w:szCs w:val="24"/>
          <w:lang w:bidi="ar-SA"/>
        </w:rPr>
        <w:t xml:space="preserve"> </w:t>
      </w:r>
      <w:r w:rsidRPr="00F97B2D">
        <w:rPr>
          <w:rFonts w:cs="Times New Roman"/>
          <w:color w:val="131413"/>
          <w:szCs w:val="24"/>
          <w:lang w:bidi="ar-SA"/>
        </w:rPr>
        <w:t>This stock solution</w:t>
      </w:r>
      <w:r w:rsidR="00782D74" w:rsidRPr="00F97B2D">
        <w:rPr>
          <w:rFonts w:cs="Times New Roman"/>
          <w:color w:val="131413"/>
          <w:szCs w:val="24"/>
          <w:lang w:bidi="ar-SA"/>
        </w:rPr>
        <w:t xml:space="preserve"> </w:t>
      </w:r>
      <w:r w:rsidRPr="00F97B2D">
        <w:rPr>
          <w:rFonts w:cs="Times New Roman"/>
          <w:color w:val="131413"/>
          <w:szCs w:val="24"/>
          <w:lang w:bidi="ar-SA"/>
        </w:rPr>
        <w:t>was used for the preparation of diluted aqueous spiking</w:t>
      </w:r>
      <w:r w:rsidR="00782D74" w:rsidRPr="00F97B2D">
        <w:rPr>
          <w:rFonts w:cs="Times New Roman"/>
          <w:color w:val="131413"/>
          <w:szCs w:val="24"/>
          <w:lang w:bidi="ar-SA"/>
        </w:rPr>
        <w:t xml:space="preserve"> </w:t>
      </w:r>
      <w:r w:rsidRPr="00F97B2D">
        <w:rPr>
          <w:rFonts w:cs="Times New Roman"/>
          <w:color w:val="131413"/>
          <w:szCs w:val="24"/>
          <w:lang w:bidi="ar-SA"/>
        </w:rPr>
        <w:t>solutions at concentrations of 5,000, 3,000, 2,000, 1,000,</w:t>
      </w:r>
      <w:r w:rsidR="00782D74" w:rsidRPr="00F97B2D">
        <w:rPr>
          <w:rFonts w:cs="Times New Roman"/>
          <w:color w:val="131413"/>
          <w:szCs w:val="24"/>
          <w:lang w:bidi="ar-SA"/>
        </w:rPr>
        <w:t xml:space="preserve"> </w:t>
      </w:r>
      <w:r w:rsidRPr="00F97B2D">
        <w:rPr>
          <w:rFonts w:cs="Times New Roman"/>
          <w:color w:val="131413"/>
          <w:szCs w:val="24"/>
          <w:lang w:bidi="ar-SA"/>
        </w:rPr>
        <w:t xml:space="preserve">500, 200, 20, and </w:t>
      </w:r>
      <w:proofErr w:type="gramStart"/>
      <w:r w:rsidRPr="00F97B2D">
        <w:rPr>
          <w:rFonts w:cs="Times New Roman"/>
          <w:color w:val="131413"/>
          <w:szCs w:val="24"/>
          <w:lang w:bidi="ar-SA"/>
        </w:rPr>
        <w:t>2 ng/mL each</w:t>
      </w:r>
      <w:proofErr w:type="gramEnd"/>
      <w:r w:rsidRPr="00F97B2D">
        <w:rPr>
          <w:rFonts w:cs="Times New Roman"/>
          <w:color w:val="131413"/>
          <w:szCs w:val="24"/>
          <w:lang w:bidi="ar-SA"/>
        </w:rPr>
        <w:t>.</w:t>
      </w:r>
      <w:r w:rsidR="00782D74" w:rsidRPr="00F97B2D">
        <w:rPr>
          <w:rFonts w:cs="Times New Roman"/>
          <w:color w:val="131413"/>
          <w:szCs w:val="24"/>
          <w:lang w:bidi="ar-SA"/>
        </w:rPr>
        <w:t xml:space="preserve"> </w:t>
      </w:r>
      <w:r w:rsidRPr="00F97B2D">
        <w:rPr>
          <w:rFonts w:cs="Times New Roman"/>
          <w:color w:val="131413"/>
          <w:szCs w:val="24"/>
          <w:lang w:bidi="ar-SA"/>
        </w:rPr>
        <w:t xml:space="preserve"> An aqueous spiking solution</w:t>
      </w:r>
      <w:r w:rsidR="00782D74" w:rsidRPr="00F97B2D">
        <w:rPr>
          <w:rFonts w:cs="Times New Roman"/>
          <w:color w:val="131413"/>
          <w:szCs w:val="24"/>
          <w:lang w:bidi="ar-SA"/>
        </w:rPr>
        <w:t xml:space="preserve"> </w:t>
      </w:r>
      <w:r w:rsidRPr="00F97B2D">
        <w:rPr>
          <w:rFonts w:cs="Times New Roman"/>
          <w:color w:val="131413"/>
          <w:szCs w:val="24"/>
          <w:lang w:bidi="ar-SA"/>
        </w:rPr>
        <w:t>of the six internal standards was prepared at a concentration</w:t>
      </w:r>
      <w:r w:rsidR="00782D74" w:rsidRPr="00F97B2D">
        <w:rPr>
          <w:rFonts w:cs="Times New Roman"/>
          <w:color w:val="131413"/>
          <w:szCs w:val="24"/>
          <w:lang w:bidi="ar-SA"/>
        </w:rPr>
        <w:t xml:space="preserve"> </w:t>
      </w:r>
      <w:r w:rsidRPr="00F97B2D">
        <w:rPr>
          <w:rFonts w:cs="Times New Roman"/>
          <w:color w:val="131413"/>
          <w:szCs w:val="24"/>
          <w:lang w:bidi="ar-SA"/>
        </w:rPr>
        <w:t xml:space="preserve">of 1 μg/mL each. </w:t>
      </w:r>
      <w:r w:rsidR="00782D74" w:rsidRPr="00F97B2D">
        <w:rPr>
          <w:rFonts w:cs="Times New Roman"/>
          <w:color w:val="131413"/>
          <w:szCs w:val="24"/>
          <w:lang w:bidi="ar-SA"/>
        </w:rPr>
        <w:t xml:space="preserve"> </w:t>
      </w:r>
      <w:r w:rsidRPr="00F97B2D">
        <w:rPr>
          <w:rFonts w:cs="Times New Roman"/>
          <w:color w:val="131413"/>
          <w:szCs w:val="24"/>
          <w:lang w:bidi="ar-SA"/>
        </w:rPr>
        <w:t>Separate aqueous spiking solutions</w:t>
      </w:r>
      <w:r w:rsidR="00782D74" w:rsidRPr="00F97B2D">
        <w:rPr>
          <w:rFonts w:cs="Times New Roman"/>
          <w:color w:val="131413"/>
          <w:szCs w:val="24"/>
          <w:lang w:bidi="ar-SA"/>
        </w:rPr>
        <w:t xml:space="preserve"> </w:t>
      </w:r>
      <w:r w:rsidRPr="00F97B2D">
        <w:rPr>
          <w:rFonts w:cs="Times New Roman"/>
          <w:color w:val="131413"/>
          <w:szCs w:val="24"/>
          <w:lang w:bidi="ar-SA"/>
        </w:rPr>
        <w:t xml:space="preserve">were prepared at a concentration </w:t>
      </w:r>
      <w:proofErr w:type="gramStart"/>
      <w:r w:rsidRPr="00F97B2D">
        <w:rPr>
          <w:rFonts w:cs="Times New Roman"/>
          <w:color w:val="131413"/>
          <w:szCs w:val="24"/>
          <w:lang w:bidi="ar-SA"/>
        </w:rPr>
        <w:t>of 10 μg/mL</w:t>
      </w:r>
      <w:proofErr w:type="gramEnd"/>
      <w:r w:rsidRPr="00F97B2D">
        <w:rPr>
          <w:rFonts w:cs="Times New Roman"/>
          <w:color w:val="131413"/>
          <w:szCs w:val="24"/>
          <w:lang w:bidi="ar-SA"/>
        </w:rPr>
        <w:t xml:space="preserve"> and further</w:t>
      </w:r>
      <w:r w:rsidR="00782D74" w:rsidRPr="00F97B2D">
        <w:rPr>
          <w:rFonts w:cs="Times New Roman"/>
          <w:color w:val="131413"/>
          <w:szCs w:val="24"/>
          <w:lang w:bidi="ar-SA"/>
        </w:rPr>
        <w:t xml:space="preserve"> </w:t>
      </w:r>
      <w:r w:rsidRPr="00F97B2D">
        <w:rPr>
          <w:rFonts w:cs="Times New Roman"/>
          <w:color w:val="131413"/>
          <w:szCs w:val="24"/>
          <w:lang w:bidi="ar-SA"/>
        </w:rPr>
        <w:t xml:space="preserve">diluted for the use in quality control (QC) samples. </w:t>
      </w:r>
      <w:r w:rsidR="00782D74" w:rsidRPr="00F97B2D">
        <w:rPr>
          <w:rFonts w:cs="Times New Roman"/>
          <w:color w:val="131413"/>
          <w:szCs w:val="24"/>
          <w:lang w:bidi="ar-SA"/>
        </w:rPr>
        <w:t xml:space="preserve"> </w:t>
      </w:r>
      <w:r w:rsidRPr="00F97B2D">
        <w:rPr>
          <w:rFonts w:cs="Times New Roman"/>
          <w:color w:val="131413"/>
          <w:szCs w:val="24"/>
          <w:lang w:bidi="ar-SA"/>
        </w:rPr>
        <w:t>Aliquots</w:t>
      </w:r>
      <w:r w:rsidR="00782D74" w:rsidRPr="00F97B2D">
        <w:rPr>
          <w:rFonts w:cs="Times New Roman"/>
          <w:color w:val="131413"/>
          <w:szCs w:val="24"/>
          <w:lang w:bidi="ar-SA"/>
        </w:rPr>
        <w:t xml:space="preserve"> </w:t>
      </w:r>
      <w:r w:rsidRPr="00F97B2D">
        <w:rPr>
          <w:rFonts w:cs="Times New Roman"/>
          <w:color w:val="131413"/>
          <w:szCs w:val="24"/>
          <w:lang w:bidi="ar-SA"/>
        </w:rPr>
        <w:t>of each solution were frozen and stored at −</w:t>
      </w:r>
      <w:r w:rsidR="008C1AC3">
        <w:rPr>
          <w:rFonts w:cs="Times New Roman"/>
          <w:color w:val="131413"/>
          <w:szCs w:val="24"/>
          <w:lang w:bidi="ar-SA"/>
        </w:rPr>
        <w:t>20</w:t>
      </w:r>
      <w:r w:rsidRPr="00F97B2D">
        <w:rPr>
          <w:rFonts w:cs="Times New Roman"/>
          <w:color w:val="131413"/>
          <w:szCs w:val="24"/>
          <w:lang w:bidi="ar-SA"/>
        </w:rPr>
        <w:t>°C.</w:t>
      </w:r>
    </w:p>
    <w:p w:rsidR="001E7D36" w:rsidRPr="00F97B2D" w:rsidRDefault="001E7D36" w:rsidP="00AC5F51">
      <w:pPr>
        <w:pStyle w:val="Heading4"/>
      </w:pPr>
      <w:bookmarkStart w:id="187" w:name="_Toc372536076"/>
      <w:bookmarkStart w:id="188" w:name="_Toc372538739"/>
      <w:r w:rsidRPr="00F97B2D">
        <w:t>QC Samples</w:t>
      </w:r>
      <w:bookmarkEnd w:id="187"/>
      <w:bookmarkEnd w:id="188"/>
    </w:p>
    <w:p w:rsidR="00782D74" w:rsidRDefault="00782D74" w:rsidP="00782D74">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 xml:space="preserve">Pools of QC samples containing the above-mentioned analytes in serum were prepared at four different concentrations: 10 ng/mL (LOQ), 25 ng/mL (LOW), </w:t>
      </w:r>
      <w:proofErr w:type="gramStart"/>
      <w:r w:rsidRPr="00F97B2D">
        <w:rPr>
          <w:rFonts w:cs="Times New Roman"/>
          <w:color w:val="131413"/>
          <w:szCs w:val="24"/>
          <w:lang w:bidi="ar-SA"/>
        </w:rPr>
        <w:t>100 ng/mL (MED),</w:t>
      </w:r>
      <w:proofErr w:type="gramEnd"/>
      <w:r w:rsidRPr="00F97B2D">
        <w:rPr>
          <w:rFonts w:cs="Times New Roman"/>
          <w:color w:val="131413"/>
          <w:szCs w:val="24"/>
          <w:lang w:bidi="ar-SA"/>
        </w:rPr>
        <w:t xml:space="preserve"> and 250 ng/mL (HIGH).  The following volumes and concentrations were used to create the QC samples (volume of spiking solution, concentration of spiking solution, final volume): LOQ (1250 μL, 200 ng/mL, 25 mL); LOW (1750 μL, 500 ng/mL, 35 mL); MED (1250 μL, 2000 ng/mL, 25 mL); and HIGH (1750 μL, 5000 ng/mL, 35 mL).  Each pool was </w:t>
      </w:r>
      <w:r w:rsidR="00810B1A" w:rsidRPr="00F97B2D">
        <w:rPr>
          <w:rFonts w:cs="Times New Roman"/>
          <w:color w:val="131413"/>
          <w:szCs w:val="24"/>
          <w:lang w:bidi="ar-SA"/>
        </w:rPr>
        <w:t>thoroughly mixed before aliquot</w:t>
      </w:r>
      <w:r w:rsidRPr="00F97B2D">
        <w:rPr>
          <w:rFonts w:cs="Times New Roman"/>
          <w:color w:val="131413"/>
          <w:szCs w:val="24"/>
          <w:lang w:bidi="ar-SA"/>
        </w:rPr>
        <w:t>ing into 1 mL portions to be frozen at −20°C.</w:t>
      </w:r>
      <w:r w:rsidR="00AB7A45">
        <w:rPr>
          <w:rFonts w:cs="Times New Roman"/>
          <w:color w:val="131413"/>
          <w:szCs w:val="24"/>
          <w:lang w:bidi="ar-SA"/>
        </w:rPr>
        <w:t xml:space="preserve">  The QC samples, prepared separately from the calibrators, are necessary for checking daily calibration curves and ensuring quality control throughout the length of a batch run.</w:t>
      </w:r>
    </w:p>
    <w:p w:rsidR="00AB7A45" w:rsidRDefault="00AB7A45" w:rsidP="00782D74">
      <w:pPr>
        <w:autoSpaceDE w:val="0"/>
        <w:autoSpaceDN w:val="0"/>
        <w:adjustRightInd w:val="0"/>
        <w:spacing w:after="0" w:line="480" w:lineRule="auto"/>
        <w:ind w:firstLine="720"/>
        <w:rPr>
          <w:rFonts w:cs="Times New Roman"/>
          <w:color w:val="131413"/>
          <w:szCs w:val="24"/>
          <w:lang w:bidi="ar-SA"/>
        </w:rPr>
      </w:pPr>
    </w:p>
    <w:p w:rsidR="001E7D36" w:rsidRPr="00F97B2D" w:rsidRDefault="001E7D36" w:rsidP="00AC5F51">
      <w:pPr>
        <w:pStyle w:val="Heading4"/>
      </w:pPr>
      <w:bookmarkStart w:id="189" w:name="_Toc370733068"/>
      <w:bookmarkStart w:id="190" w:name="_Toc372536077"/>
      <w:bookmarkStart w:id="191" w:name="_Toc372538740"/>
      <w:bookmarkEnd w:id="189"/>
      <w:r w:rsidRPr="00F97B2D">
        <w:t>Selectivity</w:t>
      </w:r>
      <w:bookmarkEnd w:id="190"/>
      <w:bookmarkEnd w:id="191"/>
    </w:p>
    <w:p w:rsidR="00782D74" w:rsidRPr="00F97B2D" w:rsidRDefault="00782D74" w:rsidP="00782D74">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All of the analytes and internal standards were analyzed individually at a concentration of 1 μg/mL with the MRM method to ensure no interfering peaks.  Then, samples from two different lots of blank pooled serum (each containing six donors) were prepared as described above to check for peaks that might interfere with the detection of the targeted analytes or internal standards.  A zero sample (blank matrix</w:t>
      </w:r>
      <w:r w:rsidR="004C38D6">
        <w:rPr>
          <w:rFonts w:cs="Times New Roman"/>
          <w:color w:val="131413"/>
          <w:szCs w:val="24"/>
          <w:lang w:bidi="ar-SA"/>
        </w:rPr>
        <w:t xml:space="preserve"> </w:t>
      </w:r>
      <w:r w:rsidRPr="00F97B2D">
        <w:rPr>
          <w:rFonts w:cs="Times New Roman"/>
          <w:color w:val="131413"/>
          <w:szCs w:val="24"/>
          <w:lang w:bidi="ar-SA"/>
        </w:rPr>
        <w:t>+</w:t>
      </w:r>
      <w:r w:rsidR="004C38D6">
        <w:rPr>
          <w:rFonts w:cs="Times New Roman"/>
          <w:color w:val="131413"/>
          <w:szCs w:val="24"/>
          <w:lang w:bidi="ar-SA"/>
        </w:rPr>
        <w:t xml:space="preserve"> </w:t>
      </w:r>
      <w:r w:rsidRPr="00F97B2D">
        <w:rPr>
          <w:rFonts w:cs="Times New Roman"/>
          <w:color w:val="131413"/>
          <w:szCs w:val="24"/>
          <w:lang w:bidi="ar-SA"/>
        </w:rPr>
        <w:t>IS) from each lot was also analyzed in order to check that the internal standards did not interfere with the peaks of the analytes.  A sample from each lot was also spiked with a solution containing all 32 analytes to check that the analytes did not interfere with the peaks of the internal standards.  Agilent Mass-Hunter Qualitative Analysis software version B.03.01 was employed to analyze the resulting chromatograms.</w:t>
      </w:r>
    </w:p>
    <w:p w:rsidR="001E7D36" w:rsidRPr="00F97B2D" w:rsidRDefault="001E7D36" w:rsidP="00AC5F51">
      <w:pPr>
        <w:pStyle w:val="Heading4"/>
      </w:pPr>
      <w:bookmarkStart w:id="192" w:name="_Toc372536078"/>
      <w:bookmarkStart w:id="193" w:name="_Toc372538741"/>
      <w:r w:rsidRPr="00F97B2D">
        <w:t>Matrix effects, recovery, and process efficiency</w:t>
      </w:r>
      <w:bookmarkEnd w:id="192"/>
      <w:bookmarkEnd w:id="193"/>
    </w:p>
    <w:p w:rsidR="008C1AC3" w:rsidRPr="00F97B2D" w:rsidRDefault="00782D74" w:rsidP="00574B1E">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Three sets of samples were prepared in this experiment: neat standards, spiked blank extracts, and extracts of spiked blanks (n=5 at each of two concentrations for a total of 30 samples), as recommended by Matuszewski et al.</w:t>
      </w:r>
      <w:sdt>
        <w:sdtPr>
          <w:rPr>
            <w:rFonts w:cs="Times New Roman"/>
            <w:color w:val="131413"/>
            <w:szCs w:val="24"/>
            <w:lang w:bidi="ar-SA"/>
          </w:rPr>
          <w:id w:val="68920731"/>
          <w:citation/>
        </w:sdtPr>
        <w:sdtEndPr/>
        <w:sdtContent>
          <w:r w:rsidR="000E239B" w:rsidRPr="00420938">
            <w:rPr>
              <w:rStyle w:val="In-TextCitation"/>
            </w:rPr>
            <w:fldChar w:fldCharType="begin"/>
          </w:r>
          <w:r w:rsidR="00455FA6" w:rsidRPr="00420938">
            <w:rPr>
              <w:rStyle w:val="In-TextCitation"/>
            </w:rPr>
            <w:instrText xml:space="preserve"> CITATION Mat03 \l 1033 </w:instrText>
          </w:r>
          <w:r w:rsidR="000E239B" w:rsidRPr="00420938">
            <w:rPr>
              <w:rStyle w:val="In-TextCitation"/>
            </w:rPr>
            <w:fldChar w:fldCharType="separate"/>
          </w:r>
          <w:r w:rsidR="00420938" w:rsidRPr="00420938">
            <w:rPr>
              <w:rStyle w:val="In-TextCitation"/>
            </w:rPr>
            <w:t>(</w:t>
          </w:r>
          <w:hyperlink w:anchor="Mat03" w:history="1">
            <w:r w:rsidR="00420938" w:rsidRPr="00420938">
              <w:rPr>
                <w:rStyle w:val="In-TextCitation"/>
              </w:rPr>
              <w:t>134</w:t>
            </w:r>
          </w:hyperlink>
          <w:r w:rsidR="00420938" w:rsidRPr="00420938">
            <w:rPr>
              <w:rStyle w:val="In-TextCitation"/>
            </w:rPr>
            <w:t>)</w:t>
          </w:r>
          <w:r w:rsidR="000E239B" w:rsidRPr="00420938">
            <w:rPr>
              <w:rStyle w:val="In-TextCitation"/>
            </w:rPr>
            <w:fldChar w:fldCharType="end"/>
          </w:r>
        </w:sdtContent>
      </w:sdt>
      <w:r w:rsidRPr="00F97B2D">
        <w:rPr>
          <w:rFonts w:cs="Times New Roman"/>
          <w:color w:val="131413"/>
          <w:szCs w:val="24"/>
          <w:lang w:bidi="ar-SA"/>
        </w:rPr>
        <w:t xml:space="preserve">  Set A consisted of adding 50 μL of spiking solution (500 or 5,000 ng/mL each), 20 μL of internal standard solution (1000 ng/mL each), and 100 μL of HCl–IPA (1:3 v/v) to two 1.5-mL portions of elution </w:t>
      </w:r>
      <w:r w:rsidR="00932348">
        <w:rPr>
          <w:rFonts w:cs="Times New Roman"/>
          <w:color w:val="131413"/>
          <w:szCs w:val="24"/>
          <w:lang w:bidi="ar-SA"/>
        </w:rPr>
        <w:t>solvent</w:t>
      </w:r>
      <w:r w:rsidRPr="00F97B2D">
        <w:rPr>
          <w:rFonts w:cs="Times New Roman"/>
          <w:color w:val="131413"/>
          <w:szCs w:val="24"/>
          <w:lang w:bidi="ar-SA"/>
        </w:rPr>
        <w:t xml:space="preserve"> that was mixed and then evaporated to dryness at 30 °C in a vacufuge.  Then, the samples were reconstituted in 50 μL of mobile phase A.  Set B consisted of 1 mL samples of blank serum that were spiked with 70 μL of water and then extracted using the procedure described above.  The extracts were then spiked with 50 μL of spiking solution (500 or 5,000 ng/mL each) and 20 μL of IS (1,000 ng/mL each).  These were acidified, evaporated to dryness, and reconstituted in 50 μL of mobile phase A.  Set C consisted of 1 mL samples of blank serum that were spiked with 50 μL of spiking solution (500 or 5,000 ng/mL each) and 20 μL of IS (1,000 ng/mL each) to reach nominal concentrations of the targeted analytes at either 25 or 250 ng/mL each in serum.  These were extracted as described above, acidified, evaporated to dryness, and reconstituted in 50 μL of mobile phase A.  For calculating matrix effect (ME), extraction efficiency/recovery (RE), and process efficiency (PE), absolute peak area ratios were used.  In order to estimate ME, the peak areas of Set B were divided by those of Set A and multiplied by 100 to determine a percent.  Values greater than 100 % represent ion enhancement while those less than 100 % signify ion suppression.  For determining RE, the peak areas of Set C were divided by those of Set B and then multiplied by 100.  For PE, the peak areas of Set C were divided by those of Set A and then multiplied by 100.  Means and RSDs, expressed as percentages, were calculated for each parameter.</w:t>
      </w:r>
    </w:p>
    <w:p w:rsidR="001E7D36" w:rsidRPr="00F97B2D" w:rsidRDefault="001E7D36" w:rsidP="00AC5F51">
      <w:pPr>
        <w:pStyle w:val="Heading4"/>
      </w:pPr>
      <w:bookmarkStart w:id="194" w:name="_Toc372536079"/>
      <w:bookmarkStart w:id="195" w:name="_Toc372538742"/>
      <w:r w:rsidRPr="00F97B2D">
        <w:t>Processed sample stability</w:t>
      </w:r>
      <w:bookmarkEnd w:id="194"/>
      <w:bookmarkEnd w:id="195"/>
    </w:p>
    <w:p w:rsidR="00782D74" w:rsidRPr="00F97B2D" w:rsidRDefault="00782D74" w:rsidP="00C50AA7">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In order to determine the stability of processed samples under</w:t>
      </w:r>
      <w:r w:rsidR="00C50AA7" w:rsidRPr="00F97B2D">
        <w:rPr>
          <w:rFonts w:cs="Times New Roman"/>
          <w:color w:val="131413"/>
          <w:szCs w:val="24"/>
          <w:lang w:bidi="ar-SA"/>
        </w:rPr>
        <w:t xml:space="preserve"> </w:t>
      </w:r>
      <w:r w:rsidRPr="00F97B2D">
        <w:rPr>
          <w:rFonts w:cs="Times New Roman"/>
          <w:color w:val="131413"/>
          <w:szCs w:val="24"/>
          <w:lang w:bidi="ar-SA"/>
        </w:rPr>
        <w:t>the conditions of the LC-MS/MS analysis, 2 mL samples of</w:t>
      </w:r>
      <w:r w:rsidR="00C50AA7" w:rsidRPr="00F97B2D">
        <w:rPr>
          <w:rFonts w:cs="Times New Roman"/>
          <w:color w:val="131413"/>
          <w:szCs w:val="24"/>
          <w:lang w:bidi="ar-SA"/>
        </w:rPr>
        <w:t xml:space="preserve"> </w:t>
      </w:r>
      <w:r w:rsidRPr="00F97B2D">
        <w:rPr>
          <w:rFonts w:cs="Times New Roman"/>
          <w:color w:val="131413"/>
          <w:szCs w:val="24"/>
          <w:lang w:bidi="ar-SA"/>
        </w:rPr>
        <w:t>blank serum (n</w:t>
      </w:r>
      <w:r w:rsidR="00C50AA7" w:rsidRPr="00F97B2D">
        <w:rPr>
          <w:rFonts w:cs="Times New Roman"/>
          <w:color w:val="131413"/>
          <w:szCs w:val="24"/>
          <w:lang w:bidi="ar-SA"/>
        </w:rPr>
        <w:t>=</w:t>
      </w:r>
      <w:r w:rsidRPr="00F97B2D">
        <w:rPr>
          <w:rFonts w:cs="Times New Roman"/>
          <w:color w:val="131413"/>
          <w:szCs w:val="24"/>
          <w:lang w:bidi="ar-SA"/>
        </w:rPr>
        <w:t>8 at each of two concentrations for a total of</w:t>
      </w:r>
      <w:r w:rsidR="00C50AA7" w:rsidRPr="00F97B2D">
        <w:rPr>
          <w:rFonts w:cs="Times New Roman"/>
          <w:color w:val="131413"/>
          <w:szCs w:val="24"/>
          <w:lang w:bidi="ar-SA"/>
        </w:rPr>
        <w:t xml:space="preserve"> </w:t>
      </w:r>
      <w:r w:rsidRPr="00F97B2D">
        <w:rPr>
          <w:rFonts w:cs="Times New Roman"/>
          <w:color w:val="131413"/>
          <w:szCs w:val="24"/>
          <w:lang w:bidi="ar-SA"/>
        </w:rPr>
        <w:t>16 samples) were spiked with 100 μL of spiking solution (500</w:t>
      </w:r>
      <w:r w:rsidR="00C50AA7" w:rsidRPr="00F97B2D">
        <w:rPr>
          <w:rFonts w:cs="Times New Roman"/>
          <w:color w:val="131413"/>
          <w:szCs w:val="24"/>
          <w:lang w:bidi="ar-SA"/>
        </w:rPr>
        <w:t xml:space="preserve"> </w:t>
      </w:r>
      <w:r w:rsidRPr="00F97B2D">
        <w:rPr>
          <w:rFonts w:cs="Times New Roman"/>
          <w:color w:val="131413"/>
          <w:szCs w:val="24"/>
          <w:lang w:bidi="ar-SA"/>
        </w:rPr>
        <w:t>or 5,000 ng/mL each) and 40 μL of IS (1,000 ng/mL each) to</w:t>
      </w:r>
      <w:r w:rsidR="00C50AA7" w:rsidRPr="00F97B2D">
        <w:rPr>
          <w:rFonts w:cs="Times New Roman"/>
          <w:color w:val="131413"/>
          <w:szCs w:val="24"/>
          <w:lang w:bidi="ar-SA"/>
        </w:rPr>
        <w:t xml:space="preserve"> </w:t>
      </w:r>
      <w:r w:rsidRPr="00F97B2D">
        <w:rPr>
          <w:rFonts w:cs="Times New Roman"/>
          <w:color w:val="131413"/>
          <w:szCs w:val="24"/>
          <w:lang w:bidi="ar-SA"/>
        </w:rPr>
        <w:t>reach nominal concentrations of 25 or 250 ng/mL each in</w:t>
      </w:r>
      <w:r w:rsidR="00C50AA7" w:rsidRPr="00F97B2D">
        <w:rPr>
          <w:rFonts w:cs="Times New Roman"/>
          <w:color w:val="131413"/>
          <w:szCs w:val="24"/>
          <w:lang w:bidi="ar-SA"/>
        </w:rPr>
        <w:t xml:space="preserve"> </w:t>
      </w:r>
      <w:r w:rsidRPr="00F97B2D">
        <w:rPr>
          <w:rFonts w:cs="Times New Roman"/>
          <w:color w:val="131413"/>
          <w:szCs w:val="24"/>
          <w:lang w:bidi="ar-SA"/>
        </w:rPr>
        <w:t xml:space="preserve">serum. </w:t>
      </w:r>
      <w:r w:rsidR="00270643" w:rsidRPr="00F97B2D">
        <w:rPr>
          <w:rFonts w:cs="Times New Roman"/>
          <w:color w:val="131413"/>
          <w:szCs w:val="24"/>
          <w:lang w:bidi="ar-SA"/>
        </w:rPr>
        <w:t xml:space="preserve"> </w:t>
      </w:r>
      <w:r w:rsidRPr="00F97B2D">
        <w:rPr>
          <w:rFonts w:cs="Times New Roman"/>
          <w:color w:val="131413"/>
          <w:szCs w:val="24"/>
          <w:lang w:bidi="ar-SA"/>
        </w:rPr>
        <w:t>The samples were extracted as described above, acidified,</w:t>
      </w:r>
      <w:r w:rsidR="00C50AA7" w:rsidRPr="00F97B2D">
        <w:rPr>
          <w:rFonts w:cs="Times New Roman"/>
          <w:color w:val="131413"/>
          <w:szCs w:val="24"/>
          <w:lang w:bidi="ar-SA"/>
        </w:rPr>
        <w:t xml:space="preserve"> </w:t>
      </w:r>
      <w:r w:rsidRPr="00F97B2D">
        <w:rPr>
          <w:rFonts w:cs="Times New Roman"/>
          <w:color w:val="131413"/>
          <w:szCs w:val="24"/>
          <w:lang w:bidi="ar-SA"/>
        </w:rPr>
        <w:t>evaporated to dryness, and reconstituted in 140 μL of</w:t>
      </w:r>
      <w:r w:rsidR="00C50AA7" w:rsidRPr="00F97B2D">
        <w:rPr>
          <w:rFonts w:cs="Times New Roman"/>
          <w:color w:val="131413"/>
          <w:szCs w:val="24"/>
          <w:lang w:bidi="ar-SA"/>
        </w:rPr>
        <w:t xml:space="preserve"> </w:t>
      </w:r>
      <w:r w:rsidRPr="00F97B2D">
        <w:rPr>
          <w:rFonts w:cs="Times New Roman"/>
          <w:color w:val="131413"/>
          <w:szCs w:val="24"/>
          <w:lang w:bidi="ar-SA"/>
        </w:rPr>
        <w:t>mobile phase A to ensure sufficient sample volume.</w:t>
      </w:r>
      <w:r w:rsidR="00270643" w:rsidRPr="00F97B2D">
        <w:rPr>
          <w:rFonts w:cs="Times New Roman"/>
          <w:color w:val="131413"/>
          <w:szCs w:val="24"/>
          <w:lang w:bidi="ar-SA"/>
        </w:rPr>
        <w:t xml:space="preserve"> </w:t>
      </w:r>
      <w:r w:rsidRPr="00F97B2D">
        <w:rPr>
          <w:rFonts w:cs="Times New Roman"/>
          <w:color w:val="131413"/>
          <w:szCs w:val="24"/>
          <w:lang w:bidi="ar-SA"/>
        </w:rPr>
        <w:t xml:space="preserve"> These</w:t>
      </w:r>
      <w:r w:rsidR="00C50AA7" w:rsidRPr="00F97B2D">
        <w:rPr>
          <w:rFonts w:cs="Times New Roman"/>
          <w:color w:val="131413"/>
          <w:szCs w:val="24"/>
          <w:lang w:bidi="ar-SA"/>
        </w:rPr>
        <w:t xml:space="preserve"> </w:t>
      </w:r>
      <w:r w:rsidRPr="00F97B2D">
        <w:rPr>
          <w:rFonts w:cs="Times New Roman"/>
          <w:color w:val="131413"/>
          <w:szCs w:val="24"/>
          <w:lang w:bidi="ar-SA"/>
        </w:rPr>
        <w:t>samples were then pooled and aliquoted into individual autosampler</w:t>
      </w:r>
      <w:r w:rsidR="00C50AA7" w:rsidRPr="00F97B2D">
        <w:rPr>
          <w:rFonts w:cs="Times New Roman"/>
          <w:color w:val="131413"/>
          <w:szCs w:val="24"/>
          <w:lang w:bidi="ar-SA"/>
        </w:rPr>
        <w:t xml:space="preserve"> </w:t>
      </w:r>
      <w:r w:rsidRPr="00F97B2D">
        <w:rPr>
          <w:rFonts w:cs="Times New Roman"/>
          <w:color w:val="131413"/>
          <w:szCs w:val="24"/>
          <w:lang w:bidi="ar-SA"/>
        </w:rPr>
        <w:t xml:space="preserve">vials to be placed in the autosampler. </w:t>
      </w:r>
      <w:r w:rsidR="00270643" w:rsidRPr="00F97B2D">
        <w:rPr>
          <w:rFonts w:cs="Times New Roman"/>
          <w:color w:val="131413"/>
          <w:szCs w:val="24"/>
          <w:lang w:bidi="ar-SA"/>
        </w:rPr>
        <w:t xml:space="preserve"> </w:t>
      </w:r>
      <w:r w:rsidRPr="00F97B2D">
        <w:rPr>
          <w:rFonts w:cs="Times New Roman"/>
          <w:color w:val="131413"/>
          <w:szCs w:val="24"/>
          <w:lang w:bidi="ar-SA"/>
        </w:rPr>
        <w:t>Each sample</w:t>
      </w:r>
      <w:r w:rsidR="00C50AA7" w:rsidRPr="00F97B2D">
        <w:rPr>
          <w:rFonts w:cs="Times New Roman"/>
          <w:color w:val="131413"/>
          <w:szCs w:val="24"/>
          <w:lang w:bidi="ar-SA"/>
        </w:rPr>
        <w:t xml:space="preserve"> </w:t>
      </w:r>
      <w:r w:rsidRPr="00F97B2D">
        <w:rPr>
          <w:rFonts w:cs="Times New Roman"/>
          <w:color w:val="131413"/>
          <w:szCs w:val="24"/>
          <w:lang w:bidi="ar-SA"/>
        </w:rPr>
        <w:t xml:space="preserve">was injected eight times over a course of 32 h. </w:t>
      </w:r>
      <w:r w:rsidR="00270643" w:rsidRPr="00F97B2D">
        <w:rPr>
          <w:rFonts w:cs="Times New Roman"/>
          <w:color w:val="131413"/>
          <w:szCs w:val="24"/>
          <w:lang w:bidi="ar-SA"/>
        </w:rPr>
        <w:t xml:space="preserve"> </w:t>
      </w:r>
      <w:r w:rsidRPr="00F97B2D">
        <w:rPr>
          <w:rFonts w:cs="Times New Roman"/>
          <w:color w:val="131413"/>
          <w:szCs w:val="24"/>
          <w:lang w:bidi="ar-SA"/>
        </w:rPr>
        <w:t>The absolute</w:t>
      </w:r>
      <w:r w:rsidR="00C50AA7" w:rsidRPr="00F97B2D">
        <w:rPr>
          <w:rFonts w:cs="Times New Roman"/>
          <w:color w:val="131413"/>
          <w:szCs w:val="24"/>
          <w:lang w:bidi="ar-SA"/>
        </w:rPr>
        <w:t xml:space="preserve"> </w:t>
      </w:r>
      <w:r w:rsidRPr="00F97B2D">
        <w:rPr>
          <w:rFonts w:cs="Times New Roman"/>
          <w:color w:val="131413"/>
          <w:szCs w:val="24"/>
          <w:lang w:bidi="ar-SA"/>
        </w:rPr>
        <w:t>peak areas were plotted versus time spent in autosampler.</w:t>
      </w:r>
      <w:r w:rsidR="00C50AA7" w:rsidRPr="00F97B2D">
        <w:rPr>
          <w:rFonts w:cs="Times New Roman"/>
          <w:color w:val="131413"/>
          <w:szCs w:val="24"/>
          <w:lang w:bidi="ar-SA"/>
        </w:rPr>
        <w:t xml:space="preserve"> </w:t>
      </w:r>
      <w:r w:rsidR="00270643" w:rsidRPr="00F97B2D">
        <w:rPr>
          <w:rFonts w:cs="Times New Roman"/>
          <w:color w:val="131413"/>
          <w:szCs w:val="24"/>
          <w:lang w:bidi="ar-SA"/>
        </w:rPr>
        <w:t xml:space="preserve"> </w:t>
      </w:r>
      <w:r w:rsidRPr="00F97B2D">
        <w:rPr>
          <w:rFonts w:cs="Times New Roman"/>
          <w:color w:val="131413"/>
          <w:szCs w:val="24"/>
          <w:lang w:bidi="ar-SA"/>
        </w:rPr>
        <w:t>Changes within ±15% were considered stable.</w:t>
      </w:r>
    </w:p>
    <w:p w:rsidR="001E7D36" w:rsidRPr="00F97B2D" w:rsidRDefault="00861B70" w:rsidP="00AC5F51">
      <w:pPr>
        <w:pStyle w:val="Heading4"/>
      </w:pPr>
      <w:bookmarkStart w:id="196" w:name="_Toc372536080"/>
      <w:bookmarkStart w:id="197" w:name="_Toc372538743"/>
      <w:r w:rsidRPr="00F97B2D">
        <w:t>Linearity of calibration</w:t>
      </w:r>
      <w:bookmarkEnd w:id="196"/>
      <w:bookmarkEnd w:id="197"/>
    </w:p>
    <w:p w:rsidR="00270643" w:rsidRPr="00F97B2D" w:rsidRDefault="00270643" w:rsidP="00270643">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Aliquots of blank serum (1 mL) were spiked with 50 μL of the corresponding spiking solutions to obtain calibration samples at nominal concentrations of 500, 250, 150, 100, 50, 25, 10, and 1 ng/mL each in serum.  Replicates (n=5) at each concentration were analyzed as described above.  The regression lines were calculated in Agilent MassHunter Quantitative Analysis software using a weighted (1/x) model in order to account for heteroscedasticity.  Linear regression lines were used in all but a few cases where slight curvature existed.  The software was also used to check precision, accuracy, qualifier response ratios (for analyte and for internal standard), and retention times.  The back-calculated concentrations were compared to their respective nominal concentrations.  The calibrators whose back-calculated concentrations deviated more than ±15 % (±20 % around the LOQ) from the nominal values were excluded from the calculations of the daily calibration curves.  For all future validation experiments, daily calibration curves at the same concentrations were prepared (single measurement per level) and analyzed with each batch.</w:t>
      </w:r>
    </w:p>
    <w:p w:rsidR="00861B70" w:rsidRPr="00F97B2D" w:rsidRDefault="00861B70" w:rsidP="00AC5F51">
      <w:pPr>
        <w:pStyle w:val="Heading4"/>
      </w:pPr>
      <w:bookmarkStart w:id="198" w:name="_Toc372536081"/>
      <w:bookmarkStart w:id="199" w:name="_Toc372538744"/>
      <w:r w:rsidRPr="00F97B2D">
        <w:t>Precision and accuracy</w:t>
      </w:r>
      <w:bookmarkEnd w:id="198"/>
      <w:bookmarkEnd w:id="199"/>
    </w:p>
    <w:p w:rsidR="00052F05" w:rsidRDefault="00270643" w:rsidP="00052F05">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 xml:space="preserve">QC samples (LOQ, LOW, MED, HIGH; n=2 at each concentration) were analyzed as described above on each of eight days.  The concentrations were calculated based on the daily calibration curves.  Accuracy was calculated in terms of bias as the percent deviation of the mean calculated concentration at each concentration level from the corresponding theoretical concentration.  Repeatability (within-day precision) and intermediate precision were calculated as relative standard deviation (RSD) using one-way ANOVA </w:t>
      </w:r>
      <w:r w:rsidR="00ED27EA" w:rsidRPr="00F97B2D">
        <w:rPr>
          <w:rFonts w:cs="Times New Roman"/>
          <w:color w:val="131413"/>
          <w:szCs w:val="24"/>
          <w:lang w:bidi="ar-SA"/>
        </w:rPr>
        <w:t xml:space="preserve">(analysis of variance) </w:t>
      </w:r>
      <w:r w:rsidRPr="00F97B2D">
        <w:rPr>
          <w:rFonts w:cs="Times New Roman"/>
          <w:color w:val="131413"/>
          <w:szCs w:val="24"/>
          <w:lang w:bidi="ar-SA"/>
        </w:rPr>
        <w:t>with the grouping variable “day”.  Accuracy was considered acceptable if bias was within ± 15 % (± 20 % around the LOQ).  Precision was considered acceptable if RSD was within ±15 % (±20 % around the LOQ).</w:t>
      </w:r>
      <w:r w:rsidR="00F65245" w:rsidRPr="00F97B2D">
        <w:rPr>
          <w:rFonts w:cs="Times New Roman"/>
          <w:color w:val="131413"/>
          <w:szCs w:val="24"/>
          <w:lang w:bidi="ar-SA"/>
        </w:rPr>
        <w:t xml:space="preserve">  A summary of an eight-day experiment used for determining precision, accuracy, and freeze-thaw stability can be found in </w:t>
      </w:r>
      <w:r w:rsidR="002E77C7">
        <w:fldChar w:fldCharType="begin"/>
      </w:r>
      <w:r w:rsidR="002E77C7">
        <w:instrText xml:space="preserve"> REF _Ref237683656 \h  \* MERGEFORMAT </w:instrText>
      </w:r>
      <w:r w:rsidR="002E77C7">
        <w:fldChar w:fldCharType="separate"/>
      </w:r>
      <w:r w:rsidR="00E37796" w:rsidRPr="00E37796">
        <w:rPr>
          <w:szCs w:val="24"/>
        </w:rPr>
        <w:t>Table 7</w:t>
      </w:r>
      <w:r w:rsidR="002E77C7">
        <w:fldChar w:fldCharType="end"/>
      </w:r>
      <w:r w:rsidR="00052F05" w:rsidRPr="00F97B2D">
        <w:rPr>
          <w:rFonts w:cs="Times New Roman"/>
          <w:color w:val="131413"/>
          <w:szCs w:val="24"/>
          <w:lang w:bidi="ar-SA"/>
        </w:rPr>
        <w:t xml:space="preserve">, as adapted from </w:t>
      </w:r>
      <w:r w:rsidR="00052F05" w:rsidRPr="00574B1E">
        <w:rPr>
          <w:rFonts w:cs="Times New Roman"/>
          <w:color w:val="131413"/>
          <w:szCs w:val="24"/>
          <w:lang w:bidi="ar-SA"/>
        </w:rPr>
        <w:t>Peters et al</w:t>
      </w:r>
      <w:r w:rsidR="00F65245" w:rsidRPr="00574B1E">
        <w:rPr>
          <w:rFonts w:cs="Times New Roman"/>
          <w:color w:val="131413"/>
          <w:szCs w:val="24"/>
          <w:lang w:bidi="ar-SA"/>
        </w:rPr>
        <w:t>.</w:t>
      </w:r>
      <w:sdt>
        <w:sdtPr>
          <w:rPr>
            <w:rFonts w:cs="Times New Roman"/>
            <w:color w:val="131413"/>
            <w:szCs w:val="24"/>
            <w:lang w:bidi="ar-SA"/>
          </w:rPr>
          <w:id w:val="258901732"/>
          <w:citation/>
        </w:sdtPr>
        <w:sdtEndPr/>
        <w:sdtContent>
          <w:r w:rsidR="000E239B" w:rsidRPr="00420938">
            <w:rPr>
              <w:rStyle w:val="In-TextCitation"/>
            </w:rPr>
            <w:fldChar w:fldCharType="begin"/>
          </w:r>
          <w:r w:rsidR="00574B1E" w:rsidRPr="00420938">
            <w:rPr>
              <w:rStyle w:val="In-TextCitation"/>
            </w:rPr>
            <w:instrText xml:space="preserve"> CITATION Pet07 \l 1033 </w:instrText>
          </w:r>
          <w:r w:rsidR="000E239B" w:rsidRPr="00420938">
            <w:rPr>
              <w:rStyle w:val="In-TextCitation"/>
            </w:rPr>
            <w:fldChar w:fldCharType="separate"/>
          </w:r>
          <w:r w:rsidR="00420938" w:rsidRPr="00420938">
            <w:rPr>
              <w:rStyle w:val="In-TextCitation"/>
            </w:rPr>
            <w:t>(</w:t>
          </w:r>
          <w:hyperlink w:anchor="Pet07" w:history="1">
            <w:r w:rsidR="00420938" w:rsidRPr="00420938">
              <w:rPr>
                <w:rStyle w:val="In-TextCitation"/>
              </w:rPr>
              <w:t>133</w:t>
            </w:r>
          </w:hyperlink>
          <w:r w:rsidR="00420938" w:rsidRPr="00420938">
            <w:rPr>
              <w:rStyle w:val="In-TextCitation"/>
            </w:rPr>
            <w:t>)</w:t>
          </w:r>
          <w:r w:rsidR="000E239B" w:rsidRPr="00420938">
            <w:rPr>
              <w:rStyle w:val="In-TextCitation"/>
            </w:rPr>
            <w:fldChar w:fldCharType="end"/>
          </w:r>
        </w:sdtContent>
      </w:sdt>
    </w:p>
    <w:p w:rsidR="00052F05" w:rsidRPr="00F97B2D" w:rsidRDefault="00052F05" w:rsidP="00F97B2D">
      <w:pPr>
        <w:pStyle w:val="Caption"/>
      </w:pPr>
      <w:bookmarkStart w:id="200" w:name="_Ref237683656"/>
      <w:bookmarkStart w:id="201" w:name="_Toc372536122"/>
      <w:r w:rsidRPr="00F97B2D">
        <w:t xml:space="preserve">Table </w:t>
      </w:r>
      <w:r w:rsidR="000E239B" w:rsidRPr="00F97B2D">
        <w:fldChar w:fldCharType="begin"/>
      </w:r>
      <w:r w:rsidR="00B2107A" w:rsidRPr="00F97B2D">
        <w:instrText xml:space="preserve"> SEQ Table \* ARABIC </w:instrText>
      </w:r>
      <w:r w:rsidR="000E239B" w:rsidRPr="00F97B2D">
        <w:fldChar w:fldCharType="separate"/>
      </w:r>
      <w:r w:rsidR="00E37796">
        <w:rPr>
          <w:noProof/>
        </w:rPr>
        <w:t>7</w:t>
      </w:r>
      <w:r w:rsidR="000E239B" w:rsidRPr="00F97B2D">
        <w:rPr>
          <w:noProof/>
        </w:rPr>
        <w:fldChar w:fldCharType="end"/>
      </w:r>
      <w:bookmarkEnd w:id="200"/>
      <w:r w:rsidRPr="00F97B2D">
        <w:t>: Summary of Validation Experiment</w:t>
      </w:r>
      <w:r w:rsidR="007947F9">
        <w:t>s</w:t>
      </w:r>
      <w:bookmarkEnd w:id="201"/>
    </w:p>
    <w:tbl>
      <w:tblPr>
        <w:tblStyle w:val="TableGrid"/>
        <w:tblW w:w="0" w:type="auto"/>
        <w:tblLook w:val="04A0" w:firstRow="1" w:lastRow="0" w:firstColumn="1" w:lastColumn="0" w:noHBand="0" w:noVBand="1"/>
      </w:tblPr>
      <w:tblGrid>
        <w:gridCol w:w="640"/>
        <w:gridCol w:w="832"/>
        <w:gridCol w:w="1211"/>
        <w:gridCol w:w="934"/>
        <w:gridCol w:w="1211"/>
        <w:gridCol w:w="1211"/>
        <w:gridCol w:w="934"/>
        <w:gridCol w:w="1211"/>
        <w:gridCol w:w="672"/>
      </w:tblGrid>
      <w:tr w:rsidR="00F65245" w:rsidRPr="007947F9" w:rsidTr="0068761A">
        <w:tc>
          <w:tcPr>
            <w:tcW w:w="0" w:type="auto"/>
            <w:vAlign w:val="center"/>
          </w:tcPr>
          <w:p w:rsidR="00F65245" w:rsidRPr="007947F9" w:rsidRDefault="00F65245" w:rsidP="00052F05">
            <w:pPr>
              <w:jc w:val="center"/>
              <w:rPr>
                <w:rFonts w:cs="Times New Roman"/>
                <w:b/>
                <w:sz w:val="20"/>
                <w:szCs w:val="20"/>
              </w:rPr>
            </w:pPr>
            <w:r w:rsidRPr="007947F9">
              <w:rPr>
                <w:rFonts w:cs="Times New Roman"/>
                <w:b/>
                <w:sz w:val="20"/>
                <w:szCs w:val="20"/>
              </w:rPr>
              <w:t>Run</w:t>
            </w:r>
          </w:p>
        </w:tc>
        <w:tc>
          <w:tcPr>
            <w:tcW w:w="0" w:type="auto"/>
            <w:vAlign w:val="center"/>
          </w:tcPr>
          <w:p w:rsidR="00F65245" w:rsidRPr="007947F9" w:rsidRDefault="00F65245" w:rsidP="00052F05">
            <w:pPr>
              <w:jc w:val="center"/>
              <w:rPr>
                <w:rFonts w:cs="Times New Roman"/>
                <w:b/>
                <w:sz w:val="20"/>
                <w:szCs w:val="20"/>
              </w:rPr>
            </w:pPr>
            <w:r w:rsidRPr="007947F9">
              <w:rPr>
                <w:rFonts w:cs="Times New Roman"/>
                <w:b/>
                <w:sz w:val="20"/>
                <w:szCs w:val="20"/>
              </w:rPr>
              <w:t>Cal. Levels</w:t>
            </w:r>
          </w:p>
        </w:tc>
        <w:tc>
          <w:tcPr>
            <w:tcW w:w="0" w:type="auto"/>
            <w:gridSpan w:val="5"/>
            <w:vAlign w:val="center"/>
          </w:tcPr>
          <w:p w:rsidR="00F65245" w:rsidRPr="007947F9" w:rsidRDefault="00F65245" w:rsidP="00052F05">
            <w:pPr>
              <w:jc w:val="center"/>
              <w:rPr>
                <w:rFonts w:cs="Times New Roman"/>
                <w:b/>
                <w:sz w:val="20"/>
                <w:szCs w:val="20"/>
              </w:rPr>
            </w:pPr>
            <w:r w:rsidRPr="007947F9">
              <w:rPr>
                <w:rFonts w:cs="Times New Roman"/>
                <w:b/>
                <w:sz w:val="20"/>
                <w:szCs w:val="20"/>
              </w:rPr>
              <w:t>Validation samples</w:t>
            </w:r>
          </w:p>
        </w:tc>
        <w:tc>
          <w:tcPr>
            <w:tcW w:w="0" w:type="auto"/>
            <w:vAlign w:val="center"/>
          </w:tcPr>
          <w:p w:rsidR="00F65245" w:rsidRPr="007947F9" w:rsidRDefault="00F65245" w:rsidP="00052F05">
            <w:pPr>
              <w:jc w:val="center"/>
              <w:rPr>
                <w:rFonts w:cs="Times New Roman"/>
                <w:b/>
                <w:sz w:val="20"/>
                <w:szCs w:val="20"/>
              </w:rPr>
            </w:pPr>
          </w:p>
        </w:tc>
        <w:tc>
          <w:tcPr>
            <w:tcW w:w="0" w:type="auto"/>
            <w:vAlign w:val="center"/>
          </w:tcPr>
          <w:p w:rsidR="00F65245" w:rsidRPr="007947F9" w:rsidRDefault="00F65245" w:rsidP="00052F05">
            <w:pPr>
              <w:jc w:val="center"/>
              <w:rPr>
                <w:rFonts w:cs="Times New Roman"/>
                <w:b/>
                <w:sz w:val="20"/>
                <w:szCs w:val="20"/>
              </w:rPr>
            </w:pPr>
            <w:r w:rsidRPr="007947F9">
              <w:rPr>
                <w:rFonts w:cs="Times New Roman"/>
                <w:b/>
                <w:sz w:val="20"/>
                <w:szCs w:val="20"/>
              </w:rPr>
              <w:t>Total</w:t>
            </w:r>
          </w:p>
        </w:tc>
      </w:tr>
      <w:tr w:rsidR="00F65245" w:rsidRPr="007947F9" w:rsidTr="0068761A">
        <w:tc>
          <w:tcPr>
            <w:tcW w:w="0" w:type="auto"/>
            <w:vAlign w:val="center"/>
          </w:tcPr>
          <w:p w:rsidR="00F65245" w:rsidRPr="007947F9" w:rsidRDefault="00F65245" w:rsidP="00052F05">
            <w:pPr>
              <w:jc w:val="center"/>
              <w:rPr>
                <w:rFonts w:cs="Times New Roman"/>
                <w:b/>
                <w:sz w:val="20"/>
                <w:szCs w:val="20"/>
              </w:rPr>
            </w:pPr>
          </w:p>
        </w:tc>
        <w:tc>
          <w:tcPr>
            <w:tcW w:w="0" w:type="auto"/>
            <w:vAlign w:val="center"/>
          </w:tcPr>
          <w:p w:rsidR="00F65245" w:rsidRPr="007947F9" w:rsidRDefault="00F65245" w:rsidP="00052F05">
            <w:pPr>
              <w:jc w:val="center"/>
              <w:rPr>
                <w:rFonts w:cs="Times New Roman"/>
                <w:b/>
                <w:sz w:val="20"/>
                <w:szCs w:val="20"/>
              </w:rPr>
            </w:pPr>
          </w:p>
        </w:tc>
        <w:tc>
          <w:tcPr>
            <w:tcW w:w="0" w:type="auto"/>
            <w:gridSpan w:val="2"/>
            <w:vAlign w:val="center"/>
          </w:tcPr>
          <w:p w:rsidR="00F65245" w:rsidRPr="007947F9" w:rsidRDefault="00F65245" w:rsidP="00052F05">
            <w:pPr>
              <w:jc w:val="center"/>
              <w:rPr>
                <w:rFonts w:cs="Times New Roman"/>
                <w:b/>
                <w:sz w:val="20"/>
                <w:szCs w:val="20"/>
              </w:rPr>
            </w:pPr>
            <w:r w:rsidRPr="007947F9">
              <w:rPr>
                <w:rFonts w:cs="Times New Roman"/>
                <w:b/>
                <w:sz w:val="20"/>
                <w:szCs w:val="20"/>
              </w:rPr>
              <w:t>LOW</w:t>
            </w:r>
          </w:p>
        </w:tc>
        <w:tc>
          <w:tcPr>
            <w:tcW w:w="0" w:type="auto"/>
            <w:vAlign w:val="center"/>
          </w:tcPr>
          <w:p w:rsidR="00F65245" w:rsidRPr="007947F9" w:rsidRDefault="00F65245" w:rsidP="00052F05">
            <w:pPr>
              <w:jc w:val="center"/>
              <w:rPr>
                <w:rFonts w:cs="Times New Roman"/>
                <w:b/>
                <w:sz w:val="20"/>
                <w:szCs w:val="20"/>
              </w:rPr>
            </w:pPr>
            <w:r w:rsidRPr="007947F9">
              <w:rPr>
                <w:rFonts w:cs="Times New Roman"/>
                <w:b/>
                <w:sz w:val="20"/>
                <w:szCs w:val="20"/>
              </w:rPr>
              <w:t>MED</w:t>
            </w:r>
          </w:p>
        </w:tc>
        <w:tc>
          <w:tcPr>
            <w:tcW w:w="0" w:type="auto"/>
            <w:gridSpan w:val="2"/>
            <w:vAlign w:val="center"/>
          </w:tcPr>
          <w:p w:rsidR="00F65245" w:rsidRPr="007947F9" w:rsidRDefault="00F65245" w:rsidP="00052F05">
            <w:pPr>
              <w:jc w:val="center"/>
              <w:rPr>
                <w:rFonts w:cs="Times New Roman"/>
                <w:b/>
                <w:sz w:val="20"/>
                <w:szCs w:val="20"/>
              </w:rPr>
            </w:pPr>
            <w:r w:rsidRPr="007947F9">
              <w:rPr>
                <w:rFonts w:cs="Times New Roman"/>
                <w:b/>
                <w:sz w:val="20"/>
                <w:szCs w:val="20"/>
              </w:rPr>
              <w:t>HIGH</w:t>
            </w:r>
          </w:p>
        </w:tc>
        <w:tc>
          <w:tcPr>
            <w:tcW w:w="0" w:type="auto"/>
            <w:vAlign w:val="center"/>
          </w:tcPr>
          <w:p w:rsidR="00F65245" w:rsidRPr="007947F9" w:rsidRDefault="00F65245" w:rsidP="00052F05">
            <w:pPr>
              <w:jc w:val="center"/>
              <w:rPr>
                <w:rFonts w:cs="Times New Roman"/>
                <w:b/>
                <w:sz w:val="20"/>
                <w:szCs w:val="20"/>
              </w:rPr>
            </w:pPr>
            <w:r w:rsidRPr="007947F9">
              <w:rPr>
                <w:rFonts w:cs="Times New Roman"/>
                <w:b/>
                <w:sz w:val="20"/>
                <w:szCs w:val="20"/>
              </w:rPr>
              <w:t>LOQ</w:t>
            </w:r>
          </w:p>
        </w:tc>
        <w:tc>
          <w:tcPr>
            <w:tcW w:w="0" w:type="auto"/>
            <w:vAlign w:val="center"/>
          </w:tcPr>
          <w:p w:rsidR="00F65245" w:rsidRPr="007947F9" w:rsidRDefault="00F65245" w:rsidP="00052F05">
            <w:pPr>
              <w:jc w:val="center"/>
              <w:rPr>
                <w:rFonts w:cs="Times New Roman"/>
                <w:b/>
                <w:sz w:val="20"/>
                <w:szCs w:val="20"/>
              </w:rPr>
            </w:pPr>
          </w:p>
        </w:tc>
      </w:tr>
      <w:tr w:rsidR="00F65245" w:rsidRPr="007947F9" w:rsidTr="0068761A">
        <w:tc>
          <w:tcPr>
            <w:tcW w:w="0" w:type="auto"/>
            <w:vAlign w:val="center"/>
          </w:tcPr>
          <w:p w:rsidR="00F65245" w:rsidRPr="007947F9" w:rsidRDefault="00F65245" w:rsidP="00052F05">
            <w:pPr>
              <w:jc w:val="center"/>
              <w:rPr>
                <w:rFonts w:cs="Times New Roman"/>
                <w:b/>
                <w:sz w:val="20"/>
                <w:szCs w:val="20"/>
              </w:rPr>
            </w:pPr>
          </w:p>
        </w:tc>
        <w:tc>
          <w:tcPr>
            <w:tcW w:w="0" w:type="auto"/>
            <w:vAlign w:val="center"/>
          </w:tcPr>
          <w:p w:rsidR="00F65245" w:rsidRPr="007947F9" w:rsidRDefault="00F65245" w:rsidP="00052F05">
            <w:pPr>
              <w:jc w:val="center"/>
              <w:rPr>
                <w:rFonts w:cs="Times New Roman"/>
                <w:b/>
                <w:sz w:val="20"/>
                <w:szCs w:val="20"/>
              </w:rPr>
            </w:pPr>
          </w:p>
        </w:tc>
        <w:tc>
          <w:tcPr>
            <w:tcW w:w="0" w:type="auto"/>
            <w:vAlign w:val="center"/>
          </w:tcPr>
          <w:p w:rsidR="00F65245" w:rsidRPr="007947F9" w:rsidRDefault="00F65245" w:rsidP="00052F05">
            <w:pPr>
              <w:jc w:val="center"/>
              <w:rPr>
                <w:rFonts w:cs="Times New Roman"/>
                <w:b/>
                <w:sz w:val="20"/>
                <w:szCs w:val="20"/>
              </w:rPr>
            </w:pPr>
            <w:r w:rsidRPr="007947F9">
              <w:rPr>
                <w:rFonts w:cs="Times New Roman"/>
                <w:b/>
                <w:sz w:val="20"/>
                <w:szCs w:val="20"/>
              </w:rPr>
              <w:t>Precision &amp; Accuracy</w:t>
            </w:r>
          </w:p>
        </w:tc>
        <w:tc>
          <w:tcPr>
            <w:tcW w:w="0" w:type="auto"/>
            <w:vAlign w:val="center"/>
          </w:tcPr>
          <w:p w:rsidR="00F65245" w:rsidRPr="007947F9" w:rsidRDefault="00F65245" w:rsidP="00052F05">
            <w:pPr>
              <w:jc w:val="center"/>
              <w:rPr>
                <w:rFonts w:cs="Times New Roman"/>
                <w:b/>
                <w:sz w:val="20"/>
                <w:szCs w:val="20"/>
              </w:rPr>
            </w:pPr>
            <w:r w:rsidRPr="007947F9">
              <w:rPr>
                <w:rFonts w:cs="Times New Roman"/>
                <w:b/>
                <w:sz w:val="20"/>
                <w:szCs w:val="20"/>
              </w:rPr>
              <w:t>Freeze-Thaw</w:t>
            </w:r>
          </w:p>
        </w:tc>
        <w:tc>
          <w:tcPr>
            <w:tcW w:w="0" w:type="auto"/>
            <w:vAlign w:val="center"/>
          </w:tcPr>
          <w:p w:rsidR="00F65245" w:rsidRPr="007947F9" w:rsidRDefault="00F65245" w:rsidP="00052F05">
            <w:pPr>
              <w:jc w:val="center"/>
              <w:rPr>
                <w:rFonts w:cs="Times New Roman"/>
                <w:b/>
                <w:sz w:val="20"/>
                <w:szCs w:val="20"/>
              </w:rPr>
            </w:pPr>
            <w:r w:rsidRPr="007947F9">
              <w:rPr>
                <w:rFonts w:cs="Times New Roman"/>
                <w:b/>
                <w:sz w:val="20"/>
                <w:szCs w:val="20"/>
              </w:rPr>
              <w:t>Precision &amp; Accuracy</w:t>
            </w:r>
          </w:p>
        </w:tc>
        <w:tc>
          <w:tcPr>
            <w:tcW w:w="0" w:type="auto"/>
            <w:vAlign w:val="center"/>
          </w:tcPr>
          <w:p w:rsidR="00F65245" w:rsidRPr="007947F9" w:rsidRDefault="00F65245" w:rsidP="00052F05">
            <w:pPr>
              <w:jc w:val="center"/>
              <w:rPr>
                <w:rFonts w:cs="Times New Roman"/>
                <w:b/>
                <w:sz w:val="20"/>
                <w:szCs w:val="20"/>
              </w:rPr>
            </w:pPr>
            <w:r w:rsidRPr="007947F9">
              <w:rPr>
                <w:rFonts w:cs="Times New Roman"/>
                <w:b/>
                <w:sz w:val="20"/>
                <w:szCs w:val="20"/>
              </w:rPr>
              <w:t>Precision &amp; Accuracy</w:t>
            </w:r>
          </w:p>
        </w:tc>
        <w:tc>
          <w:tcPr>
            <w:tcW w:w="0" w:type="auto"/>
            <w:vAlign w:val="center"/>
          </w:tcPr>
          <w:p w:rsidR="00F65245" w:rsidRPr="007947F9" w:rsidRDefault="00F65245" w:rsidP="00052F05">
            <w:pPr>
              <w:jc w:val="center"/>
              <w:rPr>
                <w:rFonts w:cs="Times New Roman"/>
                <w:b/>
                <w:sz w:val="20"/>
                <w:szCs w:val="20"/>
              </w:rPr>
            </w:pPr>
            <w:r w:rsidRPr="007947F9">
              <w:rPr>
                <w:rFonts w:cs="Times New Roman"/>
                <w:b/>
                <w:sz w:val="20"/>
                <w:szCs w:val="20"/>
              </w:rPr>
              <w:t>Freeze-Thaw</w:t>
            </w:r>
          </w:p>
        </w:tc>
        <w:tc>
          <w:tcPr>
            <w:tcW w:w="0" w:type="auto"/>
            <w:vAlign w:val="center"/>
          </w:tcPr>
          <w:p w:rsidR="00F65245" w:rsidRPr="007947F9" w:rsidRDefault="00F65245" w:rsidP="00052F05">
            <w:pPr>
              <w:jc w:val="center"/>
              <w:rPr>
                <w:rFonts w:cs="Times New Roman"/>
                <w:b/>
                <w:sz w:val="20"/>
                <w:szCs w:val="20"/>
              </w:rPr>
            </w:pPr>
            <w:r w:rsidRPr="007947F9">
              <w:rPr>
                <w:rFonts w:cs="Times New Roman"/>
                <w:b/>
                <w:sz w:val="20"/>
                <w:szCs w:val="20"/>
              </w:rPr>
              <w:t>Precision &amp; Accuracy</w:t>
            </w:r>
          </w:p>
        </w:tc>
        <w:tc>
          <w:tcPr>
            <w:tcW w:w="0" w:type="auto"/>
            <w:vAlign w:val="center"/>
          </w:tcPr>
          <w:p w:rsidR="00F65245" w:rsidRPr="007947F9" w:rsidRDefault="00F65245" w:rsidP="00052F05">
            <w:pPr>
              <w:jc w:val="center"/>
              <w:rPr>
                <w:rFonts w:cs="Times New Roman"/>
                <w:b/>
                <w:sz w:val="20"/>
                <w:szCs w:val="20"/>
              </w:rPr>
            </w:pPr>
          </w:p>
        </w:tc>
      </w:tr>
      <w:tr w:rsidR="00F65245" w:rsidRPr="007947F9" w:rsidTr="0068761A">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1</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6</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052F05" w:rsidP="00052F05">
            <w:pPr>
              <w:jc w:val="center"/>
              <w:rPr>
                <w:rFonts w:cs="Times New Roman"/>
                <w:sz w:val="20"/>
                <w:szCs w:val="20"/>
              </w:rPr>
            </w:pPr>
            <w:r w:rsidRPr="007947F9">
              <w:rPr>
                <w:rFonts w:cs="Times New Roman"/>
                <w:sz w:val="20"/>
                <w:szCs w:val="20"/>
              </w:rPr>
              <w:t>4</w:t>
            </w:r>
            <w:r w:rsidR="00F65245" w:rsidRPr="007947F9">
              <w:rPr>
                <w:rFonts w:cs="Times New Roman"/>
                <w:sz w:val="20"/>
                <w:szCs w:val="20"/>
              </w:rPr>
              <w:t xml:space="preserve"> </w:t>
            </w:r>
            <w:r w:rsidR="00F65245" w:rsidRPr="007947F9">
              <w:rPr>
                <w:rFonts w:cs="Times New Roman"/>
                <w:sz w:val="20"/>
                <w:szCs w:val="20"/>
                <w:vertAlign w:val="subscript"/>
              </w:rPr>
              <w:t>control</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052F05" w:rsidP="00052F05">
            <w:pPr>
              <w:jc w:val="center"/>
              <w:rPr>
                <w:rFonts w:cs="Times New Roman"/>
                <w:sz w:val="20"/>
                <w:szCs w:val="20"/>
              </w:rPr>
            </w:pPr>
            <w:r w:rsidRPr="007947F9">
              <w:rPr>
                <w:rFonts w:cs="Times New Roman"/>
                <w:sz w:val="20"/>
                <w:szCs w:val="20"/>
              </w:rPr>
              <w:t xml:space="preserve">4 </w:t>
            </w:r>
            <w:r w:rsidRPr="007947F9">
              <w:rPr>
                <w:rFonts w:cs="Times New Roman"/>
                <w:sz w:val="20"/>
                <w:szCs w:val="20"/>
                <w:vertAlign w:val="subscript"/>
              </w:rPr>
              <w:t>control</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052F05" w:rsidP="00052F05">
            <w:pPr>
              <w:jc w:val="center"/>
              <w:rPr>
                <w:rFonts w:cs="Times New Roman"/>
                <w:sz w:val="20"/>
                <w:szCs w:val="20"/>
              </w:rPr>
            </w:pPr>
            <w:r w:rsidRPr="007947F9">
              <w:rPr>
                <w:rFonts w:cs="Times New Roman"/>
                <w:sz w:val="20"/>
                <w:szCs w:val="20"/>
              </w:rPr>
              <w:t>22</w:t>
            </w:r>
          </w:p>
        </w:tc>
      </w:tr>
      <w:tr w:rsidR="00F65245" w:rsidRPr="007947F9" w:rsidTr="0068761A">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6</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14</w:t>
            </w:r>
          </w:p>
        </w:tc>
      </w:tr>
      <w:tr w:rsidR="00F65245" w:rsidRPr="007947F9" w:rsidTr="0068761A">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3</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6</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14</w:t>
            </w:r>
          </w:p>
        </w:tc>
      </w:tr>
      <w:tr w:rsidR="00F65245" w:rsidRPr="007947F9" w:rsidTr="0068761A">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4</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6</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052F05" w:rsidP="00052F05">
            <w:pPr>
              <w:jc w:val="center"/>
              <w:rPr>
                <w:rFonts w:cs="Times New Roman"/>
                <w:sz w:val="20"/>
                <w:szCs w:val="20"/>
              </w:rPr>
            </w:pPr>
            <w:r w:rsidRPr="007947F9">
              <w:rPr>
                <w:rFonts w:cs="Times New Roman"/>
                <w:sz w:val="20"/>
                <w:szCs w:val="20"/>
              </w:rPr>
              <w:t>4</w:t>
            </w:r>
            <w:r w:rsidR="00F65245" w:rsidRPr="007947F9">
              <w:rPr>
                <w:rFonts w:cs="Times New Roman"/>
                <w:sz w:val="20"/>
                <w:szCs w:val="20"/>
              </w:rPr>
              <w:t xml:space="preserve"> </w:t>
            </w:r>
            <w:r w:rsidR="00F65245" w:rsidRPr="007947F9">
              <w:rPr>
                <w:rFonts w:cs="Times New Roman"/>
                <w:sz w:val="20"/>
                <w:szCs w:val="20"/>
                <w:vertAlign w:val="subscript"/>
              </w:rPr>
              <w:t>treatment</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052F05" w:rsidP="00052F05">
            <w:pPr>
              <w:jc w:val="center"/>
              <w:rPr>
                <w:rFonts w:cs="Times New Roman"/>
                <w:sz w:val="20"/>
                <w:szCs w:val="20"/>
              </w:rPr>
            </w:pPr>
            <w:r w:rsidRPr="007947F9">
              <w:rPr>
                <w:rFonts w:cs="Times New Roman"/>
                <w:sz w:val="20"/>
                <w:szCs w:val="20"/>
              </w:rPr>
              <w:t xml:space="preserve">4 </w:t>
            </w:r>
            <w:r w:rsidRPr="007947F9">
              <w:rPr>
                <w:rFonts w:cs="Times New Roman"/>
                <w:sz w:val="20"/>
                <w:szCs w:val="20"/>
                <w:vertAlign w:val="subscript"/>
              </w:rPr>
              <w:t>treatment</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052F05" w:rsidP="00052F05">
            <w:pPr>
              <w:jc w:val="center"/>
              <w:rPr>
                <w:rFonts w:cs="Times New Roman"/>
                <w:sz w:val="20"/>
                <w:szCs w:val="20"/>
              </w:rPr>
            </w:pPr>
            <w:r w:rsidRPr="007947F9">
              <w:rPr>
                <w:rFonts w:cs="Times New Roman"/>
                <w:sz w:val="20"/>
                <w:szCs w:val="20"/>
              </w:rPr>
              <w:t>22</w:t>
            </w:r>
          </w:p>
        </w:tc>
      </w:tr>
      <w:tr w:rsidR="00F65245" w:rsidRPr="007947F9" w:rsidTr="0068761A">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5</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6</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14</w:t>
            </w:r>
          </w:p>
        </w:tc>
      </w:tr>
      <w:tr w:rsidR="00F65245" w:rsidRPr="007947F9" w:rsidTr="0068761A">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6</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6</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14</w:t>
            </w:r>
          </w:p>
        </w:tc>
      </w:tr>
      <w:tr w:rsidR="00F65245" w:rsidRPr="007947F9" w:rsidTr="0068761A">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7</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6</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14</w:t>
            </w:r>
          </w:p>
        </w:tc>
      </w:tr>
      <w:tr w:rsidR="00F65245" w:rsidRPr="007947F9" w:rsidTr="0068761A">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8</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6</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2</w:t>
            </w:r>
          </w:p>
        </w:tc>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14</w:t>
            </w:r>
          </w:p>
        </w:tc>
      </w:tr>
      <w:tr w:rsidR="00F65245" w:rsidRPr="007947F9" w:rsidTr="0068761A">
        <w:tc>
          <w:tcPr>
            <w:tcW w:w="0" w:type="auto"/>
            <w:vAlign w:val="center"/>
          </w:tcPr>
          <w:p w:rsidR="00F65245" w:rsidRPr="007947F9" w:rsidRDefault="00F65245" w:rsidP="00052F05">
            <w:pPr>
              <w:jc w:val="center"/>
              <w:rPr>
                <w:rFonts w:cs="Times New Roman"/>
                <w:sz w:val="20"/>
                <w:szCs w:val="20"/>
              </w:rPr>
            </w:pPr>
            <w:r w:rsidRPr="007947F9">
              <w:rPr>
                <w:rFonts w:cs="Times New Roman"/>
                <w:sz w:val="20"/>
                <w:szCs w:val="20"/>
              </w:rPr>
              <w:t>Total</w:t>
            </w:r>
          </w:p>
        </w:tc>
        <w:tc>
          <w:tcPr>
            <w:tcW w:w="0" w:type="auto"/>
            <w:vAlign w:val="center"/>
          </w:tcPr>
          <w:p w:rsidR="00F65245" w:rsidRPr="007947F9" w:rsidRDefault="00F65245" w:rsidP="00052F05">
            <w:pPr>
              <w:jc w:val="center"/>
              <w:rPr>
                <w:rFonts w:cs="Times New Roman"/>
                <w:sz w:val="20"/>
                <w:szCs w:val="20"/>
              </w:rPr>
            </w:pPr>
          </w:p>
        </w:tc>
        <w:tc>
          <w:tcPr>
            <w:tcW w:w="0" w:type="auto"/>
            <w:vAlign w:val="center"/>
          </w:tcPr>
          <w:p w:rsidR="00F65245" w:rsidRPr="007947F9" w:rsidRDefault="00F65245" w:rsidP="00052F05">
            <w:pPr>
              <w:jc w:val="center"/>
              <w:rPr>
                <w:rFonts w:cs="Times New Roman"/>
                <w:sz w:val="20"/>
                <w:szCs w:val="20"/>
              </w:rPr>
            </w:pPr>
          </w:p>
        </w:tc>
        <w:tc>
          <w:tcPr>
            <w:tcW w:w="0" w:type="auto"/>
            <w:vAlign w:val="center"/>
          </w:tcPr>
          <w:p w:rsidR="00F65245" w:rsidRPr="007947F9" w:rsidRDefault="00F65245" w:rsidP="00052F05">
            <w:pPr>
              <w:jc w:val="center"/>
              <w:rPr>
                <w:rFonts w:cs="Times New Roman"/>
                <w:sz w:val="20"/>
                <w:szCs w:val="20"/>
              </w:rPr>
            </w:pPr>
          </w:p>
        </w:tc>
        <w:tc>
          <w:tcPr>
            <w:tcW w:w="0" w:type="auto"/>
            <w:vAlign w:val="center"/>
          </w:tcPr>
          <w:p w:rsidR="00F65245" w:rsidRPr="007947F9" w:rsidRDefault="00F65245" w:rsidP="00052F05">
            <w:pPr>
              <w:jc w:val="center"/>
              <w:rPr>
                <w:rFonts w:cs="Times New Roman"/>
                <w:sz w:val="20"/>
                <w:szCs w:val="20"/>
              </w:rPr>
            </w:pPr>
          </w:p>
        </w:tc>
        <w:tc>
          <w:tcPr>
            <w:tcW w:w="0" w:type="auto"/>
            <w:vAlign w:val="center"/>
          </w:tcPr>
          <w:p w:rsidR="00F65245" w:rsidRPr="007947F9" w:rsidRDefault="00F65245" w:rsidP="00052F05">
            <w:pPr>
              <w:jc w:val="center"/>
              <w:rPr>
                <w:rFonts w:cs="Times New Roman"/>
                <w:sz w:val="20"/>
                <w:szCs w:val="20"/>
              </w:rPr>
            </w:pPr>
          </w:p>
        </w:tc>
        <w:tc>
          <w:tcPr>
            <w:tcW w:w="0" w:type="auto"/>
            <w:vAlign w:val="center"/>
          </w:tcPr>
          <w:p w:rsidR="00F65245" w:rsidRPr="007947F9" w:rsidRDefault="00F65245" w:rsidP="00052F05">
            <w:pPr>
              <w:jc w:val="center"/>
              <w:rPr>
                <w:rFonts w:cs="Times New Roman"/>
                <w:sz w:val="20"/>
                <w:szCs w:val="20"/>
              </w:rPr>
            </w:pPr>
          </w:p>
        </w:tc>
        <w:tc>
          <w:tcPr>
            <w:tcW w:w="0" w:type="auto"/>
            <w:vAlign w:val="center"/>
          </w:tcPr>
          <w:p w:rsidR="00F65245" w:rsidRPr="007947F9" w:rsidRDefault="00F65245" w:rsidP="00052F05">
            <w:pPr>
              <w:jc w:val="center"/>
              <w:rPr>
                <w:rFonts w:cs="Times New Roman"/>
                <w:sz w:val="20"/>
                <w:szCs w:val="20"/>
              </w:rPr>
            </w:pPr>
          </w:p>
        </w:tc>
        <w:tc>
          <w:tcPr>
            <w:tcW w:w="0" w:type="auto"/>
            <w:vAlign w:val="center"/>
          </w:tcPr>
          <w:p w:rsidR="00F65245" w:rsidRPr="007947F9" w:rsidRDefault="00052F05" w:rsidP="00052F05">
            <w:pPr>
              <w:jc w:val="center"/>
              <w:rPr>
                <w:rFonts w:cs="Times New Roman"/>
                <w:sz w:val="20"/>
                <w:szCs w:val="20"/>
              </w:rPr>
            </w:pPr>
            <w:r w:rsidRPr="007947F9">
              <w:rPr>
                <w:rFonts w:cs="Times New Roman"/>
                <w:sz w:val="20"/>
                <w:szCs w:val="20"/>
              </w:rPr>
              <w:t>128</w:t>
            </w:r>
          </w:p>
        </w:tc>
      </w:tr>
    </w:tbl>
    <w:p w:rsidR="00574B1E" w:rsidRPr="00F97B2D" w:rsidRDefault="00574B1E" w:rsidP="0068761A">
      <w:pPr>
        <w:autoSpaceDE w:val="0"/>
        <w:autoSpaceDN w:val="0"/>
        <w:adjustRightInd w:val="0"/>
        <w:spacing w:after="0" w:line="480" w:lineRule="auto"/>
        <w:rPr>
          <w:rFonts w:cs="Times New Roman"/>
          <w:color w:val="131413"/>
          <w:szCs w:val="24"/>
          <w:lang w:bidi="ar-SA"/>
        </w:rPr>
      </w:pPr>
    </w:p>
    <w:p w:rsidR="00861B70" w:rsidRPr="00F97B2D" w:rsidRDefault="00861B70" w:rsidP="00AC5F51">
      <w:pPr>
        <w:pStyle w:val="Heading4"/>
      </w:pPr>
      <w:bookmarkStart w:id="202" w:name="_Toc372536082"/>
      <w:bookmarkStart w:id="203" w:name="_Toc372538745"/>
      <w:r w:rsidRPr="00F97B2D">
        <w:t>Freeze-thaw stability</w:t>
      </w:r>
      <w:bookmarkEnd w:id="202"/>
      <w:bookmarkEnd w:id="203"/>
    </w:p>
    <w:p w:rsidR="00270643" w:rsidRDefault="00270643" w:rsidP="00270643">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For evaluation of freeze–thaw stability, QC samples (LOW and HIGH) were analyzed before (control samples; n=4 at each concentration) and after (stability samples; n</w:t>
      </w:r>
      <w:r w:rsidR="00D53E62" w:rsidRPr="00F97B2D">
        <w:rPr>
          <w:rFonts w:cs="Times New Roman"/>
          <w:color w:val="131413"/>
          <w:szCs w:val="24"/>
          <w:lang w:bidi="ar-SA"/>
        </w:rPr>
        <w:t>=</w:t>
      </w:r>
      <w:r w:rsidRPr="00F97B2D">
        <w:rPr>
          <w:rFonts w:cs="Times New Roman"/>
          <w:color w:val="131413"/>
          <w:szCs w:val="24"/>
          <w:lang w:bidi="ar-SA"/>
        </w:rPr>
        <w:t>4 at each concentration) three freeze–thaw cycles.  For each cycle, the samples were frozen at −20 °C for 21 h, thawed, and kept at room temperature for 3 h.  The concentrations of the QC samples were calculated from the daily calibration curves.  Mean concentration of stability samples was compared to mean concentration of control samples at each concentration.  Stability was assumed when the mean concentration of the stability samples was within ±10 % of the mean concentration of the control samples and a confidence interval of 95 % within ±20 % of the control mean concentration.</w:t>
      </w:r>
    </w:p>
    <w:p w:rsidR="002F660C" w:rsidRPr="00F97B2D" w:rsidRDefault="002F660C" w:rsidP="00270643">
      <w:pPr>
        <w:autoSpaceDE w:val="0"/>
        <w:autoSpaceDN w:val="0"/>
        <w:adjustRightInd w:val="0"/>
        <w:spacing w:after="0" w:line="480" w:lineRule="auto"/>
        <w:ind w:firstLine="720"/>
        <w:rPr>
          <w:rFonts w:cs="Times New Roman"/>
          <w:color w:val="131413"/>
          <w:szCs w:val="24"/>
          <w:lang w:bidi="ar-SA"/>
        </w:rPr>
      </w:pPr>
    </w:p>
    <w:p w:rsidR="00861B70" w:rsidRPr="00F97B2D" w:rsidRDefault="00861B70" w:rsidP="00AC5F51">
      <w:pPr>
        <w:pStyle w:val="Heading4"/>
      </w:pPr>
      <w:bookmarkStart w:id="204" w:name="_Toc372536083"/>
      <w:bookmarkStart w:id="205" w:name="_Toc372538746"/>
      <w:r w:rsidRPr="00F97B2D">
        <w:t>Limits</w:t>
      </w:r>
      <w:bookmarkEnd w:id="204"/>
      <w:bookmarkEnd w:id="205"/>
    </w:p>
    <w:p w:rsidR="00D53E62" w:rsidRPr="00F97B2D" w:rsidRDefault="00D53E62" w:rsidP="008E6DDD">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In order to determine both the LOQs and LODs, aliquots of</w:t>
      </w:r>
      <w:r w:rsidR="008E6DDD" w:rsidRPr="00F97B2D">
        <w:rPr>
          <w:rFonts w:cs="Times New Roman"/>
          <w:color w:val="131413"/>
          <w:szCs w:val="24"/>
          <w:lang w:bidi="ar-SA"/>
        </w:rPr>
        <w:t xml:space="preserve"> </w:t>
      </w:r>
      <w:r w:rsidRPr="00F97B2D">
        <w:rPr>
          <w:rFonts w:cs="Times New Roman"/>
          <w:color w:val="131413"/>
          <w:szCs w:val="24"/>
          <w:lang w:bidi="ar-SA"/>
        </w:rPr>
        <w:t>blank serum (1 mL) spiked with decreasing concentrations</w:t>
      </w:r>
      <w:r w:rsidR="008E6DDD" w:rsidRPr="00F97B2D">
        <w:rPr>
          <w:rFonts w:cs="Times New Roman"/>
          <w:color w:val="131413"/>
          <w:szCs w:val="24"/>
          <w:lang w:bidi="ar-SA"/>
        </w:rPr>
        <w:t xml:space="preserve"> </w:t>
      </w:r>
      <w:r w:rsidRPr="00F97B2D">
        <w:rPr>
          <w:rFonts w:cs="Times New Roman"/>
          <w:color w:val="131413"/>
          <w:szCs w:val="24"/>
          <w:lang w:bidi="ar-SA"/>
        </w:rPr>
        <w:t xml:space="preserve">of analyte were analyzed as described above. </w:t>
      </w:r>
      <w:r w:rsidR="008E6DDD" w:rsidRPr="00F97B2D">
        <w:rPr>
          <w:rFonts w:cs="Times New Roman"/>
          <w:color w:val="131413"/>
          <w:szCs w:val="24"/>
          <w:lang w:bidi="ar-SA"/>
        </w:rPr>
        <w:t xml:space="preserve"> </w:t>
      </w:r>
      <w:r w:rsidRPr="00F97B2D">
        <w:rPr>
          <w:rFonts w:cs="Times New Roman"/>
          <w:color w:val="131413"/>
          <w:szCs w:val="24"/>
          <w:lang w:bidi="ar-SA"/>
        </w:rPr>
        <w:t>Replicates (n</w:t>
      </w:r>
      <w:r w:rsidR="008E6DDD" w:rsidRPr="00F97B2D">
        <w:rPr>
          <w:rFonts w:cs="Times New Roman"/>
          <w:color w:val="131413"/>
          <w:szCs w:val="24"/>
          <w:lang w:bidi="ar-SA"/>
        </w:rPr>
        <w:t>=</w:t>
      </w:r>
      <w:r w:rsidRPr="00F97B2D">
        <w:rPr>
          <w:rFonts w:cs="Times New Roman"/>
          <w:color w:val="131413"/>
          <w:szCs w:val="24"/>
          <w:lang w:bidi="ar-SA"/>
        </w:rPr>
        <w:t>5) at varying concentrations in the range of 1 pg/mL to</w:t>
      </w:r>
      <w:r w:rsidR="008E6DDD" w:rsidRPr="00F97B2D">
        <w:rPr>
          <w:rFonts w:cs="Times New Roman"/>
          <w:color w:val="131413"/>
          <w:szCs w:val="24"/>
          <w:lang w:bidi="ar-SA"/>
        </w:rPr>
        <w:t xml:space="preserve"> </w:t>
      </w:r>
      <w:r w:rsidRPr="00F97B2D">
        <w:rPr>
          <w:rFonts w:cs="Times New Roman"/>
          <w:color w:val="131413"/>
          <w:szCs w:val="24"/>
          <w:lang w:bidi="ar-SA"/>
        </w:rPr>
        <w:t xml:space="preserve">500 ng/mL, were analyzed as described above. </w:t>
      </w:r>
      <w:r w:rsidR="008E6DDD" w:rsidRPr="00F97B2D">
        <w:rPr>
          <w:rFonts w:cs="Times New Roman"/>
          <w:color w:val="131413"/>
          <w:szCs w:val="24"/>
          <w:lang w:bidi="ar-SA"/>
        </w:rPr>
        <w:t xml:space="preserve"> </w:t>
      </w:r>
      <w:r w:rsidRPr="00F97B2D">
        <w:rPr>
          <w:rFonts w:cs="Times New Roman"/>
          <w:color w:val="131413"/>
          <w:szCs w:val="24"/>
          <w:lang w:bidi="ar-SA"/>
        </w:rPr>
        <w:t>Signal-to</w:t>
      </w:r>
      <w:r w:rsidR="008E6DDD" w:rsidRPr="00F97B2D">
        <w:rPr>
          <w:rFonts w:cs="Times New Roman"/>
          <w:color w:val="131413"/>
          <w:szCs w:val="24"/>
          <w:lang w:bidi="ar-SA"/>
        </w:rPr>
        <w:t>-</w:t>
      </w:r>
      <w:r w:rsidRPr="00F97B2D">
        <w:rPr>
          <w:rFonts w:cs="Times New Roman"/>
          <w:color w:val="131413"/>
          <w:szCs w:val="24"/>
          <w:lang w:bidi="ar-SA"/>
        </w:rPr>
        <w:t>noise</w:t>
      </w:r>
      <w:r w:rsidR="008E6DDD" w:rsidRPr="00F97B2D">
        <w:rPr>
          <w:rFonts w:cs="Times New Roman"/>
          <w:color w:val="131413"/>
          <w:szCs w:val="24"/>
          <w:lang w:bidi="ar-SA"/>
        </w:rPr>
        <w:t xml:space="preserve"> </w:t>
      </w:r>
      <w:r w:rsidRPr="00F97B2D">
        <w:rPr>
          <w:rFonts w:cs="Times New Roman"/>
          <w:color w:val="131413"/>
          <w:szCs w:val="24"/>
          <w:lang w:bidi="ar-SA"/>
        </w:rPr>
        <w:t>ratio was not a technique that could be employed for</w:t>
      </w:r>
      <w:r w:rsidR="008E6DDD" w:rsidRPr="00F97B2D">
        <w:rPr>
          <w:rFonts w:cs="Times New Roman"/>
          <w:color w:val="131413"/>
          <w:szCs w:val="24"/>
          <w:lang w:bidi="ar-SA"/>
        </w:rPr>
        <w:t xml:space="preserve"> </w:t>
      </w:r>
      <w:r w:rsidRPr="00F97B2D">
        <w:rPr>
          <w:rFonts w:cs="Times New Roman"/>
          <w:color w:val="131413"/>
          <w:szCs w:val="24"/>
          <w:lang w:bidi="ar-SA"/>
        </w:rPr>
        <w:t>calculating LOD or LOQ, due to the selective nature of the</w:t>
      </w:r>
      <w:r w:rsidR="008E6DDD" w:rsidRPr="00F97B2D">
        <w:rPr>
          <w:rFonts w:cs="Times New Roman"/>
          <w:color w:val="131413"/>
          <w:szCs w:val="24"/>
          <w:lang w:bidi="ar-SA"/>
        </w:rPr>
        <w:t xml:space="preserve"> </w:t>
      </w:r>
      <w:r w:rsidRPr="00F97B2D">
        <w:rPr>
          <w:rFonts w:cs="Times New Roman"/>
          <w:color w:val="131413"/>
          <w:szCs w:val="24"/>
          <w:lang w:bidi="ar-SA"/>
        </w:rPr>
        <w:t>Dynamic MRM technique.</w:t>
      </w:r>
      <w:r w:rsidR="008E6DDD" w:rsidRPr="00F97B2D">
        <w:rPr>
          <w:rFonts w:cs="Times New Roman"/>
          <w:color w:val="131413"/>
          <w:szCs w:val="24"/>
          <w:lang w:bidi="ar-SA"/>
        </w:rPr>
        <w:t xml:space="preserve"> </w:t>
      </w:r>
      <w:r w:rsidRPr="00F97B2D">
        <w:rPr>
          <w:rFonts w:cs="Times New Roman"/>
          <w:color w:val="131413"/>
          <w:szCs w:val="24"/>
          <w:lang w:bidi="ar-SA"/>
        </w:rPr>
        <w:t xml:space="preserve"> Instead, the LOD was assessed</w:t>
      </w:r>
      <w:r w:rsidR="008E6DDD" w:rsidRPr="00F97B2D">
        <w:rPr>
          <w:rFonts w:cs="Times New Roman"/>
          <w:color w:val="131413"/>
          <w:szCs w:val="24"/>
          <w:lang w:bidi="ar-SA"/>
        </w:rPr>
        <w:t xml:space="preserve"> </w:t>
      </w:r>
      <w:r w:rsidRPr="00F97B2D">
        <w:rPr>
          <w:rFonts w:cs="Times New Roman"/>
          <w:color w:val="131413"/>
          <w:szCs w:val="24"/>
          <w:lang w:bidi="ar-SA"/>
        </w:rPr>
        <w:t xml:space="preserve">visually. </w:t>
      </w:r>
      <w:r w:rsidR="008E6DDD" w:rsidRPr="00F97B2D">
        <w:rPr>
          <w:rFonts w:cs="Times New Roman"/>
          <w:color w:val="131413"/>
          <w:szCs w:val="24"/>
          <w:lang w:bidi="ar-SA"/>
        </w:rPr>
        <w:t xml:space="preserve"> </w:t>
      </w:r>
      <w:r w:rsidRPr="00F97B2D">
        <w:rPr>
          <w:rFonts w:cs="Times New Roman"/>
          <w:color w:val="131413"/>
          <w:szCs w:val="24"/>
          <w:lang w:bidi="ar-SA"/>
        </w:rPr>
        <w:t>The LOQ was calculated statistically such that the</w:t>
      </w:r>
      <w:r w:rsidR="008E6DDD" w:rsidRPr="00F97B2D">
        <w:rPr>
          <w:rFonts w:cs="Times New Roman"/>
          <w:color w:val="131413"/>
          <w:szCs w:val="24"/>
          <w:lang w:bidi="ar-SA"/>
        </w:rPr>
        <w:t xml:space="preserve"> </w:t>
      </w:r>
      <w:r w:rsidRPr="00F97B2D">
        <w:rPr>
          <w:rFonts w:cs="Times New Roman"/>
          <w:color w:val="131413"/>
          <w:szCs w:val="24"/>
          <w:lang w:bidi="ar-SA"/>
        </w:rPr>
        <w:t>precision and accuracy were within 20 % RSD and ±20 %</w:t>
      </w:r>
      <w:r w:rsidR="008E6DDD" w:rsidRPr="00F97B2D">
        <w:rPr>
          <w:rFonts w:cs="Times New Roman"/>
          <w:color w:val="131413"/>
          <w:szCs w:val="24"/>
          <w:lang w:bidi="ar-SA"/>
        </w:rPr>
        <w:t xml:space="preserve"> </w:t>
      </w:r>
      <w:r w:rsidRPr="00F97B2D">
        <w:rPr>
          <w:rFonts w:cs="Times New Roman"/>
          <w:color w:val="131413"/>
          <w:szCs w:val="24"/>
          <w:lang w:bidi="ar-SA"/>
        </w:rPr>
        <w:t>bias, respectively.</w:t>
      </w:r>
      <w:sdt>
        <w:sdtPr>
          <w:rPr>
            <w:rFonts w:cs="Times New Roman"/>
            <w:color w:val="131413"/>
            <w:szCs w:val="24"/>
            <w:lang w:bidi="ar-SA"/>
          </w:rPr>
          <w:id w:val="68920732"/>
          <w:citation/>
        </w:sdtPr>
        <w:sdtEndPr/>
        <w:sdtContent>
          <w:r w:rsidR="000E239B" w:rsidRPr="00420938">
            <w:rPr>
              <w:rStyle w:val="In-TextCitation"/>
            </w:rPr>
            <w:fldChar w:fldCharType="begin"/>
          </w:r>
          <w:r w:rsidR="00455FA6" w:rsidRPr="00420938">
            <w:rPr>
              <w:rStyle w:val="In-TextCitation"/>
            </w:rPr>
            <w:instrText xml:space="preserve"> CITATION Ara09 \l 1033 </w:instrText>
          </w:r>
          <w:r w:rsidR="000E239B" w:rsidRPr="00420938">
            <w:rPr>
              <w:rStyle w:val="In-TextCitation"/>
            </w:rPr>
            <w:fldChar w:fldCharType="separate"/>
          </w:r>
          <w:r w:rsidR="00420938" w:rsidRPr="00420938">
            <w:rPr>
              <w:rStyle w:val="In-TextCitation"/>
            </w:rPr>
            <w:t>(</w:t>
          </w:r>
          <w:hyperlink w:anchor="Ara09" w:history="1">
            <w:r w:rsidR="00420938" w:rsidRPr="00420938">
              <w:rPr>
                <w:rStyle w:val="In-TextCitation"/>
              </w:rPr>
              <w:t>135</w:t>
            </w:r>
          </w:hyperlink>
          <w:r w:rsidR="00420938" w:rsidRPr="00420938">
            <w:rPr>
              <w:rStyle w:val="In-TextCitation"/>
            </w:rPr>
            <w:t>)</w:t>
          </w:r>
          <w:r w:rsidR="000E239B" w:rsidRPr="00420938">
            <w:rPr>
              <w:rStyle w:val="In-TextCitation"/>
            </w:rPr>
            <w:fldChar w:fldCharType="end"/>
          </w:r>
        </w:sdtContent>
      </w:sdt>
    </w:p>
    <w:p w:rsidR="00861B70" w:rsidRPr="00F97B2D" w:rsidRDefault="00861B70" w:rsidP="00AC5F51">
      <w:pPr>
        <w:pStyle w:val="Heading4"/>
      </w:pPr>
      <w:bookmarkStart w:id="206" w:name="_Toc372536084"/>
      <w:bookmarkStart w:id="207" w:name="_Toc372538747"/>
      <w:r w:rsidRPr="00F97B2D">
        <w:t>Proof of applicability</w:t>
      </w:r>
      <w:bookmarkEnd w:id="206"/>
      <w:bookmarkEnd w:id="207"/>
    </w:p>
    <w:p w:rsidR="008E6DDD" w:rsidRPr="00F97B2D" w:rsidRDefault="008E6DDD" w:rsidP="008E6DDD">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Blood samples from two authentic post-mortem cases were submitted for analysis and assayed with the described validated method. Whole heart blood was submitted as serum was not available from these post-mortem cases.</w:t>
      </w:r>
    </w:p>
    <w:p w:rsidR="004F4AE4" w:rsidRPr="00F97B2D" w:rsidRDefault="00F41504" w:rsidP="00F97B2D">
      <w:pPr>
        <w:pStyle w:val="Heading2"/>
      </w:pPr>
      <w:bookmarkStart w:id="208" w:name="_Toc372536085"/>
      <w:bookmarkStart w:id="209" w:name="_Toc372538748"/>
      <w:r w:rsidRPr="00F97B2D">
        <w:t>Results and Discussion</w:t>
      </w:r>
      <w:bookmarkEnd w:id="208"/>
      <w:bookmarkEnd w:id="209"/>
    </w:p>
    <w:p w:rsidR="00221DA2" w:rsidRPr="00F97B2D" w:rsidRDefault="00221DA2" w:rsidP="00F97B2D">
      <w:pPr>
        <w:pStyle w:val="Heading3"/>
      </w:pPr>
      <w:bookmarkStart w:id="210" w:name="_Toc372536086"/>
      <w:bookmarkStart w:id="211" w:name="_Toc372538749"/>
      <w:r w:rsidRPr="00F97B2D">
        <w:t>LC-MS/MS analysis</w:t>
      </w:r>
      <w:bookmarkEnd w:id="210"/>
      <w:bookmarkEnd w:id="211"/>
    </w:p>
    <w:p w:rsidR="001C0EAE" w:rsidRDefault="001C0EAE" w:rsidP="001C0EAE">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 xml:space="preserve">The Agilent MassHunter Optimizer software was able to identify the two most common fragments, which were used for the quantifying and qualifying transitions, the collision energy, and the fragmentor voltage (summarized in </w:t>
      </w:r>
      <w:r w:rsidR="002E77C7">
        <w:fldChar w:fldCharType="begin"/>
      </w:r>
      <w:r w:rsidR="002E77C7">
        <w:instrText xml:space="preserve"> REF _Ref362612561 \h  \* MERGEFORMAT </w:instrText>
      </w:r>
      <w:r w:rsidR="002E77C7">
        <w:fldChar w:fldCharType="separate"/>
      </w:r>
      <w:r w:rsidR="00E37796" w:rsidRPr="00E37796">
        <w:rPr>
          <w:szCs w:val="24"/>
        </w:rPr>
        <w:t>Appendix 5</w:t>
      </w:r>
      <w:r w:rsidR="002E77C7">
        <w:fldChar w:fldCharType="end"/>
      </w:r>
      <w:r w:rsidRPr="00F97B2D">
        <w:rPr>
          <w:rFonts w:cs="Times New Roman"/>
          <w:color w:val="131413"/>
          <w:szCs w:val="24"/>
          <w:lang w:bidi="ar-SA"/>
        </w:rPr>
        <w:t>).  The gradient method allowed for separation of the 32 analytes in less than a 6-min run time (</w:t>
      </w:r>
      <w:r w:rsidR="002E77C7">
        <w:fldChar w:fldCharType="begin"/>
      </w:r>
      <w:r w:rsidR="002E77C7">
        <w:instrText xml:space="preserve"> REF _Ref362617396 \h  \* MERGEFORMAT </w:instrText>
      </w:r>
      <w:r w:rsidR="002E77C7">
        <w:fldChar w:fldCharType="separate"/>
      </w:r>
      <w:r w:rsidR="00E37796" w:rsidRPr="00E37796">
        <w:rPr>
          <w:szCs w:val="24"/>
        </w:rPr>
        <w:t>Figure 6</w:t>
      </w:r>
      <w:r w:rsidR="002E77C7">
        <w:fldChar w:fldCharType="end"/>
      </w:r>
      <w:r w:rsidRPr="00F97B2D">
        <w:rPr>
          <w:rFonts w:cs="Times New Roman"/>
          <w:color w:val="131413"/>
          <w:szCs w:val="24"/>
          <w:lang w:bidi="ar-SA"/>
        </w:rPr>
        <w:t xml:space="preserve">). </w:t>
      </w:r>
      <w:r w:rsidR="007D25D5" w:rsidRPr="00F97B2D">
        <w:rPr>
          <w:rFonts w:cs="Times New Roman"/>
          <w:color w:val="131413"/>
          <w:szCs w:val="24"/>
          <w:lang w:bidi="ar-SA"/>
        </w:rPr>
        <w:t xml:space="preserve"> </w:t>
      </w:r>
      <w:r w:rsidRPr="00F97B2D">
        <w:rPr>
          <w:rFonts w:cs="Times New Roman"/>
          <w:color w:val="131413"/>
          <w:szCs w:val="24"/>
          <w:lang w:bidi="ar-SA"/>
        </w:rPr>
        <w:t>The Dynamic MRM capabilities of the system allowed for increased sensitivity and specificity by utilizing the expected retention time of each analyte.  By determining the retention time, the method was able to differentiate between compounds with similar fragments (such as amphetamine/ methamphetamine and MDEA/MDMA) or compounds with similar transitions (such as DOM/2C-E and 2C-T-4/2C-T-7).  This type of method is particularly useful for compounds that may co-elute or that elute close to one another because the individual transitions can be viewed separately without interference.  In addition, the deuterated internal standards were able to take any variations into account.  Unfortunately, at the time of method development, deuterated standards were not available for the tryptamines.  If available in the future, a deuterated internal standard for this class of compounds would be recommended; alternatively, another tryptamine-like compound unlikely to be encountered in case samples</w:t>
      </w:r>
      <w:r w:rsidR="00ED27EA" w:rsidRPr="00F97B2D">
        <w:rPr>
          <w:rFonts w:cs="Times New Roman"/>
          <w:color w:val="131413"/>
          <w:szCs w:val="24"/>
          <w:lang w:bidi="ar-SA"/>
        </w:rPr>
        <w:t xml:space="preserve"> </w:t>
      </w:r>
      <w:r w:rsidRPr="00F97B2D">
        <w:rPr>
          <w:rFonts w:cs="Times New Roman"/>
          <w:color w:val="131413"/>
          <w:szCs w:val="24"/>
          <w:lang w:bidi="ar-SA"/>
        </w:rPr>
        <w:t>may also be suitable.</w:t>
      </w:r>
    </w:p>
    <w:p w:rsidR="004C38D6" w:rsidRPr="00F97B2D" w:rsidRDefault="004C38D6" w:rsidP="001C0EAE">
      <w:pPr>
        <w:autoSpaceDE w:val="0"/>
        <w:autoSpaceDN w:val="0"/>
        <w:adjustRightInd w:val="0"/>
        <w:spacing w:after="0" w:line="480" w:lineRule="auto"/>
        <w:ind w:firstLine="720"/>
        <w:rPr>
          <w:rFonts w:cs="Times New Roman"/>
          <w:color w:val="131413"/>
          <w:szCs w:val="24"/>
          <w:lang w:bidi="ar-SA"/>
        </w:rPr>
      </w:pPr>
    </w:p>
    <w:p w:rsidR="007D25D5" w:rsidRPr="00F97B2D" w:rsidRDefault="007D25D5" w:rsidP="007D25D5">
      <w:pPr>
        <w:keepNext/>
        <w:autoSpaceDE w:val="0"/>
        <w:autoSpaceDN w:val="0"/>
        <w:adjustRightInd w:val="0"/>
        <w:spacing w:after="0" w:line="480" w:lineRule="auto"/>
        <w:jc w:val="center"/>
        <w:rPr>
          <w:szCs w:val="24"/>
        </w:rPr>
      </w:pPr>
      <w:r w:rsidRPr="00F97B2D">
        <w:rPr>
          <w:rFonts w:cs="Times New Roman"/>
          <w:noProof/>
          <w:color w:val="131413"/>
          <w:szCs w:val="24"/>
          <w:lang w:bidi="ar-SA"/>
        </w:rPr>
        <w:drawing>
          <wp:inline distT="0" distB="0" distL="0" distR="0">
            <wp:extent cx="5486400" cy="3281130"/>
            <wp:effectExtent l="19050" t="19050" r="19050" b="14520"/>
            <wp:docPr id="3" name="Picture 2" descr="Chromat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atogram.jpg"/>
                    <pic:cNvPicPr/>
                  </pic:nvPicPr>
                  <pic:blipFill>
                    <a:blip r:embed="rId31"/>
                    <a:srcRect l="1385" r="1066" b="1351"/>
                    <a:stretch>
                      <a:fillRect/>
                    </a:stretch>
                  </pic:blipFill>
                  <pic:spPr>
                    <a:xfrm>
                      <a:off x="0" y="0"/>
                      <a:ext cx="5486400" cy="3281130"/>
                    </a:xfrm>
                    <a:prstGeom prst="rect">
                      <a:avLst/>
                    </a:prstGeom>
                    <a:ln>
                      <a:solidFill>
                        <a:schemeClr val="tx1"/>
                      </a:solidFill>
                    </a:ln>
                  </pic:spPr>
                </pic:pic>
              </a:graphicData>
            </a:graphic>
          </wp:inline>
        </w:drawing>
      </w:r>
    </w:p>
    <w:p w:rsidR="00B20DFC" w:rsidRDefault="007D25D5" w:rsidP="00B20DFC">
      <w:pPr>
        <w:pStyle w:val="Caption"/>
        <w:sectPr w:rsidR="00B20DFC" w:rsidSect="00005A65">
          <w:pgSz w:w="12240" w:h="15840" w:code="1"/>
          <w:pgMar w:top="1440" w:right="1440" w:bottom="1800" w:left="2160" w:header="720" w:footer="720" w:gutter="0"/>
          <w:cols w:space="720"/>
          <w:docGrid w:linePitch="360"/>
        </w:sectPr>
      </w:pPr>
      <w:bookmarkStart w:id="212" w:name="_Ref362617396"/>
      <w:bookmarkStart w:id="213" w:name="_Toc372536133"/>
      <w:r w:rsidRPr="00F97B2D">
        <w:t xml:space="preserve">Figure </w:t>
      </w:r>
      <w:r w:rsidR="000E239B" w:rsidRPr="00F97B2D">
        <w:fldChar w:fldCharType="begin"/>
      </w:r>
      <w:r w:rsidR="00B2107A" w:rsidRPr="00F97B2D">
        <w:instrText xml:space="preserve"> SEQ Figure \* ARABIC </w:instrText>
      </w:r>
      <w:r w:rsidR="000E239B" w:rsidRPr="00F97B2D">
        <w:fldChar w:fldCharType="separate"/>
      </w:r>
      <w:r w:rsidR="00E37796">
        <w:rPr>
          <w:noProof/>
        </w:rPr>
        <w:t>6</w:t>
      </w:r>
      <w:r w:rsidR="000E239B" w:rsidRPr="00F97B2D">
        <w:rPr>
          <w:noProof/>
        </w:rPr>
        <w:fldChar w:fldCharType="end"/>
      </w:r>
      <w:bookmarkEnd w:id="212"/>
      <w:r w:rsidRPr="00F97B2D">
        <w:t>: Chromatogram of Primary MRM Transitions for 32 Analytes</w:t>
      </w:r>
      <w:bookmarkEnd w:id="213"/>
    </w:p>
    <w:p w:rsidR="00221DA2" w:rsidRPr="00F97B2D" w:rsidRDefault="00221DA2" w:rsidP="00F97B2D">
      <w:pPr>
        <w:pStyle w:val="Heading3"/>
      </w:pPr>
      <w:bookmarkStart w:id="214" w:name="_Toc372536087"/>
      <w:bookmarkStart w:id="215" w:name="_Toc372538750"/>
      <w:r w:rsidRPr="00F97B2D">
        <w:t>Assay validation</w:t>
      </w:r>
      <w:bookmarkEnd w:id="214"/>
      <w:bookmarkEnd w:id="215"/>
    </w:p>
    <w:p w:rsidR="00221DA2" w:rsidRPr="00F97B2D" w:rsidRDefault="00221DA2" w:rsidP="00AC5F51">
      <w:pPr>
        <w:pStyle w:val="Heading4"/>
      </w:pPr>
      <w:bookmarkStart w:id="216" w:name="_Toc372536088"/>
      <w:bookmarkStart w:id="217" w:name="_Toc372538751"/>
      <w:r w:rsidRPr="00F97B2D">
        <w:t>Selectivity</w:t>
      </w:r>
      <w:bookmarkEnd w:id="216"/>
      <w:bookmarkEnd w:id="217"/>
    </w:p>
    <w:p w:rsidR="001C0EAE" w:rsidRPr="00F97B2D" w:rsidRDefault="001C0EAE" w:rsidP="001C0EAE">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Using dynamic MRM, no interfering peaks were observed when the analytes or internal standards were analyzed individually.  Using this approach, it is not anticipated that closely eluting peaks would have significant matrix effects towards other analytes when analyzing compound mixtures.  Compounds with similar transitions, such as DOM and 2C-E, could still be differentiated due to the difference in retention times.  Upon analysis of blank pooled serum, interfering peaks were minor and did not elute at the same time as any of the targeted analytes or internal standards.  In the present study, only deuterated compounds were chosen as internal standards, to avoid possible overestimation of the internal standard signal that can occur when using therapeutic drugs as IS.</w:t>
      </w:r>
      <w:sdt>
        <w:sdtPr>
          <w:rPr>
            <w:rFonts w:cs="Times New Roman"/>
            <w:color w:val="131413"/>
            <w:szCs w:val="24"/>
            <w:lang w:bidi="ar-SA"/>
          </w:rPr>
          <w:id w:val="68920733"/>
          <w:citation/>
        </w:sdtPr>
        <w:sdtEndPr/>
        <w:sdtContent>
          <w:r w:rsidR="000E239B" w:rsidRPr="00420938">
            <w:rPr>
              <w:rStyle w:val="In-TextCitation"/>
            </w:rPr>
            <w:fldChar w:fldCharType="begin"/>
          </w:r>
          <w:r w:rsidR="007D25D5" w:rsidRPr="00420938">
            <w:rPr>
              <w:rStyle w:val="In-TextCitation"/>
            </w:rPr>
            <w:instrText xml:space="preserve"> CITATION SPV04 \l 1033 </w:instrText>
          </w:r>
          <w:r w:rsidR="000E239B" w:rsidRPr="00420938">
            <w:rPr>
              <w:rStyle w:val="In-TextCitation"/>
            </w:rPr>
            <w:fldChar w:fldCharType="separate"/>
          </w:r>
          <w:r w:rsidR="00420938" w:rsidRPr="00420938">
            <w:rPr>
              <w:rStyle w:val="In-TextCitation"/>
            </w:rPr>
            <w:t>(</w:t>
          </w:r>
          <w:hyperlink w:anchor="SPV04" w:history="1">
            <w:r w:rsidR="00420938" w:rsidRPr="00420938">
              <w:rPr>
                <w:rStyle w:val="In-TextCitation"/>
              </w:rPr>
              <w:t>96</w:t>
            </w:r>
          </w:hyperlink>
          <w:r w:rsidR="00420938" w:rsidRPr="00420938">
            <w:rPr>
              <w:rStyle w:val="In-TextCitation"/>
            </w:rPr>
            <w:t>)</w:t>
          </w:r>
          <w:r w:rsidR="000E239B" w:rsidRPr="00420938">
            <w:rPr>
              <w:rStyle w:val="In-TextCitation"/>
            </w:rPr>
            <w:fldChar w:fldCharType="end"/>
          </w:r>
        </w:sdtContent>
      </w:sdt>
      <w:r w:rsidRPr="00F97B2D">
        <w:rPr>
          <w:rFonts w:cs="Times New Roman"/>
          <w:color w:val="131413"/>
          <w:szCs w:val="24"/>
          <w:lang w:bidi="ar-SA"/>
        </w:rPr>
        <w:t xml:space="preserve"> </w:t>
      </w:r>
      <w:r w:rsidR="007D25D5" w:rsidRPr="00F97B2D">
        <w:rPr>
          <w:rFonts w:cs="Times New Roman"/>
          <w:color w:val="131413"/>
          <w:szCs w:val="24"/>
          <w:lang w:bidi="ar-SA"/>
        </w:rPr>
        <w:t xml:space="preserve"> </w:t>
      </w:r>
      <w:r w:rsidRPr="00F97B2D">
        <w:rPr>
          <w:rFonts w:cs="Times New Roman"/>
          <w:color w:val="131413"/>
          <w:szCs w:val="24"/>
          <w:lang w:bidi="ar-SA"/>
        </w:rPr>
        <w:t xml:space="preserve">The method proved to be highly selective.  The dynamic MRM method was able to filter out any </w:t>
      </w:r>
      <w:proofErr w:type="gramStart"/>
      <w:r w:rsidRPr="00F97B2D">
        <w:rPr>
          <w:rFonts w:cs="Times New Roman"/>
          <w:color w:val="131413"/>
          <w:szCs w:val="24"/>
          <w:lang w:bidi="ar-SA"/>
        </w:rPr>
        <w:t>interferences</w:t>
      </w:r>
      <w:proofErr w:type="gramEnd"/>
      <w:r w:rsidRPr="00F97B2D">
        <w:rPr>
          <w:rFonts w:cs="Times New Roman"/>
          <w:color w:val="131413"/>
          <w:szCs w:val="24"/>
          <w:lang w:bidi="ar-SA"/>
        </w:rPr>
        <w:t xml:space="preserve"> that may have been present and the transitions chosen for each compound were sufficient for selectively identifying the correct compound.  Future studies will assess and characterize the possible interferences that may result from xenobiotics or other drugs of abuse that may be present in authentic samples.</w:t>
      </w:r>
      <w:sdt>
        <w:sdtPr>
          <w:rPr>
            <w:rFonts w:cs="Times New Roman"/>
            <w:color w:val="131413"/>
            <w:szCs w:val="24"/>
            <w:lang w:bidi="ar-SA"/>
          </w:rPr>
          <w:id w:val="68920734"/>
          <w:citation/>
        </w:sdtPr>
        <w:sdtEndPr/>
        <w:sdtContent>
          <w:r w:rsidR="000E239B" w:rsidRPr="00420938">
            <w:rPr>
              <w:rStyle w:val="In-TextCitation"/>
            </w:rPr>
            <w:fldChar w:fldCharType="begin"/>
          </w:r>
          <w:r w:rsidR="007D25D5" w:rsidRPr="00420938">
            <w:rPr>
              <w:rStyle w:val="In-TextCitation"/>
            </w:rPr>
            <w:instrText xml:space="preserve"> CITATION Pet07 \l 1033  \m Pet12</w:instrText>
          </w:r>
          <w:r w:rsidR="000E239B" w:rsidRPr="00420938">
            <w:rPr>
              <w:rStyle w:val="In-TextCitation"/>
            </w:rPr>
            <w:fldChar w:fldCharType="separate"/>
          </w:r>
          <w:r w:rsidR="00420938" w:rsidRPr="00420938">
            <w:rPr>
              <w:rStyle w:val="In-TextCitation"/>
            </w:rPr>
            <w:t>(</w:t>
          </w:r>
          <w:hyperlink w:anchor="Pet07" w:history="1">
            <w:r w:rsidR="00420938" w:rsidRPr="00420938">
              <w:rPr>
                <w:rStyle w:val="In-TextCitation"/>
              </w:rPr>
              <w:t>133</w:t>
            </w:r>
          </w:hyperlink>
          <w:r w:rsidR="00420938" w:rsidRPr="00420938">
            <w:rPr>
              <w:rStyle w:val="In-TextCitation"/>
            </w:rPr>
            <w:t>,</w:t>
          </w:r>
          <w:hyperlink w:anchor="Pet12" w:history="1">
            <w:r w:rsidR="00420938" w:rsidRPr="00420938">
              <w:rPr>
                <w:rStyle w:val="In-TextCitation"/>
              </w:rPr>
              <w:t>136</w:t>
            </w:r>
          </w:hyperlink>
          <w:r w:rsidR="00420938" w:rsidRPr="00420938">
            <w:rPr>
              <w:rStyle w:val="In-TextCitation"/>
            </w:rPr>
            <w:t>)</w:t>
          </w:r>
          <w:r w:rsidR="000E239B" w:rsidRPr="00420938">
            <w:rPr>
              <w:rStyle w:val="In-TextCitation"/>
            </w:rPr>
            <w:fldChar w:fldCharType="end"/>
          </w:r>
        </w:sdtContent>
      </w:sdt>
    </w:p>
    <w:p w:rsidR="00221DA2" w:rsidRPr="00F97B2D" w:rsidRDefault="00221DA2" w:rsidP="00AC5F51">
      <w:pPr>
        <w:pStyle w:val="Heading4"/>
      </w:pPr>
      <w:bookmarkStart w:id="218" w:name="_Toc372536089"/>
      <w:bookmarkStart w:id="219" w:name="_Toc372538752"/>
      <w:r w:rsidRPr="00F97B2D">
        <w:t>Matrix effects, recovery, and process efficiency</w:t>
      </w:r>
      <w:bookmarkEnd w:id="218"/>
      <w:bookmarkEnd w:id="219"/>
    </w:p>
    <w:p w:rsidR="001C0EAE" w:rsidRPr="00F97B2D" w:rsidRDefault="001C0EAE" w:rsidP="001C0EAE">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The ME, RE, and PE were calculated for each analyte as described above for both a LOW and HIGH analyte concentration (</w:t>
      </w:r>
      <w:r w:rsidRPr="00F97B2D">
        <w:rPr>
          <w:rFonts w:cs="Times New Roman"/>
          <w:i/>
          <w:color w:val="131413"/>
          <w:szCs w:val="24"/>
          <w:lang w:bidi="ar-SA"/>
        </w:rPr>
        <w:t>i.e.</w:t>
      </w:r>
      <w:r w:rsidRPr="00F97B2D">
        <w:rPr>
          <w:rFonts w:cs="Times New Roman"/>
          <w:color w:val="131413"/>
          <w:szCs w:val="24"/>
          <w:lang w:bidi="ar-SA"/>
        </w:rPr>
        <w:t xml:space="preserve">, 25 and 250 ng/mL nominal concentrations, respectively). The means and RSDs, expressed as percentages, </w:t>
      </w:r>
      <w:r w:rsidR="00477DFC" w:rsidRPr="00F97B2D">
        <w:rPr>
          <w:rFonts w:cs="Times New Roman"/>
          <w:color w:val="131413"/>
          <w:szCs w:val="24"/>
          <w:lang w:bidi="ar-SA"/>
        </w:rPr>
        <w:t xml:space="preserve">are summarized in </w:t>
      </w:r>
      <w:r w:rsidR="002E77C7">
        <w:fldChar w:fldCharType="begin"/>
      </w:r>
      <w:r w:rsidR="002E77C7">
        <w:instrText xml:space="preserve"> REF _Ref362618621 \h  \* MERGEFOR</w:instrText>
      </w:r>
      <w:r w:rsidR="002E77C7">
        <w:instrText xml:space="preserve">MAT </w:instrText>
      </w:r>
      <w:r w:rsidR="002E77C7">
        <w:fldChar w:fldCharType="separate"/>
      </w:r>
      <w:r w:rsidR="00E37796" w:rsidRPr="00E37796">
        <w:rPr>
          <w:szCs w:val="24"/>
        </w:rPr>
        <w:t>Appendix 6</w:t>
      </w:r>
      <w:r w:rsidR="002E77C7">
        <w:fldChar w:fldCharType="end"/>
      </w:r>
      <w:r w:rsidRPr="00F97B2D">
        <w:rPr>
          <w:rFonts w:cs="Times New Roman"/>
          <w:color w:val="131413"/>
          <w:szCs w:val="24"/>
          <w:lang w:bidi="ar-SA"/>
        </w:rPr>
        <w:t>. In order to calculate ME, RE, and PE, ratios of the mean values of Sets A, B, and C (see above) were used. An example of the calculation for the %RSD used for ME is shown below, using absolute peak area means (mean) and standard deviations (SD):</w:t>
      </w:r>
    </w:p>
    <w:p w:rsidR="00B64BC3" w:rsidRPr="00F97B2D" w:rsidRDefault="00B64BC3" w:rsidP="00B07CC2">
      <w:pPr>
        <w:pStyle w:val="Caption"/>
        <w:jc w:val="left"/>
      </w:pPr>
      <w:bookmarkStart w:id="220" w:name="_Ref362618573"/>
      <w:r w:rsidRPr="00F97B2D">
        <w:t xml:space="preserve">Equation </w:t>
      </w:r>
      <w:r w:rsidR="000E239B" w:rsidRPr="00F97B2D">
        <w:fldChar w:fldCharType="begin"/>
      </w:r>
      <w:r w:rsidR="00B2107A" w:rsidRPr="00F97B2D">
        <w:instrText xml:space="preserve"> SEQ Equation \* ARABIC </w:instrText>
      </w:r>
      <w:r w:rsidR="000E239B" w:rsidRPr="00F97B2D">
        <w:fldChar w:fldCharType="separate"/>
      </w:r>
      <w:r w:rsidR="00E37796">
        <w:rPr>
          <w:noProof/>
        </w:rPr>
        <w:t>1</w:t>
      </w:r>
      <w:r w:rsidR="000E239B" w:rsidRPr="00F97B2D">
        <w:rPr>
          <w:noProof/>
        </w:rPr>
        <w:fldChar w:fldCharType="end"/>
      </w:r>
      <w:bookmarkEnd w:id="220"/>
      <w:r w:rsidRPr="00F97B2D">
        <w:t>: Matrix Effect</w:t>
      </w:r>
    </w:p>
    <w:p w:rsidR="001C0EAE" w:rsidRPr="00F97B2D" w:rsidRDefault="00F6031E" w:rsidP="00B07CC2">
      <w:pPr>
        <w:spacing w:line="480" w:lineRule="auto"/>
        <w:ind w:firstLine="720"/>
        <w:rPr>
          <w:rFonts w:cs="Times New Roman"/>
          <w:color w:val="131413"/>
          <w:szCs w:val="24"/>
          <w:lang w:bidi="ar-SA"/>
        </w:rPr>
      </w:pPr>
      <w:r w:rsidRPr="00F97B2D">
        <w:rPr>
          <w:rFonts w:cs="Times New Roman"/>
          <w:color w:val="131413"/>
          <w:position w:val="-46"/>
          <w:szCs w:val="24"/>
          <w:lang w:bidi="ar-SA"/>
        </w:rPr>
        <w:object w:dxaOrig="3680" w:dyaOrig="1040">
          <v:shape id="_x0000_i1031" type="#_x0000_t75" style="width:183pt;height:51.75pt" o:ole="">
            <v:imagedata r:id="rId32" o:title=""/>
          </v:shape>
          <o:OLEObject Type="Embed" ProgID="Equation.3" ShapeID="_x0000_i1031" DrawAspect="Content" ObjectID="_1448215290" r:id="rId33"/>
        </w:object>
      </w:r>
    </w:p>
    <w:p w:rsidR="00F6031E" w:rsidRPr="00F97B2D" w:rsidRDefault="00F6031E" w:rsidP="00B07CC2">
      <w:pPr>
        <w:pStyle w:val="Caption"/>
        <w:jc w:val="left"/>
      </w:pPr>
      <w:bookmarkStart w:id="221" w:name="_Ref362618585"/>
      <w:r w:rsidRPr="00F97B2D">
        <w:t xml:space="preserve">Equation </w:t>
      </w:r>
      <w:r w:rsidR="000E239B" w:rsidRPr="00F97B2D">
        <w:fldChar w:fldCharType="begin"/>
      </w:r>
      <w:r w:rsidR="00B2107A" w:rsidRPr="00F97B2D">
        <w:instrText xml:space="preserve"> SEQ Equation \* ARABIC </w:instrText>
      </w:r>
      <w:r w:rsidR="000E239B" w:rsidRPr="00F97B2D">
        <w:fldChar w:fldCharType="separate"/>
      </w:r>
      <w:r w:rsidR="00E37796">
        <w:rPr>
          <w:noProof/>
        </w:rPr>
        <w:t>2</w:t>
      </w:r>
      <w:r w:rsidR="000E239B" w:rsidRPr="00F97B2D">
        <w:rPr>
          <w:noProof/>
        </w:rPr>
        <w:fldChar w:fldCharType="end"/>
      </w:r>
      <w:bookmarkEnd w:id="221"/>
      <w:r w:rsidRPr="00F97B2D">
        <w:t>: Percent Relative Standard Deviation for Matrix Effect</w:t>
      </w:r>
    </w:p>
    <w:p w:rsidR="00B64BC3" w:rsidRPr="00F97B2D" w:rsidRDefault="00F6031E" w:rsidP="00B07CC2">
      <w:pPr>
        <w:spacing w:line="480" w:lineRule="auto"/>
        <w:ind w:firstLine="720"/>
        <w:rPr>
          <w:rFonts w:cs="Times New Roman"/>
          <w:color w:val="131413"/>
          <w:szCs w:val="24"/>
          <w:lang w:bidi="ar-SA"/>
        </w:rPr>
      </w:pPr>
      <w:r w:rsidRPr="00F97B2D">
        <w:rPr>
          <w:rFonts w:cs="Times New Roman"/>
          <w:color w:val="131413"/>
          <w:position w:val="-36"/>
          <w:szCs w:val="24"/>
          <w:lang w:bidi="ar-SA"/>
        </w:rPr>
        <w:object w:dxaOrig="4340" w:dyaOrig="920">
          <v:shape id="_x0000_i1032" type="#_x0000_t75" style="width:204pt;height:44.25pt" o:ole="">
            <v:imagedata r:id="rId34" o:title=""/>
          </v:shape>
          <o:OLEObject Type="Embed" ProgID="Equation.3" ShapeID="_x0000_i1032" DrawAspect="Content" ObjectID="_1448215291" r:id="rId35"/>
        </w:object>
      </w:r>
    </w:p>
    <w:p w:rsidR="00507136" w:rsidRDefault="001C0EAE" w:rsidP="00507136">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 xml:space="preserve">The ion suppression or ion </w:t>
      </w:r>
      <w:r w:rsidR="00F6031E" w:rsidRPr="00F97B2D">
        <w:rPr>
          <w:rFonts w:cs="Times New Roman"/>
          <w:color w:val="131413"/>
          <w:szCs w:val="24"/>
          <w:lang w:bidi="ar-SA"/>
        </w:rPr>
        <w:t>enhancement from matrix effects was</w:t>
      </w:r>
      <w:r w:rsidRPr="00F97B2D">
        <w:rPr>
          <w:rFonts w:cs="Times New Roman"/>
          <w:color w:val="131413"/>
          <w:szCs w:val="24"/>
          <w:lang w:bidi="ar-SA"/>
        </w:rPr>
        <w:t xml:space="preserve"> generally acceptable (75–125 %) at both analyte concentrations. </w:t>
      </w:r>
      <w:r w:rsidR="00B64BC3" w:rsidRPr="00F97B2D">
        <w:rPr>
          <w:rFonts w:cs="Times New Roman"/>
          <w:color w:val="131413"/>
          <w:szCs w:val="24"/>
          <w:lang w:bidi="ar-SA"/>
        </w:rPr>
        <w:t xml:space="preserve"> </w:t>
      </w:r>
      <w:r w:rsidRPr="00F97B2D">
        <w:rPr>
          <w:rFonts w:cs="Times New Roman"/>
          <w:color w:val="131413"/>
          <w:szCs w:val="24"/>
          <w:lang w:bidi="ar-SA"/>
        </w:rPr>
        <w:t xml:space="preserve">However, DMT, 5-MeO-DMT, AMT, and 5-MeO-DiPT demonstrated some ion suppression (ME&lt;75%) at 25 and 250 ng/mL but with acceptable %RSD. </w:t>
      </w:r>
      <w:r w:rsidR="00B64BC3" w:rsidRPr="00F97B2D">
        <w:rPr>
          <w:rFonts w:cs="Times New Roman"/>
          <w:color w:val="131413"/>
          <w:szCs w:val="24"/>
          <w:lang w:bidi="ar-SA"/>
        </w:rPr>
        <w:t xml:space="preserve"> </w:t>
      </w:r>
      <w:r w:rsidRPr="00F97B2D">
        <w:rPr>
          <w:rFonts w:cs="Times New Roman"/>
          <w:color w:val="131413"/>
          <w:szCs w:val="24"/>
          <w:lang w:bidi="ar-SA"/>
        </w:rPr>
        <w:t xml:space="preserve">No compounds exhibited significant ion enhancement (ME&gt;125 %). </w:t>
      </w:r>
      <w:r w:rsidR="00B64BC3" w:rsidRPr="00F97B2D">
        <w:rPr>
          <w:rFonts w:cs="Times New Roman"/>
          <w:color w:val="131413"/>
          <w:szCs w:val="24"/>
          <w:lang w:bidi="ar-SA"/>
        </w:rPr>
        <w:t xml:space="preserve"> </w:t>
      </w:r>
      <w:r w:rsidRPr="00F97B2D">
        <w:rPr>
          <w:rFonts w:cs="Times New Roman"/>
          <w:color w:val="131413"/>
          <w:szCs w:val="24"/>
          <w:lang w:bidi="ar-SA"/>
        </w:rPr>
        <w:t xml:space="preserve">While the selectivity experiment did not demonstrate any </w:t>
      </w:r>
      <w:proofErr w:type="gramStart"/>
      <w:r w:rsidRPr="00F97B2D">
        <w:rPr>
          <w:rFonts w:cs="Times New Roman"/>
          <w:color w:val="131413"/>
          <w:szCs w:val="24"/>
          <w:lang w:bidi="ar-SA"/>
        </w:rPr>
        <w:t>interferences</w:t>
      </w:r>
      <w:proofErr w:type="gramEnd"/>
      <w:r w:rsidRPr="00F97B2D">
        <w:rPr>
          <w:rFonts w:cs="Times New Roman"/>
          <w:color w:val="131413"/>
          <w:szCs w:val="24"/>
          <w:lang w:bidi="ar-SA"/>
        </w:rPr>
        <w:t xml:space="preserve"> when analyzing single compounds, future experiments will investigate ion suppression/ion enhancement that may occur in the analyte mixture as compared to the individual analytes.</w:t>
      </w:r>
      <w:sdt>
        <w:sdtPr>
          <w:rPr>
            <w:rFonts w:cs="Times New Roman"/>
            <w:color w:val="131413"/>
            <w:szCs w:val="24"/>
            <w:lang w:bidi="ar-SA"/>
          </w:rPr>
          <w:id w:val="68920803"/>
          <w:citation/>
        </w:sdtPr>
        <w:sdtEndPr/>
        <w:sdtContent>
          <w:r w:rsidR="000E239B" w:rsidRPr="00420938">
            <w:rPr>
              <w:rStyle w:val="In-TextCitation"/>
            </w:rPr>
            <w:fldChar w:fldCharType="begin"/>
          </w:r>
          <w:r w:rsidR="007D25D5" w:rsidRPr="00420938">
            <w:rPr>
              <w:rStyle w:val="In-TextCitation"/>
            </w:rPr>
            <w:instrText xml:space="preserve"> CITATION Pet12 \l 1033 </w:instrText>
          </w:r>
          <w:r w:rsidR="000E239B" w:rsidRPr="00420938">
            <w:rPr>
              <w:rStyle w:val="In-TextCitation"/>
            </w:rPr>
            <w:fldChar w:fldCharType="separate"/>
          </w:r>
          <w:r w:rsidR="00420938" w:rsidRPr="00420938">
            <w:rPr>
              <w:rStyle w:val="In-TextCitation"/>
            </w:rPr>
            <w:t>(</w:t>
          </w:r>
          <w:hyperlink w:anchor="Pet12" w:history="1">
            <w:r w:rsidR="00420938" w:rsidRPr="00420938">
              <w:rPr>
                <w:rStyle w:val="In-TextCitation"/>
              </w:rPr>
              <w:t>136</w:t>
            </w:r>
          </w:hyperlink>
          <w:r w:rsidR="00420938" w:rsidRPr="00420938">
            <w:rPr>
              <w:rStyle w:val="In-TextCitation"/>
            </w:rPr>
            <w:t>)</w:t>
          </w:r>
          <w:r w:rsidR="000E239B" w:rsidRPr="00420938">
            <w:rPr>
              <w:rStyle w:val="In-TextCitation"/>
            </w:rPr>
            <w:fldChar w:fldCharType="end"/>
          </w:r>
        </w:sdtContent>
      </w:sdt>
      <w:r w:rsidR="00B64BC3" w:rsidRPr="00F97B2D">
        <w:rPr>
          <w:rFonts w:cs="Times New Roman"/>
          <w:color w:val="131413"/>
          <w:szCs w:val="24"/>
          <w:lang w:bidi="ar-SA"/>
        </w:rPr>
        <w:t xml:space="preserve"> </w:t>
      </w:r>
      <w:r w:rsidRPr="00F97B2D">
        <w:rPr>
          <w:rFonts w:cs="Times New Roman"/>
          <w:color w:val="131413"/>
          <w:szCs w:val="24"/>
          <w:lang w:bidi="ar-SA"/>
        </w:rPr>
        <w:t xml:space="preserve"> Recoveries were generally higher than 80%, demonstrating a sufficient extraction technique for most analytes. </w:t>
      </w:r>
      <w:r w:rsidR="00B64BC3" w:rsidRPr="00F97B2D">
        <w:rPr>
          <w:rFonts w:cs="Times New Roman"/>
          <w:color w:val="131413"/>
          <w:szCs w:val="24"/>
          <w:lang w:bidi="ar-SA"/>
        </w:rPr>
        <w:t xml:space="preserve"> </w:t>
      </w:r>
      <w:r w:rsidRPr="00F97B2D">
        <w:rPr>
          <w:rFonts w:cs="Times New Roman"/>
          <w:color w:val="131413"/>
          <w:szCs w:val="24"/>
          <w:lang w:bidi="ar-SA"/>
        </w:rPr>
        <w:t xml:space="preserve">Lower recoveries were noted for 2C-T-4 and 2C-T-7, possibly due to different chemistries because of the presence of sulfur in the molecules. </w:t>
      </w:r>
      <w:r w:rsidR="00B64BC3" w:rsidRPr="00F97B2D">
        <w:rPr>
          <w:rFonts w:cs="Times New Roman"/>
          <w:color w:val="131413"/>
          <w:szCs w:val="24"/>
          <w:lang w:bidi="ar-SA"/>
        </w:rPr>
        <w:t xml:space="preserve"> </w:t>
      </w:r>
      <w:r w:rsidRPr="00F97B2D">
        <w:rPr>
          <w:rFonts w:cs="Times New Roman"/>
          <w:color w:val="131413"/>
          <w:szCs w:val="24"/>
          <w:lang w:bidi="ar-SA"/>
        </w:rPr>
        <w:t xml:space="preserve">Recovery values higher than 100% may represent losses that could have occurred in the dry down stage when Set B included spiked elutions. </w:t>
      </w:r>
      <w:r w:rsidR="00B64BC3" w:rsidRPr="00F97B2D">
        <w:rPr>
          <w:rFonts w:cs="Times New Roman"/>
          <w:color w:val="131413"/>
          <w:szCs w:val="24"/>
          <w:lang w:bidi="ar-SA"/>
        </w:rPr>
        <w:t xml:space="preserve"> </w:t>
      </w:r>
      <w:r w:rsidRPr="00F97B2D">
        <w:rPr>
          <w:rFonts w:cs="Times New Roman"/>
          <w:color w:val="131413"/>
          <w:szCs w:val="24"/>
          <w:lang w:bidi="ar-SA"/>
        </w:rPr>
        <w:t>The overall process efficiency was fairly reproducible and overall acceptable, taking into account both the</w:t>
      </w:r>
      <w:r w:rsidR="00B64BC3" w:rsidRPr="00F97B2D">
        <w:rPr>
          <w:rFonts w:cs="Times New Roman"/>
          <w:color w:val="131413"/>
          <w:szCs w:val="24"/>
          <w:lang w:bidi="ar-SA"/>
        </w:rPr>
        <w:t xml:space="preserve"> </w:t>
      </w:r>
      <w:r w:rsidRPr="00F97B2D">
        <w:rPr>
          <w:rFonts w:cs="Times New Roman"/>
          <w:color w:val="131413"/>
          <w:szCs w:val="24"/>
          <w:lang w:bidi="ar-SA"/>
        </w:rPr>
        <w:t xml:space="preserve">matrix effects and recoveries. </w:t>
      </w:r>
      <w:r w:rsidR="00B64BC3" w:rsidRPr="00F97B2D">
        <w:rPr>
          <w:rFonts w:cs="Times New Roman"/>
          <w:color w:val="131413"/>
          <w:szCs w:val="24"/>
          <w:lang w:bidi="ar-SA"/>
        </w:rPr>
        <w:t xml:space="preserve"> </w:t>
      </w:r>
      <w:r w:rsidRPr="00F97B2D">
        <w:rPr>
          <w:rFonts w:cs="Times New Roman"/>
          <w:color w:val="131413"/>
          <w:szCs w:val="24"/>
          <w:lang w:bidi="ar-SA"/>
        </w:rPr>
        <w:t>The sample preparation approach as described is believed to be adequate for all specified analytes.</w:t>
      </w:r>
    </w:p>
    <w:p w:rsidR="00B07CC2" w:rsidRDefault="00B07CC2" w:rsidP="00507136">
      <w:pPr>
        <w:autoSpaceDE w:val="0"/>
        <w:autoSpaceDN w:val="0"/>
        <w:adjustRightInd w:val="0"/>
        <w:spacing w:after="0" w:line="480" w:lineRule="auto"/>
        <w:ind w:firstLine="720"/>
        <w:rPr>
          <w:rFonts w:cs="Times New Roman"/>
          <w:color w:val="131413"/>
          <w:szCs w:val="24"/>
          <w:lang w:bidi="ar-SA"/>
        </w:rPr>
      </w:pPr>
    </w:p>
    <w:p w:rsidR="00221DA2" w:rsidRPr="00F97B2D" w:rsidRDefault="00221DA2" w:rsidP="00AC5F51">
      <w:pPr>
        <w:pStyle w:val="Heading4"/>
      </w:pPr>
      <w:bookmarkStart w:id="222" w:name="_Toc372536090"/>
      <w:bookmarkStart w:id="223" w:name="_Toc372538753"/>
      <w:r w:rsidRPr="00F97B2D">
        <w:t>Processed sample stability</w:t>
      </w:r>
      <w:bookmarkEnd w:id="222"/>
      <w:bookmarkEnd w:id="223"/>
    </w:p>
    <w:p w:rsidR="00F6031E" w:rsidRDefault="00F6031E" w:rsidP="00F6031E">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The samples (n=8 at each 25 and 250 ng/mL nominal concentrations) were each injected every 4 h over 32 h.  The data for eight samples at each time point were then averaged (as absolute peak area) and plotted versus the time present in the autosampler.  The changes between the final and initial values were calculated relative to the regression line.</w:t>
      </w:r>
      <w:sdt>
        <w:sdtPr>
          <w:rPr>
            <w:rFonts w:cs="Times New Roman"/>
            <w:color w:val="131413"/>
            <w:szCs w:val="24"/>
            <w:lang w:bidi="ar-SA"/>
          </w:rPr>
          <w:id w:val="68920804"/>
          <w:citation/>
        </w:sdtPr>
        <w:sdtEndPr/>
        <w:sdtContent>
          <w:r w:rsidR="000E239B" w:rsidRPr="00420938">
            <w:rPr>
              <w:rStyle w:val="In-TextCitation"/>
            </w:rPr>
            <w:fldChar w:fldCharType="begin"/>
          </w:r>
          <w:r w:rsidR="00507136" w:rsidRPr="00420938">
            <w:rPr>
              <w:rStyle w:val="In-TextCitation"/>
            </w:rPr>
            <w:instrText xml:space="preserve"> CITATION Wie96 \l 1033 </w:instrText>
          </w:r>
          <w:r w:rsidR="000E239B" w:rsidRPr="00420938">
            <w:rPr>
              <w:rStyle w:val="In-TextCitation"/>
            </w:rPr>
            <w:fldChar w:fldCharType="separate"/>
          </w:r>
          <w:r w:rsidR="00420938" w:rsidRPr="00420938">
            <w:rPr>
              <w:rStyle w:val="In-TextCitation"/>
            </w:rPr>
            <w:t>(</w:t>
          </w:r>
          <w:hyperlink w:anchor="Wie96" w:history="1">
            <w:r w:rsidR="00420938" w:rsidRPr="00420938">
              <w:rPr>
                <w:rStyle w:val="In-TextCitation"/>
              </w:rPr>
              <w:t>137</w:t>
            </w:r>
          </w:hyperlink>
          <w:r w:rsidR="00420938" w:rsidRPr="00420938">
            <w:rPr>
              <w:rStyle w:val="In-TextCitation"/>
            </w:rPr>
            <w:t>)</w:t>
          </w:r>
          <w:r w:rsidR="000E239B" w:rsidRPr="00420938">
            <w:rPr>
              <w:rStyle w:val="In-TextCitation"/>
            </w:rPr>
            <w:fldChar w:fldCharType="end"/>
          </w:r>
        </w:sdtContent>
      </w:sdt>
      <w:r w:rsidRPr="00F97B2D">
        <w:rPr>
          <w:rFonts w:cs="Times New Roman"/>
          <w:color w:val="131413"/>
          <w:szCs w:val="24"/>
          <w:lang w:bidi="ar-SA"/>
        </w:rPr>
        <w:t xml:space="preserve">  Values within ±15 % were considered acceptable.  The data summary can be found in </w:t>
      </w:r>
      <w:r w:rsidR="002E77C7">
        <w:fldChar w:fldCharType="begin"/>
      </w:r>
      <w:r w:rsidR="002E77C7">
        <w:instrText xml:space="preserve"> REF _Ref362618950 \h  \* MERGEFORMAT </w:instrText>
      </w:r>
      <w:r w:rsidR="002E77C7">
        <w:fldChar w:fldCharType="separate"/>
      </w:r>
      <w:r w:rsidR="00E37796" w:rsidRPr="00E37796">
        <w:rPr>
          <w:szCs w:val="24"/>
        </w:rPr>
        <w:t>Appendix 7</w:t>
      </w:r>
      <w:r w:rsidR="002E77C7">
        <w:fldChar w:fldCharType="end"/>
      </w:r>
      <w:r w:rsidRPr="00F97B2D">
        <w:rPr>
          <w:rFonts w:cs="Times New Roman"/>
          <w:color w:val="131413"/>
          <w:szCs w:val="24"/>
          <w:lang w:bidi="ar-SA"/>
        </w:rPr>
        <w:t xml:space="preserve">, including the percent change calculated for the analyte peak area over the course of the run.  The % change (%Δ) as calculated by the regression lines was less than 15 % for all compounds at both analyte concentrations, with the exception of amphetamine, MDMA, TMA and the tryptamines (DMT, 5-MeO-DMT, AMT, TMA, and 5- MeO-DiPT).  For the latter compounds, substantially higher concentrations were noted at the end of the run as compared to initial.  These values may be attributed to sample evaporation—an effect that could potentially be mitigated by using a temperature controlled auto-sampler.  Amphetamine was stable for 22 h at the higher concentration level.  MDMA was stable for 29 h at the higher concentration level.  TMA was stable for only 12 h at the lower concentration level.  The tryptamines were stable for approximately 6 h at the lower level and approximately 21 h at the higher concentration.  If an error were to occur during a batch analysis suspected of containing one of these substances, re-extraction may be necessary.  Consequently, extracts should not be re-analyzed if left to sit for more than one day without a temperature controlled autosampler.  However, approximate run time for a typical experiment (which would equate to about 20 case samples with calibrators and QC samples) was 6 h, which is sufficient for the stability of all analytes. </w:t>
      </w:r>
      <w:r w:rsidR="000E239B">
        <w:fldChar w:fldCharType="begin"/>
      </w:r>
      <w:r w:rsidR="004621F4">
        <w:rPr>
          <w:rFonts w:cs="Times New Roman"/>
          <w:color w:val="131413"/>
          <w:szCs w:val="24"/>
          <w:lang w:bidi="ar-SA"/>
        </w:rPr>
        <w:instrText xml:space="preserve"> REF _Ref365379239 \h </w:instrText>
      </w:r>
      <w:r w:rsidR="000E239B">
        <w:fldChar w:fldCharType="separate"/>
      </w:r>
      <w:r w:rsidR="00E37796" w:rsidRPr="00F97B2D">
        <w:t xml:space="preserve">Figure </w:t>
      </w:r>
      <w:r w:rsidR="00E37796">
        <w:rPr>
          <w:noProof/>
        </w:rPr>
        <w:t>7</w:t>
      </w:r>
      <w:r w:rsidR="000E239B">
        <w:fldChar w:fldCharType="end"/>
      </w:r>
      <w:r w:rsidR="004621F4">
        <w:t xml:space="preserve"> </w:t>
      </w:r>
      <w:r w:rsidRPr="00F97B2D">
        <w:rPr>
          <w:rFonts w:cs="Times New Roman"/>
          <w:color w:val="131413"/>
          <w:szCs w:val="24"/>
          <w:lang w:bidi="ar-SA"/>
        </w:rPr>
        <w:t>is an example graph for one drug (methylone) illustrating the stability of the compound at both low and high concentrations over the length of the batch run.</w:t>
      </w:r>
      <w:r w:rsidR="00A944B9" w:rsidRPr="00A944B9">
        <w:rPr>
          <w:rFonts w:cs="Times New Roman"/>
          <w:noProof/>
          <w:color w:val="131413"/>
          <w:szCs w:val="24"/>
          <w:lang w:bidi="ar-SA"/>
        </w:rPr>
        <w:t xml:space="preserve"> </w:t>
      </w:r>
      <w:r w:rsidR="00A944B9" w:rsidRPr="00A944B9">
        <w:rPr>
          <w:rFonts w:cs="Times New Roman"/>
          <w:noProof/>
          <w:color w:val="131413"/>
          <w:szCs w:val="24"/>
          <w:lang w:bidi="ar-SA"/>
        </w:rPr>
        <w:drawing>
          <wp:inline distT="0" distB="0" distL="0" distR="0">
            <wp:extent cx="5486400" cy="4003604"/>
            <wp:effectExtent l="19050" t="0" r="0" b="0"/>
            <wp:docPr id="6" name="Picture 3" descr="Methylone St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ylone Stability.JPG"/>
                    <pic:cNvPicPr/>
                  </pic:nvPicPr>
                  <pic:blipFill>
                    <a:blip r:embed="rId36"/>
                    <a:stretch>
                      <a:fillRect/>
                    </a:stretch>
                  </pic:blipFill>
                  <pic:spPr>
                    <a:xfrm>
                      <a:off x="0" y="0"/>
                      <a:ext cx="5486400" cy="4003604"/>
                    </a:xfrm>
                    <a:prstGeom prst="rect">
                      <a:avLst/>
                    </a:prstGeom>
                  </pic:spPr>
                </pic:pic>
              </a:graphicData>
            </a:graphic>
          </wp:inline>
        </w:drawing>
      </w:r>
    </w:p>
    <w:p w:rsidR="00A944B9" w:rsidRPr="00F97B2D" w:rsidRDefault="00A944B9" w:rsidP="00A944B9">
      <w:pPr>
        <w:pStyle w:val="Caption"/>
      </w:pPr>
      <w:bookmarkStart w:id="224" w:name="_Ref365379239"/>
      <w:bookmarkStart w:id="225" w:name="_Toc372536134"/>
      <w:r w:rsidRPr="00F97B2D">
        <w:t xml:space="preserve">Figure </w:t>
      </w:r>
      <w:r w:rsidR="002E77C7">
        <w:fldChar w:fldCharType="begin"/>
      </w:r>
      <w:r w:rsidR="002E77C7">
        <w:instrText xml:space="preserve"> SEQ Figure \* ARABIC </w:instrText>
      </w:r>
      <w:r w:rsidR="002E77C7">
        <w:fldChar w:fldCharType="separate"/>
      </w:r>
      <w:r w:rsidR="00E37796">
        <w:rPr>
          <w:noProof/>
        </w:rPr>
        <w:t>7</w:t>
      </w:r>
      <w:r w:rsidR="002E77C7">
        <w:rPr>
          <w:noProof/>
        </w:rPr>
        <w:fldChar w:fldCharType="end"/>
      </w:r>
      <w:bookmarkEnd w:id="224"/>
      <w:r w:rsidRPr="00F97B2D">
        <w:t>: Processed Sample Stability for Methylone</w:t>
      </w:r>
      <w:bookmarkEnd w:id="225"/>
    </w:p>
    <w:p w:rsidR="00B07CC2" w:rsidRDefault="00B07CC2" w:rsidP="00F6031E">
      <w:pPr>
        <w:autoSpaceDE w:val="0"/>
        <w:autoSpaceDN w:val="0"/>
        <w:adjustRightInd w:val="0"/>
        <w:spacing w:after="0" w:line="480" w:lineRule="auto"/>
        <w:ind w:firstLine="720"/>
        <w:rPr>
          <w:rFonts w:cs="Times New Roman"/>
          <w:color w:val="131413"/>
          <w:szCs w:val="24"/>
          <w:lang w:bidi="ar-SA"/>
        </w:rPr>
      </w:pPr>
    </w:p>
    <w:p w:rsidR="00221DA2" w:rsidRPr="00F97B2D" w:rsidRDefault="00221DA2" w:rsidP="00AC5F51">
      <w:pPr>
        <w:pStyle w:val="Heading4"/>
      </w:pPr>
      <w:bookmarkStart w:id="226" w:name="_Toc372536091"/>
      <w:bookmarkStart w:id="227" w:name="_Toc372538754"/>
      <w:r w:rsidRPr="00F97B2D">
        <w:t>Linearity of calibration</w:t>
      </w:r>
      <w:bookmarkEnd w:id="226"/>
      <w:bookmarkEnd w:id="227"/>
    </w:p>
    <w:p w:rsidR="00F6031E" w:rsidRPr="00F97B2D" w:rsidRDefault="00F6031E" w:rsidP="00F6031E">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Agilent MassHunter Quantitative Analysis software was used to determine regression lines as well as to check precision, accuracy, ion response ratios, and retention times.  Linear regression models were weighted by a factor of 1/x to account for heteroscedasticity.  All R</w:t>
      </w:r>
      <w:r w:rsidRPr="00F97B2D">
        <w:rPr>
          <w:rFonts w:cs="Times New Roman"/>
          <w:color w:val="131413"/>
          <w:szCs w:val="24"/>
          <w:vertAlign w:val="superscript"/>
          <w:lang w:bidi="ar-SA"/>
        </w:rPr>
        <w:t>2</w:t>
      </w:r>
      <w:r w:rsidRPr="00F97B2D">
        <w:rPr>
          <w:rFonts w:cs="Times New Roman"/>
          <w:color w:val="131413"/>
          <w:szCs w:val="24"/>
          <w:lang w:bidi="ar-SA"/>
        </w:rPr>
        <w:t xml:space="preserve"> values were a minimum of 0.990 in this experiment.  Bias within ±15 % (±20 % around the LOQ) and precision within ±15%RSD (±20 % around the LOQ) were observed for all compounds from 10 </w:t>
      </w:r>
      <w:proofErr w:type="gramStart"/>
      <w:r w:rsidRPr="00F97B2D">
        <w:rPr>
          <w:rFonts w:cs="Times New Roman"/>
          <w:color w:val="131413"/>
          <w:szCs w:val="24"/>
          <w:lang w:bidi="ar-SA"/>
        </w:rPr>
        <w:t>up to 250 ng/mL</w:t>
      </w:r>
      <w:proofErr w:type="gramEnd"/>
      <w:r w:rsidRPr="00F97B2D">
        <w:rPr>
          <w:rFonts w:cs="Times New Roman"/>
          <w:color w:val="131413"/>
          <w:szCs w:val="24"/>
          <w:lang w:bidi="ar-SA"/>
        </w:rPr>
        <w:t xml:space="preserve">.  For all further experiments, the following levels were used for calibration: 10, 25, 50, 100, 150, and </w:t>
      </w:r>
      <w:proofErr w:type="gramStart"/>
      <w:r w:rsidRPr="00F97B2D">
        <w:rPr>
          <w:rFonts w:cs="Times New Roman"/>
          <w:color w:val="131413"/>
          <w:szCs w:val="24"/>
          <w:lang w:bidi="ar-SA"/>
        </w:rPr>
        <w:t>250 ng/mL</w:t>
      </w:r>
      <w:proofErr w:type="gramEnd"/>
      <w:r w:rsidRPr="00F97B2D">
        <w:rPr>
          <w:rFonts w:cs="Times New Roman"/>
          <w:color w:val="131413"/>
          <w:szCs w:val="24"/>
          <w:lang w:bidi="ar-SA"/>
        </w:rPr>
        <w:t xml:space="preserve">.  Data for all analytes were linear between 10 and 250 ng/mL.  </w:t>
      </w:r>
      <w:r w:rsidRPr="008C1AC3">
        <w:rPr>
          <w:rFonts w:cs="Times New Roman"/>
          <w:color w:val="131413"/>
          <w:szCs w:val="24"/>
          <w:lang w:bidi="ar-SA"/>
        </w:rPr>
        <w:t xml:space="preserve">This calibration range is expected to be adequate </w:t>
      </w:r>
      <w:r w:rsidR="008C1AC3" w:rsidRPr="008C1AC3">
        <w:rPr>
          <w:rFonts w:cs="Times New Roman"/>
          <w:color w:val="131413"/>
          <w:szCs w:val="24"/>
          <w:lang w:bidi="ar-SA"/>
        </w:rPr>
        <w:t>detecting designer drugs at trace levels</w:t>
      </w:r>
      <w:r w:rsidRPr="008C1AC3">
        <w:rPr>
          <w:rFonts w:cs="Times New Roman"/>
          <w:color w:val="131413"/>
          <w:szCs w:val="24"/>
          <w:lang w:bidi="ar-SA"/>
        </w:rPr>
        <w:t>. Con</w:t>
      </w:r>
      <w:r w:rsidRPr="00F97B2D">
        <w:rPr>
          <w:rFonts w:cs="Times New Roman"/>
          <w:color w:val="131413"/>
          <w:szCs w:val="24"/>
          <w:lang w:bidi="ar-SA"/>
        </w:rPr>
        <w:t>centrations outside the upper limit of quantification may exhibit non-linearity; however, such specimens can be diluted prior to extraction in order to avoid this occurrence.</w:t>
      </w:r>
    </w:p>
    <w:p w:rsidR="00221DA2" w:rsidRPr="00F97B2D" w:rsidRDefault="00221DA2" w:rsidP="00AC5F51">
      <w:pPr>
        <w:pStyle w:val="Heading4"/>
      </w:pPr>
      <w:bookmarkStart w:id="228" w:name="_Toc372536092"/>
      <w:bookmarkStart w:id="229" w:name="_Toc372538755"/>
      <w:r w:rsidRPr="00F97B2D">
        <w:t>Precision and accuracy</w:t>
      </w:r>
      <w:bookmarkEnd w:id="228"/>
      <w:bookmarkEnd w:id="229"/>
    </w:p>
    <w:p w:rsidR="008C1AC3" w:rsidRPr="00F97B2D" w:rsidRDefault="00F6031E" w:rsidP="00B07CC2">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 xml:space="preserve">The QC samples were analyzed at LOQ (10 ng/mL), LOW (25 ng/mL), MED (100 ng/mL), and HIGH (250 ng/mL) in duplicate on each of eight days.  Accuracy, repeatability, and intermediate precision were calculated for each analyte at the four concentrations.  The values were considered acceptable if bias was within ±15 % (±20 % around LOQ) and if precision was within ±15 %RSD (±20 % around LOQ).  A summary of these values can be found in </w:t>
      </w:r>
      <w:r w:rsidR="002E77C7">
        <w:fldChar w:fldCharType="begin"/>
      </w:r>
      <w:r w:rsidR="002E77C7">
        <w:instrText xml:space="preserve"> REF _Ref362619309 \h  \* MERGEFORMAT </w:instrText>
      </w:r>
      <w:r w:rsidR="002E77C7">
        <w:fldChar w:fldCharType="separate"/>
      </w:r>
      <w:r w:rsidR="00E37796" w:rsidRPr="00E37796">
        <w:rPr>
          <w:szCs w:val="24"/>
        </w:rPr>
        <w:t>Appendix 8</w:t>
      </w:r>
      <w:r w:rsidR="002E77C7">
        <w:fldChar w:fldCharType="end"/>
      </w:r>
      <w:r w:rsidRPr="00F97B2D">
        <w:rPr>
          <w:rFonts w:cs="Times New Roman"/>
          <w:color w:val="131413"/>
          <w:szCs w:val="24"/>
          <w:lang w:bidi="ar-SA"/>
        </w:rPr>
        <w:t>.  The results for 27 analytes met all of the criteria for validation in terms of accuracy, repeatability, and precision as calculated for all four concentrations.  The results for DMT, 5-MeO-DMT, AMT, DBZP, and DOET demonstrated higher % bias for one or more concentration levels during the assessment of accuracy in QC samples, likely due to the lack of proper internal standards.  In addition, the stability of these compounds under auto-sampler conditions may also play a role in failing validation criteria.  However, in a working laboratory, values within 20 % RSD are generally considered acceptable.  As the data show both high and low biases for these analytes, it is difficult to account for the observations by any one factor alone.  Efforts will continue to investigate potential causes of unacceptable bias for these specific analytes.  Consequently, the assay can only be considered semi-quantitative for these compounds, and data must be evaluated based on acceptance of daily calibration curves and the results of the daily QC samples.</w:t>
      </w:r>
    </w:p>
    <w:p w:rsidR="00221DA2" w:rsidRPr="00F97B2D" w:rsidRDefault="00221DA2" w:rsidP="00AC5F51">
      <w:pPr>
        <w:pStyle w:val="Heading4"/>
      </w:pPr>
      <w:bookmarkStart w:id="230" w:name="_Toc372536093"/>
      <w:bookmarkStart w:id="231" w:name="_Toc372538756"/>
      <w:r w:rsidRPr="00F97B2D">
        <w:t>Freeze-thaw stability</w:t>
      </w:r>
      <w:bookmarkEnd w:id="230"/>
      <w:bookmarkEnd w:id="231"/>
    </w:p>
    <w:p w:rsidR="004C2204" w:rsidRPr="00F97B2D" w:rsidRDefault="00F6031E" w:rsidP="004D4260">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QC samples at LOW</w:t>
      </w:r>
      <w:r w:rsidR="00D17B95" w:rsidRPr="00F97B2D">
        <w:rPr>
          <w:rFonts w:cs="Times New Roman"/>
          <w:color w:val="131413"/>
          <w:szCs w:val="24"/>
          <w:lang w:bidi="ar-SA"/>
        </w:rPr>
        <w:t xml:space="preserve"> </w:t>
      </w:r>
      <w:r w:rsidRPr="00F97B2D">
        <w:rPr>
          <w:rFonts w:cs="Times New Roman"/>
          <w:color w:val="131413"/>
          <w:szCs w:val="24"/>
          <w:lang w:bidi="ar-SA"/>
        </w:rPr>
        <w:t xml:space="preserve">and HIGH levels were analyzed on the first day of an 8-day experiment. </w:t>
      </w:r>
      <w:r w:rsidR="00D17B95" w:rsidRPr="00F97B2D">
        <w:rPr>
          <w:rFonts w:cs="Times New Roman"/>
          <w:color w:val="131413"/>
          <w:szCs w:val="24"/>
          <w:lang w:bidi="ar-SA"/>
        </w:rPr>
        <w:t xml:space="preserve"> </w:t>
      </w:r>
      <w:r w:rsidRPr="00F97B2D">
        <w:rPr>
          <w:rFonts w:cs="Times New Roman"/>
          <w:color w:val="131413"/>
          <w:szCs w:val="24"/>
          <w:lang w:bidi="ar-SA"/>
        </w:rPr>
        <w:t>Additional samples were frozen and thawed with each batch before re-analysis on the fourth day.</w:t>
      </w:r>
      <w:r w:rsidR="00D17B95" w:rsidRPr="00F97B2D">
        <w:rPr>
          <w:rFonts w:cs="Times New Roman"/>
          <w:color w:val="131413"/>
          <w:szCs w:val="24"/>
          <w:lang w:bidi="ar-SA"/>
        </w:rPr>
        <w:t xml:space="preserve"> </w:t>
      </w:r>
      <w:r w:rsidRPr="00F97B2D">
        <w:rPr>
          <w:rFonts w:cs="Times New Roman"/>
          <w:color w:val="131413"/>
          <w:szCs w:val="24"/>
          <w:lang w:bidi="ar-SA"/>
        </w:rPr>
        <w:t xml:space="preserve"> The concentrations were calculated from the daily calibration curves. </w:t>
      </w:r>
      <w:r w:rsidR="00D17B95" w:rsidRPr="00F97B2D">
        <w:rPr>
          <w:rFonts w:cs="Times New Roman"/>
          <w:color w:val="131413"/>
          <w:szCs w:val="24"/>
          <w:lang w:bidi="ar-SA"/>
        </w:rPr>
        <w:t xml:space="preserve"> </w:t>
      </w:r>
      <w:r w:rsidRPr="00F97B2D">
        <w:rPr>
          <w:rFonts w:cs="Times New Roman"/>
          <w:color w:val="131413"/>
          <w:szCs w:val="24"/>
          <w:lang w:bidi="ar-SA"/>
        </w:rPr>
        <w:t xml:space="preserve">The means were compared between the “treated” and “untreated” samples at both concentrations and considered acceptable if the mean concentration of the treated samples was within ±10 % of the mean concentration of the control samples and 95 % CI within ±20 % of the nominal concentration. </w:t>
      </w:r>
      <w:r w:rsidR="00D17B95" w:rsidRPr="00F97B2D">
        <w:rPr>
          <w:rFonts w:cs="Times New Roman"/>
          <w:color w:val="131413"/>
          <w:szCs w:val="24"/>
          <w:lang w:bidi="ar-SA"/>
        </w:rPr>
        <w:t xml:space="preserve"> </w:t>
      </w:r>
      <w:r w:rsidRPr="00F97B2D">
        <w:rPr>
          <w:rFonts w:cs="Times New Roman"/>
          <w:color w:val="131413"/>
          <w:szCs w:val="24"/>
          <w:lang w:bidi="ar-SA"/>
        </w:rPr>
        <w:t xml:space="preserve">A summary of the results can be found in </w:t>
      </w:r>
      <w:r w:rsidR="002E77C7">
        <w:fldChar w:fldCharType="begin"/>
      </w:r>
      <w:r w:rsidR="002E77C7">
        <w:instrText xml:space="preserve"> REF _Ref362619905 \h  \* MERGEFORMAT </w:instrText>
      </w:r>
      <w:r w:rsidR="002E77C7">
        <w:fldChar w:fldCharType="separate"/>
      </w:r>
      <w:r w:rsidR="00E37796" w:rsidRPr="00E37796">
        <w:rPr>
          <w:szCs w:val="24"/>
        </w:rPr>
        <w:t>Table 8</w:t>
      </w:r>
      <w:r w:rsidR="002E77C7">
        <w:fldChar w:fldCharType="end"/>
      </w:r>
      <w:r w:rsidRPr="00F97B2D">
        <w:rPr>
          <w:rFonts w:cs="Times New Roman"/>
          <w:color w:val="131413"/>
          <w:szCs w:val="24"/>
          <w:lang w:bidi="ar-SA"/>
        </w:rPr>
        <w:t xml:space="preserve">. </w:t>
      </w:r>
      <w:r w:rsidR="004D4260" w:rsidRPr="00F97B2D">
        <w:rPr>
          <w:rFonts w:cs="Times New Roman"/>
          <w:color w:val="131413"/>
          <w:szCs w:val="24"/>
          <w:lang w:bidi="ar-SA"/>
        </w:rPr>
        <w:t xml:space="preserve"> </w:t>
      </w:r>
      <w:r w:rsidRPr="00F97B2D">
        <w:rPr>
          <w:rFonts w:cs="Times New Roman"/>
          <w:color w:val="131413"/>
          <w:szCs w:val="24"/>
          <w:lang w:bidi="ar-SA"/>
        </w:rPr>
        <w:t>All analytes were found to be stable after three freeze–thaw cycles, as demonstrated by the calculated differences between the treated and untreated control samples.</w:t>
      </w:r>
      <w:r w:rsidR="00D17B95" w:rsidRPr="00F97B2D">
        <w:rPr>
          <w:rFonts w:cs="Times New Roman"/>
          <w:color w:val="131413"/>
          <w:szCs w:val="24"/>
          <w:lang w:bidi="ar-SA"/>
        </w:rPr>
        <w:t xml:space="preserve"> </w:t>
      </w:r>
      <w:r w:rsidRPr="00F97B2D">
        <w:rPr>
          <w:rFonts w:cs="Times New Roman"/>
          <w:color w:val="131413"/>
          <w:szCs w:val="24"/>
          <w:lang w:bidi="ar-SA"/>
        </w:rPr>
        <w:t xml:space="preserve"> All of the changes at both the LOW and HIGH concentrations were within ±10 % as required for validation. </w:t>
      </w:r>
      <w:r w:rsidR="00D17B95" w:rsidRPr="00F97B2D">
        <w:rPr>
          <w:rFonts w:cs="Times New Roman"/>
          <w:color w:val="131413"/>
          <w:szCs w:val="24"/>
          <w:lang w:bidi="ar-SA"/>
        </w:rPr>
        <w:t xml:space="preserve"> </w:t>
      </w:r>
      <w:r w:rsidRPr="00F97B2D">
        <w:rPr>
          <w:rFonts w:cs="Times New Roman"/>
          <w:color w:val="131413"/>
          <w:szCs w:val="24"/>
          <w:lang w:bidi="ar-SA"/>
        </w:rPr>
        <w:t xml:space="preserve">The concentrations of the untreated controls were within ±20 % of the mean concentration of the controls at a 95 % confidence interval. </w:t>
      </w:r>
      <w:r w:rsidR="00D17B95" w:rsidRPr="00F97B2D">
        <w:rPr>
          <w:rFonts w:cs="Times New Roman"/>
          <w:color w:val="131413"/>
          <w:szCs w:val="24"/>
          <w:lang w:bidi="ar-SA"/>
        </w:rPr>
        <w:t xml:space="preserve"> </w:t>
      </w:r>
      <w:r w:rsidRPr="00F97B2D">
        <w:rPr>
          <w:rFonts w:cs="Times New Roman"/>
          <w:color w:val="131413"/>
          <w:szCs w:val="24"/>
          <w:lang w:bidi="ar-SA"/>
        </w:rPr>
        <w:t xml:space="preserve">This experiment demonstrated that samples containing these analytes can safely be analyzed within three freeze–thaw cycles. </w:t>
      </w:r>
      <w:r w:rsidR="00D17B95" w:rsidRPr="00F97B2D">
        <w:rPr>
          <w:rFonts w:cs="Times New Roman"/>
          <w:color w:val="131413"/>
          <w:szCs w:val="24"/>
          <w:lang w:bidi="ar-SA"/>
        </w:rPr>
        <w:t xml:space="preserve"> </w:t>
      </w:r>
      <w:r w:rsidRPr="00F97B2D">
        <w:rPr>
          <w:rFonts w:cs="Times New Roman"/>
          <w:color w:val="131413"/>
          <w:szCs w:val="24"/>
          <w:lang w:bidi="ar-SA"/>
        </w:rPr>
        <w:t>However, longer-term storage stability has not been evaluated.</w:t>
      </w:r>
    </w:p>
    <w:p w:rsidR="004D4260" w:rsidRDefault="004D4260" w:rsidP="004D4260">
      <w:pPr>
        <w:autoSpaceDE w:val="0"/>
        <w:autoSpaceDN w:val="0"/>
        <w:adjustRightInd w:val="0"/>
        <w:spacing w:after="0" w:line="480" w:lineRule="auto"/>
        <w:ind w:firstLine="720"/>
        <w:rPr>
          <w:rFonts w:cs="Times New Roman"/>
          <w:color w:val="131413"/>
          <w:szCs w:val="24"/>
          <w:lang w:bidi="ar-SA"/>
        </w:rPr>
      </w:pPr>
    </w:p>
    <w:p w:rsidR="008C1AC3" w:rsidRDefault="008C1AC3" w:rsidP="004D4260">
      <w:pPr>
        <w:autoSpaceDE w:val="0"/>
        <w:autoSpaceDN w:val="0"/>
        <w:adjustRightInd w:val="0"/>
        <w:spacing w:after="0" w:line="480" w:lineRule="auto"/>
        <w:ind w:firstLine="720"/>
        <w:rPr>
          <w:rFonts w:cs="Times New Roman"/>
          <w:color w:val="131413"/>
          <w:szCs w:val="24"/>
          <w:lang w:bidi="ar-SA"/>
        </w:rPr>
      </w:pPr>
    </w:p>
    <w:p w:rsidR="008C1AC3" w:rsidRDefault="008C1AC3" w:rsidP="004D4260">
      <w:pPr>
        <w:autoSpaceDE w:val="0"/>
        <w:autoSpaceDN w:val="0"/>
        <w:adjustRightInd w:val="0"/>
        <w:spacing w:after="0" w:line="480" w:lineRule="auto"/>
        <w:ind w:firstLine="720"/>
        <w:rPr>
          <w:rFonts w:cs="Times New Roman"/>
          <w:color w:val="131413"/>
          <w:szCs w:val="24"/>
          <w:lang w:bidi="ar-SA"/>
        </w:rPr>
      </w:pPr>
    </w:p>
    <w:p w:rsidR="008C1AC3" w:rsidRDefault="008C1AC3" w:rsidP="004D4260">
      <w:pPr>
        <w:autoSpaceDE w:val="0"/>
        <w:autoSpaceDN w:val="0"/>
        <w:adjustRightInd w:val="0"/>
        <w:spacing w:after="0" w:line="480" w:lineRule="auto"/>
        <w:ind w:firstLine="720"/>
        <w:rPr>
          <w:rFonts w:cs="Times New Roman"/>
          <w:color w:val="131413"/>
          <w:szCs w:val="24"/>
          <w:lang w:bidi="ar-SA"/>
        </w:rPr>
      </w:pPr>
    </w:p>
    <w:p w:rsidR="00B07CC2" w:rsidRPr="00F97B2D" w:rsidRDefault="00B07CC2" w:rsidP="00A944B9">
      <w:pPr>
        <w:autoSpaceDE w:val="0"/>
        <w:autoSpaceDN w:val="0"/>
        <w:adjustRightInd w:val="0"/>
        <w:spacing w:after="0" w:line="480" w:lineRule="auto"/>
        <w:rPr>
          <w:rFonts w:cs="Times New Roman"/>
          <w:color w:val="131413"/>
          <w:szCs w:val="24"/>
          <w:lang w:bidi="ar-SA"/>
        </w:rPr>
      </w:pPr>
    </w:p>
    <w:p w:rsidR="004D4260" w:rsidRPr="00F97B2D" w:rsidRDefault="004D4260" w:rsidP="00F97B2D">
      <w:pPr>
        <w:pStyle w:val="Caption"/>
      </w:pPr>
      <w:bookmarkStart w:id="232" w:name="_Ref362619905"/>
      <w:bookmarkStart w:id="233" w:name="_Toc372536123"/>
      <w:r w:rsidRPr="00F97B2D">
        <w:t xml:space="preserve">Table </w:t>
      </w:r>
      <w:r w:rsidR="000E239B" w:rsidRPr="00F97B2D">
        <w:fldChar w:fldCharType="begin"/>
      </w:r>
      <w:r w:rsidR="00B2107A" w:rsidRPr="00F97B2D">
        <w:instrText xml:space="preserve"> SEQ Table \* ARABIC </w:instrText>
      </w:r>
      <w:r w:rsidR="000E239B" w:rsidRPr="00F97B2D">
        <w:fldChar w:fldCharType="separate"/>
      </w:r>
      <w:r w:rsidR="00E37796">
        <w:rPr>
          <w:noProof/>
        </w:rPr>
        <w:t>8</w:t>
      </w:r>
      <w:r w:rsidR="000E239B" w:rsidRPr="00F97B2D">
        <w:rPr>
          <w:noProof/>
        </w:rPr>
        <w:fldChar w:fldCharType="end"/>
      </w:r>
      <w:bookmarkEnd w:id="232"/>
      <w:r w:rsidRPr="00F97B2D">
        <w:t>: Freeze-Thaw Stability of Targeted Analytes</w:t>
      </w:r>
      <w:bookmarkEnd w:id="233"/>
    </w:p>
    <w:tbl>
      <w:tblPr>
        <w:tblW w:w="0" w:type="auto"/>
        <w:tblInd w:w="93" w:type="dxa"/>
        <w:tblLook w:val="04A0" w:firstRow="1" w:lastRow="0" w:firstColumn="1" w:lastColumn="0" w:noHBand="0" w:noVBand="1"/>
      </w:tblPr>
      <w:tblGrid>
        <w:gridCol w:w="2029"/>
        <w:gridCol w:w="903"/>
        <w:gridCol w:w="870"/>
        <w:gridCol w:w="1510"/>
        <w:gridCol w:w="903"/>
        <w:gridCol w:w="870"/>
      </w:tblGrid>
      <w:tr w:rsidR="004D4260" w:rsidRPr="00F97B2D" w:rsidTr="0068761A">
        <w:trPr>
          <w:trHeight w:val="315"/>
          <w:tblHead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D4260" w:rsidRPr="00F97B2D" w:rsidRDefault="004D4260" w:rsidP="004C2204">
            <w:pPr>
              <w:spacing w:after="0" w:line="240" w:lineRule="auto"/>
              <w:jc w:val="center"/>
              <w:rPr>
                <w:rFonts w:eastAsia="Times New Roman" w:cs="Times New Roman"/>
                <w:b/>
                <w:bCs/>
                <w:color w:val="000000"/>
                <w:szCs w:val="24"/>
                <w:lang w:bidi="ar-SA"/>
              </w:rPr>
            </w:pPr>
            <w:r w:rsidRPr="00F97B2D">
              <w:rPr>
                <w:rFonts w:eastAsia="Times New Roman" w:cs="Times New Roman"/>
                <w:b/>
                <w:bCs/>
                <w:color w:val="000000"/>
                <w:szCs w:val="24"/>
                <w:lang w:bidi="ar-SA"/>
              </w:rPr>
              <w:t>Compound</w:t>
            </w:r>
          </w:p>
        </w:tc>
        <w:tc>
          <w:tcPr>
            <w:tcW w:w="0" w:type="auto"/>
            <w:tcBorders>
              <w:top w:val="single" w:sz="8" w:space="0" w:color="auto"/>
              <w:left w:val="nil"/>
              <w:bottom w:val="nil"/>
              <w:right w:val="single" w:sz="8" w:space="0" w:color="auto"/>
            </w:tcBorders>
            <w:shd w:val="clear" w:color="auto" w:fill="auto"/>
            <w:noWrap/>
            <w:vAlign w:val="center"/>
            <w:hideMark/>
          </w:tcPr>
          <w:p w:rsidR="004D4260" w:rsidRPr="00F97B2D" w:rsidRDefault="004D4260" w:rsidP="004C2204">
            <w:pPr>
              <w:spacing w:after="0" w:line="240" w:lineRule="auto"/>
              <w:jc w:val="center"/>
              <w:rPr>
                <w:rFonts w:eastAsia="Times New Roman" w:cs="Times New Roman"/>
                <w:b/>
                <w:bCs/>
                <w:color w:val="000000"/>
                <w:szCs w:val="24"/>
                <w:lang w:bidi="ar-SA"/>
              </w:rPr>
            </w:pPr>
            <w:r w:rsidRPr="00F97B2D">
              <w:rPr>
                <w:rFonts w:eastAsia="Times New Roman" w:cs="Times New Roman"/>
                <w:b/>
                <w:bCs/>
                <w:color w:val="000000"/>
                <w:szCs w:val="24"/>
                <w:lang w:bidi="ar-SA"/>
              </w:rPr>
              <w:t>LOW</w:t>
            </w:r>
          </w:p>
        </w:tc>
        <w:tc>
          <w:tcPr>
            <w:tcW w:w="0" w:type="auto"/>
            <w:tcBorders>
              <w:top w:val="single" w:sz="8" w:space="0" w:color="auto"/>
              <w:left w:val="nil"/>
              <w:bottom w:val="nil"/>
              <w:right w:val="single" w:sz="8" w:space="0" w:color="auto"/>
            </w:tcBorders>
            <w:shd w:val="clear" w:color="auto" w:fill="auto"/>
            <w:noWrap/>
            <w:vAlign w:val="center"/>
            <w:hideMark/>
          </w:tcPr>
          <w:p w:rsidR="004D4260" w:rsidRPr="00F97B2D" w:rsidRDefault="004D4260" w:rsidP="004C2204">
            <w:pPr>
              <w:spacing w:after="0" w:line="240" w:lineRule="auto"/>
              <w:jc w:val="center"/>
              <w:rPr>
                <w:rFonts w:eastAsia="Times New Roman" w:cs="Times New Roman"/>
                <w:b/>
                <w:bCs/>
                <w:color w:val="000000"/>
                <w:szCs w:val="24"/>
                <w:lang w:bidi="ar-SA"/>
              </w:rPr>
            </w:pPr>
            <w:r w:rsidRPr="00F97B2D">
              <w:rPr>
                <w:rFonts w:eastAsia="Times New Roman" w:cs="Times New Roman"/>
                <w:b/>
                <w:bCs/>
                <w:color w:val="000000"/>
                <w:szCs w:val="24"/>
                <w:lang w:bidi="ar-SA"/>
              </w:rPr>
              <w:t>HIGH</w:t>
            </w:r>
          </w:p>
        </w:tc>
        <w:tc>
          <w:tcPr>
            <w:tcW w:w="0" w:type="auto"/>
            <w:vMerge w:val="restart"/>
            <w:tcBorders>
              <w:top w:val="single" w:sz="8" w:space="0" w:color="auto"/>
              <w:left w:val="nil"/>
              <w:right w:val="single" w:sz="8" w:space="0" w:color="auto"/>
            </w:tcBorders>
            <w:vAlign w:val="center"/>
          </w:tcPr>
          <w:p w:rsidR="004D4260" w:rsidRPr="00F97B2D" w:rsidRDefault="004D4260" w:rsidP="007674DA">
            <w:pPr>
              <w:spacing w:after="0" w:line="240" w:lineRule="auto"/>
              <w:jc w:val="center"/>
              <w:rPr>
                <w:rFonts w:eastAsia="Times New Roman" w:cs="Times New Roman"/>
                <w:b/>
                <w:bCs/>
                <w:color w:val="000000"/>
                <w:szCs w:val="24"/>
                <w:lang w:bidi="ar-SA"/>
              </w:rPr>
            </w:pPr>
            <w:r w:rsidRPr="00F97B2D">
              <w:rPr>
                <w:rFonts w:eastAsia="Times New Roman" w:cs="Times New Roman"/>
                <w:b/>
                <w:bCs/>
                <w:color w:val="000000"/>
                <w:szCs w:val="24"/>
                <w:lang w:bidi="ar-SA"/>
              </w:rPr>
              <w:t>Compound</w:t>
            </w:r>
          </w:p>
        </w:tc>
        <w:tc>
          <w:tcPr>
            <w:tcW w:w="0" w:type="auto"/>
            <w:tcBorders>
              <w:top w:val="single" w:sz="8" w:space="0" w:color="auto"/>
              <w:left w:val="nil"/>
              <w:bottom w:val="nil"/>
              <w:right w:val="single" w:sz="8" w:space="0" w:color="auto"/>
            </w:tcBorders>
            <w:vAlign w:val="center"/>
          </w:tcPr>
          <w:p w:rsidR="004D4260" w:rsidRPr="00F97B2D" w:rsidRDefault="004D4260" w:rsidP="007674DA">
            <w:pPr>
              <w:spacing w:after="0" w:line="240" w:lineRule="auto"/>
              <w:jc w:val="center"/>
              <w:rPr>
                <w:rFonts w:eastAsia="Times New Roman" w:cs="Times New Roman"/>
                <w:b/>
                <w:bCs/>
                <w:color w:val="000000"/>
                <w:szCs w:val="24"/>
                <w:lang w:bidi="ar-SA"/>
              </w:rPr>
            </w:pPr>
            <w:r w:rsidRPr="00F97B2D">
              <w:rPr>
                <w:rFonts w:eastAsia="Times New Roman" w:cs="Times New Roman"/>
                <w:b/>
                <w:bCs/>
                <w:color w:val="000000"/>
                <w:szCs w:val="24"/>
                <w:lang w:bidi="ar-SA"/>
              </w:rPr>
              <w:t>LOW</w:t>
            </w:r>
          </w:p>
        </w:tc>
        <w:tc>
          <w:tcPr>
            <w:tcW w:w="0" w:type="auto"/>
            <w:tcBorders>
              <w:top w:val="single" w:sz="8" w:space="0" w:color="auto"/>
              <w:left w:val="nil"/>
              <w:bottom w:val="nil"/>
              <w:right w:val="single" w:sz="8" w:space="0" w:color="auto"/>
            </w:tcBorders>
            <w:vAlign w:val="center"/>
          </w:tcPr>
          <w:p w:rsidR="004D4260" w:rsidRPr="00F97B2D" w:rsidRDefault="004D4260" w:rsidP="007674DA">
            <w:pPr>
              <w:spacing w:after="0" w:line="240" w:lineRule="auto"/>
              <w:jc w:val="center"/>
              <w:rPr>
                <w:rFonts w:eastAsia="Times New Roman" w:cs="Times New Roman"/>
                <w:b/>
                <w:bCs/>
                <w:color w:val="000000"/>
                <w:szCs w:val="24"/>
                <w:lang w:bidi="ar-SA"/>
              </w:rPr>
            </w:pPr>
            <w:r w:rsidRPr="00F97B2D">
              <w:rPr>
                <w:rFonts w:eastAsia="Times New Roman" w:cs="Times New Roman"/>
                <w:b/>
                <w:bCs/>
                <w:color w:val="000000"/>
                <w:szCs w:val="24"/>
                <w:lang w:bidi="ar-SA"/>
              </w:rPr>
              <w:t>HIGH</w:t>
            </w:r>
          </w:p>
        </w:tc>
      </w:tr>
      <w:tr w:rsidR="004D4260" w:rsidRPr="00F97B2D" w:rsidTr="0068761A">
        <w:trPr>
          <w:trHeight w:val="330"/>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D4260" w:rsidRPr="00F97B2D" w:rsidRDefault="004D4260" w:rsidP="004C2204">
            <w:pPr>
              <w:spacing w:after="0" w:line="240" w:lineRule="auto"/>
              <w:rPr>
                <w:rFonts w:eastAsia="Times New Roman" w:cs="Times New Roman"/>
                <w:b/>
                <w:bCs/>
                <w:color w:val="000000"/>
                <w:szCs w:val="24"/>
                <w:lang w:bidi="ar-SA"/>
              </w:rPr>
            </w:pPr>
          </w:p>
        </w:tc>
        <w:tc>
          <w:tcPr>
            <w:tcW w:w="0" w:type="auto"/>
            <w:tcBorders>
              <w:top w:val="nil"/>
              <w:left w:val="nil"/>
              <w:bottom w:val="single" w:sz="8" w:space="0" w:color="auto"/>
              <w:right w:val="single" w:sz="8" w:space="0" w:color="auto"/>
            </w:tcBorders>
            <w:shd w:val="clear" w:color="auto" w:fill="auto"/>
            <w:noWrap/>
            <w:vAlign w:val="center"/>
            <w:hideMark/>
          </w:tcPr>
          <w:p w:rsidR="004D4260" w:rsidRPr="00F97B2D" w:rsidRDefault="004D4260" w:rsidP="004C2204">
            <w:pPr>
              <w:spacing w:after="0" w:line="240" w:lineRule="auto"/>
              <w:jc w:val="center"/>
              <w:rPr>
                <w:rFonts w:eastAsia="Times New Roman" w:cs="Times New Roman"/>
                <w:b/>
                <w:bCs/>
                <w:color w:val="000000"/>
                <w:szCs w:val="24"/>
                <w:lang w:bidi="ar-SA"/>
              </w:rPr>
            </w:pPr>
            <w:r w:rsidRPr="00F97B2D">
              <w:rPr>
                <w:rFonts w:eastAsia="Times New Roman" w:cs="Times New Roman"/>
                <w:b/>
                <w:bCs/>
                <w:color w:val="000000"/>
                <w:szCs w:val="24"/>
                <w:lang w:bidi="ar-SA"/>
              </w:rPr>
              <w:t xml:space="preserve"> (%∆)</w:t>
            </w:r>
            <w:r w:rsidRPr="00F97B2D">
              <w:rPr>
                <w:rFonts w:eastAsia="Times New Roman" w:cs="Times New Roman"/>
                <w:b/>
                <w:bCs/>
                <w:i/>
                <w:iCs/>
                <w:color w:val="000000"/>
                <w:szCs w:val="24"/>
                <w:vertAlign w:val="superscript"/>
                <w:lang w:bidi="ar-SA"/>
              </w:rPr>
              <w:t>a</w:t>
            </w:r>
          </w:p>
        </w:tc>
        <w:tc>
          <w:tcPr>
            <w:tcW w:w="0" w:type="auto"/>
            <w:tcBorders>
              <w:top w:val="nil"/>
              <w:left w:val="nil"/>
              <w:bottom w:val="single" w:sz="8" w:space="0" w:color="auto"/>
              <w:right w:val="single" w:sz="8" w:space="0" w:color="auto"/>
            </w:tcBorders>
            <w:shd w:val="clear" w:color="auto" w:fill="auto"/>
            <w:noWrap/>
            <w:vAlign w:val="center"/>
            <w:hideMark/>
          </w:tcPr>
          <w:p w:rsidR="004D4260" w:rsidRPr="00F97B2D" w:rsidRDefault="004D4260" w:rsidP="004C2204">
            <w:pPr>
              <w:spacing w:after="0" w:line="240" w:lineRule="auto"/>
              <w:jc w:val="center"/>
              <w:rPr>
                <w:rFonts w:eastAsia="Times New Roman" w:cs="Times New Roman"/>
                <w:b/>
                <w:bCs/>
                <w:color w:val="000000"/>
                <w:szCs w:val="24"/>
                <w:lang w:bidi="ar-SA"/>
              </w:rPr>
            </w:pPr>
            <w:r w:rsidRPr="00F97B2D">
              <w:rPr>
                <w:rFonts w:eastAsia="Times New Roman" w:cs="Times New Roman"/>
                <w:b/>
                <w:bCs/>
                <w:color w:val="000000"/>
                <w:szCs w:val="24"/>
                <w:lang w:bidi="ar-SA"/>
              </w:rPr>
              <w:t>(%∆)</w:t>
            </w:r>
          </w:p>
        </w:tc>
        <w:tc>
          <w:tcPr>
            <w:tcW w:w="0" w:type="auto"/>
            <w:vMerge/>
            <w:tcBorders>
              <w:left w:val="nil"/>
              <w:bottom w:val="single" w:sz="8" w:space="0" w:color="auto"/>
              <w:right w:val="single" w:sz="8" w:space="0" w:color="auto"/>
            </w:tcBorders>
            <w:vAlign w:val="center"/>
          </w:tcPr>
          <w:p w:rsidR="004D4260" w:rsidRPr="00F97B2D" w:rsidRDefault="004D4260" w:rsidP="007674DA">
            <w:pPr>
              <w:spacing w:after="0" w:line="240" w:lineRule="auto"/>
              <w:rPr>
                <w:rFonts w:eastAsia="Times New Roman" w:cs="Times New Roman"/>
                <w:b/>
                <w:bCs/>
                <w:color w:val="000000"/>
                <w:szCs w:val="24"/>
                <w:lang w:bidi="ar-SA"/>
              </w:rPr>
            </w:pPr>
          </w:p>
        </w:tc>
        <w:tc>
          <w:tcPr>
            <w:tcW w:w="0" w:type="auto"/>
            <w:tcBorders>
              <w:top w:val="nil"/>
              <w:left w:val="nil"/>
              <w:bottom w:val="single" w:sz="8" w:space="0" w:color="auto"/>
              <w:right w:val="single" w:sz="8" w:space="0" w:color="auto"/>
            </w:tcBorders>
            <w:vAlign w:val="center"/>
          </w:tcPr>
          <w:p w:rsidR="004D4260" w:rsidRPr="00F97B2D" w:rsidRDefault="004D4260" w:rsidP="007674DA">
            <w:pPr>
              <w:spacing w:after="0" w:line="240" w:lineRule="auto"/>
              <w:jc w:val="center"/>
              <w:rPr>
                <w:rFonts w:eastAsia="Times New Roman" w:cs="Times New Roman"/>
                <w:b/>
                <w:bCs/>
                <w:color w:val="000000"/>
                <w:szCs w:val="24"/>
                <w:lang w:bidi="ar-SA"/>
              </w:rPr>
            </w:pPr>
            <w:r w:rsidRPr="00F97B2D">
              <w:rPr>
                <w:rFonts w:eastAsia="Times New Roman" w:cs="Times New Roman"/>
                <w:b/>
                <w:bCs/>
                <w:color w:val="000000"/>
                <w:szCs w:val="24"/>
                <w:lang w:bidi="ar-SA"/>
              </w:rPr>
              <w:t xml:space="preserve"> (%∆)</w:t>
            </w:r>
            <w:r w:rsidRPr="00F97B2D">
              <w:rPr>
                <w:rFonts w:eastAsia="Times New Roman" w:cs="Times New Roman"/>
                <w:b/>
                <w:bCs/>
                <w:i/>
                <w:iCs/>
                <w:color w:val="000000"/>
                <w:szCs w:val="24"/>
                <w:vertAlign w:val="superscript"/>
                <w:lang w:bidi="ar-SA"/>
              </w:rPr>
              <w:t>a</w:t>
            </w:r>
          </w:p>
        </w:tc>
        <w:tc>
          <w:tcPr>
            <w:tcW w:w="0" w:type="auto"/>
            <w:tcBorders>
              <w:top w:val="nil"/>
              <w:left w:val="nil"/>
              <w:bottom w:val="single" w:sz="8" w:space="0" w:color="auto"/>
              <w:right w:val="single" w:sz="8" w:space="0" w:color="auto"/>
            </w:tcBorders>
            <w:vAlign w:val="center"/>
          </w:tcPr>
          <w:p w:rsidR="004D4260" w:rsidRPr="00F97B2D" w:rsidRDefault="004D4260" w:rsidP="007674DA">
            <w:pPr>
              <w:spacing w:after="0" w:line="240" w:lineRule="auto"/>
              <w:jc w:val="center"/>
              <w:rPr>
                <w:rFonts w:eastAsia="Times New Roman" w:cs="Times New Roman"/>
                <w:b/>
                <w:bCs/>
                <w:color w:val="000000"/>
                <w:szCs w:val="24"/>
                <w:lang w:bidi="ar-SA"/>
              </w:rPr>
            </w:pPr>
            <w:r w:rsidRPr="00F97B2D">
              <w:rPr>
                <w:rFonts w:eastAsia="Times New Roman" w:cs="Times New Roman"/>
                <w:b/>
                <w:bCs/>
                <w:color w:val="000000"/>
                <w:szCs w:val="24"/>
                <w:lang w:bidi="ar-SA"/>
              </w:rPr>
              <w:t>(%∆)</w:t>
            </w:r>
          </w:p>
        </w:tc>
      </w:tr>
      <w:tr w:rsidR="004C2204" w:rsidRPr="00F97B2D" w:rsidTr="004C2204">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BZP</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9.3</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-7.4</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Mephedrone</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5.7</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-1.2</w:t>
            </w:r>
          </w:p>
        </w:tc>
      </w:tr>
      <w:tr w:rsidR="004C2204" w:rsidRPr="00F97B2D" w:rsidTr="004C2204">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Cathinone</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-2.8</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-3.1</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MDEA</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6</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-6.8</w:t>
            </w:r>
          </w:p>
        </w:tc>
      </w:tr>
      <w:tr w:rsidR="004C2204" w:rsidRPr="00F97B2D" w:rsidTr="004C2204">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Methcathinone</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-9</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-9.3</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4-MEC</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-3.5</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-9.7</w:t>
            </w:r>
          </w:p>
        </w:tc>
      </w:tr>
      <w:tr w:rsidR="004C2204" w:rsidRPr="00F97B2D" w:rsidTr="004C2204">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Methylone</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7.6</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-6.2</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mCPP</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-5.4</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1.3</w:t>
            </w:r>
          </w:p>
        </w:tc>
      </w:tr>
      <w:tr w:rsidR="004C2204" w:rsidRPr="00F97B2D" w:rsidTr="004C2204">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Flephedrone</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-6.6</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-6.6</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MDPV</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-2</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-1.9</w:t>
            </w:r>
          </w:p>
        </w:tc>
      </w:tr>
      <w:tr w:rsidR="004C2204" w:rsidRPr="00F97B2D" w:rsidTr="004C2204">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Amphetamine</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3.8</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0.5</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2C-B</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8.5</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-5.5</w:t>
            </w:r>
          </w:p>
        </w:tc>
      </w:tr>
      <w:tr w:rsidR="004C2204" w:rsidRPr="00F97B2D" w:rsidTr="004C2204">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MDA</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2.7</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-4.9</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DBZP</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-0.9</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-5.6</w:t>
            </w:r>
          </w:p>
        </w:tc>
      </w:tr>
      <w:tr w:rsidR="004C2204" w:rsidRPr="00F97B2D" w:rsidTr="004C2204">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Methedrone</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6.6</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-1.8</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DOM</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5.1</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9.6</w:t>
            </w:r>
          </w:p>
        </w:tc>
      </w:tr>
      <w:tr w:rsidR="004C2204" w:rsidRPr="00F97B2D" w:rsidTr="004C2204">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Methamphetamine</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2.6</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-3.6</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5-MeO-DiPT</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-0.6</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-3.1</w:t>
            </w:r>
          </w:p>
        </w:tc>
      </w:tr>
      <w:tr w:rsidR="004C2204" w:rsidRPr="00F97B2D" w:rsidTr="004C2204">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DMT</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4.6</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-5.2</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DOB</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-3.1</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5.4</w:t>
            </w:r>
          </w:p>
        </w:tc>
      </w:tr>
      <w:tr w:rsidR="004C2204" w:rsidRPr="00F97B2D" w:rsidTr="004C2204">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MDMA</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8.7</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-1.1</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TFMPP</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6.3</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1.4</w:t>
            </w:r>
          </w:p>
        </w:tc>
      </w:tr>
      <w:tr w:rsidR="004C2204" w:rsidRPr="00F97B2D" w:rsidTr="004C2204">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5-MeO-DMT</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0.7</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6.3</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2C-I</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2.2</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-8.5</w:t>
            </w:r>
          </w:p>
        </w:tc>
      </w:tr>
      <w:tr w:rsidR="004C2204" w:rsidRPr="00F97B2D" w:rsidTr="004C2204">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Butylone</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-2.9</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-6.6</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2C-E</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3.7</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0.8</w:t>
            </w:r>
          </w:p>
        </w:tc>
      </w:tr>
      <w:tr w:rsidR="004C2204" w:rsidRPr="00F97B2D" w:rsidTr="004C2204">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AMT</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8</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-6.8</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DOET</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7.8</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-4.7</w:t>
            </w:r>
          </w:p>
        </w:tc>
      </w:tr>
      <w:tr w:rsidR="004C2204" w:rsidRPr="00F97B2D" w:rsidTr="004C2204">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TMA</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3.5</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4.3</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2C-T-4</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5.2</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3.4</w:t>
            </w:r>
          </w:p>
        </w:tc>
      </w:tr>
      <w:tr w:rsidR="004C2204" w:rsidRPr="00F97B2D" w:rsidTr="004C2204">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Ethylamphetamine</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5.5</w:t>
            </w:r>
          </w:p>
        </w:tc>
        <w:tc>
          <w:tcPr>
            <w:tcW w:w="0" w:type="auto"/>
            <w:tcBorders>
              <w:top w:val="nil"/>
              <w:left w:val="nil"/>
              <w:bottom w:val="single" w:sz="8" w:space="0" w:color="auto"/>
              <w:right w:val="single" w:sz="8" w:space="0" w:color="auto"/>
            </w:tcBorders>
            <w:shd w:val="clear" w:color="auto" w:fill="auto"/>
            <w:noWrap/>
            <w:vAlign w:val="center"/>
            <w:hideMark/>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1.3</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2C-T-7</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6.7</w:t>
            </w:r>
          </w:p>
        </w:tc>
        <w:tc>
          <w:tcPr>
            <w:tcW w:w="0" w:type="auto"/>
            <w:tcBorders>
              <w:top w:val="nil"/>
              <w:left w:val="nil"/>
              <w:bottom w:val="single" w:sz="8" w:space="0" w:color="auto"/>
              <w:right w:val="single" w:sz="8" w:space="0" w:color="auto"/>
            </w:tcBorders>
            <w:vAlign w:val="center"/>
          </w:tcPr>
          <w:p w:rsidR="004C2204" w:rsidRPr="00F97B2D" w:rsidRDefault="004C2204" w:rsidP="004C2204">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7.6</w:t>
            </w:r>
          </w:p>
        </w:tc>
      </w:tr>
    </w:tbl>
    <w:p w:rsidR="004D4260" w:rsidRPr="00F97B2D" w:rsidRDefault="004D4260" w:rsidP="004D4260">
      <w:pPr>
        <w:widowControl w:val="0"/>
        <w:spacing w:after="0"/>
        <w:rPr>
          <w:rFonts w:cs="Times New Roman"/>
          <w:szCs w:val="24"/>
        </w:rPr>
      </w:pPr>
      <w:proofErr w:type="gramStart"/>
      <w:r w:rsidRPr="00F97B2D">
        <w:rPr>
          <w:rFonts w:cs="Times New Roman"/>
          <w:b/>
          <w:i/>
          <w:szCs w:val="24"/>
          <w:vertAlign w:val="superscript"/>
        </w:rPr>
        <w:t>a</w:t>
      </w:r>
      <w:proofErr w:type="gramEnd"/>
      <w:r w:rsidRPr="00F97B2D">
        <w:rPr>
          <w:rFonts w:cs="Times New Roman"/>
          <w:szCs w:val="24"/>
        </w:rPr>
        <w:t xml:space="preserve"> Data expressed as % change in concentration from initial to final time point.</w:t>
      </w:r>
    </w:p>
    <w:p w:rsidR="00B07CC2" w:rsidRPr="00F97B2D" w:rsidRDefault="00B07CC2" w:rsidP="00A944B9">
      <w:pPr>
        <w:autoSpaceDE w:val="0"/>
        <w:autoSpaceDN w:val="0"/>
        <w:adjustRightInd w:val="0"/>
        <w:spacing w:after="0" w:line="480" w:lineRule="auto"/>
        <w:rPr>
          <w:rFonts w:cs="Times New Roman"/>
          <w:color w:val="131413"/>
          <w:szCs w:val="24"/>
          <w:lang w:bidi="ar-SA"/>
        </w:rPr>
      </w:pPr>
    </w:p>
    <w:p w:rsidR="00221DA2" w:rsidRPr="00F97B2D" w:rsidRDefault="00221DA2" w:rsidP="00AC5F51">
      <w:pPr>
        <w:pStyle w:val="Heading4"/>
      </w:pPr>
      <w:bookmarkStart w:id="234" w:name="_Toc372536094"/>
      <w:bookmarkStart w:id="235" w:name="_Toc372538757"/>
      <w:r w:rsidRPr="00F97B2D">
        <w:t>Limits</w:t>
      </w:r>
      <w:bookmarkEnd w:id="234"/>
      <w:bookmarkEnd w:id="235"/>
    </w:p>
    <w:p w:rsidR="00D17B95" w:rsidRPr="00F97B2D" w:rsidRDefault="00D17B95" w:rsidP="00D17B95">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 xml:space="preserve">The LOQs and LODs were determined by spiking samples with </w:t>
      </w:r>
      <w:r w:rsidR="00AB7A45">
        <w:rPr>
          <w:rFonts w:cs="Times New Roman"/>
          <w:color w:val="131413"/>
          <w:szCs w:val="24"/>
          <w:lang w:bidi="ar-SA"/>
        </w:rPr>
        <w:t xml:space="preserve">internal standard and </w:t>
      </w:r>
      <w:r w:rsidRPr="00F97B2D">
        <w:rPr>
          <w:rFonts w:cs="Times New Roman"/>
          <w:color w:val="131413"/>
          <w:szCs w:val="24"/>
          <w:lang w:bidi="ar-SA"/>
        </w:rPr>
        <w:t xml:space="preserve">decreasing concentrations of drug and analyzing along with a calibration curve. LOQs were established when bias was within ±20 % and precision was within ±20 %RSD as calculated within the Agilent MassHunter Quantitative Analysis software.  LODs were established visually, since traditional methods such as calculating the LOD as three times the standard deviation of the signal-to-noise ratio is not appropriate with a selective method such as Dynamic MRM.  LOQs were in the range of 1–10 ng/mL, whereas LODs were in the range of 10–100 pg/mL.  For the validation experiments, </w:t>
      </w:r>
      <w:proofErr w:type="gramStart"/>
      <w:r w:rsidRPr="00F97B2D">
        <w:rPr>
          <w:rFonts w:cs="Times New Roman"/>
          <w:color w:val="131413"/>
          <w:szCs w:val="24"/>
          <w:lang w:bidi="ar-SA"/>
        </w:rPr>
        <w:t>10 ng/mL</w:t>
      </w:r>
      <w:proofErr w:type="gramEnd"/>
      <w:r w:rsidRPr="00F97B2D">
        <w:rPr>
          <w:rFonts w:cs="Times New Roman"/>
          <w:color w:val="131413"/>
          <w:szCs w:val="24"/>
          <w:lang w:bidi="ar-SA"/>
        </w:rPr>
        <w:t xml:space="preserve"> was used at the LOQ level for calculations.  These LODs allow for identification of designer drugs at very low levels, which is extremely useful when such drugs are taken at sub-milligram dosages.  The LOQs accommodate very low level concentrations with the ability to accurately and precisely quantify the drugs that are present.  As demonstrated below, LOQs for the method were sufficiently sensitive to allow confirmation of MDPV in a case sample that was undetected by previous screens.</w:t>
      </w:r>
    </w:p>
    <w:p w:rsidR="00221DA2" w:rsidRPr="00F97B2D" w:rsidRDefault="00221DA2" w:rsidP="00AC5F51">
      <w:pPr>
        <w:pStyle w:val="Heading4"/>
      </w:pPr>
      <w:bookmarkStart w:id="236" w:name="_Toc372536095"/>
      <w:bookmarkStart w:id="237" w:name="_Toc372538758"/>
      <w:r w:rsidRPr="00F97B2D">
        <w:t>Proof of applicability</w:t>
      </w:r>
      <w:bookmarkEnd w:id="236"/>
      <w:bookmarkEnd w:id="237"/>
    </w:p>
    <w:p w:rsidR="00B07CC2" w:rsidRPr="00F97B2D" w:rsidRDefault="00D17B95" w:rsidP="00A944B9">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Post-mortem heart blood specimens from two forensic cases were submitted for analysis, as designer drugs were suspected to be present in these cases.  The first case was a 31 year-old black male.  The decedent died as a result of a suicidal gunshot wound to the head.  During routine urinalysis, MDMA was found by GC-MS in the drug screen and was later confirmed in urine by GC-MS.  Methylone was suspected in the GC-MS full scan confirmatory method but since a quantitative method was not in place the specimen was submitted for confirmation and quantification by the present validated LC-MS/MS method.  The second case was a 26-year-old white male.  The decedent had been huffing computer aerosol and was ruled an accidental death with cause of death attributed to acute poly</w:t>
      </w:r>
      <w:r w:rsidR="00ED27EA" w:rsidRPr="00F97B2D">
        <w:rPr>
          <w:rFonts w:cs="Times New Roman"/>
          <w:color w:val="131413"/>
          <w:szCs w:val="24"/>
          <w:lang w:bidi="ar-SA"/>
        </w:rPr>
        <w:t>-</w:t>
      </w:r>
      <w:r w:rsidRPr="00F97B2D">
        <w:rPr>
          <w:rFonts w:cs="Times New Roman"/>
          <w:color w:val="131413"/>
          <w:szCs w:val="24"/>
          <w:lang w:bidi="ar-SA"/>
        </w:rPr>
        <w:t>drug toxicity, specifically citing 1</w:t>
      </w:r>
      <w:proofErr w:type="gramStart"/>
      <w:r w:rsidRPr="00F97B2D">
        <w:rPr>
          <w:rFonts w:cs="Times New Roman"/>
          <w:color w:val="131413"/>
          <w:szCs w:val="24"/>
          <w:lang w:bidi="ar-SA"/>
        </w:rPr>
        <w:t>,1</w:t>
      </w:r>
      <w:proofErr w:type="gramEnd"/>
      <w:r w:rsidRPr="00F97B2D">
        <w:rPr>
          <w:rFonts w:cs="Times New Roman"/>
          <w:color w:val="131413"/>
          <w:szCs w:val="24"/>
          <w:lang w:bidi="ar-SA"/>
        </w:rPr>
        <w:t>-difluoroethane, MDMA, and 5-MeO-DiPT.  In the initial GC-MS urine drug screen, MDA, MDMA, and 5-MeO-DiPT (“Foxy”) were found.  In addition, BZP, MDMA, 5-MeO-DiPT, and TFMPP were found in blood during a basic drug screen by GC-MS.</w:t>
      </w:r>
      <w:r w:rsidR="000B1037" w:rsidRPr="00F97B2D">
        <w:rPr>
          <w:rFonts w:cs="Times New Roman"/>
          <w:color w:val="131413"/>
          <w:szCs w:val="24"/>
          <w:lang w:bidi="ar-SA"/>
        </w:rPr>
        <w:t xml:space="preserve"> </w:t>
      </w:r>
      <w:r w:rsidRPr="00F97B2D">
        <w:rPr>
          <w:rFonts w:cs="Times New Roman"/>
          <w:color w:val="131413"/>
          <w:szCs w:val="24"/>
          <w:lang w:bidi="ar-SA"/>
        </w:rPr>
        <w:t xml:space="preserve"> In both cases, the </w:t>
      </w:r>
      <w:r w:rsidR="000B1037" w:rsidRPr="00F97B2D">
        <w:rPr>
          <w:rFonts w:cs="Times New Roman"/>
          <w:color w:val="131413"/>
          <w:szCs w:val="24"/>
          <w:lang w:bidi="ar-SA"/>
        </w:rPr>
        <w:t>urine</w:t>
      </w:r>
      <w:r w:rsidRPr="00F97B2D">
        <w:rPr>
          <w:rFonts w:cs="Times New Roman"/>
          <w:color w:val="131413"/>
          <w:szCs w:val="24"/>
          <w:lang w:bidi="ar-SA"/>
        </w:rPr>
        <w:t xml:space="preserve"> immunoassays were negative for </w:t>
      </w:r>
      <w:r w:rsidR="000B1037" w:rsidRPr="00F97B2D">
        <w:rPr>
          <w:rFonts w:cs="Times New Roman"/>
          <w:color w:val="131413"/>
          <w:szCs w:val="24"/>
          <w:lang w:bidi="ar-SA"/>
        </w:rPr>
        <w:t>amphetamines</w:t>
      </w:r>
      <w:r w:rsidRPr="00F97B2D">
        <w:rPr>
          <w:rFonts w:cs="Times New Roman"/>
          <w:color w:val="131413"/>
          <w:szCs w:val="24"/>
          <w:lang w:bidi="ar-SA"/>
        </w:rPr>
        <w:t xml:space="preserve">. </w:t>
      </w:r>
      <w:r w:rsidR="000B1037" w:rsidRPr="00F97B2D">
        <w:rPr>
          <w:rFonts w:cs="Times New Roman"/>
          <w:color w:val="131413"/>
          <w:szCs w:val="24"/>
          <w:lang w:bidi="ar-SA"/>
        </w:rPr>
        <w:t xml:space="preserve"> </w:t>
      </w:r>
      <w:r w:rsidRPr="00F97B2D">
        <w:rPr>
          <w:rFonts w:cs="Times New Roman"/>
          <w:color w:val="131413"/>
          <w:szCs w:val="24"/>
          <w:lang w:bidi="ar-SA"/>
        </w:rPr>
        <w:t xml:space="preserve">Duplicate 1-mL portions of blood from each case were spiked with internal standard solution and extracted as described above. </w:t>
      </w:r>
      <w:r w:rsidR="000B1037" w:rsidRPr="00F97B2D">
        <w:rPr>
          <w:rFonts w:cs="Times New Roman"/>
          <w:color w:val="131413"/>
          <w:szCs w:val="24"/>
          <w:lang w:bidi="ar-SA"/>
        </w:rPr>
        <w:t xml:space="preserve"> </w:t>
      </w:r>
      <w:r w:rsidRPr="00F97B2D">
        <w:rPr>
          <w:rFonts w:cs="Times New Roman"/>
          <w:color w:val="131413"/>
          <w:szCs w:val="24"/>
          <w:lang w:bidi="ar-SA"/>
        </w:rPr>
        <w:t xml:space="preserve">The concentrations of the analytes were calculated using a calibration curve and the QC samples in the same run were checked for acceptable accuracy and precision. </w:t>
      </w:r>
      <w:r w:rsidR="000B1037" w:rsidRPr="00F97B2D">
        <w:rPr>
          <w:rFonts w:cs="Times New Roman"/>
          <w:color w:val="131413"/>
          <w:szCs w:val="24"/>
          <w:lang w:bidi="ar-SA"/>
        </w:rPr>
        <w:t xml:space="preserve"> </w:t>
      </w:r>
      <w:r w:rsidRPr="00F97B2D">
        <w:rPr>
          <w:rFonts w:cs="Times New Roman"/>
          <w:color w:val="131413"/>
          <w:szCs w:val="24"/>
          <w:lang w:bidi="ar-SA"/>
        </w:rPr>
        <w:t xml:space="preserve">A summary of the </w:t>
      </w:r>
      <w:r w:rsidRPr="00875BFC">
        <w:rPr>
          <w:rFonts w:cs="Times New Roman"/>
          <w:color w:val="131413"/>
          <w:szCs w:val="24"/>
          <w:lang w:bidi="ar-SA"/>
        </w:rPr>
        <w:t xml:space="preserve">quantitative results can be found in </w:t>
      </w:r>
      <w:r w:rsidR="002E77C7">
        <w:fldChar w:fldCharType="begin"/>
      </w:r>
      <w:r w:rsidR="002E77C7">
        <w:instrText xml:space="preserve"> REF _Ref362620024 \h  \* MERGEFORMAT </w:instrText>
      </w:r>
      <w:r w:rsidR="002E77C7">
        <w:fldChar w:fldCharType="separate"/>
      </w:r>
      <w:r w:rsidR="00E37796" w:rsidRPr="00E37796">
        <w:rPr>
          <w:szCs w:val="24"/>
        </w:rPr>
        <w:t>Table 9</w:t>
      </w:r>
      <w:r w:rsidR="002E77C7">
        <w:fldChar w:fldCharType="end"/>
      </w:r>
      <w:r w:rsidRPr="00875BFC">
        <w:rPr>
          <w:rFonts w:cs="Times New Roman"/>
          <w:color w:val="131413"/>
          <w:szCs w:val="24"/>
          <w:lang w:bidi="ar-SA"/>
        </w:rPr>
        <w:t>.</w:t>
      </w:r>
      <w:r w:rsidR="00875BFC" w:rsidRPr="00875BFC">
        <w:rPr>
          <w:rFonts w:cs="Times New Roman"/>
          <w:color w:val="131413"/>
          <w:szCs w:val="24"/>
          <w:lang w:bidi="ar-SA"/>
        </w:rPr>
        <w:t xml:space="preserve">  Chromatograms for each case can be found in </w:t>
      </w:r>
      <w:r w:rsidR="002E77C7">
        <w:fldChar w:fldCharType="begin"/>
      </w:r>
      <w:r w:rsidR="002E77C7">
        <w:instrText xml:space="preserve"> REF _Ref</w:instrText>
      </w:r>
      <w:r w:rsidR="002E77C7">
        <w:instrText xml:space="preserve">364077969 \h  \* MERGEFORMAT </w:instrText>
      </w:r>
      <w:r w:rsidR="002E77C7">
        <w:fldChar w:fldCharType="separate"/>
      </w:r>
      <w:r w:rsidR="00E37796" w:rsidRPr="00E37796">
        <w:rPr>
          <w:szCs w:val="24"/>
        </w:rPr>
        <w:t>Figure 8</w:t>
      </w:r>
      <w:r w:rsidR="002E77C7">
        <w:fldChar w:fldCharType="end"/>
      </w:r>
      <w:r w:rsidR="00875BFC" w:rsidRPr="00875BFC">
        <w:rPr>
          <w:rFonts w:cs="Times New Roman"/>
          <w:color w:val="131413"/>
          <w:szCs w:val="24"/>
          <w:lang w:bidi="ar-SA"/>
        </w:rPr>
        <w:t xml:space="preserve"> and </w:t>
      </w:r>
      <w:r w:rsidR="002E77C7">
        <w:fldChar w:fldCharType="begin"/>
      </w:r>
      <w:r w:rsidR="002E77C7">
        <w:instrText xml:space="preserve"> REF _Ref364077977 \h  \* MERGEFORMAT </w:instrText>
      </w:r>
      <w:r w:rsidR="002E77C7">
        <w:fldChar w:fldCharType="separate"/>
      </w:r>
      <w:r w:rsidR="00E37796" w:rsidRPr="00E37796">
        <w:rPr>
          <w:szCs w:val="24"/>
        </w:rPr>
        <w:t>Figure 9</w:t>
      </w:r>
      <w:r w:rsidR="002E77C7">
        <w:fldChar w:fldCharType="end"/>
      </w:r>
      <w:r w:rsidR="00875BFC" w:rsidRPr="00875BFC">
        <w:rPr>
          <w:rFonts w:cs="Times New Roman"/>
          <w:color w:val="131413"/>
          <w:szCs w:val="24"/>
          <w:lang w:bidi="ar-SA"/>
        </w:rPr>
        <w:t>.</w:t>
      </w:r>
      <w:r w:rsidR="009864B9" w:rsidRPr="00F97B2D">
        <w:rPr>
          <w:rFonts w:cs="Times New Roman"/>
          <w:color w:val="131413"/>
          <w:szCs w:val="24"/>
          <w:lang w:bidi="ar-SA"/>
        </w:rPr>
        <w:t xml:space="preserve"> </w:t>
      </w:r>
      <w:r w:rsidRPr="00F97B2D">
        <w:rPr>
          <w:rFonts w:cs="Times New Roman"/>
          <w:color w:val="131413"/>
          <w:szCs w:val="24"/>
          <w:lang w:bidi="ar-SA"/>
        </w:rPr>
        <w:t xml:space="preserve"> </w:t>
      </w:r>
    </w:p>
    <w:p w:rsidR="004D4260" w:rsidRPr="00F97B2D" w:rsidRDefault="004D4260" w:rsidP="00494D40">
      <w:pPr>
        <w:pStyle w:val="Caption"/>
        <w:jc w:val="left"/>
      </w:pPr>
      <w:bookmarkStart w:id="238" w:name="_Ref362620024"/>
      <w:bookmarkStart w:id="239" w:name="_Toc372536124"/>
      <w:r w:rsidRPr="00F97B2D">
        <w:t xml:space="preserve">Table </w:t>
      </w:r>
      <w:r w:rsidR="000E239B" w:rsidRPr="00F97B2D">
        <w:fldChar w:fldCharType="begin"/>
      </w:r>
      <w:r w:rsidR="00B2107A" w:rsidRPr="00F97B2D">
        <w:instrText xml:space="preserve"> SEQ Table \* ARABIC </w:instrText>
      </w:r>
      <w:r w:rsidR="000E239B" w:rsidRPr="00F97B2D">
        <w:fldChar w:fldCharType="separate"/>
      </w:r>
      <w:r w:rsidR="00E37796">
        <w:rPr>
          <w:noProof/>
        </w:rPr>
        <w:t>9</w:t>
      </w:r>
      <w:r w:rsidR="000E239B" w:rsidRPr="00F97B2D">
        <w:rPr>
          <w:noProof/>
        </w:rPr>
        <w:fldChar w:fldCharType="end"/>
      </w:r>
      <w:bookmarkEnd w:id="238"/>
      <w:r w:rsidRPr="00F97B2D">
        <w:t>: Summary of Quantitative Results for Case Samples</w:t>
      </w:r>
      <w:bookmarkEnd w:id="239"/>
    </w:p>
    <w:tbl>
      <w:tblPr>
        <w:tblW w:w="3810" w:type="dxa"/>
        <w:tblInd w:w="93" w:type="dxa"/>
        <w:tblLook w:val="04A0" w:firstRow="1" w:lastRow="0" w:firstColumn="1" w:lastColumn="0" w:noHBand="0" w:noVBand="1"/>
      </w:tblPr>
      <w:tblGrid>
        <w:gridCol w:w="1630"/>
        <w:gridCol w:w="1090"/>
        <w:gridCol w:w="1090"/>
      </w:tblGrid>
      <w:tr w:rsidR="004D4260" w:rsidRPr="00F97B2D" w:rsidTr="00494D40">
        <w:trPr>
          <w:trHeight w:val="288"/>
          <w:tblHeader/>
        </w:trPr>
        <w:tc>
          <w:tcPr>
            <w:tcW w:w="163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D4260" w:rsidRPr="00F97B2D" w:rsidRDefault="004D4260" w:rsidP="004D4260">
            <w:pPr>
              <w:spacing w:after="0" w:line="240" w:lineRule="auto"/>
              <w:jc w:val="center"/>
              <w:rPr>
                <w:rFonts w:eastAsia="Times New Roman" w:cs="Times New Roman"/>
                <w:b/>
                <w:bCs/>
                <w:color w:val="000000"/>
                <w:szCs w:val="24"/>
                <w:lang w:bidi="ar-SA"/>
              </w:rPr>
            </w:pPr>
            <w:r w:rsidRPr="00F97B2D">
              <w:rPr>
                <w:rFonts w:eastAsia="Times New Roman" w:cs="Times New Roman"/>
                <w:b/>
                <w:bCs/>
                <w:color w:val="000000"/>
                <w:szCs w:val="24"/>
                <w:lang w:bidi="ar-SA"/>
              </w:rPr>
              <w:t>Compound</w:t>
            </w:r>
          </w:p>
        </w:tc>
        <w:tc>
          <w:tcPr>
            <w:tcW w:w="1090" w:type="dxa"/>
            <w:tcBorders>
              <w:top w:val="single" w:sz="8" w:space="0" w:color="auto"/>
              <w:left w:val="nil"/>
              <w:bottom w:val="single" w:sz="8" w:space="0" w:color="auto"/>
              <w:right w:val="single" w:sz="8" w:space="0" w:color="auto"/>
            </w:tcBorders>
            <w:shd w:val="clear" w:color="auto" w:fill="auto"/>
            <w:vAlign w:val="center"/>
            <w:hideMark/>
          </w:tcPr>
          <w:p w:rsidR="004D4260" w:rsidRPr="00F97B2D" w:rsidRDefault="004D4260" w:rsidP="004D4260">
            <w:pPr>
              <w:spacing w:after="0" w:line="240" w:lineRule="auto"/>
              <w:jc w:val="center"/>
              <w:rPr>
                <w:rFonts w:eastAsia="Times New Roman" w:cs="Times New Roman"/>
                <w:b/>
                <w:bCs/>
                <w:color w:val="000000"/>
                <w:szCs w:val="24"/>
                <w:lang w:bidi="ar-SA"/>
              </w:rPr>
            </w:pPr>
            <w:r w:rsidRPr="00F97B2D">
              <w:rPr>
                <w:rFonts w:eastAsia="Times New Roman" w:cs="Times New Roman"/>
                <w:b/>
                <w:bCs/>
                <w:color w:val="000000"/>
                <w:szCs w:val="24"/>
                <w:lang w:bidi="ar-SA"/>
              </w:rPr>
              <w:t>Case 1</w:t>
            </w:r>
            <w:r w:rsidRPr="00F97B2D">
              <w:rPr>
                <w:rFonts w:eastAsia="Times New Roman" w:cs="Times New Roman"/>
                <w:b/>
                <w:bCs/>
                <w:i/>
                <w:iCs/>
                <w:color w:val="000000"/>
                <w:szCs w:val="24"/>
                <w:vertAlign w:val="superscript"/>
                <w:lang w:bidi="ar-SA"/>
              </w:rPr>
              <w:t>a</w:t>
            </w:r>
          </w:p>
        </w:tc>
        <w:tc>
          <w:tcPr>
            <w:tcW w:w="1090" w:type="dxa"/>
            <w:tcBorders>
              <w:top w:val="single" w:sz="8" w:space="0" w:color="auto"/>
              <w:left w:val="nil"/>
              <w:bottom w:val="single" w:sz="8" w:space="0" w:color="auto"/>
              <w:right w:val="single" w:sz="8" w:space="0" w:color="auto"/>
            </w:tcBorders>
            <w:shd w:val="clear" w:color="auto" w:fill="auto"/>
            <w:vAlign w:val="center"/>
            <w:hideMark/>
          </w:tcPr>
          <w:p w:rsidR="004D4260" w:rsidRPr="00F97B2D" w:rsidRDefault="004D4260" w:rsidP="004D4260">
            <w:pPr>
              <w:spacing w:after="0" w:line="240" w:lineRule="auto"/>
              <w:jc w:val="center"/>
              <w:rPr>
                <w:rFonts w:eastAsia="Times New Roman" w:cs="Times New Roman"/>
                <w:b/>
                <w:bCs/>
                <w:color w:val="000000"/>
                <w:szCs w:val="24"/>
                <w:lang w:bidi="ar-SA"/>
              </w:rPr>
            </w:pPr>
            <w:r w:rsidRPr="00F97B2D">
              <w:rPr>
                <w:rFonts w:eastAsia="Times New Roman" w:cs="Times New Roman"/>
                <w:b/>
                <w:bCs/>
                <w:color w:val="000000"/>
                <w:szCs w:val="24"/>
                <w:lang w:bidi="ar-SA"/>
              </w:rPr>
              <w:t>Case 2</w:t>
            </w:r>
            <w:r w:rsidRPr="00F97B2D">
              <w:rPr>
                <w:rFonts w:eastAsia="Times New Roman" w:cs="Times New Roman"/>
                <w:b/>
                <w:bCs/>
                <w:i/>
                <w:iCs/>
                <w:color w:val="000000"/>
                <w:szCs w:val="24"/>
                <w:vertAlign w:val="superscript"/>
                <w:lang w:bidi="ar-SA"/>
              </w:rPr>
              <w:t>a</w:t>
            </w:r>
          </w:p>
        </w:tc>
      </w:tr>
      <w:tr w:rsidR="004D4260" w:rsidRPr="00F97B2D" w:rsidTr="00494D40">
        <w:trPr>
          <w:trHeight w:val="288"/>
        </w:trPr>
        <w:tc>
          <w:tcPr>
            <w:tcW w:w="1630" w:type="dxa"/>
            <w:tcBorders>
              <w:top w:val="nil"/>
              <w:left w:val="single" w:sz="8" w:space="0" w:color="auto"/>
              <w:bottom w:val="single" w:sz="8" w:space="0" w:color="auto"/>
              <w:right w:val="single" w:sz="8" w:space="0" w:color="auto"/>
            </w:tcBorders>
            <w:shd w:val="clear" w:color="auto" w:fill="auto"/>
            <w:vAlign w:val="center"/>
            <w:hideMark/>
          </w:tcPr>
          <w:p w:rsidR="004D4260" w:rsidRPr="00F97B2D" w:rsidRDefault="004D4260" w:rsidP="004D4260">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BZP</w:t>
            </w:r>
          </w:p>
        </w:tc>
        <w:tc>
          <w:tcPr>
            <w:tcW w:w="1090" w:type="dxa"/>
            <w:tcBorders>
              <w:top w:val="nil"/>
              <w:left w:val="nil"/>
              <w:bottom w:val="single" w:sz="8" w:space="0" w:color="auto"/>
              <w:right w:val="single" w:sz="8" w:space="0" w:color="auto"/>
            </w:tcBorders>
            <w:shd w:val="clear" w:color="auto" w:fill="auto"/>
            <w:vAlign w:val="center"/>
            <w:hideMark/>
          </w:tcPr>
          <w:p w:rsidR="004D4260" w:rsidRPr="00F97B2D" w:rsidRDefault="004D4260" w:rsidP="004D4260">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nd</w:t>
            </w:r>
            <w:r w:rsidRPr="00F97B2D">
              <w:rPr>
                <w:rFonts w:eastAsia="Times New Roman" w:cs="Times New Roman"/>
                <w:b/>
                <w:bCs/>
                <w:i/>
                <w:iCs/>
                <w:color w:val="000000"/>
                <w:szCs w:val="24"/>
                <w:vertAlign w:val="superscript"/>
                <w:lang w:bidi="ar-SA"/>
              </w:rPr>
              <w:t>b</w:t>
            </w:r>
          </w:p>
        </w:tc>
        <w:tc>
          <w:tcPr>
            <w:tcW w:w="1090" w:type="dxa"/>
            <w:tcBorders>
              <w:top w:val="nil"/>
              <w:left w:val="nil"/>
              <w:bottom w:val="single" w:sz="8" w:space="0" w:color="auto"/>
              <w:right w:val="single" w:sz="8" w:space="0" w:color="auto"/>
            </w:tcBorders>
            <w:shd w:val="clear" w:color="auto" w:fill="auto"/>
            <w:vAlign w:val="center"/>
            <w:hideMark/>
          </w:tcPr>
          <w:p w:rsidR="004D4260" w:rsidRPr="00F97B2D" w:rsidRDefault="004D4260" w:rsidP="004D4260">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&gt;250</w:t>
            </w:r>
            <w:r w:rsidRPr="00F97B2D">
              <w:rPr>
                <w:rFonts w:eastAsia="Times New Roman" w:cs="Times New Roman"/>
                <w:b/>
                <w:bCs/>
                <w:i/>
                <w:iCs/>
                <w:color w:val="000000"/>
                <w:szCs w:val="24"/>
                <w:vertAlign w:val="superscript"/>
                <w:lang w:bidi="ar-SA"/>
              </w:rPr>
              <w:t>c</w:t>
            </w:r>
          </w:p>
        </w:tc>
      </w:tr>
      <w:tr w:rsidR="004D4260" w:rsidRPr="00F97B2D" w:rsidTr="00494D40">
        <w:trPr>
          <w:trHeight w:val="288"/>
        </w:trPr>
        <w:tc>
          <w:tcPr>
            <w:tcW w:w="1630" w:type="dxa"/>
            <w:tcBorders>
              <w:top w:val="nil"/>
              <w:left w:val="single" w:sz="8" w:space="0" w:color="auto"/>
              <w:bottom w:val="single" w:sz="8" w:space="0" w:color="auto"/>
              <w:right w:val="single" w:sz="8" w:space="0" w:color="auto"/>
            </w:tcBorders>
            <w:shd w:val="clear" w:color="auto" w:fill="auto"/>
            <w:vAlign w:val="center"/>
            <w:hideMark/>
          </w:tcPr>
          <w:p w:rsidR="004D4260" w:rsidRPr="00F97B2D" w:rsidRDefault="004D4260" w:rsidP="004D4260">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Methylone</w:t>
            </w:r>
          </w:p>
        </w:tc>
        <w:tc>
          <w:tcPr>
            <w:tcW w:w="1090" w:type="dxa"/>
            <w:tcBorders>
              <w:top w:val="nil"/>
              <w:left w:val="nil"/>
              <w:bottom w:val="single" w:sz="8" w:space="0" w:color="auto"/>
              <w:right w:val="single" w:sz="8" w:space="0" w:color="auto"/>
            </w:tcBorders>
            <w:shd w:val="clear" w:color="auto" w:fill="auto"/>
            <w:vAlign w:val="center"/>
            <w:hideMark/>
          </w:tcPr>
          <w:p w:rsidR="004D4260" w:rsidRPr="00F97B2D" w:rsidRDefault="004D4260" w:rsidP="004D4260">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63</w:t>
            </w:r>
          </w:p>
        </w:tc>
        <w:tc>
          <w:tcPr>
            <w:tcW w:w="1090" w:type="dxa"/>
            <w:tcBorders>
              <w:top w:val="nil"/>
              <w:left w:val="nil"/>
              <w:bottom w:val="single" w:sz="8" w:space="0" w:color="auto"/>
              <w:right w:val="single" w:sz="8" w:space="0" w:color="auto"/>
            </w:tcBorders>
            <w:shd w:val="clear" w:color="auto" w:fill="auto"/>
            <w:vAlign w:val="center"/>
            <w:hideMark/>
          </w:tcPr>
          <w:p w:rsidR="004D4260" w:rsidRPr="00F97B2D" w:rsidRDefault="004D4260" w:rsidP="004D4260">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nd</w:t>
            </w:r>
          </w:p>
        </w:tc>
      </w:tr>
      <w:tr w:rsidR="004D4260" w:rsidRPr="00F97B2D" w:rsidTr="00494D40">
        <w:trPr>
          <w:trHeight w:val="288"/>
        </w:trPr>
        <w:tc>
          <w:tcPr>
            <w:tcW w:w="1630" w:type="dxa"/>
            <w:tcBorders>
              <w:top w:val="nil"/>
              <w:left w:val="single" w:sz="8" w:space="0" w:color="auto"/>
              <w:bottom w:val="single" w:sz="8" w:space="0" w:color="auto"/>
              <w:right w:val="single" w:sz="8" w:space="0" w:color="auto"/>
            </w:tcBorders>
            <w:shd w:val="clear" w:color="auto" w:fill="auto"/>
            <w:vAlign w:val="center"/>
            <w:hideMark/>
          </w:tcPr>
          <w:p w:rsidR="004D4260" w:rsidRPr="00F97B2D" w:rsidRDefault="004D4260" w:rsidP="004D4260">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MDA</w:t>
            </w:r>
          </w:p>
        </w:tc>
        <w:tc>
          <w:tcPr>
            <w:tcW w:w="1090" w:type="dxa"/>
            <w:tcBorders>
              <w:top w:val="nil"/>
              <w:left w:val="nil"/>
              <w:bottom w:val="single" w:sz="8" w:space="0" w:color="auto"/>
              <w:right w:val="single" w:sz="8" w:space="0" w:color="auto"/>
            </w:tcBorders>
            <w:shd w:val="clear" w:color="auto" w:fill="auto"/>
            <w:vAlign w:val="center"/>
            <w:hideMark/>
          </w:tcPr>
          <w:p w:rsidR="004D4260" w:rsidRPr="00F97B2D" w:rsidRDefault="004D4260" w:rsidP="004D4260">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nd</w:t>
            </w:r>
          </w:p>
        </w:tc>
        <w:tc>
          <w:tcPr>
            <w:tcW w:w="1090" w:type="dxa"/>
            <w:tcBorders>
              <w:top w:val="nil"/>
              <w:left w:val="nil"/>
              <w:bottom w:val="single" w:sz="8" w:space="0" w:color="auto"/>
              <w:right w:val="single" w:sz="8" w:space="0" w:color="auto"/>
            </w:tcBorders>
            <w:shd w:val="clear" w:color="auto" w:fill="auto"/>
            <w:vAlign w:val="center"/>
            <w:hideMark/>
          </w:tcPr>
          <w:p w:rsidR="004D4260" w:rsidRPr="00F97B2D" w:rsidRDefault="004D4260" w:rsidP="004D4260">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36</w:t>
            </w:r>
          </w:p>
        </w:tc>
      </w:tr>
      <w:tr w:rsidR="004D4260" w:rsidRPr="00F97B2D" w:rsidTr="00494D40">
        <w:trPr>
          <w:trHeight w:val="288"/>
        </w:trPr>
        <w:tc>
          <w:tcPr>
            <w:tcW w:w="1630" w:type="dxa"/>
            <w:tcBorders>
              <w:top w:val="nil"/>
              <w:left w:val="single" w:sz="8" w:space="0" w:color="auto"/>
              <w:bottom w:val="single" w:sz="8" w:space="0" w:color="auto"/>
              <w:right w:val="single" w:sz="8" w:space="0" w:color="auto"/>
            </w:tcBorders>
            <w:shd w:val="clear" w:color="auto" w:fill="auto"/>
            <w:vAlign w:val="center"/>
            <w:hideMark/>
          </w:tcPr>
          <w:p w:rsidR="004D4260" w:rsidRPr="00F97B2D" w:rsidRDefault="004D4260" w:rsidP="004D4260">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MDMA</w:t>
            </w:r>
          </w:p>
        </w:tc>
        <w:tc>
          <w:tcPr>
            <w:tcW w:w="1090" w:type="dxa"/>
            <w:tcBorders>
              <w:top w:val="nil"/>
              <w:left w:val="nil"/>
              <w:bottom w:val="single" w:sz="8" w:space="0" w:color="auto"/>
              <w:right w:val="single" w:sz="8" w:space="0" w:color="auto"/>
            </w:tcBorders>
            <w:shd w:val="clear" w:color="auto" w:fill="auto"/>
            <w:vAlign w:val="center"/>
            <w:hideMark/>
          </w:tcPr>
          <w:p w:rsidR="004D4260" w:rsidRPr="00F97B2D" w:rsidRDefault="004D4260" w:rsidP="004D4260">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58</w:t>
            </w:r>
          </w:p>
        </w:tc>
        <w:tc>
          <w:tcPr>
            <w:tcW w:w="1090" w:type="dxa"/>
            <w:tcBorders>
              <w:top w:val="nil"/>
              <w:left w:val="nil"/>
              <w:bottom w:val="single" w:sz="8" w:space="0" w:color="auto"/>
              <w:right w:val="single" w:sz="8" w:space="0" w:color="auto"/>
            </w:tcBorders>
            <w:shd w:val="clear" w:color="auto" w:fill="auto"/>
            <w:vAlign w:val="center"/>
            <w:hideMark/>
          </w:tcPr>
          <w:p w:rsidR="004D4260" w:rsidRPr="00F97B2D" w:rsidRDefault="004D4260" w:rsidP="004D4260">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115</w:t>
            </w:r>
          </w:p>
        </w:tc>
      </w:tr>
      <w:tr w:rsidR="004D4260" w:rsidRPr="00F97B2D" w:rsidTr="00494D40">
        <w:trPr>
          <w:trHeight w:val="288"/>
        </w:trPr>
        <w:tc>
          <w:tcPr>
            <w:tcW w:w="1630" w:type="dxa"/>
            <w:tcBorders>
              <w:top w:val="nil"/>
              <w:left w:val="single" w:sz="8" w:space="0" w:color="auto"/>
              <w:bottom w:val="single" w:sz="8" w:space="0" w:color="auto"/>
              <w:right w:val="single" w:sz="8" w:space="0" w:color="auto"/>
            </w:tcBorders>
            <w:shd w:val="clear" w:color="auto" w:fill="auto"/>
            <w:vAlign w:val="center"/>
            <w:hideMark/>
          </w:tcPr>
          <w:p w:rsidR="004D4260" w:rsidRPr="00F97B2D" w:rsidRDefault="004D4260" w:rsidP="004D4260">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MDPV</w:t>
            </w:r>
          </w:p>
        </w:tc>
        <w:tc>
          <w:tcPr>
            <w:tcW w:w="1090" w:type="dxa"/>
            <w:tcBorders>
              <w:top w:val="nil"/>
              <w:left w:val="nil"/>
              <w:bottom w:val="single" w:sz="8" w:space="0" w:color="auto"/>
              <w:right w:val="single" w:sz="8" w:space="0" w:color="auto"/>
            </w:tcBorders>
            <w:shd w:val="clear" w:color="auto" w:fill="auto"/>
            <w:vAlign w:val="center"/>
            <w:hideMark/>
          </w:tcPr>
          <w:p w:rsidR="004D4260" w:rsidRPr="00F97B2D" w:rsidRDefault="004D4260" w:rsidP="004D4260">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nd</w:t>
            </w:r>
          </w:p>
        </w:tc>
        <w:tc>
          <w:tcPr>
            <w:tcW w:w="1090" w:type="dxa"/>
            <w:tcBorders>
              <w:top w:val="nil"/>
              <w:left w:val="nil"/>
              <w:bottom w:val="single" w:sz="8" w:space="0" w:color="auto"/>
              <w:right w:val="single" w:sz="8" w:space="0" w:color="auto"/>
            </w:tcBorders>
            <w:shd w:val="clear" w:color="auto" w:fill="auto"/>
            <w:vAlign w:val="center"/>
            <w:hideMark/>
          </w:tcPr>
          <w:p w:rsidR="004D4260" w:rsidRPr="00F97B2D" w:rsidRDefault="004D4260" w:rsidP="004D4260">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11</w:t>
            </w:r>
          </w:p>
        </w:tc>
      </w:tr>
      <w:tr w:rsidR="004D4260" w:rsidRPr="00F97B2D" w:rsidTr="00494D40">
        <w:trPr>
          <w:trHeight w:val="288"/>
        </w:trPr>
        <w:tc>
          <w:tcPr>
            <w:tcW w:w="1630" w:type="dxa"/>
            <w:tcBorders>
              <w:top w:val="nil"/>
              <w:left w:val="single" w:sz="8" w:space="0" w:color="auto"/>
              <w:bottom w:val="single" w:sz="8" w:space="0" w:color="auto"/>
              <w:right w:val="single" w:sz="8" w:space="0" w:color="auto"/>
            </w:tcBorders>
            <w:shd w:val="clear" w:color="auto" w:fill="auto"/>
            <w:vAlign w:val="center"/>
            <w:hideMark/>
          </w:tcPr>
          <w:p w:rsidR="004D4260" w:rsidRPr="00F97B2D" w:rsidRDefault="004D4260" w:rsidP="004D4260">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5-MeO-DiPT</w:t>
            </w:r>
          </w:p>
        </w:tc>
        <w:tc>
          <w:tcPr>
            <w:tcW w:w="1090" w:type="dxa"/>
            <w:tcBorders>
              <w:top w:val="nil"/>
              <w:left w:val="nil"/>
              <w:bottom w:val="single" w:sz="8" w:space="0" w:color="auto"/>
              <w:right w:val="single" w:sz="8" w:space="0" w:color="auto"/>
            </w:tcBorders>
            <w:shd w:val="clear" w:color="auto" w:fill="auto"/>
            <w:vAlign w:val="center"/>
            <w:hideMark/>
          </w:tcPr>
          <w:p w:rsidR="004D4260" w:rsidRPr="00F97B2D" w:rsidRDefault="004D4260" w:rsidP="004D4260">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nd</w:t>
            </w:r>
          </w:p>
        </w:tc>
        <w:tc>
          <w:tcPr>
            <w:tcW w:w="1090" w:type="dxa"/>
            <w:tcBorders>
              <w:top w:val="nil"/>
              <w:left w:val="nil"/>
              <w:bottom w:val="single" w:sz="8" w:space="0" w:color="auto"/>
              <w:right w:val="single" w:sz="8" w:space="0" w:color="auto"/>
            </w:tcBorders>
            <w:shd w:val="clear" w:color="auto" w:fill="auto"/>
            <w:vAlign w:val="center"/>
            <w:hideMark/>
          </w:tcPr>
          <w:p w:rsidR="004D4260" w:rsidRPr="00F97B2D" w:rsidRDefault="004D4260" w:rsidP="004D4260">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&gt;250</w:t>
            </w:r>
            <w:r w:rsidRPr="00F97B2D">
              <w:rPr>
                <w:rFonts w:eastAsia="Times New Roman" w:cs="Times New Roman"/>
                <w:b/>
                <w:bCs/>
                <w:i/>
                <w:iCs/>
                <w:color w:val="000000"/>
                <w:szCs w:val="24"/>
                <w:vertAlign w:val="superscript"/>
                <w:lang w:bidi="ar-SA"/>
              </w:rPr>
              <w:t>c</w:t>
            </w:r>
          </w:p>
        </w:tc>
      </w:tr>
      <w:tr w:rsidR="004D4260" w:rsidRPr="00F97B2D" w:rsidTr="00494D40">
        <w:trPr>
          <w:trHeight w:val="288"/>
        </w:trPr>
        <w:tc>
          <w:tcPr>
            <w:tcW w:w="1630" w:type="dxa"/>
            <w:tcBorders>
              <w:top w:val="nil"/>
              <w:left w:val="single" w:sz="8" w:space="0" w:color="auto"/>
              <w:bottom w:val="single" w:sz="8" w:space="0" w:color="auto"/>
              <w:right w:val="single" w:sz="8" w:space="0" w:color="auto"/>
            </w:tcBorders>
            <w:shd w:val="clear" w:color="auto" w:fill="auto"/>
            <w:vAlign w:val="center"/>
            <w:hideMark/>
          </w:tcPr>
          <w:p w:rsidR="004D4260" w:rsidRPr="00F97B2D" w:rsidRDefault="004D4260" w:rsidP="004D4260">
            <w:pPr>
              <w:spacing w:after="0" w:line="240" w:lineRule="auto"/>
              <w:jc w:val="center"/>
              <w:rPr>
                <w:rFonts w:eastAsia="Times New Roman" w:cs="Times New Roman"/>
                <w:color w:val="000000"/>
                <w:szCs w:val="24"/>
                <w:lang w:bidi="ar-SA"/>
              </w:rPr>
            </w:pPr>
            <w:r w:rsidRPr="00F97B2D">
              <w:rPr>
                <w:rFonts w:eastAsia="Times New Roman" w:cs="Times New Roman"/>
                <w:color w:val="000000"/>
                <w:szCs w:val="24"/>
                <w:lang w:bidi="ar-SA"/>
              </w:rPr>
              <w:t>TFMPP</w:t>
            </w:r>
          </w:p>
        </w:tc>
        <w:tc>
          <w:tcPr>
            <w:tcW w:w="1090" w:type="dxa"/>
            <w:tcBorders>
              <w:top w:val="nil"/>
              <w:left w:val="nil"/>
              <w:bottom w:val="single" w:sz="8" w:space="0" w:color="auto"/>
              <w:right w:val="single" w:sz="8" w:space="0" w:color="auto"/>
            </w:tcBorders>
            <w:shd w:val="clear" w:color="auto" w:fill="auto"/>
            <w:vAlign w:val="center"/>
            <w:hideMark/>
          </w:tcPr>
          <w:p w:rsidR="004D4260" w:rsidRPr="00F97B2D" w:rsidRDefault="004D4260" w:rsidP="004D4260">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nd</w:t>
            </w:r>
          </w:p>
        </w:tc>
        <w:tc>
          <w:tcPr>
            <w:tcW w:w="1090" w:type="dxa"/>
            <w:tcBorders>
              <w:top w:val="nil"/>
              <w:left w:val="nil"/>
              <w:bottom w:val="single" w:sz="8" w:space="0" w:color="auto"/>
              <w:right w:val="single" w:sz="8" w:space="0" w:color="auto"/>
            </w:tcBorders>
            <w:shd w:val="clear" w:color="auto" w:fill="auto"/>
            <w:vAlign w:val="center"/>
            <w:hideMark/>
          </w:tcPr>
          <w:p w:rsidR="004D4260" w:rsidRPr="00F97B2D" w:rsidRDefault="004D4260" w:rsidP="004D4260">
            <w:pPr>
              <w:spacing w:after="0" w:line="240" w:lineRule="auto"/>
              <w:jc w:val="right"/>
              <w:rPr>
                <w:rFonts w:eastAsia="Times New Roman" w:cs="Times New Roman"/>
                <w:color w:val="000000"/>
                <w:szCs w:val="24"/>
                <w:lang w:bidi="ar-SA"/>
              </w:rPr>
            </w:pPr>
            <w:r w:rsidRPr="00F97B2D">
              <w:rPr>
                <w:rFonts w:eastAsia="Times New Roman" w:cs="Times New Roman"/>
                <w:color w:val="000000"/>
                <w:szCs w:val="24"/>
                <w:lang w:bidi="ar-SA"/>
              </w:rPr>
              <w:t>93</w:t>
            </w:r>
          </w:p>
        </w:tc>
      </w:tr>
    </w:tbl>
    <w:p w:rsidR="004D4260" w:rsidRPr="00F97B2D" w:rsidRDefault="004D4260" w:rsidP="004D4260">
      <w:pPr>
        <w:widowControl w:val="0"/>
        <w:spacing w:after="0"/>
        <w:rPr>
          <w:rFonts w:cs="Times New Roman"/>
          <w:szCs w:val="24"/>
        </w:rPr>
      </w:pPr>
      <w:proofErr w:type="gramStart"/>
      <w:r w:rsidRPr="00F97B2D">
        <w:rPr>
          <w:rFonts w:cs="Times New Roman"/>
          <w:b/>
          <w:i/>
          <w:szCs w:val="24"/>
          <w:vertAlign w:val="superscript"/>
        </w:rPr>
        <w:t>a</w:t>
      </w:r>
      <w:proofErr w:type="gramEnd"/>
      <w:r w:rsidRPr="00F97B2D">
        <w:rPr>
          <w:rFonts w:cs="Times New Roman"/>
          <w:b/>
          <w:i/>
          <w:szCs w:val="24"/>
          <w:vertAlign w:val="superscript"/>
        </w:rPr>
        <w:t xml:space="preserve"> </w:t>
      </w:r>
      <w:r w:rsidRPr="00F97B2D">
        <w:rPr>
          <w:rFonts w:cs="Times New Roman"/>
          <w:szCs w:val="24"/>
        </w:rPr>
        <w:t>Data in ng/mL.</w:t>
      </w:r>
    </w:p>
    <w:p w:rsidR="004D4260" w:rsidRPr="00F97B2D" w:rsidRDefault="004D4260" w:rsidP="004D4260">
      <w:pPr>
        <w:widowControl w:val="0"/>
        <w:spacing w:after="0"/>
        <w:rPr>
          <w:rFonts w:cs="Times New Roman"/>
          <w:szCs w:val="24"/>
        </w:rPr>
      </w:pPr>
      <w:proofErr w:type="gramStart"/>
      <w:r w:rsidRPr="00F97B2D">
        <w:rPr>
          <w:rFonts w:cs="Times New Roman"/>
          <w:b/>
          <w:i/>
          <w:szCs w:val="24"/>
          <w:vertAlign w:val="superscript"/>
        </w:rPr>
        <w:t>b</w:t>
      </w:r>
      <w:proofErr w:type="gramEnd"/>
      <w:r w:rsidRPr="00F97B2D">
        <w:rPr>
          <w:rFonts w:cs="Times New Roman"/>
          <w:b/>
          <w:i/>
          <w:szCs w:val="24"/>
          <w:vertAlign w:val="superscript"/>
        </w:rPr>
        <w:t xml:space="preserve"> </w:t>
      </w:r>
      <w:r w:rsidRPr="00F97B2D">
        <w:rPr>
          <w:rFonts w:cs="Times New Roman"/>
          <w:szCs w:val="24"/>
        </w:rPr>
        <w:t>Not detected.</w:t>
      </w:r>
    </w:p>
    <w:p w:rsidR="00B07CC2" w:rsidRPr="00A944B9" w:rsidRDefault="004D4260" w:rsidP="00A944B9">
      <w:pPr>
        <w:widowControl w:val="0"/>
        <w:spacing w:after="0"/>
        <w:rPr>
          <w:rFonts w:cs="Times New Roman"/>
          <w:szCs w:val="24"/>
        </w:rPr>
      </w:pPr>
      <w:proofErr w:type="gramStart"/>
      <w:r w:rsidRPr="00F97B2D">
        <w:rPr>
          <w:rFonts w:cs="Times New Roman"/>
          <w:b/>
          <w:i/>
          <w:szCs w:val="24"/>
          <w:vertAlign w:val="superscript"/>
        </w:rPr>
        <w:t>c</w:t>
      </w:r>
      <w:proofErr w:type="gramEnd"/>
      <w:r w:rsidRPr="00F97B2D">
        <w:rPr>
          <w:rFonts w:cs="Times New Roman"/>
          <w:szCs w:val="24"/>
        </w:rPr>
        <w:t xml:space="preserve"> Present abo</w:t>
      </w:r>
      <w:r w:rsidR="00875BFC">
        <w:rPr>
          <w:rFonts w:cs="Times New Roman"/>
          <w:szCs w:val="24"/>
        </w:rPr>
        <w:t>ve highest calibration level</w:t>
      </w:r>
    </w:p>
    <w:p w:rsidR="008C1AC3" w:rsidRDefault="00D17B95" w:rsidP="004C38D6">
      <w:pPr>
        <w:autoSpaceDE w:val="0"/>
        <w:autoSpaceDN w:val="0"/>
        <w:adjustRightInd w:val="0"/>
        <w:spacing w:before="240" w:after="0" w:line="480" w:lineRule="auto"/>
        <w:ind w:firstLine="720"/>
        <w:rPr>
          <w:rFonts w:cs="Times New Roman"/>
          <w:color w:val="131413"/>
          <w:szCs w:val="24"/>
          <w:lang w:bidi="ar-SA"/>
        </w:rPr>
      </w:pPr>
      <w:r w:rsidRPr="00F97B2D">
        <w:rPr>
          <w:rFonts w:cs="Times New Roman"/>
          <w:color w:val="131413"/>
          <w:szCs w:val="24"/>
          <w:lang w:bidi="ar-SA"/>
        </w:rPr>
        <w:t xml:space="preserve">The concentrations of BZP and 5-MeO-DiPT were greater than the upper limit of quantification and would need to be re-analyzed after performing a sample dilution in order to ensure that they would be within the linear range. </w:t>
      </w:r>
      <w:r w:rsidR="000B1037" w:rsidRPr="00F97B2D">
        <w:rPr>
          <w:rFonts w:cs="Times New Roman"/>
          <w:color w:val="131413"/>
          <w:szCs w:val="24"/>
          <w:lang w:bidi="ar-SA"/>
        </w:rPr>
        <w:t xml:space="preserve"> </w:t>
      </w:r>
      <w:r w:rsidRPr="00F97B2D">
        <w:rPr>
          <w:rFonts w:cs="Times New Roman"/>
          <w:color w:val="131413"/>
          <w:szCs w:val="24"/>
          <w:lang w:bidi="ar-SA"/>
        </w:rPr>
        <w:t xml:space="preserve">Insufficient sample volume was available for dilution of these specimens in the present study. </w:t>
      </w:r>
      <w:r w:rsidR="000B1037" w:rsidRPr="00F97B2D">
        <w:rPr>
          <w:rFonts w:cs="Times New Roman"/>
          <w:color w:val="131413"/>
          <w:szCs w:val="24"/>
          <w:lang w:bidi="ar-SA"/>
        </w:rPr>
        <w:t xml:space="preserve"> </w:t>
      </w:r>
      <w:r w:rsidRPr="00F97B2D">
        <w:rPr>
          <w:rFonts w:cs="Times New Roman"/>
          <w:color w:val="131413"/>
          <w:szCs w:val="24"/>
          <w:lang w:bidi="ar-SA"/>
        </w:rPr>
        <w:t>Future experiments assessing the validity of this additional step would need to be performed in order to determine precision and accuracy of diluted samples.</w:t>
      </w:r>
      <w:r w:rsidR="000B1037" w:rsidRPr="00F97B2D">
        <w:rPr>
          <w:rFonts w:cs="Times New Roman"/>
          <w:color w:val="131413"/>
          <w:szCs w:val="24"/>
          <w:lang w:bidi="ar-SA"/>
        </w:rPr>
        <w:t xml:space="preserve"> </w:t>
      </w:r>
      <w:r w:rsidRPr="00F97B2D">
        <w:rPr>
          <w:rFonts w:cs="Times New Roman"/>
          <w:color w:val="131413"/>
          <w:szCs w:val="24"/>
          <w:lang w:bidi="ar-SA"/>
        </w:rPr>
        <w:t xml:space="preserve"> In addition, these values were extremely high relative to some other reported cases and were probably contributing factors to the decedent’s death.</w:t>
      </w:r>
      <w:sdt>
        <w:sdtPr>
          <w:rPr>
            <w:rFonts w:cs="Times New Roman"/>
            <w:color w:val="131413"/>
            <w:szCs w:val="24"/>
            <w:lang w:bidi="ar-SA"/>
          </w:rPr>
          <w:id w:val="68920814"/>
          <w:citation/>
        </w:sdtPr>
        <w:sdtEndPr/>
        <w:sdtContent>
          <w:r w:rsidR="000E239B" w:rsidRPr="00420938">
            <w:rPr>
              <w:rStyle w:val="In-TextCitation"/>
            </w:rPr>
            <w:fldChar w:fldCharType="begin"/>
          </w:r>
          <w:r w:rsidR="004D4260" w:rsidRPr="00420938">
            <w:rPr>
              <w:rStyle w:val="In-TextCitation"/>
            </w:rPr>
            <w:instrText xml:space="preserve"> CITATION SEl08 \l 1033  \m ETa06</w:instrText>
          </w:r>
          <w:r w:rsidR="000E239B" w:rsidRPr="00420938">
            <w:rPr>
              <w:rStyle w:val="In-TextCitation"/>
            </w:rPr>
            <w:fldChar w:fldCharType="separate"/>
          </w:r>
          <w:r w:rsidR="00420938" w:rsidRPr="00420938">
            <w:rPr>
              <w:rStyle w:val="In-TextCitation"/>
            </w:rPr>
            <w:t>(</w:t>
          </w:r>
          <w:hyperlink w:anchor="SEl08" w:history="1">
            <w:r w:rsidR="00420938" w:rsidRPr="00420938">
              <w:rPr>
                <w:rStyle w:val="In-TextCitation"/>
              </w:rPr>
              <w:t>2</w:t>
            </w:r>
          </w:hyperlink>
          <w:r w:rsidR="00420938" w:rsidRPr="00420938">
            <w:rPr>
              <w:rStyle w:val="In-TextCitation"/>
            </w:rPr>
            <w:t>,</w:t>
          </w:r>
          <w:hyperlink w:anchor="ETa06" w:history="1">
            <w:r w:rsidR="00420938" w:rsidRPr="00420938">
              <w:rPr>
                <w:rStyle w:val="In-TextCitation"/>
              </w:rPr>
              <w:t>6</w:t>
            </w:r>
          </w:hyperlink>
          <w:r w:rsidR="00420938" w:rsidRPr="00420938">
            <w:rPr>
              <w:rStyle w:val="In-TextCitation"/>
            </w:rPr>
            <w:t>)</w:t>
          </w:r>
          <w:r w:rsidR="000E239B" w:rsidRPr="00420938">
            <w:rPr>
              <w:rStyle w:val="In-TextCitation"/>
            </w:rPr>
            <w:fldChar w:fldCharType="end"/>
          </w:r>
        </w:sdtContent>
      </w:sdt>
      <w:r w:rsidR="000B1037" w:rsidRPr="00F97B2D">
        <w:rPr>
          <w:rFonts w:cs="Times New Roman"/>
          <w:color w:val="131413"/>
          <w:szCs w:val="24"/>
          <w:lang w:bidi="ar-SA"/>
        </w:rPr>
        <w:t xml:space="preserve"> </w:t>
      </w:r>
      <w:r w:rsidRPr="00F97B2D">
        <w:rPr>
          <w:rFonts w:cs="Times New Roman"/>
          <w:color w:val="131413"/>
          <w:szCs w:val="24"/>
          <w:lang w:bidi="ar-SA"/>
        </w:rPr>
        <w:t xml:space="preserve"> It is important to note that the calibration curve for </w:t>
      </w:r>
      <w:r w:rsidR="003E02AC">
        <w:rPr>
          <w:rFonts w:cs="Times New Roman"/>
          <w:color w:val="131413"/>
          <w:szCs w:val="24"/>
          <w:lang w:bidi="ar-SA"/>
        </w:rPr>
        <w:t>5-MeO-DiPT</w:t>
      </w:r>
      <w:r w:rsidRPr="00F97B2D">
        <w:rPr>
          <w:rFonts w:cs="Times New Roman"/>
          <w:color w:val="131413"/>
          <w:szCs w:val="24"/>
          <w:lang w:bidi="ar-SA"/>
        </w:rPr>
        <w:t xml:space="preserve"> and the daily QC samples were acceptable on the day that these samples were analyzed.</w:t>
      </w:r>
      <w:r w:rsidR="000B1037" w:rsidRPr="00F97B2D">
        <w:rPr>
          <w:rFonts w:cs="Times New Roman"/>
          <w:color w:val="131413"/>
          <w:szCs w:val="24"/>
          <w:lang w:bidi="ar-SA"/>
        </w:rPr>
        <w:t xml:space="preserve"> </w:t>
      </w:r>
      <w:r w:rsidRPr="00F97B2D">
        <w:rPr>
          <w:rFonts w:cs="Times New Roman"/>
          <w:color w:val="131413"/>
          <w:szCs w:val="24"/>
          <w:lang w:bidi="ar-SA"/>
        </w:rPr>
        <w:t xml:space="preserve"> It is not uncommon to see the combination of BZP with TFMPP, as was noted for Case 2.</w:t>
      </w:r>
      <w:sdt>
        <w:sdtPr>
          <w:rPr>
            <w:rFonts w:cs="Times New Roman"/>
            <w:color w:val="131413"/>
            <w:szCs w:val="24"/>
            <w:lang w:bidi="ar-SA"/>
          </w:rPr>
          <w:id w:val="68920815"/>
          <w:citation/>
        </w:sdtPr>
        <w:sdtEndPr/>
        <w:sdtContent>
          <w:r w:rsidR="000E239B" w:rsidRPr="00420938">
            <w:rPr>
              <w:rStyle w:val="In-TextCitation"/>
            </w:rPr>
            <w:fldChar w:fldCharType="begin"/>
          </w:r>
          <w:r w:rsidR="004D4260" w:rsidRPr="00420938">
            <w:rPr>
              <w:rStyle w:val="In-TextCitation"/>
            </w:rPr>
            <w:instrText xml:space="preserve"> CITATION SEl08 \l 1033  \m Coh11</w:instrText>
          </w:r>
          <w:r w:rsidR="000E239B" w:rsidRPr="00420938">
            <w:rPr>
              <w:rStyle w:val="In-TextCitation"/>
            </w:rPr>
            <w:fldChar w:fldCharType="separate"/>
          </w:r>
          <w:r w:rsidR="00420938" w:rsidRPr="00420938">
            <w:rPr>
              <w:rStyle w:val="In-TextCitation"/>
            </w:rPr>
            <w:t>(</w:t>
          </w:r>
          <w:hyperlink w:anchor="SEl08" w:history="1">
            <w:r w:rsidR="00420938" w:rsidRPr="00420938">
              <w:rPr>
                <w:rStyle w:val="In-TextCitation"/>
              </w:rPr>
              <w:t>2</w:t>
            </w:r>
          </w:hyperlink>
          <w:r w:rsidR="00420938" w:rsidRPr="00420938">
            <w:rPr>
              <w:rStyle w:val="In-TextCitation"/>
            </w:rPr>
            <w:t>,</w:t>
          </w:r>
          <w:hyperlink w:anchor="Coh11" w:history="1">
            <w:r w:rsidR="00420938" w:rsidRPr="00420938">
              <w:rPr>
                <w:rStyle w:val="In-TextCitation"/>
              </w:rPr>
              <w:t>138</w:t>
            </w:r>
          </w:hyperlink>
          <w:r w:rsidR="00420938" w:rsidRPr="00420938">
            <w:rPr>
              <w:rStyle w:val="In-TextCitation"/>
            </w:rPr>
            <w:t>)</w:t>
          </w:r>
          <w:r w:rsidR="000E239B" w:rsidRPr="00420938">
            <w:rPr>
              <w:rStyle w:val="In-TextCitation"/>
            </w:rPr>
            <w:fldChar w:fldCharType="end"/>
          </w:r>
        </w:sdtContent>
      </w:sdt>
      <w:r w:rsidRPr="00F97B2D">
        <w:rPr>
          <w:rFonts w:cs="Times New Roman"/>
          <w:color w:val="131413"/>
          <w:szCs w:val="24"/>
          <w:lang w:bidi="ar-SA"/>
        </w:rPr>
        <w:t xml:space="preserve"> </w:t>
      </w:r>
      <w:r w:rsidR="000B1037" w:rsidRPr="00F97B2D">
        <w:rPr>
          <w:rFonts w:cs="Times New Roman"/>
          <w:color w:val="131413"/>
          <w:szCs w:val="24"/>
          <w:lang w:bidi="ar-SA"/>
        </w:rPr>
        <w:t xml:space="preserve"> </w:t>
      </w:r>
      <w:r w:rsidRPr="00F97B2D">
        <w:rPr>
          <w:rFonts w:cs="Times New Roman"/>
          <w:color w:val="131413"/>
          <w:szCs w:val="24"/>
          <w:lang w:bidi="ar-SA"/>
        </w:rPr>
        <w:t xml:space="preserve">The concentrations of the other compounds detected were comparable to those that were initially quantified by the submitting laboratory. </w:t>
      </w:r>
      <w:r w:rsidR="000B1037" w:rsidRPr="00F97B2D">
        <w:rPr>
          <w:rFonts w:cs="Times New Roman"/>
          <w:color w:val="131413"/>
          <w:szCs w:val="24"/>
          <w:lang w:bidi="ar-SA"/>
        </w:rPr>
        <w:t xml:space="preserve"> </w:t>
      </w:r>
      <w:r w:rsidRPr="00F97B2D">
        <w:rPr>
          <w:rFonts w:cs="Times New Roman"/>
          <w:color w:val="131413"/>
          <w:szCs w:val="24"/>
          <w:lang w:bidi="ar-SA"/>
        </w:rPr>
        <w:t xml:space="preserve">Significantly, MDPV was found in Case 2 by the present method but had been missed in the initial GC-MS screens. </w:t>
      </w:r>
      <w:r w:rsidR="000B1037" w:rsidRPr="00F97B2D">
        <w:rPr>
          <w:rFonts w:cs="Times New Roman"/>
          <w:color w:val="131413"/>
          <w:szCs w:val="24"/>
          <w:lang w:bidi="ar-SA"/>
        </w:rPr>
        <w:t xml:space="preserve"> </w:t>
      </w:r>
      <w:r w:rsidRPr="00F97B2D">
        <w:rPr>
          <w:rFonts w:cs="Times New Roman"/>
          <w:color w:val="131413"/>
          <w:szCs w:val="24"/>
          <w:lang w:bidi="ar-SA"/>
        </w:rPr>
        <w:t xml:space="preserve">The presence of “bath salts” was confirmed for both cases (methylone and MDPV, respectively) and establishes that these compounds are present in the local community. </w:t>
      </w:r>
      <w:r w:rsidR="000B1037" w:rsidRPr="00F97B2D">
        <w:rPr>
          <w:rFonts w:cs="Times New Roman"/>
          <w:color w:val="131413"/>
          <w:szCs w:val="24"/>
          <w:lang w:bidi="ar-SA"/>
        </w:rPr>
        <w:t xml:space="preserve"> </w:t>
      </w:r>
      <w:r w:rsidRPr="00F97B2D">
        <w:rPr>
          <w:rFonts w:cs="Times New Roman"/>
          <w:color w:val="131413"/>
          <w:szCs w:val="24"/>
          <w:lang w:bidi="ar-SA"/>
        </w:rPr>
        <w:t xml:space="preserve">As the validated serum extraction procedure was adapted to whole blood in these cases, additional validation studies </w:t>
      </w:r>
      <w:r w:rsidR="000B1037" w:rsidRPr="00F97B2D">
        <w:rPr>
          <w:rFonts w:cs="Times New Roman"/>
          <w:color w:val="131413"/>
          <w:szCs w:val="24"/>
          <w:lang w:bidi="ar-SA"/>
        </w:rPr>
        <w:t>would be investigated in the future</w:t>
      </w:r>
      <w:r w:rsidRPr="00F97B2D">
        <w:rPr>
          <w:rFonts w:cs="Times New Roman"/>
          <w:color w:val="131413"/>
          <w:szCs w:val="24"/>
          <w:lang w:bidi="ar-SA"/>
        </w:rPr>
        <w:t xml:space="preserve"> for this type of biological specimen, particularly with regard to matrix effects and recovery.</w:t>
      </w:r>
    </w:p>
    <w:p w:rsidR="00875BFC" w:rsidRDefault="00875BFC" w:rsidP="00875BFC">
      <w:pPr>
        <w:keepNext/>
        <w:autoSpaceDE w:val="0"/>
        <w:autoSpaceDN w:val="0"/>
        <w:adjustRightInd w:val="0"/>
        <w:spacing w:after="0" w:line="480" w:lineRule="auto"/>
      </w:pPr>
      <w:r>
        <w:rPr>
          <w:rFonts w:cs="Times New Roman"/>
          <w:noProof/>
          <w:color w:val="131413"/>
          <w:szCs w:val="24"/>
          <w:lang w:bidi="ar-SA"/>
        </w:rPr>
        <w:drawing>
          <wp:inline distT="0" distB="0" distL="0" distR="0">
            <wp:extent cx="5303520" cy="315407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7">
                      <a:extLst>
                        <a:ext uri="{28A0092B-C50C-407E-A947-70E740481C1C}">
                          <a14:useLocalDpi xmlns:a14="http://schemas.microsoft.com/office/drawing/2010/main" val="0"/>
                        </a:ext>
                      </a:extLst>
                    </a:blip>
                    <a:srcRect l="-1" t="-2642" r="-1084" b="-1987"/>
                    <a:stretch/>
                  </pic:blipFill>
                  <pic:spPr bwMode="auto">
                    <a:xfrm>
                      <a:off x="0" y="0"/>
                      <a:ext cx="5303520" cy="3154076"/>
                    </a:xfrm>
                    <a:prstGeom prst="rect">
                      <a:avLst/>
                    </a:prstGeom>
                    <a:noFill/>
                    <a:ln>
                      <a:noFill/>
                    </a:ln>
                    <a:extLst>
                      <a:ext uri="{53640926-AAD7-44D8-BBD7-CCE9431645EC}">
                        <a14:shadowObscured xmlns:a14="http://schemas.microsoft.com/office/drawing/2010/main"/>
                      </a:ext>
                    </a:extLst>
                  </pic:spPr>
                </pic:pic>
              </a:graphicData>
            </a:graphic>
          </wp:inline>
        </w:drawing>
      </w:r>
    </w:p>
    <w:p w:rsidR="00875BFC" w:rsidRDefault="00875BFC" w:rsidP="00875BFC">
      <w:pPr>
        <w:pStyle w:val="Caption"/>
        <w:jc w:val="left"/>
      </w:pPr>
      <w:bookmarkStart w:id="240" w:name="_Ref364077969"/>
      <w:bookmarkStart w:id="241" w:name="_Toc372536135"/>
      <w:r>
        <w:t xml:space="preserve">Figure </w:t>
      </w:r>
      <w:r w:rsidR="000E239B">
        <w:fldChar w:fldCharType="begin"/>
      </w:r>
      <w:r>
        <w:instrText xml:space="preserve"> SEQ Figure \* ARABIC </w:instrText>
      </w:r>
      <w:r w:rsidR="000E239B">
        <w:fldChar w:fldCharType="separate"/>
      </w:r>
      <w:r w:rsidR="00E37796">
        <w:rPr>
          <w:noProof/>
        </w:rPr>
        <w:t>8</w:t>
      </w:r>
      <w:r w:rsidR="000E239B">
        <w:fldChar w:fldCharType="end"/>
      </w:r>
      <w:bookmarkEnd w:id="240"/>
      <w:r>
        <w:t>: Chromatogram of Case 1 (counts vs. acquisition time)</w:t>
      </w:r>
      <w:bookmarkEnd w:id="241"/>
    </w:p>
    <w:p w:rsidR="00875BFC" w:rsidRDefault="00875BFC" w:rsidP="00875BFC"/>
    <w:p w:rsidR="00875BFC" w:rsidRDefault="00875BFC" w:rsidP="00875BFC">
      <w:pPr>
        <w:keepNext/>
      </w:pPr>
      <w:r>
        <w:rPr>
          <w:noProof/>
          <w:lang w:bidi="ar-SA"/>
        </w:rPr>
        <w:drawing>
          <wp:inline distT="0" distB="0" distL="0" distR="0">
            <wp:extent cx="5303520" cy="316575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8">
                      <a:extLst>
                        <a:ext uri="{28A0092B-C50C-407E-A947-70E740481C1C}">
                          <a14:useLocalDpi xmlns:a14="http://schemas.microsoft.com/office/drawing/2010/main" val="0"/>
                        </a:ext>
                      </a:extLst>
                    </a:blip>
                    <a:srcRect l="-746" t="-2599" b="-2138"/>
                    <a:stretch/>
                  </pic:blipFill>
                  <pic:spPr bwMode="auto">
                    <a:xfrm>
                      <a:off x="0" y="0"/>
                      <a:ext cx="5303520" cy="3165758"/>
                    </a:xfrm>
                    <a:prstGeom prst="rect">
                      <a:avLst/>
                    </a:prstGeom>
                    <a:noFill/>
                    <a:ln>
                      <a:noFill/>
                    </a:ln>
                    <a:extLst>
                      <a:ext uri="{53640926-AAD7-44D8-BBD7-CCE9431645EC}">
                        <a14:shadowObscured xmlns:a14="http://schemas.microsoft.com/office/drawing/2010/main"/>
                      </a:ext>
                    </a:extLst>
                  </pic:spPr>
                </pic:pic>
              </a:graphicData>
            </a:graphic>
          </wp:inline>
        </w:drawing>
      </w:r>
    </w:p>
    <w:p w:rsidR="00875BFC" w:rsidRPr="00875BFC" w:rsidRDefault="00875BFC" w:rsidP="00B07CC2">
      <w:pPr>
        <w:pStyle w:val="Caption"/>
        <w:jc w:val="left"/>
      </w:pPr>
      <w:bookmarkStart w:id="242" w:name="_Ref364077977"/>
      <w:bookmarkStart w:id="243" w:name="_Toc372536136"/>
      <w:r>
        <w:t xml:space="preserve">Figure </w:t>
      </w:r>
      <w:r w:rsidR="000E239B">
        <w:fldChar w:fldCharType="begin"/>
      </w:r>
      <w:r>
        <w:instrText xml:space="preserve"> SEQ Figure \* ARABIC </w:instrText>
      </w:r>
      <w:r w:rsidR="000E239B">
        <w:fldChar w:fldCharType="separate"/>
      </w:r>
      <w:r w:rsidR="00E37796">
        <w:rPr>
          <w:noProof/>
        </w:rPr>
        <w:t>9</w:t>
      </w:r>
      <w:r w:rsidR="000E239B">
        <w:fldChar w:fldCharType="end"/>
      </w:r>
      <w:bookmarkEnd w:id="242"/>
      <w:r>
        <w:t>: Chromatogram of Case 2 (counts vs. acquisition time)</w:t>
      </w:r>
      <w:bookmarkEnd w:id="243"/>
    </w:p>
    <w:p w:rsidR="00B20DFC" w:rsidRDefault="00B20DFC" w:rsidP="00F97B2D">
      <w:pPr>
        <w:pStyle w:val="Heading2"/>
        <w:sectPr w:rsidR="00B20DFC" w:rsidSect="00005A65">
          <w:pgSz w:w="12240" w:h="15840" w:code="1"/>
          <w:pgMar w:top="1440" w:right="1440" w:bottom="1800" w:left="2160" w:header="720" w:footer="720" w:gutter="0"/>
          <w:cols w:space="720"/>
          <w:docGrid w:linePitch="360"/>
        </w:sectPr>
      </w:pPr>
    </w:p>
    <w:p w:rsidR="004F4AE4" w:rsidRPr="00F97B2D" w:rsidRDefault="004F4AE4" w:rsidP="00F97B2D">
      <w:pPr>
        <w:pStyle w:val="Heading2"/>
      </w:pPr>
      <w:bookmarkStart w:id="244" w:name="_Toc372536096"/>
      <w:bookmarkStart w:id="245" w:name="_Toc372538759"/>
      <w:r w:rsidRPr="00F97B2D">
        <w:t>Conclusions</w:t>
      </w:r>
      <w:bookmarkEnd w:id="244"/>
      <w:bookmarkEnd w:id="245"/>
    </w:p>
    <w:p w:rsidR="000B1037" w:rsidRPr="00F97B2D" w:rsidRDefault="000B1037" w:rsidP="000B1037">
      <w:pPr>
        <w:autoSpaceDE w:val="0"/>
        <w:autoSpaceDN w:val="0"/>
        <w:adjustRightInd w:val="0"/>
        <w:spacing w:after="0" w:line="480" w:lineRule="auto"/>
        <w:ind w:firstLine="720"/>
        <w:rPr>
          <w:rFonts w:cs="Times New Roman"/>
          <w:color w:val="131413"/>
          <w:szCs w:val="24"/>
          <w:lang w:bidi="ar-SA"/>
        </w:rPr>
      </w:pPr>
      <w:r w:rsidRPr="00F97B2D">
        <w:rPr>
          <w:rFonts w:cs="Times New Roman"/>
          <w:color w:val="131413"/>
          <w:szCs w:val="24"/>
          <w:lang w:bidi="ar-SA"/>
        </w:rPr>
        <w:t>A LC-QQQ-MS/MS assay developed for the determination of 32 important designer drug entities in serum was fully validated for 27 analytes as per international guidelines.  The remaining analytes, all from the tryptamine group, did not completely meet the criteria for precision and accuracy.  Consequently, the method can only be considered semi-quantitative with regard to these compounds, necessitating the use of daily calibration curves and QC samples for acceptability.  The extraction was successfully applied to serum specimens with high recovery and minimal matrix effects.  In addition, the method was also effectively utilized for the analysis of two forensic whole blood specimens suspected of involving bath salts.  This comprehensive technique has demonstrated value as a validated analytical assay with applicability to forensic toxicological casework.  It is currently being expanded to encompass many additional designer drugs that have been introduced to the illicit market since the conclusion of this project.</w:t>
      </w:r>
    </w:p>
    <w:p w:rsidR="004F4AE4" w:rsidRPr="00F97B2D" w:rsidRDefault="004F4AE4">
      <w:pPr>
        <w:rPr>
          <w:rFonts w:eastAsiaTheme="majorEastAsia" w:cs="Times New Roman"/>
          <w:bCs/>
          <w:szCs w:val="24"/>
        </w:rPr>
      </w:pPr>
      <w:r w:rsidRPr="00F97B2D">
        <w:rPr>
          <w:szCs w:val="24"/>
        </w:rPr>
        <w:br w:type="page"/>
      </w:r>
    </w:p>
    <w:p w:rsidR="004F4AE4" w:rsidRPr="00F97B2D" w:rsidRDefault="00694CE8" w:rsidP="00F97B2D">
      <w:pPr>
        <w:pStyle w:val="Heading1"/>
      </w:pPr>
      <w:bookmarkStart w:id="246" w:name="_Toc372536097"/>
      <w:bookmarkStart w:id="247" w:name="_Toc372538760"/>
      <w:r w:rsidRPr="00F97B2D">
        <w:t>ANALYSIS OF FORENSIC CASE SAMPLES</w:t>
      </w:r>
      <w:bookmarkEnd w:id="246"/>
      <w:bookmarkEnd w:id="247"/>
    </w:p>
    <w:p w:rsidR="004F4AE4" w:rsidRPr="002625AE" w:rsidRDefault="004F4AE4" w:rsidP="00F97B2D">
      <w:pPr>
        <w:pStyle w:val="Heading2"/>
      </w:pPr>
      <w:bookmarkStart w:id="248" w:name="_Toc372536098"/>
      <w:bookmarkStart w:id="249" w:name="_Toc372538761"/>
      <w:r w:rsidRPr="002625AE">
        <w:t>Overview</w:t>
      </w:r>
      <w:bookmarkEnd w:id="248"/>
      <w:bookmarkEnd w:id="249"/>
    </w:p>
    <w:p w:rsidR="002625AE" w:rsidRPr="002625AE" w:rsidRDefault="002625AE" w:rsidP="002625AE">
      <w:pPr>
        <w:spacing w:line="480" w:lineRule="auto"/>
        <w:ind w:firstLine="720"/>
        <w:rPr>
          <w:szCs w:val="24"/>
        </w:rPr>
      </w:pPr>
      <w:r w:rsidRPr="00F97B2D">
        <w:rPr>
          <w:szCs w:val="24"/>
        </w:rPr>
        <w:t xml:space="preserve">In forensic science, one of the most important tasks in regard to method development is the application.  </w:t>
      </w:r>
      <w:r w:rsidR="004F48B7">
        <w:rPr>
          <w:szCs w:val="24"/>
        </w:rPr>
        <w:t>S</w:t>
      </w:r>
      <w:r w:rsidRPr="00F97B2D">
        <w:rPr>
          <w:szCs w:val="24"/>
        </w:rPr>
        <w:t>pecimens were analyzed by both immunoassays and the confirmatory LC-MS method</w:t>
      </w:r>
      <w:r>
        <w:rPr>
          <w:szCs w:val="24"/>
        </w:rPr>
        <w:t xml:space="preserve"> that was previously validated</w:t>
      </w:r>
      <w:r w:rsidRPr="00F97B2D">
        <w:rPr>
          <w:szCs w:val="24"/>
        </w:rPr>
        <w:t>.  Th</w:t>
      </w:r>
      <w:r w:rsidR="004F48B7">
        <w:rPr>
          <w:szCs w:val="24"/>
        </w:rPr>
        <w:t>e</w:t>
      </w:r>
      <w:r w:rsidRPr="00F97B2D">
        <w:rPr>
          <w:szCs w:val="24"/>
        </w:rPr>
        <w:t xml:space="preserve"> dual-analysis allowed for true comparison of the two techniques (immunoassay and LC-MS) as well as assessment of the comprehensive LC-MS method </w:t>
      </w:r>
      <w:r w:rsidRPr="002625AE">
        <w:rPr>
          <w:szCs w:val="24"/>
        </w:rPr>
        <w:t>when applied towards forensic case samples.</w:t>
      </w:r>
    </w:p>
    <w:p w:rsidR="004F4AE4" w:rsidRPr="002625AE" w:rsidRDefault="004F4AE4" w:rsidP="00F97B2D">
      <w:pPr>
        <w:pStyle w:val="Heading2"/>
      </w:pPr>
      <w:bookmarkStart w:id="250" w:name="_Toc372536099"/>
      <w:bookmarkStart w:id="251" w:name="_Toc372538762"/>
      <w:r w:rsidRPr="002625AE">
        <w:t>Introduction</w:t>
      </w:r>
      <w:bookmarkEnd w:id="250"/>
      <w:bookmarkEnd w:id="251"/>
    </w:p>
    <w:p w:rsidR="00737177" w:rsidRPr="002625AE" w:rsidRDefault="002625AE" w:rsidP="00737177">
      <w:pPr>
        <w:spacing w:line="480" w:lineRule="auto"/>
        <w:ind w:firstLine="720"/>
      </w:pPr>
      <w:r w:rsidRPr="002625AE">
        <w:t>Obtain</w:t>
      </w:r>
      <w:r>
        <w:t>ing biological case samples from forensic laboratories is very difficult due to pending investigations and following proper chain-of-custody.  In an attempt to compare the immunoassay and confirmatory techniques previously described in Chapters 3 and 4, specimens were prepared in a blind study by the research advisor at varying concentrations and in various</w:t>
      </w:r>
      <w:r w:rsidR="006E467F">
        <w:t xml:space="preserve"> combinations in order to </w:t>
      </w:r>
      <w:r>
        <w:t xml:space="preserve">test the screening capabilities of the two methods </w:t>
      </w:r>
      <w:r w:rsidR="006E467F">
        <w:t xml:space="preserve">in an unbiased manner </w:t>
      </w:r>
      <w:r>
        <w:t>and confirm any false positives or false negatives that might occur.</w:t>
      </w:r>
      <w:r w:rsidR="00737177">
        <w:t xml:space="preserve">  In addition, several </w:t>
      </w:r>
      <w:r w:rsidR="006E467F">
        <w:t xml:space="preserve">authentic </w:t>
      </w:r>
      <w:r w:rsidR="00737177">
        <w:t>forensic specimens were received from Palm Beach County Sheriff’s Office Toxicology Unit.</w:t>
      </w:r>
      <w:r>
        <w:t xml:space="preserve"> </w:t>
      </w:r>
    </w:p>
    <w:p w:rsidR="00F30241" w:rsidRPr="00F97B2D" w:rsidRDefault="00F30241" w:rsidP="00F97B2D">
      <w:pPr>
        <w:pStyle w:val="Heading2"/>
      </w:pPr>
      <w:bookmarkStart w:id="252" w:name="_Ref362871422"/>
      <w:bookmarkStart w:id="253" w:name="_Toc372536100"/>
      <w:bookmarkStart w:id="254" w:name="_Toc372538763"/>
      <w:r w:rsidRPr="00F97B2D">
        <w:t>Materials and Methods</w:t>
      </w:r>
      <w:bookmarkEnd w:id="252"/>
      <w:bookmarkEnd w:id="253"/>
      <w:bookmarkEnd w:id="254"/>
    </w:p>
    <w:p w:rsidR="00403950" w:rsidRPr="00F97B2D" w:rsidRDefault="00403950" w:rsidP="00F97B2D">
      <w:pPr>
        <w:pStyle w:val="Heading3"/>
      </w:pPr>
      <w:bookmarkStart w:id="255" w:name="_Toc372536101"/>
      <w:bookmarkStart w:id="256" w:name="_Toc372538764"/>
      <w:r w:rsidRPr="00F97B2D">
        <w:t>Materials</w:t>
      </w:r>
      <w:bookmarkEnd w:id="255"/>
      <w:bookmarkEnd w:id="256"/>
    </w:p>
    <w:p w:rsidR="004F4AE4" w:rsidRPr="00F97B2D" w:rsidRDefault="00403950" w:rsidP="00AC5F51">
      <w:pPr>
        <w:pStyle w:val="Heading4"/>
      </w:pPr>
      <w:bookmarkStart w:id="257" w:name="_Toc372536102"/>
      <w:bookmarkStart w:id="258" w:name="_Toc372538765"/>
      <w:r w:rsidRPr="00F97B2D">
        <w:t>Chemicals</w:t>
      </w:r>
      <w:bookmarkEnd w:id="257"/>
      <w:bookmarkEnd w:id="258"/>
    </w:p>
    <w:p w:rsidR="00E11FE8" w:rsidRPr="00F97B2D" w:rsidRDefault="00E11FE8" w:rsidP="00E11FE8">
      <w:pPr>
        <w:spacing w:after="0" w:line="480" w:lineRule="auto"/>
        <w:ind w:firstLine="720"/>
        <w:rPr>
          <w:szCs w:val="24"/>
        </w:rPr>
      </w:pPr>
      <w:r w:rsidRPr="00F97B2D">
        <w:rPr>
          <w:szCs w:val="24"/>
        </w:rPr>
        <w:t xml:space="preserve">The following drugs were obtained from LipoMed (Cambridge, MA) as 1 mg/mL calibrated reference standards in solvent: 2C-B, (±)-3,4,5-TMA, (±)-4-methylethcathinone, (±)-butylone, (±)-cathinone, DMT, (±)-DOB, (±)-DOET, (±)-DOM, (±)-flephedrone, mCPP, (±)-MDPV, (±)-mephedrone, (±)-methcathinone, (±)-methedrone, (±)-methylone, (±)-N-ethylamphetamine, and TFMPP.  The following drugs were obtained from Cerilliant (Round Rock, TX) as 1 mg/mL calibrated reference standards in solvent: </w:t>
      </w:r>
      <w:r w:rsidRPr="006E467F">
        <w:rPr>
          <w:i/>
          <w:szCs w:val="24"/>
        </w:rPr>
        <w:t>d</w:t>
      </w:r>
      <w:r w:rsidRPr="00F97B2D">
        <w:rPr>
          <w:szCs w:val="24"/>
        </w:rPr>
        <w:t xml:space="preserve">-amphetamine, </w:t>
      </w:r>
      <w:r w:rsidRPr="006E467F">
        <w:rPr>
          <w:i/>
          <w:szCs w:val="24"/>
        </w:rPr>
        <w:t>d</w:t>
      </w:r>
      <w:r w:rsidRPr="00F97B2D">
        <w:rPr>
          <w:szCs w:val="24"/>
        </w:rPr>
        <w:t xml:space="preserve">-methamphetamine, ketamine, methylphenidate, </w:t>
      </w:r>
      <w:proofErr w:type="gramStart"/>
      <w:r w:rsidRPr="00F97B2D">
        <w:rPr>
          <w:szCs w:val="24"/>
        </w:rPr>
        <w:t>(±)-amphetamine, (±)-MDA, (±)-MDEA, (±)-MDMA, and (±)-methamphetamine</w:t>
      </w:r>
      <w:proofErr w:type="gramEnd"/>
      <w:r w:rsidRPr="00F97B2D">
        <w:rPr>
          <w:szCs w:val="24"/>
        </w:rPr>
        <w:t xml:space="preserve">.  The following drugs were obtained from Grace Davison Discovery Sciences (Deerfield, IL) as 1 mg/mL calibrated reference standards in solvent: 2C-T-4, 2C-T-7, 2C-E, </w:t>
      </w:r>
      <w:proofErr w:type="gramStart"/>
      <w:r w:rsidRPr="00F97B2D">
        <w:rPr>
          <w:szCs w:val="24"/>
        </w:rPr>
        <w:t>2C</w:t>
      </w:r>
      <w:proofErr w:type="gramEnd"/>
      <w:r w:rsidRPr="00F97B2D">
        <w:rPr>
          <w:szCs w:val="24"/>
        </w:rPr>
        <w:t xml:space="preserve">-I, 5-MeO-DiPT, AMT, and BZP.  An in-house standard of mephentermine, from powder, was available at a concentration of 1.02 mg/mL in methanol.  The structures for each of the assay-targeted analytes and each of the analytes under investigation can be found in </w:t>
      </w:r>
      <w:r w:rsidR="002E77C7">
        <w:fldChar w:fldCharType="begin"/>
      </w:r>
      <w:r w:rsidR="002E77C7">
        <w:instrText xml:space="preserve"> REF _Ref362524370 \h  \* MERGEFORMAT </w:instrText>
      </w:r>
      <w:r w:rsidR="002E77C7">
        <w:fldChar w:fldCharType="separate"/>
      </w:r>
      <w:r w:rsidR="00E37796" w:rsidRPr="00E37796">
        <w:rPr>
          <w:szCs w:val="24"/>
        </w:rPr>
        <w:t>Figure 4</w:t>
      </w:r>
      <w:r w:rsidR="002E77C7">
        <w:fldChar w:fldCharType="end"/>
      </w:r>
      <w:r w:rsidRPr="00F97B2D">
        <w:rPr>
          <w:szCs w:val="24"/>
        </w:rPr>
        <w:t xml:space="preserve"> and </w:t>
      </w:r>
      <w:r w:rsidR="002E77C7">
        <w:fldChar w:fldCharType="begin"/>
      </w:r>
      <w:r w:rsidR="002E77C7">
        <w:instrText xml:space="preserve"> REF _R</w:instrText>
      </w:r>
      <w:r w:rsidR="002E77C7">
        <w:instrText xml:space="preserve">ef362870208 \h  \* MERGEFORMAT </w:instrText>
      </w:r>
      <w:r w:rsidR="002E77C7">
        <w:fldChar w:fldCharType="separate"/>
      </w:r>
      <w:r w:rsidR="00E37796" w:rsidRPr="00E37796">
        <w:rPr>
          <w:szCs w:val="24"/>
        </w:rPr>
        <w:t>Appendix 2</w:t>
      </w:r>
      <w:r w:rsidR="002E77C7">
        <w:fldChar w:fldCharType="end"/>
      </w:r>
      <w:r w:rsidR="00403950" w:rsidRPr="00F97B2D">
        <w:rPr>
          <w:szCs w:val="24"/>
        </w:rPr>
        <w:t>, respectively</w:t>
      </w:r>
      <w:r w:rsidRPr="00F97B2D">
        <w:rPr>
          <w:szCs w:val="24"/>
        </w:rPr>
        <w:t>.  Methanol (GC</w:t>
      </w:r>
      <w:r w:rsidRPr="00F97B2D">
        <w:rPr>
          <w:szCs w:val="24"/>
          <w:vertAlign w:val="superscript"/>
        </w:rPr>
        <w:t>2®</w:t>
      </w:r>
      <w:r w:rsidRPr="00F97B2D">
        <w:rPr>
          <w:szCs w:val="24"/>
        </w:rPr>
        <w:t xml:space="preserve">) was obtained from Honeywell Burdick &amp; Jackson (Muskegon, MI).  Dilution buffer (EIA buffer) and wash buffer (Wash Buffer Concentrate 10X) were obtained from Neogen Corporation (Lexington, KY).  All other </w:t>
      </w:r>
      <w:r w:rsidR="00854951">
        <w:rPr>
          <w:szCs w:val="24"/>
        </w:rPr>
        <w:t>solutions and materials</w:t>
      </w:r>
      <w:r w:rsidR="00854951" w:rsidRPr="00F97B2D">
        <w:rPr>
          <w:szCs w:val="24"/>
        </w:rPr>
        <w:t xml:space="preserve"> </w:t>
      </w:r>
      <w:r w:rsidRPr="00F97B2D">
        <w:rPr>
          <w:szCs w:val="24"/>
        </w:rPr>
        <w:t>were included in the individual immunoassays listed below.</w:t>
      </w:r>
    </w:p>
    <w:p w:rsidR="00E11FE8" w:rsidRPr="00F97B2D" w:rsidRDefault="004F48B7" w:rsidP="00403950">
      <w:pPr>
        <w:widowControl w:val="0"/>
        <w:autoSpaceDE w:val="0"/>
        <w:autoSpaceDN w:val="0"/>
        <w:adjustRightInd w:val="0"/>
        <w:spacing w:after="0" w:line="480" w:lineRule="auto"/>
        <w:ind w:firstLine="720"/>
        <w:rPr>
          <w:szCs w:val="24"/>
        </w:rPr>
      </w:pPr>
      <w:r>
        <w:rPr>
          <w:szCs w:val="24"/>
        </w:rPr>
        <w:t>Iso</w:t>
      </w:r>
      <w:r w:rsidR="00E11FE8" w:rsidRPr="00F97B2D">
        <w:rPr>
          <w:szCs w:val="24"/>
        </w:rPr>
        <w:t xml:space="preserve">-Propanol (IPA, analytical grade), acetonitrile (Optima® LC-MS grade), ammonium formate, hydrochloric acid (HCl, analytical grade), glacial acetic acid (analytical grade), water (Optima® LC-MS grade), and methanol (Optima® LC-MS grade) were obtained from Fisher Scientific (Fair Lawn, NJ).  Ammonium hydroxide (analytical grade) from Acros Organics (NJ), dichloromethane (analytical grade) from EMD Chemicals (Gibbstown, NJ), formic acid (Optima® LC-MS grade) from Fisher Scientific (Fair Lawn, NJ), and sodium phosphate monobasic monohydrate and dibasic heptahydrate (both analytical grade) from Acros (NJ) were also purchased for preparation of SPE </w:t>
      </w:r>
      <w:r w:rsidR="00F066F5">
        <w:rPr>
          <w:szCs w:val="24"/>
        </w:rPr>
        <w:t>solutions</w:t>
      </w:r>
      <w:r w:rsidR="00F066F5" w:rsidRPr="00F97B2D">
        <w:rPr>
          <w:szCs w:val="24"/>
        </w:rPr>
        <w:t xml:space="preserve"> </w:t>
      </w:r>
      <w:r w:rsidR="00E11FE8" w:rsidRPr="00F97B2D">
        <w:rPr>
          <w:szCs w:val="24"/>
        </w:rPr>
        <w:t>and mobile phases. Clean Screen® Extraction Columns (CSDAU, 200 mg; 10 mL) for solid-phase extraction were purchased from United Chem (Bristol, PA) for manual extraction performed on a positive pressure manifold from United Chem (Bristol, PA).</w:t>
      </w:r>
      <w:r w:rsidR="00403950" w:rsidRPr="00F97B2D">
        <w:rPr>
          <w:szCs w:val="24"/>
        </w:rPr>
        <w:t xml:space="preserve"> </w:t>
      </w:r>
    </w:p>
    <w:p w:rsidR="00403950" w:rsidRPr="00F97B2D" w:rsidRDefault="00403950" w:rsidP="00AC5F51">
      <w:pPr>
        <w:pStyle w:val="Heading4"/>
      </w:pPr>
      <w:bookmarkStart w:id="259" w:name="_Toc372536103"/>
      <w:bookmarkStart w:id="260" w:name="_Toc372538766"/>
      <w:r w:rsidRPr="00F97B2D">
        <w:t>ELISAs</w:t>
      </w:r>
      <w:bookmarkEnd w:id="259"/>
      <w:bookmarkEnd w:id="260"/>
    </w:p>
    <w:p w:rsidR="004C38D6" w:rsidRDefault="00403950" w:rsidP="00737177">
      <w:pPr>
        <w:autoSpaceDE w:val="0"/>
        <w:autoSpaceDN w:val="0"/>
        <w:adjustRightInd w:val="0"/>
        <w:spacing w:after="0" w:line="480" w:lineRule="auto"/>
        <w:ind w:firstLine="720"/>
        <w:rPr>
          <w:szCs w:val="24"/>
        </w:rPr>
      </w:pPr>
      <w:r w:rsidRPr="00F97B2D">
        <w:rPr>
          <w:szCs w:val="24"/>
        </w:rPr>
        <w:t>Sixteen immunoassay kits were obtained from four commercial manufacturers: Immunalysis Amphetamine Direct ELISA and Methamphetamine Direct ELISA (Pomona, CA); Neogen Amphetamine ELISA, Amphetamine Specific Forensic ELISA, Amphetamine Ultra Forensic ELISA, Benzylpiperazine Forensic ELISA, Ketamine Forensic ELISA, Methylphenidate Forensic ELISA, Methamphetamine/ MDMA Forensic ELISA, and Mephentermine Forensic ELISA (Lexington, KY, USA); Randox MDPV ELISA and Mephedrone/Methcathinone ELISA (Co. Antrim, UK); and Ora</w:t>
      </w:r>
      <w:r w:rsidR="00E951CA">
        <w:rPr>
          <w:szCs w:val="24"/>
        </w:rPr>
        <w:t xml:space="preserve">Sure Technologies PCP Intercept® </w:t>
      </w:r>
      <w:r w:rsidRPr="00F97B2D">
        <w:rPr>
          <w:szCs w:val="24"/>
        </w:rPr>
        <w:t>Micro-Plate EIA, Cotinine Serum Micro-Plate EIA, Amphetamine-Specific Serum Micro-Plate EIA</w:t>
      </w:r>
      <w:r w:rsidR="00E951CA">
        <w:rPr>
          <w:szCs w:val="24"/>
        </w:rPr>
        <w:t xml:space="preserve">, and Methamphetamine Intercept® </w:t>
      </w:r>
      <w:r w:rsidRPr="00F97B2D">
        <w:rPr>
          <w:szCs w:val="24"/>
        </w:rPr>
        <w:t xml:space="preserve"> Micro-Plate EIA (Bethlehem, PA, USA).  All of the antibodies were polyclonal in nature, with the exception of the PCP and Amphetamine-Specific </w:t>
      </w:r>
      <w:r w:rsidR="00932348">
        <w:rPr>
          <w:szCs w:val="24"/>
        </w:rPr>
        <w:t>assay</w:t>
      </w:r>
      <w:r w:rsidRPr="00F97B2D">
        <w:rPr>
          <w:szCs w:val="24"/>
        </w:rPr>
        <w:t>s from OraSure.  Each kit</w:t>
      </w:r>
      <w:r w:rsidR="004C38D6">
        <w:rPr>
          <w:szCs w:val="24"/>
        </w:rPr>
        <w:t xml:space="preserve"> consisted of 96-well microtiter</w:t>
      </w:r>
      <w:r w:rsidRPr="00F97B2D">
        <w:rPr>
          <w:szCs w:val="24"/>
        </w:rPr>
        <w:t xml:space="preserve"> plates coated with antibody for the targeted analyte, enzyme conjugate (3</w:t>
      </w:r>
      <w:proofErr w:type="gramStart"/>
      <w:r w:rsidRPr="00F97B2D">
        <w:rPr>
          <w:szCs w:val="24"/>
        </w:rPr>
        <w:t>,3’</w:t>
      </w:r>
      <w:r w:rsidR="005541BF" w:rsidRPr="00F97B2D">
        <w:rPr>
          <w:szCs w:val="24"/>
        </w:rPr>
        <w:t>,</w:t>
      </w:r>
      <w:r w:rsidRPr="00F97B2D">
        <w:rPr>
          <w:szCs w:val="24"/>
        </w:rPr>
        <w:t>5,5’</w:t>
      </w:r>
      <w:proofErr w:type="gramEnd"/>
      <w:r w:rsidRPr="00F97B2D">
        <w:rPr>
          <w:szCs w:val="24"/>
        </w:rPr>
        <w:t>-tetramethylbenzidine or TMB substrate solution), and an acid stop solution.  A summary of the commercial immunoassays tested in th</w:t>
      </w:r>
      <w:r w:rsidR="004F48B7">
        <w:rPr>
          <w:szCs w:val="24"/>
        </w:rPr>
        <w:t>e current</w:t>
      </w:r>
      <w:r w:rsidRPr="00F97B2D">
        <w:rPr>
          <w:szCs w:val="24"/>
        </w:rPr>
        <w:t xml:space="preserve"> study can be found in </w:t>
      </w:r>
      <w:r w:rsidR="002E77C7">
        <w:fldChar w:fldCharType="begin"/>
      </w:r>
      <w:r w:rsidR="002E77C7">
        <w:instrText xml:space="preserve"> REF _Ref362524679 \h  \* MERGEFORMAT </w:instrText>
      </w:r>
      <w:r w:rsidR="002E77C7">
        <w:fldChar w:fldCharType="separate"/>
      </w:r>
      <w:r w:rsidR="00E37796" w:rsidRPr="00E37796">
        <w:rPr>
          <w:szCs w:val="24"/>
        </w:rPr>
        <w:t>Table 2</w:t>
      </w:r>
      <w:r w:rsidR="002E77C7">
        <w:fldChar w:fldCharType="end"/>
      </w:r>
      <w:r w:rsidRPr="00F97B2D">
        <w:rPr>
          <w:szCs w:val="24"/>
        </w:rPr>
        <w:t>.</w:t>
      </w:r>
    </w:p>
    <w:p w:rsidR="00737177" w:rsidRDefault="00737177" w:rsidP="00737177">
      <w:pPr>
        <w:autoSpaceDE w:val="0"/>
        <w:autoSpaceDN w:val="0"/>
        <w:adjustRightInd w:val="0"/>
        <w:spacing w:after="0" w:line="480" w:lineRule="auto"/>
        <w:ind w:firstLine="720"/>
        <w:rPr>
          <w:szCs w:val="24"/>
        </w:rPr>
      </w:pPr>
    </w:p>
    <w:p w:rsidR="00737177" w:rsidRDefault="00737177" w:rsidP="00737177">
      <w:pPr>
        <w:autoSpaceDE w:val="0"/>
        <w:autoSpaceDN w:val="0"/>
        <w:adjustRightInd w:val="0"/>
        <w:spacing w:after="0" w:line="480" w:lineRule="auto"/>
        <w:ind w:firstLine="720"/>
        <w:rPr>
          <w:szCs w:val="24"/>
        </w:rPr>
      </w:pPr>
    </w:p>
    <w:p w:rsidR="00EF3F80" w:rsidRPr="00F97B2D" w:rsidRDefault="00EF3F80" w:rsidP="00F97B2D">
      <w:pPr>
        <w:pStyle w:val="Heading3"/>
      </w:pPr>
      <w:bookmarkStart w:id="261" w:name="_Toc370733096"/>
      <w:bookmarkStart w:id="262" w:name="_Toc372536104"/>
      <w:bookmarkStart w:id="263" w:name="_Toc372538767"/>
      <w:bookmarkEnd w:id="261"/>
      <w:r w:rsidRPr="00F97B2D">
        <w:t>Samples</w:t>
      </w:r>
      <w:bookmarkEnd w:id="262"/>
      <w:bookmarkEnd w:id="263"/>
    </w:p>
    <w:p w:rsidR="00B00AAE" w:rsidRPr="00F97B2D" w:rsidRDefault="00B00AAE" w:rsidP="00B00AAE">
      <w:pPr>
        <w:spacing w:after="0" w:line="480" w:lineRule="auto"/>
        <w:ind w:firstLine="720"/>
        <w:rPr>
          <w:szCs w:val="24"/>
        </w:rPr>
      </w:pPr>
      <w:r w:rsidRPr="00F97B2D">
        <w:rPr>
          <w:szCs w:val="24"/>
        </w:rPr>
        <w:t>Drug-free frozen serum, pooled from nine donors, was obtained from Utak Laboratories (Valencia, CA, USA) and screened negative by ELISA for amphetamine, benzoylecgonine, ethanol, methamphetamine, morphine, oxazepam, phencyclidine, secobarbital, and 11-nor-9-carboxy-THC.  Th</w:t>
      </w:r>
      <w:r w:rsidR="004F48B7">
        <w:rPr>
          <w:szCs w:val="24"/>
        </w:rPr>
        <w:t>e</w:t>
      </w:r>
      <w:r w:rsidRPr="00F97B2D">
        <w:rPr>
          <w:szCs w:val="24"/>
        </w:rPr>
        <w:t xml:space="preserve"> blank </w:t>
      </w:r>
      <w:r w:rsidR="004F48B7">
        <w:rPr>
          <w:szCs w:val="24"/>
        </w:rPr>
        <w:t>serum</w:t>
      </w:r>
      <w:r w:rsidRPr="00F97B2D">
        <w:rPr>
          <w:szCs w:val="24"/>
        </w:rPr>
        <w:t xml:space="preserve"> was used for the preparation of </w:t>
      </w:r>
      <w:r w:rsidR="004F48B7">
        <w:rPr>
          <w:szCs w:val="24"/>
        </w:rPr>
        <w:t>matrix-matched</w:t>
      </w:r>
      <w:r w:rsidR="004B4236">
        <w:rPr>
          <w:szCs w:val="24"/>
        </w:rPr>
        <w:t xml:space="preserve"> </w:t>
      </w:r>
      <w:r w:rsidRPr="00F97B2D">
        <w:rPr>
          <w:szCs w:val="24"/>
        </w:rPr>
        <w:t>controls.  After thawing, it was stored at 4°C.</w:t>
      </w:r>
      <w:r w:rsidR="0083704F">
        <w:rPr>
          <w:szCs w:val="24"/>
        </w:rPr>
        <w:t xml:space="preserve">  For the preparation of whole blood controls, blank donor blood was obtained from Biological Specialty Corporation </w:t>
      </w:r>
      <w:r w:rsidR="006E467F">
        <w:rPr>
          <w:szCs w:val="24"/>
        </w:rPr>
        <w:t>(Colmar, PA) as a single unit.  It had</w:t>
      </w:r>
      <w:r w:rsidR="0083704F">
        <w:rPr>
          <w:szCs w:val="24"/>
        </w:rPr>
        <w:t xml:space="preserve"> been screened negative by ELISA for benzoylecgonine, secobarbital, carisoprodol, oxazepam, morphine, and oxycodone.  It was also stored at </w:t>
      </w:r>
      <w:r w:rsidR="0083704F" w:rsidRPr="00F97B2D">
        <w:rPr>
          <w:szCs w:val="24"/>
        </w:rPr>
        <w:t>4°C.</w:t>
      </w:r>
    </w:p>
    <w:p w:rsidR="00AC5F51" w:rsidRDefault="00EF3F80" w:rsidP="00737177">
      <w:pPr>
        <w:widowControl w:val="0"/>
        <w:tabs>
          <w:tab w:val="left" w:pos="450"/>
        </w:tabs>
        <w:spacing w:after="0" w:line="480" w:lineRule="auto"/>
        <w:ind w:firstLine="720"/>
        <w:rPr>
          <w:szCs w:val="24"/>
        </w:rPr>
      </w:pPr>
      <w:r w:rsidRPr="00F97B2D">
        <w:rPr>
          <w:szCs w:val="24"/>
        </w:rPr>
        <w:t>For comparison of results using ELISA and LC-MS screening assays, 22 five mL serum samples were prepared and analyzed in a blind manner (</w:t>
      </w:r>
      <w:r w:rsidRPr="00F97B2D">
        <w:rPr>
          <w:i/>
          <w:szCs w:val="24"/>
        </w:rPr>
        <w:t xml:space="preserve">i.e., </w:t>
      </w:r>
      <w:r w:rsidRPr="00F97B2D">
        <w:rPr>
          <w:szCs w:val="24"/>
        </w:rPr>
        <w:t>without analyst knowledge of drug identity or concentration).  For th</w:t>
      </w:r>
      <w:r w:rsidR="004F48B7">
        <w:rPr>
          <w:szCs w:val="24"/>
        </w:rPr>
        <w:t>e blind</w:t>
      </w:r>
      <w:r w:rsidRPr="00F97B2D">
        <w:rPr>
          <w:szCs w:val="24"/>
        </w:rPr>
        <w:t xml:space="preserve"> study, drug-free serum was spiked by the research advisor with known amounts of drug reference standards in methanolic solution.  Samples were prepared that included single or mixtures of drugs and were prepared at a range of concentrations simulating those expected to be encountered in authentic specimens.  The samples were given a </w:t>
      </w:r>
      <w:r w:rsidR="00494D40">
        <w:rPr>
          <w:szCs w:val="24"/>
        </w:rPr>
        <w:t>random</w:t>
      </w:r>
      <w:r w:rsidRPr="00F97B2D">
        <w:rPr>
          <w:szCs w:val="24"/>
        </w:rPr>
        <w:t xml:space="preserve"> ID number (1- 22) and frozen at -20°C until analysis by ELISA and LC-MS.  Blind spiked sample compositions are summarized in</w:t>
      </w:r>
      <w:r w:rsidR="00E951CA">
        <w:rPr>
          <w:szCs w:val="24"/>
        </w:rPr>
        <w:t xml:space="preserve"> </w:t>
      </w:r>
      <w:r w:rsidR="000E239B">
        <w:rPr>
          <w:szCs w:val="24"/>
        </w:rPr>
        <w:fldChar w:fldCharType="begin"/>
      </w:r>
      <w:r w:rsidR="00E951CA">
        <w:rPr>
          <w:szCs w:val="24"/>
        </w:rPr>
        <w:instrText xml:space="preserve"> REF _Ref365378143 \h </w:instrText>
      </w:r>
      <w:r w:rsidR="000E239B">
        <w:rPr>
          <w:szCs w:val="24"/>
        </w:rPr>
      </w:r>
      <w:r w:rsidR="000E239B">
        <w:rPr>
          <w:szCs w:val="24"/>
        </w:rPr>
        <w:fldChar w:fldCharType="separate"/>
      </w:r>
      <w:r w:rsidR="00E37796" w:rsidRPr="00F97B2D">
        <w:t xml:space="preserve">Table </w:t>
      </w:r>
      <w:r w:rsidR="00E37796">
        <w:rPr>
          <w:noProof/>
        </w:rPr>
        <w:t>10</w:t>
      </w:r>
      <w:r w:rsidR="000E239B">
        <w:rPr>
          <w:szCs w:val="24"/>
        </w:rPr>
        <w:fldChar w:fldCharType="end"/>
      </w:r>
      <w:r w:rsidRPr="00F97B2D">
        <w:rPr>
          <w:szCs w:val="24"/>
        </w:rPr>
        <w:t>.</w:t>
      </w:r>
      <w:r w:rsidR="00453869" w:rsidRPr="00F97B2D">
        <w:rPr>
          <w:szCs w:val="24"/>
        </w:rPr>
        <w:t xml:space="preserve">  In regard to the two case samples analyzed during LC-MS method validation (Chapter 4), there was insufficient volume for </w:t>
      </w:r>
      <w:r w:rsidR="00E73A76">
        <w:rPr>
          <w:szCs w:val="24"/>
        </w:rPr>
        <w:t xml:space="preserve">additional </w:t>
      </w:r>
      <w:r w:rsidR="00453869" w:rsidRPr="00F97B2D">
        <w:rPr>
          <w:szCs w:val="24"/>
        </w:rPr>
        <w:t xml:space="preserve">analysis in this study.  </w:t>
      </w:r>
      <w:bookmarkStart w:id="264" w:name="_Ref362532343"/>
    </w:p>
    <w:p w:rsidR="004C38D6" w:rsidRPr="00742D47" w:rsidRDefault="00737177" w:rsidP="00737177">
      <w:pPr>
        <w:widowControl w:val="0"/>
        <w:tabs>
          <w:tab w:val="left" w:pos="450"/>
        </w:tabs>
        <w:spacing w:line="480" w:lineRule="auto"/>
        <w:ind w:firstLine="720"/>
        <w:rPr>
          <w:szCs w:val="24"/>
        </w:rPr>
      </w:pPr>
      <w:r>
        <w:rPr>
          <w:szCs w:val="24"/>
        </w:rPr>
        <w:t xml:space="preserve">In addition to the spiked specimens, </w:t>
      </w:r>
      <w:r w:rsidR="00E73A76">
        <w:rPr>
          <w:szCs w:val="24"/>
        </w:rPr>
        <w:t>five authentic</w:t>
      </w:r>
      <w:r>
        <w:rPr>
          <w:szCs w:val="24"/>
        </w:rPr>
        <w:t xml:space="preserve"> specimens were received from Palm Beach County Sheriff’s Office </w:t>
      </w:r>
      <w:r w:rsidR="00C56A19">
        <w:rPr>
          <w:szCs w:val="24"/>
        </w:rPr>
        <w:t xml:space="preserve">(PBSO) </w:t>
      </w:r>
      <w:r>
        <w:rPr>
          <w:szCs w:val="24"/>
        </w:rPr>
        <w:t xml:space="preserve">Toxicology Unit.  The </w:t>
      </w:r>
      <w:r w:rsidR="00C56A19">
        <w:rPr>
          <w:szCs w:val="24"/>
        </w:rPr>
        <w:t xml:space="preserve">whole blood </w:t>
      </w:r>
      <w:r>
        <w:rPr>
          <w:szCs w:val="24"/>
        </w:rPr>
        <w:t xml:space="preserve">specimens were stored in 10 mL grey top (fluoride and oxalate) vacutainers for 1-2 years </w:t>
      </w:r>
      <w:r w:rsidR="00C56A19">
        <w:rPr>
          <w:szCs w:val="24"/>
        </w:rPr>
        <w:t>mostly at</w:t>
      </w:r>
      <w:r>
        <w:rPr>
          <w:szCs w:val="24"/>
        </w:rPr>
        <w:t xml:space="preserve"> room temperature but never opened.  </w:t>
      </w:r>
      <w:r w:rsidR="00E73A76">
        <w:rPr>
          <w:szCs w:val="24"/>
        </w:rPr>
        <w:t>The samples were supplied with no personal identifying information; each was assigned an ID number (</w:t>
      </w:r>
      <w:r>
        <w:rPr>
          <w:szCs w:val="24"/>
        </w:rPr>
        <w:t>7-001, 11-001, 11-002, 12-001, and 12-002</w:t>
      </w:r>
      <w:r w:rsidR="00E73A76">
        <w:rPr>
          <w:szCs w:val="24"/>
        </w:rPr>
        <w:t>) for internal tracking purposes only</w:t>
      </w:r>
      <w:r>
        <w:rPr>
          <w:szCs w:val="24"/>
        </w:rPr>
        <w:t xml:space="preserve">.  </w:t>
      </w:r>
      <w:r w:rsidR="00E73A76">
        <w:rPr>
          <w:szCs w:val="24"/>
        </w:rPr>
        <w:t>It was indicated by PBSO that the samples were “positive for drugs</w:t>
      </w:r>
      <w:r w:rsidR="004F48B7">
        <w:rPr>
          <w:szCs w:val="24"/>
        </w:rPr>
        <w:t>,</w:t>
      </w:r>
      <w:r w:rsidR="00E73A76">
        <w:rPr>
          <w:szCs w:val="24"/>
        </w:rPr>
        <w:t>” but no cathinone derivatives had been previously detected by their screening techniques.  Upon receipt at FIU, t</w:t>
      </w:r>
      <w:r>
        <w:rPr>
          <w:szCs w:val="24"/>
        </w:rPr>
        <w:t xml:space="preserve">he specimens were stored at </w:t>
      </w:r>
      <w:r w:rsidRPr="00F97B2D">
        <w:rPr>
          <w:szCs w:val="24"/>
        </w:rPr>
        <w:t>4°C</w:t>
      </w:r>
      <w:r>
        <w:rPr>
          <w:szCs w:val="24"/>
        </w:rPr>
        <w:t>.</w:t>
      </w:r>
    </w:p>
    <w:p w:rsidR="00EF3F80" w:rsidRPr="00F97B2D" w:rsidRDefault="00EF3F80" w:rsidP="00AC5F51">
      <w:pPr>
        <w:pStyle w:val="Caption"/>
        <w:jc w:val="left"/>
      </w:pPr>
      <w:bookmarkStart w:id="265" w:name="_Ref365378143"/>
      <w:bookmarkStart w:id="266" w:name="_Toc372536125"/>
      <w:r w:rsidRPr="00F97B2D">
        <w:t xml:space="preserve">Table </w:t>
      </w:r>
      <w:r w:rsidR="000E239B" w:rsidRPr="00F97B2D">
        <w:fldChar w:fldCharType="begin"/>
      </w:r>
      <w:r w:rsidR="00B2107A" w:rsidRPr="00F97B2D">
        <w:instrText xml:space="preserve"> SEQ Table \* ARABIC </w:instrText>
      </w:r>
      <w:r w:rsidR="000E239B" w:rsidRPr="00F97B2D">
        <w:fldChar w:fldCharType="separate"/>
      </w:r>
      <w:r w:rsidR="00E37796">
        <w:rPr>
          <w:noProof/>
        </w:rPr>
        <w:t>10</w:t>
      </w:r>
      <w:r w:rsidR="000E239B" w:rsidRPr="00F97B2D">
        <w:rPr>
          <w:noProof/>
        </w:rPr>
        <w:fldChar w:fldCharType="end"/>
      </w:r>
      <w:bookmarkEnd w:id="264"/>
      <w:bookmarkEnd w:id="265"/>
      <w:r w:rsidRPr="00F97B2D">
        <w:t>: Composition of Serum Samples Spiked in Blind Study</w:t>
      </w:r>
      <w:bookmarkEnd w:id="266"/>
    </w:p>
    <w:tbl>
      <w:tblPr>
        <w:tblW w:w="0" w:type="auto"/>
        <w:tblLook w:val="04A0" w:firstRow="1" w:lastRow="0" w:firstColumn="1" w:lastColumn="0" w:noHBand="0" w:noVBand="1"/>
      </w:tblPr>
      <w:tblGrid>
        <w:gridCol w:w="461"/>
        <w:gridCol w:w="3568"/>
        <w:gridCol w:w="3162"/>
      </w:tblGrid>
      <w:tr w:rsidR="00EF3F80" w:rsidRPr="00742D47" w:rsidTr="0068761A">
        <w:trPr>
          <w:trHeight w:val="281"/>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b/>
                <w:bCs/>
                <w:color w:val="000000"/>
                <w:szCs w:val="24"/>
              </w:rPr>
            </w:pPr>
            <w:r w:rsidRPr="00742D47">
              <w:rPr>
                <w:b/>
                <w:bCs/>
                <w:color w:val="000000"/>
                <w:sz w:val="22"/>
                <w:szCs w:val="24"/>
              </w:rPr>
              <w:t>ID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b/>
                <w:bCs/>
                <w:color w:val="000000"/>
                <w:szCs w:val="24"/>
              </w:rPr>
            </w:pPr>
            <w:r w:rsidRPr="00742D47">
              <w:rPr>
                <w:b/>
                <w:bCs/>
                <w:color w:val="000000"/>
                <w:sz w:val="22"/>
                <w:szCs w:val="24"/>
              </w:rPr>
              <w:t>Drug(s)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b/>
                <w:bCs/>
                <w:color w:val="000000"/>
                <w:szCs w:val="24"/>
              </w:rPr>
            </w:pPr>
            <w:r w:rsidRPr="00742D47">
              <w:rPr>
                <w:b/>
                <w:bCs/>
                <w:color w:val="000000"/>
                <w:sz w:val="22"/>
                <w:szCs w:val="24"/>
              </w:rPr>
              <w:t>nominal concentration (ng/mL)</w:t>
            </w:r>
          </w:p>
        </w:tc>
      </w:tr>
      <w:tr w:rsidR="00EF3F80" w:rsidRPr="00742D47" w:rsidTr="0068761A">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b/>
                <w:bCs/>
                <w:color w:val="000000"/>
                <w:szCs w:val="24"/>
              </w:rPr>
            </w:pPr>
            <w:r w:rsidRPr="00742D47">
              <w:rPr>
                <w:b/>
                <w:bCs/>
                <w:color w:val="000000"/>
                <w:sz w:val="22"/>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methylone</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20</w:t>
            </w:r>
          </w:p>
        </w:tc>
      </w:tr>
      <w:tr w:rsidR="00EF3F80" w:rsidRPr="00742D47" w:rsidTr="0068761A">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b/>
                <w:bCs/>
                <w:color w:val="000000"/>
                <w:szCs w:val="24"/>
              </w:rPr>
            </w:pPr>
            <w:r w:rsidRPr="00742D47">
              <w:rPr>
                <w:b/>
                <w:bCs/>
                <w:color w:val="000000"/>
                <w:sz w:val="22"/>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methylone</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20</w:t>
            </w:r>
          </w:p>
        </w:tc>
      </w:tr>
      <w:tr w:rsidR="00EF3F80" w:rsidRPr="00742D47" w:rsidTr="0068761A">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b/>
                <w:bCs/>
                <w:color w:val="000000"/>
                <w:szCs w:val="24"/>
              </w:rPr>
            </w:pPr>
            <w:r w:rsidRPr="00742D47">
              <w:rPr>
                <w:b/>
                <w:bCs/>
                <w:color w:val="000000"/>
                <w:sz w:val="22"/>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ethylamphetamine</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100</w:t>
            </w:r>
          </w:p>
        </w:tc>
      </w:tr>
      <w:tr w:rsidR="00EF3F80" w:rsidRPr="00742D47" w:rsidTr="0068761A">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b/>
                <w:bCs/>
                <w:color w:val="000000"/>
                <w:szCs w:val="24"/>
              </w:rPr>
            </w:pPr>
            <w:r w:rsidRPr="00742D47">
              <w:rPr>
                <w:b/>
                <w:bCs/>
                <w:color w:val="000000"/>
                <w:sz w:val="22"/>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ethylamphetamine</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100</w:t>
            </w:r>
          </w:p>
        </w:tc>
      </w:tr>
      <w:tr w:rsidR="00EF3F80" w:rsidRPr="00742D47" w:rsidTr="0068761A">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b/>
                <w:bCs/>
                <w:color w:val="000000"/>
                <w:szCs w:val="24"/>
              </w:rPr>
            </w:pPr>
            <w:r w:rsidRPr="00742D47">
              <w:rPr>
                <w:b/>
                <w:bCs/>
                <w:color w:val="000000"/>
                <w:sz w:val="22"/>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no spike</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0</w:t>
            </w:r>
          </w:p>
        </w:tc>
      </w:tr>
      <w:tr w:rsidR="00EF3F80" w:rsidRPr="00742D47" w:rsidTr="0068761A">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b/>
                <w:bCs/>
                <w:color w:val="000000"/>
                <w:szCs w:val="24"/>
              </w:rPr>
            </w:pPr>
            <w:r w:rsidRPr="00742D47">
              <w:rPr>
                <w:b/>
                <w:bCs/>
                <w:color w:val="000000"/>
                <w:sz w:val="22"/>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methamphetamine + methedrone</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100 + 100</w:t>
            </w:r>
          </w:p>
        </w:tc>
      </w:tr>
      <w:tr w:rsidR="00EF3F80" w:rsidRPr="00742D47" w:rsidTr="0068761A">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b/>
                <w:bCs/>
                <w:color w:val="000000"/>
                <w:szCs w:val="24"/>
              </w:rPr>
            </w:pPr>
            <w:r w:rsidRPr="00742D47">
              <w:rPr>
                <w:b/>
                <w:bCs/>
                <w:color w:val="000000"/>
                <w:sz w:val="22"/>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methamphetamine + methylone</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100 + 100</w:t>
            </w:r>
          </w:p>
        </w:tc>
      </w:tr>
      <w:tr w:rsidR="00EF3F80" w:rsidRPr="00742D47" w:rsidTr="0068761A">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b/>
                <w:bCs/>
                <w:color w:val="000000"/>
                <w:szCs w:val="24"/>
              </w:rPr>
            </w:pPr>
            <w:r w:rsidRPr="00742D47">
              <w:rPr>
                <w:b/>
                <w:bCs/>
                <w:color w:val="000000"/>
                <w:sz w:val="22"/>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methamphetamine + 2C-I</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100 + 100</w:t>
            </w:r>
          </w:p>
        </w:tc>
      </w:tr>
      <w:tr w:rsidR="00EF3F80" w:rsidRPr="00742D47" w:rsidTr="0068761A">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b/>
                <w:bCs/>
                <w:color w:val="000000"/>
                <w:szCs w:val="24"/>
              </w:rPr>
            </w:pPr>
            <w:r w:rsidRPr="00742D47">
              <w:rPr>
                <w:b/>
                <w:bCs/>
                <w:color w:val="000000"/>
                <w:sz w:val="22"/>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methamphetamine + MDMA</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120 + 120</w:t>
            </w:r>
          </w:p>
        </w:tc>
      </w:tr>
      <w:tr w:rsidR="00EF3F80" w:rsidRPr="00742D47" w:rsidTr="0068761A">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b/>
                <w:bCs/>
                <w:color w:val="000000"/>
                <w:szCs w:val="24"/>
              </w:rPr>
            </w:pPr>
            <w:r w:rsidRPr="00742D47">
              <w:rPr>
                <w:b/>
                <w:bCs/>
                <w:color w:val="000000"/>
                <w:sz w:val="22"/>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methylone + flephedrone</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120 + 120</w:t>
            </w:r>
          </w:p>
        </w:tc>
      </w:tr>
      <w:tr w:rsidR="00EF3F80" w:rsidRPr="00742D47" w:rsidTr="0068761A">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b/>
                <w:bCs/>
                <w:color w:val="000000"/>
                <w:szCs w:val="24"/>
              </w:rPr>
            </w:pPr>
            <w:r w:rsidRPr="00742D47">
              <w:rPr>
                <w:b/>
                <w:bCs/>
                <w:color w:val="000000"/>
                <w:sz w:val="22"/>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amphetamine + mCPP</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100 + 100</w:t>
            </w:r>
          </w:p>
        </w:tc>
      </w:tr>
      <w:tr w:rsidR="00EF3F80" w:rsidRPr="00742D47" w:rsidTr="0068761A">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b/>
                <w:bCs/>
                <w:color w:val="000000"/>
                <w:szCs w:val="24"/>
              </w:rPr>
            </w:pPr>
            <w:r w:rsidRPr="00742D47">
              <w:rPr>
                <w:b/>
                <w:bCs/>
                <w:color w:val="000000"/>
                <w:sz w:val="22"/>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methylone + 5-MeO-DiPT</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100 + 100</w:t>
            </w:r>
          </w:p>
        </w:tc>
      </w:tr>
      <w:tr w:rsidR="00EF3F80" w:rsidRPr="00742D47" w:rsidTr="0068761A">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b/>
                <w:bCs/>
                <w:color w:val="000000"/>
                <w:szCs w:val="24"/>
              </w:rPr>
            </w:pPr>
            <w:r w:rsidRPr="00742D47">
              <w:rPr>
                <w:b/>
                <w:bCs/>
                <w:color w:val="000000"/>
                <w:sz w:val="22"/>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2C-I + 2C-T-7</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100 + 100</w:t>
            </w:r>
          </w:p>
        </w:tc>
      </w:tr>
      <w:tr w:rsidR="00EF3F80" w:rsidRPr="00742D47" w:rsidTr="0068761A">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b/>
                <w:bCs/>
                <w:color w:val="000000"/>
                <w:szCs w:val="24"/>
              </w:rPr>
            </w:pPr>
            <w:r w:rsidRPr="00742D47">
              <w:rPr>
                <w:b/>
                <w:bCs/>
                <w:color w:val="000000"/>
                <w:sz w:val="22"/>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MDPV + mephedrone</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100 + 100</w:t>
            </w:r>
          </w:p>
        </w:tc>
      </w:tr>
      <w:tr w:rsidR="00EF3F80" w:rsidRPr="00742D47" w:rsidTr="0068761A">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b/>
                <w:bCs/>
                <w:color w:val="000000"/>
                <w:szCs w:val="24"/>
              </w:rPr>
            </w:pPr>
            <w:r w:rsidRPr="00742D47">
              <w:rPr>
                <w:b/>
                <w:bCs/>
                <w:color w:val="000000"/>
                <w:sz w:val="22"/>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AMT + butylone + ethylamphetamine</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100 + 100 + 100</w:t>
            </w:r>
          </w:p>
        </w:tc>
      </w:tr>
      <w:tr w:rsidR="00EF3F80" w:rsidRPr="00742D47" w:rsidTr="0068761A">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b/>
                <w:bCs/>
                <w:color w:val="000000"/>
                <w:szCs w:val="24"/>
              </w:rPr>
            </w:pPr>
            <w:r w:rsidRPr="00742D47">
              <w:rPr>
                <w:b/>
                <w:bCs/>
                <w:color w:val="000000"/>
                <w:sz w:val="22"/>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no spike</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0</w:t>
            </w:r>
          </w:p>
        </w:tc>
      </w:tr>
      <w:tr w:rsidR="00EF3F80" w:rsidRPr="00742D47" w:rsidTr="0068761A">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b/>
                <w:bCs/>
                <w:color w:val="000000"/>
                <w:szCs w:val="24"/>
              </w:rPr>
            </w:pPr>
            <w:r w:rsidRPr="00742D47">
              <w:rPr>
                <w:b/>
                <w:bCs/>
                <w:color w:val="000000"/>
                <w:sz w:val="22"/>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2C-I</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20</w:t>
            </w:r>
          </w:p>
        </w:tc>
      </w:tr>
      <w:tr w:rsidR="00EF3F80" w:rsidRPr="00742D47" w:rsidTr="0068761A">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b/>
                <w:bCs/>
                <w:color w:val="000000"/>
                <w:szCs w:val="24"/>
              </w:rPr>
            </w:pPr>
            <w:r w:rsidRPr="00742D47">
              <w:rPr>
                <w:b/>
                <w:bCs/>
                <w:color w:val="000000"/>
                <w:sz w:val="22"/>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2C-I</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60</w:t>
            </w:r>
          </w:p>
        </w:tc>
      </w:tr>
      <w:tr w:rsidR="00EF3F80" w:rsidRPr="00742D47" w:rsidTr="0068761A">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b/>
                <w:bCs/>
                <w:color w:val="000000"/>
                <w:szCs w:val="24"/>
              </w:rPr>
            </w:pPr>
            <w:r w:rsidRPr="00742D47">
              <w:rPr>
                <w:b/>
                <w:bCs/>
                <w:color w:val="000000"/>
                <w:sz w:val="22"/>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2C-I</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200</w:t>
            </w:r>
          </w:p>
        </w:tc>
      </w:tr>
      <w:tr w:rsidR="00EF3F80" w:rsidRPr="00742D47" w:rsidTr="0068761A">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b/>
                <w:bCs/>
                <w:color w:val="000000"/>
                <w:szCs w:val="24"/>
              </w:rPr>
            </w:pPr>
            <w:r w:rsidRPr="00742D47">
              <w:rPr>
                <w:b/>
                <w:bCs/>
                <w:color w:val="000000"/>
                <w:sz w:val="22"/>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flephedrone</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20</w:t>
            </w:r>
          </w:p>
        </w:tc>
      </w:tr>
      <w:tr w:rsidR="00EF3F80" w:rsidRPr="00742D47" w:rsidTr="0068761A">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b/>
                <w:bCs/>
                <w:color w:val="000000"/>
                <w:szCs w:val="24"/>
              </w:rPr>
            </w:pPr>
            <w:r w:rsidRPr="00742D47">
              <w:rPr>
                <w:b/>
                <w:bCs/>
                <w:color w:val="000000"/>
                <w:sz w:val="22"/>
                <w:szCs w:val="24"/>
              </w:rPr>
              <w:t>21</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flephedrone</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60</w:t>
            </w:r>
          </w:p>
        </w:tc>
      </w:tr>
      <w:tr w:rsidR="00EF3F80" w:rsidRPr="00742D47" w:rsidTr="0068761A">
        <w:trPr>
          <w:trHeight w:val="28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b/>
                <w:bCs/>
                <w:color w:val="000000"/>
                <w:szCs w:val="24"/>
              </w:rPr>
            </w:pPr>
            <w:r w:rsidRPr="00742D47">
              <w:rPr>
                <w:b/>
                <w:bCs/>
                <w:color w:val="000000"/>
                <w:sz w:val="22"/>
                <w:szCs w:val="24"/>
              </w:rPr>
              <w:t>22</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flephedrone</w:t>
            </w:r>
          </w:p>
        </w:tc>
        <w:tc>
          <w:tcPr>
            <w:tcW w:w="0" w:type="auto"/>
            <w:tcBorders>
              <w:top w:val="nil"/>
              <w:left w:val="nil"/>
              <w:bottom w:val="single" w:sz="4" w:space="0" w:color="auto"/>
              <w:right w:val="single" w:sz="4" w:space="0" w:color="auto"/>
            </w:tcBorders>
            <w:shd w:val="clear" w:color="auto" w:fill="auto"/>
            <w:noWrap/>
            <w:vAlign w:val="center"/>
            <w:hideMark/>
          </w:tcPr>
          <w:p w:rsidR="00EF3F80" w:rsidRPr="00742D47" w:rsidRDefault="00EF3F80" w:rsidP="00EF3F80">
            <w:pPr>
              <w:widowControl w:val="0"/>
              <w:spacing w:after="0"/>
              <w:jc w:val="center"/>
              <w:rPr>
                <w:color w:val="000000"/>
                <w:szCs w:val="24"/>
              </w:rPr>
            </w:pPr>
            <w:r w:rsidRPr="00742D47">
              <w:rPr>
                <w:color w:val="000000"/>
                <w:sz w:val="22"/>
                <w:szCs w:val="24"/>
              </w:rPr>
              <w:t>200</w:t>
            </w:r>
          </w:p>
        </w:tc>
      </w:tr>
    </w:tbl>
    <w:p w:rsidR="00B07CC2" w:rsidRDefault="00B07CC2" w:rsidP="00742D47">
      <w:pPr>
        <w:widowControl w:val="0"/>
        <w:tabs>
          <w:tab w:val="left" w:pos="450"/>
        </w:tabs>
        <w:spacing w:after="0" w:line="480" w:lineRule="auto"/>
        <w:rPr>
          <w:szCs w:val="24"/>
        </w:rPr>
      </w:pPr>
    </w:p>
    <w:p w:rsidR="002C0212" w:rsidRDefault="002C0212" w:rsidP="00742D47">
      <w:pPr>
        <w:widowControl w:val="0"/>
        <w:tabs>
          <w:tab w:val="left" w:pos="450"/>
        </w:tabs>
        <w:spacing w:after="0" w:line="480" w:lineRule="auto"/>
        <w:rPr>
          <w:szCs w:val="24"/>
        </w:rPr>
      </w:pPr>
    </w:p>
    <w:p w:rsidR="00E11FE8" w:rsidRPr="00F97B2D" w:rsidRDefault="00E11FE8" w:rsidP="00F97B2D">
      <w:pPr>
        <w:pStyle w:val="Heading3"/>
      </w:pPr>
      <w:bookmarkStart w:id="267" w:name="_Toc370733098"/>
      <w:bookmarkStart w:id="268" w:name="_Toc372536105"/>
      <w:bookmarkStart w:id="269" w:name="_Toc372538768"/>
      <w:bookmarkEnd w:id="267"/>
      <w:r w:rsidRPr="00F97B2D">
        <w:t>Sample preparation</w:t>
      </w:r>
      <w:bookmarkEnd w:id="268"/>
      <w:bookmarkEnd w:id="269"/>
    </w:p>
    <w:p w:rsidR="00B00AAE" w:rsidRPr="00F97B2D" w:rsidRDefault="00B00AAE" w:rsidP="00403950">
      <w:pPr>
        <w:spacing w:after="0" w:line="480" w:lineRule="auto"/>
        <w:ind w:firstLine="720"/>
        <w:rPr>
          <w:szCs w:val="24"/>
        </w:rPr>
      </w:pPr>
      <w:r w:rsidRPr="00F97B2D">
        <w:rPr>
          <w:szCs w:val="24"/>
        </w:rPr>
        <w:t>For immunoassay screening by ELISA, all calibrators, controls, and samples were subjected to a 1:4 (</w:t>
      </w:r>
      <w:r w:rsidRPr="00F97B2D">
        <w:rPr>
          <w:i/>
          <w:szCs w:val="24"/>
        </w:rPr>
        <w:t>i.e.</w:t>
      </w:r>
      <w:r w:rsidR="006E467F">
        <w:rPr>
          <w:szCs w:val="24"/>
        </w:rPr>
        <w:t>, five</w:t>
      </w:r>
      <w:r w:rsidRPr="00F97B2D">
        <w:rPr>
          <w:szCs w:val="24"/>
        </w:rPr>
        <w:t xml:space="preserve">-fold) dilution with buffer (EIA buffer) using a Hamilton Microlab® 500 Dual Syringe Diluter (Reno, NV).  The dilution factor chosen was recommended by the manufacturer for forensic blood specimens.  </w:t>
      </w:r>
    </w:p>
    <w:p w:rsidR="00404A20" w:rsidRDefault="00E11FE8" w:rsidP="004C38D6">
      <w:pPr>
        <w:spacing w:after="0" w:line="480" w:lineRule="auto"/>
        <w:ind w:firstLine="720"/>
        <w:rPr>
          <w:szCs w:val="24"/>
        </w:rPr>
      </w:pPr>
      <w:r w:rsidRPr="00F97B2D">
        <w:rPr>
          <w:szCs w:val="24"/>
        </w:rPr>
        <w:t xml:space="preserve">For analysis by LC-MS, a solid phase extraction was performed to clean up the sample and isolate the drug.  Serum samples (1 mL) were diluted with 2 mL of phosphate buffer (0.1 M, pH 6.0).  The samples were gently vortexed and loaded onto a Clean Screen® SPE cartridge previously conditioned with 3 mL of methanol, 3 mL of water, and 1 mL of phosphate buffer.  After extraction, the cartridges were sequentially washed with 1 mL of water, 1 mL of 0.1 M acetic acid, and then 1 mL of methanol.  Pressure was applied until the cartridges were dry.  Analytes were eluted slowly with 3 mL of elution </w:t>
      </w:r>
      <w:r w:rsidR="00932348">
        <w:rPr>
          <w:szCs w:val="24"/>
        </w:rPr>
        <w:t>solvent</w:t>
      </w:r>
      <w:r w:rsidRPr="00F97B2D">
        <w:rPr>
          <w:szCs w:val="24"/>
        </w:rPr>
        <w:t xml:space="preserve">, which consisted of dichloromethane, IPA, and ammonium hydroxide (80:20:2 </w:t>
      </w:r>
      <w:r w:rsidRPr="00F97B2D">
        <w:rPr>
          <w:i/>
          <w:szCs w:val="24"/>
        </w:rPr>
        <w:t>v/v/v</w:t>
      </w:r>
      <w:r w:rsidRPr="00F97B2D">
        <w:rPr>
          <w:szCs w:val="24"/>
        </w:rPr>
        <w:t xml:space="preserve">).  The eluates were acidified with 100 µL of 1% HCl in methanol before evaporation under nitrogen at 40°C in a TurboVap® LV by Caliper Life Sciences (Hopkinton, MA).  When dry, the residue was reconstituted in 50 µL of mobile phase </w:t>
      </w:r>
      <w:proofErr w:type="gramStart"/>
      <w:r w:rsidRPr="00F97B2D">
        <w:rPr>
          <w:szCs w:val="24"/>
        </w:rPr>
        <w:t>A</w:t>
      </w:r>
      <w:proofErr w:type="gramEnd"/>
      <w:r w:rsidRPr="00F97B2D">
        <w:rPr>
          <w:szCs w:val="24"/>
        </w:rPr>
        <w:t xml:space="preserve"> (2mM ammonium formate, 0.1% formic acid in water) and 5 µL were injected into the LC-MS system.     </w:t>
      </w:r>
    </w:p>
    <w:p w:rsidR="00404A20" w:rsidRDefault="00404A20" w:rsidP="004C38D6">
      <w:pPr>
        <w:spacing w:after="0" w:line="480" w:lineRule="auto"/>
        <w:ind w:firstLine="720"/>
        <w:rPr>
          <w:szCs w:val="24"/>
        </w:rPr>
      </w:pPr>
    </w:p>
    <w:p w:rsidR="00404A20" w:rsidRDefault="00404A20" w:rsidP="004C38D6">
      <w:pPr>
        <w:spacing w:after="0" w:line="480" w:lineRule="auto"/>
        <w:ind w:firstLine="720"/>
        <w:rPr>
          <w:szCs w:val="24"/>
        </w:rPr>
      </w:pPr>
    </w:p>
    <w:p w:rsidR="00404A20" w:rsidRDefault="00404A20" w:rsidP="004C38D6">
      <w:pPr>
        <w:spacing w:after="0" w:line="480" w:lineRule="auto"/>
        <w:ind w:firstLine="720"/>
        <w:rPr>
          <w:szCs w:val="24"/>
        </w:rPr>
      </w:pPr>
    </w:p>
    <w:p w:rsidR="00404A20" w:rsidRDefault="00404A20" w:rsidP="004C38D6">
      <w:pPr>
        <w:spacing w:after="0" w:line="480" w:lineRule="auto"/>
        <w:ind w:firstLine="720"/>
        <w:rPr>
          <w:szCs w:val="24"/>
        </w:rPr>
      </w:pPr>
    </w:p>
    <w:p w:rsidR="00742D47" w:rsidRPr="00F97B2D" w:rsidRDefault="00E11FE8" w:rsidP="004C38D6">
      <w:pPr>
        <w:spacing w:after="0" w:line="480" w:lineRule="auto"/>
        <w:ind w:firstLine="720"/>
        <w:rPr>
          <w:szCs w:val="24"/>
        </w:rPr>
      </w:pPr>
      <w:r w:rsidRPr="00F97B2D">
        <w:rPr>
          <w:szCs w:val="24"/>
        </w:rPr>
        <w:t xml:space="preserve"> </w:t>
      </w:r>
    </w:p>
    <w:p w:rsidR="00EA267C" w:rsidRPr="00F97B2D" w:rsidRDefault="00EA267C" w:rsidP="00F97B2D">
      <w:pPr>
        <w:pStyle w:val="Heading3"/>
      </w:pPr>
      <w:bookmarkStart w:id="270" w:name="_Toc372536106"/>
      <w:bookmarkStart w:id="271" w:name="_Toc372538769"/>
      <w:r w:rsidRPr="00F97B2D">
        <w:t>Instrumentation</w:t>
      </w:r>
      <w:bookmarkEnd w:id="270"/>
      <w:bookmarkEnd w:id="271"/>
    </w:p>
    <w:p w:rsidR="00EA267C" w:rsidRPr="00F97B2D" w:rsidRDefault="00EA267C" w:rsidP="00AC5F51">
      <w:pPr>
        <w:pStyle w:val="Heading4"/>
      </w:pPr>
      <w:bookmarkStart w:id="272" w:name="_Toc372536107"/>
      <w:bookmarkStart w:id="273" w:name="_Toc372538770"/>
      <w:r w:rsidRPr="00F97B2D">
        <w:t>ELISA</w:t>
      </w:r>
      <w:bookmarkEnd w:id="272"/>
      <w:bookmarkEnd w:id="273"/>
    </w:p>
    <w:p w:rsidR="004C38D6" w:rsidRPr="0083704F" w:rsidRDefault="00EA267C" w:rsidP="0083704F">
      <w:pPr>
        <w:spacing w:after="0" w:line="480" w:lineRule="auto"/>
        <w:ind w:firstLine="720"/>
        <w:rPr>
          <w:szCs w:val="24"/>
        </w:rPr>
      </w:pPr>
      <w:r w:rsidRPr="00F97B2D">
        <w:rPr>
          <w:szCs w:val="24"/>
        </w:rPr>
        <w:t>E</w:t>
      </w:r>
      <w:r w:rsidR="004F48B7">
        <w:rPr>
          <w:szCs w:val="24"/>
        </w:rPr>
        <w:t>nzyme-linked immunosorbent assays</w:t>
      </w:r>
      <w:r w:rsidRPr="00F97B2D">
        <w:rPr>
          <w:szCs w:val="24"/>
        </w:rPr>
        <w:t xml:space="preserve"> w</w:t>
      </w:r>
      <w:r w:rsidR="004F48B7">
        <w:rPr>
          <w:szCs w:val="24"/>
        </w:rPr>
        <w:t>ere</w:t>
      </w:r>
      <w:r w:rsidRPr="00F97B2D">
        <w:rPr>
          <w:szCs w:val="24"/>
        </w:rPr>
        <w:t xml:space="preserve"> performed using a DSX</w:t>
      </w:r>
      <w:r w:rsidRPr="00F97B2D">
        <w:rPr>
          <w:szCs w:val="24"/>
          <w:vertAlign w:val="superscript"/>
        </w:rPr>
        <w:t>®</w:t>
      </w:r>
      <w:r w:rsidRPr="00F97B2D">
        <w:rPr>
          <w:szCs w:val="24"/>
        </w:rPr>
        <w:t xml:space="preserve"> Four-Plate Automated ELISA processing System (Dynex Technologies; Chantilly, VA) operating Revelation version 6.15 software.  The plates were read using a 450 nm filter.  Test procedures were carried out according to manufacturers’ instructions listed in the package inserts, as summarized in </w:t>
      </w:r>
      <w:r w:rsidR="002E77C7">
        <w:fldChar w:fldCharType="begin"/>
      </w:r>
      <w:r w:rsidR="002E77C7">
        <w:instrText xml:space="preserve"> REF _Ref362534652 \h  \* MERGEFORMAT </w:instrText>
      </w:r>
      <w:r w:rsidR="002E77C7">
        <w:fldChar w:fldCharType="separate"/>
      </w:r>
      <w:r w:rsidR="00E37796" w:rsidRPr="00E37796">
        <w:rPr>
          <w:szCs w:val="24"/>
        </w:rPr>
        <w:t>Appendix 3</w:t>
      </w:r>
      <w:r w:rsidR="002E77C7">
        <w:fldChar w:fldCharType="end"/>
      </w:r>
      <w:r w:rsidRPr="00F97B2D">
        <w:rPr>
          <w:szCs w:val="24"/>
        </w:rPr>
        <w:t>.  All incubations were performed at ambient temperature.  Wash buffer was diluted 10X with deionized (DI) water for use in the wash step (unless otherwise noted).  Conjugates that were not “ready-to-use” were diluted according to the package inserts with the appropriate diluents provided from the manufacturer.</w:t>
      </w:r>
    </w:p>
    <w:p w:rsidR="00EA267C" w:rsidRPr="00F97B2D" w:rsidRDefault="00EA267C" w:rsidP="00AC5F51">
      <w:pPr>
        <w:pStyle w:val="Heading4"/>
      </w:pPr>
      <w:bookmarkStart w:id="274" w:name="_Toc372536108"/>
      <w:bookmarkStart w:id="275" w:name="_Toc372538771"/>
      <w:r w:rsidRPr="00F97B2D">
        <w:t>LC-MS</w:t>
      </w:r>
      <w:bookmarkEnd w:id="274"/>
      <w:bookmarkEnd w:id="275"/>
    </w:p>
    <w:p w:rsidR="00EA267C" w:rsidRPr="00F97B2D" w:rsidRDefault="004F48B7" w:rsidP="00EA267C">
      <w:pPr>
        <w:spacing w:after="0" w:line="480" w:lineRule="auto"/>
        <w:ind w:firstLine="720"/>
        <w:rPr>
          <w:szCs w:val="24"/>
        </w:rPr>
      </w:pPr>
      <w:r>
        <w:rPr>
          <w:szCs w:val="24"/>
        </w:rPr>
        <w:t xml:space="preserve">The </w:t>
      </w:r>
      <w:r w:rsidR="00EA267C" w:rsidRPr="00F97B2D">
        <w:rPr>
          <w:szCs w:val="24"/>
        </w:rPr>
        <w:t xml:space="preserve">LC-MS analysis was performed using two systems.  </w:t>
      </w:r>
      <w:r w:rsidR="00EA267C" w:rsidRPr="00AC5F51">
        <w:rPr>
          <w:szCs w:val="24"/>
        </w:rPr>
        <w:t>Qualitative screening</w:t>
      </w:r>
      <w:r w:rsidR="00EA267C" w:rsidRPr="00F97B2D">
        <w:rPr>
          <w:szCs w:val="24"/>
        </w:rPr>
        <w:t xml:space="preserve"> by LC-QQQ-MS employed an Agilent 1290 Infinity Binary Pump LC coupled to an Agilent 6460 triple quadr</w:t>
      </w:r>
      <w:r w:rsidR="006E467F">
        <w:rPr>
          <w:szCs w:val="24"/>
        </w:rPr>
        <w:t>upole MS/MS with Jet Streaming T</w:t>
      </w:r>
      <w:r w:rsidR="00EA267C" w:rsidRPr="00F97B2D">
        <w:rPr>
          <w:szCs w:val="24"/>
        </w:rPr>
        <w:t xml:space="preserve">echnology and electrospray ionization (ESI) using Agilent MassHunter software.  Separation occurred on an Agilent Zorbax Rapid Resolution HD Eclipse </w:t>
      </w:r>
      <w:proofErr w:type="gramStart"/>
      <w:r w:rsidR="00EA267C" w:rsidRPr="00F97B2D">
        <w:rPr>
          <w:szCs w:val="24"/>
        </w:rPr>
        <w:t>Plus</w:t>
      </w:r>
      <w:proofErr w:type="gramEnd"/>
      <w:r w:rsidR="00EA267C" w:rsidRPr="00F97B2D">
        <w:rPr>
          <w:szCs w:val="24"/>
        </w:rPr>
        <w:t xml:space="preserve"> C</w:t>
      </w:r>
      <w:r w:rsidR="00EA267C" w:rsidRPr="00F97B2D">
        <w:rPr>
          <w:szCs w:val="24"/>
          <w:vertAlign w:val="subscript"/>
        </w:rPr>
        <w:t>18</w:t>
      </w:r>
      <w:r w:rsidR="00EA267C" w:rsidRPr="00F97B2D">
        <w:rPr>
          <w:szCs w:val="24"/>
          <w:vertAlign w:val="superscript"/>
        </w:rPr>
        <w:t xml:space="preserve"> </w:t>
      </w:r>
      <w:r w:rsidR="00EA267C" w:rsidRPr="00F97B2D">
        <w:rPr>
          <w:szCs w:val="24"/>
        </w:rPr>
        <w:t>LC column (50 x 2.1 mm, 1.8 µm particle size).  Data acquisition was performed in Dynamic MRM mode with positive ESI using one prin</w:t>
      </w:r>
      <w:r w:rsidR="009133E9" w:rsidRPr="00F97B2D">
        <w:rPr>
          <w:szCs w:val="24"/>
        </w:rPr>
        <w:t>cipal MRM transition for quantific</w:t>
      </w:r>
      <w:r w:rsidR="00EA267C" w:rsidRPr="00F97B2D">
        <w:rPr>
          <w:szCs w:val="24"/>
        </w:rPr>
        <w:t xml:space="preserve">ation and one additional transition to serve as a qualifier for each analyte.  Samples were also analyzed by high-resolution MS for confirmation and library matching.  For this purpose, an Agilent 1290 Infinity Binary Pump LC coupled to an Agilent 6530 quadrupole time-of-flight (QTOF) </w:t>
      </w:r>
      <w:r w:rsidR="006E467F">
        <w:rPr>
          <w:szCs w:val="24"/>
        </w:rPr>
        <w:t xml:space="preserve">MS </w:t>
      </w:r>
      <w:r w:rsidR="00EA267C" w:rsidRPr="00F97B2D">
        <w:rPr>
          <w:szCs w:val="24"/>
        </w:rPr>
        <w:t>was utilized.  The same LC column as described above was used for separation.  Data acquisition was performed in full-scan mode with positive ESI.</w:t>
      </w:r>
    </w:p>
    <w:p w:rsidR="00EA267C" w:rsidRPr="00F97B2D" w:rsidRDefault="00EA267C" w:rsidP="00EA267C">
      <w:pPr>
        <w:widowControl w:val="0"/>
        <w:tabs>
          <w:tab w:val="left" w:pos="450"/>
        </w:tabs>
        <w:spacing w:after="0" w:line="480" w:lineRule="auto"/>
        <w:ind w:firstLine="720"/>
        <w:rPr>
          <w:szCs w:val="24"/>
        </w:rPr>
      </w:pPr>
      <w:r w:rsidRPr="00F97B2D">
        <w:rPr>
          <w:szCs w:val="24"/>
        </w:rPr>
        <w:t xml:space="preserve">Chromatographic separation occurred with gradient elution at a flow rate of 0.5 mL/min using 2 mM ammonium formate/0.1% formic acid in water as mobile phase A and acetonitrile/water (90:10 </w:t>
      </w:r>
      <w:r w:rsidRPr="00F97B2D">
        <w:rPr>
          <w:i/>
          <w:szCs w:val="24"/>
        </w:rPr>
        <w:t>v/v</w:t>
      </w:r>
      <w:r w:rsidRPr="00F97B2D">
        <w:rPr>
          <w:szCs w:val="24"/>
        </w:rPr>
        <w:t xml:space="preserve">) with 0.1% formic acid as mobile phase B.  The gradient was as follows: 5% B up to 35% B in 6 minutes as the analytical run, followed by a 30 s ramp up to 95% B and then a 1 minute hold for clean-up before a 3.5 minute re-equilibration at 5% B.  The analytical column was kept at a temperature of 40°C in a thermostatted column compartment during separation.  </w:t>
      </w:r>
    </w:p>
    <w:p w:rsidR="00EA267C" w:rsidRPr="00F97B2D" w:rsidRDefault="00EA267C" w:rsidP="00EA267C">
      <w:pPr>
        <w:widowControl w:val="0"/>
        <w:tabs>
          <w:tab w:val="left" w:pos="450"/>
        </w:tabs>
        <w:spacing w:after="0" w:line="480" w:lineRule="auto"/>
        <w:ind w:firstLine="720"/>
        <w:rPr>
          <w:szCs w:val="24"/>
        </w:rPr>
      </w:pPr>
      <w:r w:rsidRPr="00F97B2D">
        <w:rPr>
          <w:szCs w:val="24"/>
        </w:rPr>
        <w:t xml:space="preserve">Source parameters for QQQ-MS were as follows: gas temperature 320°C; gas flow 8 L/min; nebulizer 27 psi; sheath gas heater 380°C; sheath gas flow 12 L/min; capillary voltage 3,750 V; and charging voltage 500 V.  The method parameters are summarized in </w:t>
      </w:r>
      <w:r w:rsidR="002E77C7">
        <w:fldChar w:fldCharType="begin"/>
      </w:r>
      <w:r w:rsidR="002E77C7">
        <w:instrText xml:space="preserve"> REF _Ref362612561 \h </w:instrText>
      </w:r>
      <w:r w:rsidR="002E77C7">
        <w:instrText xml:space="preserve"> \* MERGEFORMAT </w:instrText>
      </w:r>
      <w:r w:rsidR="002E77C7">
        <w:fldChar w:fldCharType="separate"/>
      </w:r>
      <w:r w:rsidR="00E37796" w:rsidRPr="00E37796">
        <w:rPr>
          <w:szCs w:val="24"/>
        </w:rPr>
        <w:t>Appendix 5</w:t>
      </w:r>
      <w:r w:rsidR="002E77C7">
        <w:fldChar w:fldCharType="end"/>
      </w:r>
      <w:r w:rsidRPr="00F97B2D">
        <w:rPr>
          <w:szCs w:val="24"/>
        </w:rPr>
        <w:t xml:space="preserve">.  Data were acquired in Dynamic MRM mode with two transitions per analyte and compounds were identified using Agilent MassHunter Qualitative Analysis software.  Compounds were identified qualitatively by examining retention time and ion ratios for both transitions.  Compounds were quantified against a calibration curve using Agilent MassHunter Quantitative Analysis software.    </w:t>
      </w:r>
    </w:p>
    <w:p w:rsidR="00EA267C" w:rsidRDefault="00EA267C" w:rsidP="00F30241">
      <w:pPr>
        <w:widowControl w:val="0"/>
        <w:tabs>
          <w:tab w:val="left" w:pos="450"/>
        </w:tabs>
        <w:spacing w:after="0" w:line="480" w:lineRule="auto"/>
        <w:ind w:firstLine="720"/>
        <w:rPr>
          <w:szCs w:val="24"/>
        </w:rPr>
      </w:pPr>
      <w:r w:rsidRPr="00F97B2D">
        <w:rPr>
          <w:szCs w:val="24"/>
        </w:rPr>
        <w:t>Source parameters for QTOF-MS analysis were as follows: gas temperature 320°C; gas flow 8 L/min; nebulizer 27 psi; sheath gas heater 380°C; sheath gas flow 12 L/min; capillary voltage 3,750 V; nozzle voltage 500 V; fragmentor 125; skimmer 65; octapole RF peak 750.  Agilent MassHunter Qualitative Analysis software was employed for the identification of analytes.  An in-house library with exact mass data was used for confirmation of the analytes.  Retention time, as known from the QQQ method, was also considered when making matches.  A software score of 90 or greater was considered a match if there was also minimal difference between the actual and expected mass.</w:t>
      </w:r>
    </w:p>
    <w:p w:rsidR="00AC5F51" w:rsidRDefault="00AC5F51" w:rsidP="007C37F3">
      <w:pPr>
        <w:pStyle w:val="Heading3"/>
      </w:pPr>
      <w:bookmarkStart w:id="276" w:name="_Toc372536109"/>
      <w:bookmarkStart w:id="277" w:name="_Toc372538772"/>
      <w:r>
        <w:t>QC Samples</w:t>
      </w:r>
      <w:bookmarkEnd w:id="276"/>
      <w:bookmarkEnd w:id="277"/>
    </w:p>
    <w:p w:rsidR="00404A20" w:rsidRPr="007C37F3" w:rsidRDefault="00AC5F51" w:rsidP="00404A20">
      <w:pPr>
        <w:spacing w:after="0" w:line="480" w:lineRule="auto"/>
      </w:pPr>
      <w:r>
        <w:tab/>
        <w:t>When analyzing the spiked sam</w:t>
      </w:r>
      <w:r w:rsidR="007C37F3">
        <w:t xml:space="preserve">ples by ELISA, fresh </w:t>
      </w:r>
      <w:r>
        <w:t xml:space="preserve">negative and positive cut-off controls </w:t>
      </w:r>
      <w:r w:rsidR="007C37F3">
        <w:t xml:space="preserve">(Chapter 3) </w:t>
      </w:r>
      <w:r>
        <w:t>wer</w:t>
      </w:r>
      <w:r w:rsidR="007C37F3">
        <w:t xml:space="preserve">e prepared and analyzed as described above. </w:t>
      </w:r>
      <w:r w:rsidR="00566301">
        <w:t xml:space="preserve"> </w:t>
      </w:r>
      <w:r w:rsidR="007C37F3">
        <w:t xml:space="preserve">When analyzing the spiked samples by LC-MS, calibrators and QC samples (Chapter 4) were prepared and analyzed as described above. </w:t>
      </w:r>
    </w:p>
    <w:p w:rsidR="004F4AE4" w:rsidRPr="00F97B2D" w:rsidRDefault="00F41504" w:rsidP="00F97B2D">
      <w:pPr>
        <w:pStyle w:val="Heading2"/>
      </w:pPr>
      <w:bookmarkStart w:id="278" w:name="_Toc372536110"/>
      <w:bookmarkStart w:id="279" w:name="_Toc372538773"/>
      <w:r w:rsidRPr="00F97B2D">
        <w:t>Results and Discussion</w:t>
      </w:r>
      <w:bookmarkEnd w:id="278"/>
      <w:bookmarkEnd w:id="279"/>
    </w:p>
    <w:p w:rsidR="00B00AAE" w:rsidRPr="00F97B2D" w:rsidRDefault="006E467F" w:rsidP="00B00AAE">
      <w:pPr>
        <w:widowControl w:val="0"/>
        <w:tabs>
          <w:tab w:val="left" w:pos="450"/>
        </w:tabs>
        <w:spacing w:after="0" w:line="480" w:lineRule="auto"/>
        <w:ind w:firstLine="720"/>
        <w:rPr>
          <w:szCs w:val="24"/>
        </w:rPr>
      </w:pPr>
      <w:r>
        <w:rPr>
          <w:szCs w:val="24"/>
        </w:rPr>
        <w:t>The 22</w:t>
      </w:r>
      <w:r w:rsidR="00EA267C" w:rsidRPr="00F97B2D">
        <w:rPr>
          <w:szCs w:val="24"/>
        </w:rPr>
        <w:t xml:space="preserve"> spiked blinded serum samples were thawed and screened by all 16 ELI</w:t>
      </w:r>
      <w:r w:rsidR="00B00AAE" w:rsidRPr="00F97B2D">
        <w:rPr>
          <w:szCs w:val="24"/>
        </w:rPr>
        <w:t xml:space="preserve">SA </w:t>
      </w:r>
      <w:r w:rsidR="00932348">
        <w:rPr>
          <w:szCs w:val="24"/>
        </w:rPr>
        <w:t>assay</w:t>
      </w:r>
      <w:r w:rsidR="00F066F5">
        <w:rPr>
          <w:szCs w:val="24"/>
        </w:rPr>
        <w:t>s</w:t>
      </w:r>
      <w:r w:rsidR="00B00AAE" w:rsidRPr="00F97B2D">
        <w:rPr>
          <w:szCs w:val="24"/>
        </w:rPr>
        <w:t xml:space="preserve"> as listed in </w:t>
      </w:r>
      <w:r w:rsidR="002E77C7">
        <w:fldChar w:fldCharType="begin"/>
      </w:r>
      <w:r w:rsidR="002E77C7">
        <w:instrText xml:space="preserve"> REF _Ref362524679 \h  \* MERGEFORMAT </w:instrText>
      </w:r>
      <w:r w:rsidR="002E77C7">
        <w:fldChar w:fldCharType="separate"/>
      </w:r>
      <w:r w:rsidR="00E37796" w:rsidRPr="00E37796">
        <w:rPr>
          <w:szCs w:val="24"/>
        </w:rPr>
        <w:t>Table 2</w:t>
      </w:r>
      <w:r w:rsidR="002E77C7">
        <w:fldChar w:fldCharType="end"/>
      </w:r>
      <w:r w:rsidR="00EA267C" w:rsidRPr="00F97B2D">
        <w:rPr>
          <w:szCs w:val="24"/>
        </w:rPr>
        <w:t xml:space="preserve">.  The samples were diluted as described above and analyzed against fresh positive and negative serum controls.  The results are shown in </w:t>
      </w:r>
      <w:r w:rsidR="002E77C7">
        <w:fldChar w:fldCharType="begin"/>
      </w:r>
      <w:r w:rsidR="002E77C7">
        <w:instrText xml:space="preserve"> REF _Ref362871376 \h  \* MERGEFORMAT </w:instrText>
      </w:r>
      <w:r w:rsidR="002E77C7">
        <w:fldChar w:fldCharType="separate"/>
      </w:r>
      <w:r w:rsidR="00E37796" w:rsidRPr="00E37796">
        <w:rPr>
          <w:szCs w:val="24"/>
        </w:rPr>
        <w:t>Appendix 9</w:t>
      </w:r>
      <w:r w:rsidR="002E77C7">
        <w:fldChar w:fldCharType="end"/>
      </w:r>
      <w:r w:rsidR="00EA267C" w:rsidRPr="00F97B2D">
        <w:rPr>
          <w:szCs w:val="24"/>
        </w:rPr>
        <w:t xml:space="preserve">.  All of the samples screened positive for cotinine using the OraSure </w:t>
      </w:r>
      <w:r w:rsidR="00F066F5">
        <w:rPr>
          <w:szCs w:val="24"/>
        </w:rPr>
        <w:t>assay</w:t>
      </w:r>
      <w:r w:rsidR="00EA267C" w:rsidRPr="00F97B2D">
        <w:rPr>
          <w:szCs w:val="24"/>
        </w:rPr>
        <w:t xml:space="preserve">.  The blank serum used for the preparation of the controls was different than the lot of blank serum used to prepare the blind spiked specimens and therefore likely contained higher levels of the nicotine metabolite.  Since this </w:t>
      </w:r>
      <w:r w:rsidR="00F066F5">
        <w:rPr>
          <w:szCs w:val="24"/>
        </w:rPr>
        <w:t>assay</w:t>
      </w:r>
      <w:r w:rsidR="00EA267C" w:rsidRPr="00F97B2D">
        <w:rPr>
          <w:szCs w:val="24"/>
        </w:rPr>
        <w:t xml:space="preserve"> did not exhibit any cross-reactivity towards the analytes of interest during the initial stages of this study, it was determined</w:t>
      </w:r>
      <w:r>
        <w:rPr>
          <w:szCs w:val="24"/>
        </w:rPr>
        <w:t xml:space="preserve"> that the positive reactions were</w:t>
      </w:r>
      <w:r w:rsidR="00EA267C" w:rsidRPr="00F97B2D">
        <w:rPr>
          <w:szCs w:val="24"/>
        </w:rPr>
        <w:t xml:space="preserve"> from the matrix alone and not</w:t>
      </w:r>
      <w:r>
        <w:rPr>
          <w:szCs w:val="24"/>
        </w:rPr>
        <w:t xml:space="preserve"> from</w:t>
      </w:r>
      <w:r w:rsidR="00EA267C" w:rsidRPr="00F97B2D">
        <w:rPr>
          <w:szCs w:val="24"/>
        </w:rPr>
        <w:t xml:space="preserve"> any of the drugs that may have been added.  Several samples gave indeterminate results, as indicated by “</w:t>
      </w:r>
      <w:r w:rsidR="00EA267C" w:rsidRPr="00F97B2D">
        <w:rPr>
          <w:b/>
          <w:szCs w:val="24"/>
        </w:rPr>
        <w:t>±</w:t>
      </w:r>
      <w:r w:rsidR="00EA267C" w:rsidRPr="00F97B2D">
        <w:rPr>
          <w:szCs w:val="24"/>
        </w:rPr>
        <w:t>” in the table.</w:t>
      </w:r>
    </w:p>
    <w:p w:rsidR="004C38D6" w:rsidRPr="00E73A76" w:rsidRDefault="00EA267C" w:rsidP="00E73A76">
      <w:pPr>
        <w:widowControl w:val="0"/>
        <w:tabs>
          <w:tab w:val="left" w:pos="450"/>
        </w:tabs>
        <w:spacing w:after="0" w:line="480" w:lineRule="auto"/>
        <w:ind w:firstLine="720"/>
        <w:rPr>
          <w:b/>
          <w:i/>
          <w:szCs w:val="24"/>
          <w:highlight w:val="lightGray"/>
        </w:rPr>
      </w:pPr>
      <w:r w:rsidRPr="00F97B2D">
        <w:rPr>
          <w:szCs w:val="24"/>
        </w:rPr>
        <w:t xml:space="preserve">Spiked samples were extracted by SPE as described under </w:t>
      </w:r>
      <w:r w:rsidR="002E77C7">
        <w:fldChar w:fldCharType="begin"/>
      </w:r>
      <w:r w:rsidR="002E77C7">
        <w:instrText xml:space="preserve"> REF _Ref362871422 \h  \* MERGEFORMAT </w:instrText>
      </w:r>
      <w:r w:rsidR="002E77C7">
        <w:fldChar w:fldCharType="separate"/>
      </w:r>
      <w:r w:rsidR="00E37796" w:rsidRPr="00E37796">
        <w:rPr>
          <w:szCs w:val="24"/>
        </w:rPr>
        <w:t>Materials and Methods</w:t>
      </w:r>
      <w:r w:rsidR="002E77C7">
        <w:fldChar w:fldCharType="end"/>
      </w:r>
      <w:r w:rsidRPr="00F97B2D">
        <w:rPr>
          <w:szCs w:val="24"/>
        </w:rPr>
        <w:t xml:space="preserve">.  The results obtained by LC-QQQ-MS confirmed many of the “false-positives” obtained during the ELISA screening of these samples.  For example, the ELISA </w:t>
      </w:r>
      <w:r w:rsidR="00F066F5">
        <w:rPr>
          <w:szCs w:val="24"/>
        </w:rPr>
        <w:t>assay</w:t>
      </w:r>
      <w:r w:rsidRPr="00F97B2D">
        <w:rPr>
          <w:szCs w:val="24"/>
        </w:rPr>
        <w:t>s targeting methamphetamine gave positive results for samples that did not contain methamphetamine, (</w:t>
      </w:r>
      <w:r w:rsidRPr="00F97B2D">
        <w:rPr>
          <w:i/>
          <w:szCs w:val="24"/>
        </w:rPr>
        <w:t xml:space="preserve">i.e., </w:t>
      </w:r>
      <w:r w:rsidRPr="00F97B2D">
        <w:rPr>
          <w:szCs w:val="24"/>
        </w:rPr>
        <w:t xml:space="preserve">samples 3, 4, 11, 14, and 15).  The </w:t>
      </w:r>
      <w:r w:rsidR="00F066F5">
        <w:rPr>
          <w:szCs w:val="24"/>
        </w:rPr>
        <w:t>assay</w:t>
      </w:r>
      <w:r w:rsidR="00F066F5" w:rsidRPr="00F97B2D">
        <w:rPr>
          <w:szCs w:val="24"/>
        </w:rPr>
        <w:t xml:space="preserve"> </w:t>
      </w:r>
      <w:r w:rsidRPr="00F97B2D">
        <w:rPr>
          <w:szCs w:val="24"/>
        </w:rPr>
        <w:t>targeting amphetamine gave positives for samples that did not contain amphetamine (</w:t>
      </w:r>
      <w:r w:rsidRPr="00F97B2D">
        <w:rPr>
          <w:i/>
          <w:szCs w:val="24"/>
        </w:rPr>
        <w:t>i.e.,</w:t>
      </w:r>
      <w:r w:rsidRPr="00F97B2D">
        <w:rPr>
          <w:szCs w:val="24"/>
        </w:rPr>
        <w:t xml:space="preserve"> samples</w:t>
      </w:r>
      <w:r w:rsidRPr="00F97B2D">
        <w:rPr>
          <w:i/>
          <w:szCs w:val="24"/>
        </w:rPr>
        <w:t xml:space="preserve"> </w:t>
      </w:r>
      <w:r w:rsidRPr="00F97B2D">
        <w:rPr>
          <w:szCs w:val="24"/>
        </w:rPr>
        <w:t xml:space="preserve">3, 4, 6, 7, 8, 9, and 15).  The MDPV </w:t>
      </w:r>
      <w:r w:rsidR="00932348">
        <w:rPr>
          <w:szCs w:val="24"/>
        </w:rPr>
        <w:t>assay</w:t>
      </w:r>
      <w:r w:rsidRPr="00F97B2D">
        <w:rPr>
          <w:szCs w:val="24"/>
        </w:rPr>
        <w:t xml:space="preserve"> successfully detected the analyte in sample 14 but gave indeterminate results for samples 3, 4, 8, and 15, which did not contain this compound.  The Mephedrone/Methcathinone </w:t>
      </w:r>
      <w:r w:rsidR="00932348">
        <w:rPr>
          <w:szCs w:val="24"/>
        </w:rPr>
        <w:t>assay</w:t>
      </w:r>
      <w:r w:rsidRPr="00F97B2D">
        <w:rPr>
          <w:szCs w:val="24"/>
        </w:rPr>
        <w:t xml:space="preserve"> was able to successfully detect cathinone derivatives in 10 out of the 11 samples which contained such analytes.  The other case, sample 20, was determined to contain flephedrone at a low concentration that was otherwise undetected by the immunoassays.  Samples such as 13, 17, 18, and 19, which were assumed negative by immunoassay, were determined to contain 2C compounds when analyzed by LC-QQQ-MS.</w:t>
      </w:r>
      <w:r w:rsidR="00453869" w:rsidRPr="00F97B2D">
        <w:rPr>
          <w:szCs w:val="24"/>
        </w:rPr>
        <w:t xml:space="preserve">  </w:t>
      </w:r>
      <w:r w:rsidRPr="00F97B2D">
        <w:rPr>
          <w:szCs w:val="24"/>
        </w:rPr>
        <w:tab/>
      </w:r>
      <w:r w:rsidRPr="00F97B2D">
        <w:rPr>
          <w:b/>
          <w:i/>
          <w:szCs w:val="24"/>
          <w:highlight w:val="lightGray"/>
        </w:rPr>
        <w:t xml:space="preserve"> </w:t>
      </w:r>
    </w:p>
    <w:p w:rsidR="00C56A19" w:rsidRDefault="00EA267C" w:rsidP="00E73A76">
      <w:pPr>
        <w:widowControl w:val="0"/>
        <w:tabs>
          <w:tab w:val="left" w:pos="450"/>
        </w:tabs>
        <w:spacing w:after="0" w:line="480" w:lineRule="auto"/>
        <w:ind w:firstLine="720"/>
        <w:rPr>
          <w:szCs w:val="24"/>
        </w:rPr>
      </w:pPr>
      <w:r w:rsidRPr="00F97B2D">
        <w:rPr>
          <w:szCs w:val="24"/>
        </w:rPr>
        <w:t xml:space="preserve">The blind spiked samples were also analyzed by LC-QTOF-MS to confirm the results of the ELISA and LC-QQQ-MS analyses by means of high-resolution mass spectral library matching.  The samples were analyzed in full-scan mode and compared to a full-scan library, while also considering retention time in identification of the analyte.  The results are summarized in </w:t>
      </w:r>
      <w:r w:rsidR="002E77C7">
        <w:fldChar w:fldCharType="begin"/>
      </w:r>
      <w:r w:rsidR="002E77C7">
        <w:instrText xml:space="preserve"> REF _Ref362871774 \h  \* MERGEFORMAT </w:instrText>
      </w:r>
      <w:r w:rsidR="002E77C7">
        <w:fldChar w:fldCharType="separate"/>
      </w:r>
      <w:r w:rsidR="00E37796" w:rsidRPr="00E37796">
        <w:rPr>
          <w:szCs w:val="24"/>
        </w:rPr>
        <w:t>Table 11</w:t>
      </w:r>
      <w:r w:rsidR="002E77C7">
        <w:fldChar w:fldCharType="end"/>
      </w:r>
      <w:r w:rsidRPr="00F97B2D">
        <w:rPr>
          <w:szCs w:val="24"/>
        </w:rPr>
        <w:t xml:space="preserve">.  </w:t>
      </w:r>
      <w:r w:rsidR="00217E72">
        <w:rPr>
          <w:szCs w:val="24"/>
        </w:rPr>
        <w:t xml:space="preserve">An example of an extracted ion chromatogram and a library match for sample 1 can be found in </w:t>
      </w:r>
      <w:r w:rsidR="000E239B">
        <w:rPr>
          <w:szCs w:val="24"/>
        </w:rPr>
        <w:fldChar w:fldCharType="begin"/>
      </w:r>
      <w:r w:rsidR="00217E72">
        <w:rPr>
          <w:szCs w:val="24"/>
        </w:rPr>
        <w:instrText xml:space="preserve"> REF _Ref364080191 \h </w:instrText>
      </w:r>
      <w:r w:rsidR="000E239B">
        <w:rPr>
          <w:szCs w:val="24"/>
        </w:rPr>
      </w:r>
      <w:r w:rsidR="000E239B">
        <w:rPr>
          <w:szCs w:val="24"/>
        </w:rPr>
        <w:fldChar w:fldCharType="separate"/>
      </w:r>
      <w:r w:rsidR="00E37796">
        <w:t xml:space="preserve">Figure </w:t>
      </w:r>
      <w:r w:rsidR="00E37796">
        <w:rPr>
          <w:noProof/>
        </w:rPr>
        <w:t>10</w:t>
      </w:r>
      <w:r w:rsidR="000E239B">
        <w:rPr>
          <w:szCs w:val="24"/>
        </w:rPr>
        <w:fldChar w:fldCharType="end"/>
      </w:r>
      <w:r w:rsidR="00217E72">
        <w:rPr>
          <w:szCs w:val="24"/>
        </w:rPr>
        <w:t xml:space="preserve">.  </w:t>
      </w:r>
      <w:r w:rsidRPr="00F97B2D">
        <w:rPr>
          <w:szCs w:val="24"/>
        </w:rPr>
        <w:t>Methamphetamine, amphetamine, and MDMA were not included in the mass spectral library and therefore could not be confirmed in samples 6, 7, 8, 9, and 11.  There were no library matches found for samples 5 and 16, an expected result since these were negative samples.  With the exceptions noted above, all of the compounds were successfully identified by QTOF-MS with high confidence, based on the high-resolution parent mass data obtained.  With the exceptions of methedrone, butylone, and AMT, all of the compounds identified by the library had ID scores of at least 90 as provided by t</w:t>
      </w:r>
      <w:r w:rsidR="00217E72">
        <w:rPr>
          <w:szCs w:val="24"/>
        </w:rPr>
        <w:t>he Agilent MassHunter software.</w:t>
      </w:r>
    </w:p>
    <w:p w:rsidR="00404A20" w:rsidRDefault="00404A20" w:rsidP="00C56A19">
      <w:pPr>
        <w:spacing w:after="0"/>
        <w:rPr>
          <w:szCs w:val="24"/>
        </w:rPr>
        <w:sectPr w:rsidR="00404A20" w:rsidSect="00005A65">
          <w:pgSz w:w="12240" w:h="15840" w:code="1"/>
          <w:pgMar w:top="1440" w:right="1440" w:bottom="1800" w:left="2160" w:header="720" w:footer="720" w:gutter="0"/>
          <w:cols w:space="720"/>
          <w:docGrid w:linePitch="360"/>
        </w:sectPr>
      </w:pPr>
    </w:p>
    <w:p w:rsidR="00C56A19" w:rsidRDefault="00C56A19" w:rsidP="00C56A19">
      <w:pPr>
        <w:spacing w:after="0"/>
        <w:rPr>
          <w:szCs w:val="24"/>
        </w:rPr>
      </w:pPr>
      <w:r>
        <w:rPr>
          <w:noProof/>
          <w:szCs w:val="24"/>
          <w:lang w:bidi="ar-SA"/>
        </w:rPr>
        <w:drawing>
          <wp:inline distT="0" distB="0" distL="0" distR="0">
            <wp:extent cx="7772400" cy="1894059"/>
            <wp:effectExtent l="19050" t="19050" r="19050" b="10941"/>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9">
                      <a:extLst>
                        <a:ext uri="{28A0092B-C50C-407E-A947-70E740481C1C}">
                          <a14:useLocalDpi xmlns:a14="http://schemas.microsoft.com/office/drawing/2010/main" val="0"/>
                        </a:ext>
                      </a:extLst>
                    </a:blip>
                    <a:srcRect t="46977"/>
                    <a:stretch/>
                  </pic:blipFill>
                  <pic:spPr bwMode="auto">
                    <a:xfrm>
                      <a:off x="0" y="0"/>
                      <a:ext cx="7772400" cy="1894059"/>
                    </a:xfrm>
                    <a:prstGeom prst="rect">
                      <a:avLst/>
                    </a:prstGeom>
                    <a:noFill/>
                    <a:ln>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rsidR="00C56A19" w:rsidRDefault="00C56A19" w:rsidP="00C56A19">
      <w:pPr>
        <w:spacing w:after="0"/>
        <w:rPr>
          <w:szCs w:val="24"/>
        </w:rPr>
      </w:pPr>
    </w:p>
    <w:p w:rsidR="00C56A19" w:rsidRDefault="00404A20" w:rsidP="00C56A19">
      <w:pPr>
        <w:keepNext/>
        <w:spacing w:after="0"/>
      </w:pPr>
      <w:r>
        <w:rPr>
          <w:noProof/>
          <w:szCs w:val="24"/>
          <w:lang w:bidi="ar-SA"/>
        </w:rPr>
        <w:drawing>
          <wp:inline distT="0" distB="0" distL="0" distR="0">
            <wp:extent cx="7772400" cy="271327"/>
            <wp:effectExtent l="19050" t="19050" r="19050" b="14423"/>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0">
                      <a:extLst>
                        <a:ext uri="{28A0092B-C50C-407E-A947-70E740481C1C}">
                          <a14:useLocalDpi xmlns:a14="http://schemas.microsoft.com/office/drawing/2010/main" val="0"/>
                        </a:ext>
                      </a:extLst>
                    </a:blip>
                    <a:srcRect l="7568" t="5435" r="2551" b="64123"/>
                    <a:stretch/>
                  </pic:blipFill>
                  <pic:spPr bwMode="auto">
                    <a:xfrm>
                      <a:off x="0" y="0"/>
                      <a:ext cx="7772400" cy="271327"/>
                    </a:xfrm>
                    <a:prstGeom prst="rect">
                      <a:avLst/>
                    </a:prstGeom>
                    <a:noFill/>
                    <a:ln>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rsidR="00C56A19" w:rsidRDefault="00C56A19" w:rsidP="00C56A19">
      <w:pPr>
        <w:pStyle w:val="Caption"/>
        <w:jc w:val="left"/>
      </w:pPr>
      <w:bookmarkStart w:id="280" w:name="_Ref364080191"/>
      <w:bookmarkStart w:id="281" w:name="_Toc372536137"/>
      <w:r>
        <w:t xml:space="preserve">Figure </w:t>
      </w:r>
      <w:r w:rsidR="002E77C7">
        <w:fldChar w:fldCharType="begin"/>
      </w:r>
      <w:r w:rsidR="002E77C7">
        <w:instrText xml:space="preserve"> SEQ Figure \* ARABIC </w:instrText>
      </w:r>
      <w:r w:rsidR="002E77C7">
        <w:fldChar w:fldCharType="separate"/>
      </w:r>
      <w:r w:rsidR="00E37796">
        <w:rPr>
          <w:noProof/>
        </w:rPr>
        <w:t>10</w:t>
      </w:r>
      <w:r w:rsidR="002E77C7">
        <w:rPr>
          <w:noProof/>
        </w:rPr>
        <w:fldChar w:fldCharType="end"/>
      </w:r>
      <w:bookmarkEnd w:id="280"/>
      <w:r>
        <w:t>: Extracted Ion Chromatogram and Library Match for Sample 1</w:t>
      </w:r>
      <w:bookmarkEnd w:id="281"/>
    </w:p>
    <w:p w:rsidR="00404A20" w:rsidRDefault="00404A20" w:rsidP="00217E72">
      <w:pPr>
        <w:widowControl w:val="0"/>
        <w:tabs>
          <w:tab w:val="left" w:pos="450"/>
        </w:tabs>
        <w:spacing w:after="0" w:line="480" w:lineRule="auto"/>
        <w:ind w:firstLine="720"/>
        <w:rPr>
          <w:szCs w:val="24"/>
        </w:rPr>
        <w:sectPr w:rsidR="00404A20" w:rsidSect="00404A20">
          <w:pgSz w:w="15840" w:h="12240" w:orient="landscape" w:code="1"/>
          <w:pgMar w:top="2160" w:right="1440" w:bottom="1440" w:left="1800" w:header="720" w:footer="720" w:gutter="0"/>
          <w:cols w:space="720"/>
          <w:docGrid w:linePitch="360"/>
        </w:sectPr>
      </w:pPr>
    </w:p>
    <w:p w:rsidR="00453869" w:rsidRPr="00F97B2D" w:rsidRDefault="00453869" w:rsidP="00F97B2D">
      <w:pPr>
        <w:pStyle w:val="Caption"/>
      </w:pPr>
      <w:bookmarkStart w:id="282" w:name="_Ref362871774"/>
      <w:bookmarkStart w:id="283" w:name="_Toc372536126"/>
      <w:r w:rsidRPr="00F97B2D">
        <w:t xml:space="preserve">Table </w:t>
      </w:r>
      <w:r w:rsidR="000E239B" w:rsidRPr="00F97B2D">
        <w:fldChar w:fldCharType="begin"/>
      </w:r>
      <w:r w:rsidR="00B2107A" w:rsidRPr="00F97B2D">
        <w:instrText xml:space="preserve"> SEQ Table \* ARABIC </w:instrText>
      </w:r>
      <w:r w:rsidR="000E239B" w:rsidRPr="00F97B2D">
        <w:fldChar w:fldCharType="separate"/>
      </w:r>
      <w:r w:rsidR="00E37796">
        <w:rPr>
          <w:noProof/>
        </w:rPr>
        <w:t>11</w:t>
      </w:r>
      <w:r w:rsidR="000E239B" w:rsidRPr="00F97B2D">
        <w:rPr>
          <w:noProof/>
        </w:rPr>
        <w:fldChar w:fldCharType="end"/>
      </w:r>
      <w:bookmarkEnd w:id="282"/>
      <w:r w:rsidRPr="00F97B2D">
        <w:t>: LC-QTOF Data for Blind Spiked Samples</w:t>
      </w:r>
      <w:bookmarkEnd w:id="283"/>
    </w:p>
    <w:tbl>
      <w:tblPr>
        <w:tblStyle w:val="TableGrid"/>
        <w:tblW w:w="0" w:type="auto"/>
        <w:tblLook w:val="04A0" w:firstRow="1" w:lastRow="0" w:firstColumn="1" w:lastColumn="0" w:noHBand="0" w:noVBand="1"/>
      </w:tblPr>
      <w:tblGrid>
        <w:gridCol w:w="1199"/>
        <w:gridCol w:w="2029"/>
        <w:gridCol w:w="1643"/>
        <w:gridCol w:w="1403"/>
        <w:gridCol w:w="1792"/>
        <w:gridCol w:w="790"/>
      </w:tblGrid>
      <w:tr w:rsidR="00453869" w:rsidRPr="0068761A" w:rsidTr="00453869">
        <w:trPr>
          <w:trHeight w:val="432"/>
          <w:tblHeader/>
        </w:trPr>
        <w:tc>
          <w:tcPr>
            <w:tcW w:w="0" w:type="auto"/>
            <w:vAlign w:val="center"/>
          </w:tcPr>
          <w:p w:rsidR="00453869" w:rsidRPr="0068761A" w:rsidRDefault="00453869" w:rsidP="00593C41">
            <w:pPr>
              <w:widowControl w:val="0"/>
              <w:jc w:val="center"/>
              <w:rPr>
                <w:rFonts w:cs="Times New Roman"/>
                <w:b/>
                <w:bCs/>
                <w:color w:val="000000"/>
              </w:rPr>
            </w:pPr>
            <w:r w:rsidRPr="0068761A">
              <w:rPr>
                <w:rFonts w:cs="Times New Roman"/>
                <w:b/>
                <w:bCs/>
                <w:color w:val="000000"/>
              </w:rPr>
              <w:t>Sample</w:t>
            </w:r>
          </w:p>
        </w:tc>
        <w:tc>
          <w:tcPr>
            <w:tcW w:w="0" w:type="auto"/>
            <w:vAlign w:val="center"/>
          </w:tcPr>
          <w:p w:rsidR="00453869" w:rsidRPr="0068761A" w:rsidRDefault="00453869" w:rsidP="00593C41">
            <w:pPr>
              <w:widowControl w:val="0"/>
              <w:jc w:val="center"/>
              <w:rPr>
                <w:rFonts w:cs="Times New Roman"/>
                <w:b/>
              </w:rPr>
            </w:pPr>
            <w:r w:rsidRPr="0068761A">
              <w:rPr>
                <w:rFonts w:cs="Times New Roman"/>
                <w:b/>
              </w:rPr>
              <w:t>Match</w:t>
            </w:r>
          </w:p>
        </w:tc>
        <w:tc>
          <w:tcPr>
            <w:tcW w:w="0" w:type="auto"/>
            <w:vAlign w:val="center"/>
          </w:tcPr>
          <w:p w:rsidR="00453869" w:rsidRPr="0068761A" w:rsidRDefault="00453869" w:rsidP="00593C41">
            <w:pPr>
              <w:widowControl w:val="0"/>
              <w:jc w:val="center"/>
              <w:rPr>
                <w:rFonts w:cs="Times New Roman"/>
                <w:b/>
              </w:rPr>
            </w:pPr>
            <w:r w:rsidRPr="0068761A">
              <w:rPr>
                <w:rFonts w:cs="Times New Roman"/>
                <w:b/>
              </w:rPr>
              <w:t>Observed Mass</w:t>
            </w:r>
          </w:p>
        </w:tc>
        <w:tc>
          <w:tcPr>
            <w:tcW w:w="0" w:type="auto"/>
            <w:vAlign w:val="center"/>
          </w:tcPr>
          <w:p w:rsidR="00453869" w:rsidRPr="0068761A" w:rsidRDefault="00453869" w:rsidP="00593C41">
            <w:pPr>
              <w:widowControl w:val="0"/>
              <w:jc w:val="center"/>
              <w:rPr>
                <w:rFonts w:cs="Times New Roman"/>
                <w:b/>
              </w:rPr>
            </w:pPr>
            <w:r w:rsidRPr="0068761A">
              <w:rPr>
                <w:rFonts w:cs="Times New Roman"/>
                <w:b/>
              </w:rPr>
              <w:t>Target Mass</w:t>
            </w:r>
          </w:p>
        </w:tc>
        <w:tc>
          <w:tcPr>
            <w:tcW w:w="0" w:type="auto"/>
            <w:vAlign w:val="center"/>
          </w:tcPr>
          <w:p w:rsidR="00453869" w:rsidRPr="0068761A" w:rsidRDefault="00453869" w:rsidP="00593C41">
            <w:pPr>
              <w:widowControl w:val="0"/>
              <w:jc w:val="center"/>
              <w:rPr>
                <w:rFonts w:cs="Times New Roman"/>
                <w:b/>
              </w:rPr>
            </w:pPr>
            <w:r w:rsidRPr="0068761A">
              <w:rPr>
                <w:rFonts w:cs="Times New Roman"/>
                <w:b/>
              </w:rPr>
              <w:t>Difference (ppm)</w:t>
            </w:r>
          </w:p>
        </w:tc>
        <w:tc>
          <w:tcPr>
            <w:tcW w:w="0" w:type="auto"/>
            <w:vAlign w:val="center"/>
          </w:tcPr>
          <w:p w:rsidR="00453869" w:rsidRPr="0068761A" w:rsidRDefault="00453869" w:rsidP="00593C41">
            <w:pPr>
              <w:widowControl w:val="0"/>
              <w:jc w:val="center"/>
              <w:rPr>
                <w:rFonts w:cs="Times New Roman"/>
                <w:b/>
              </w:rPr>
            </w:pPr>
            <w:r w:rsidRPr="0068761A">
              <w:rPr>
                <w:rFonts w:cs="Times New Roman"/>
                <w:b/>
              </w:rPr>
              <w:t>Score</w:t>
            </w:r>
          </w:p>
        </w:tc>
      </w:tr>
      <w:tr w:rsidR="00453869" w:rsidRPr="0068761A" w:rsidTr="00453869">
        <w:trPr>
          <w:trHeight w:val="288"/>
        </w:trPr>
        <w:tc>
          <w:tcPr>
            <w:tcW w:w="0" w:type="auto"/>
            <w:vAlign w:val="center"/>
          </w:tcPr>
          <w:p w:rsidR="00453869" w:rsidRPr="0068761A" w:rsidRDefault="00453869" w:rsidP="00593C41">
            <w:pPr>
              <w:widowControl w:val="0"/>
              <w:jc w:val="center"/>
              <w:rPr>
                <w:rFonts w:cs="Times New Roman"/>
                <w:b/>
                <w:bCs/>
                <w:color w:val="000000"/>
              </w:rPr>
            </w:pPr>
            <w:r w:rsidRPr="0068761A">
              <w:rPr>
                <w:rFonts w:cs="Times New Roman"/>
                <w:b/>
                <w:bCs/>
                <w:color w:val="000000"/>
              </w:rPr>
              <w:t>Sample 01</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Methylone</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207.0886</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207.0895</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-4.3</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94.99</w:t>
            </w:r>
          </w:p>
        </w:tc>
      </w:tr>
      <w:tr w:rsidR="00453869" w:rsidRPr="0068761A" w:rsidTr="00453869">
        <w:trPr>
          <w:trHeight w:val="288"/>
        </w:trPr>
        <w:tc>
          <w:tcPr>
            <w:tcW w:w="0" w:type="auto"/>
            <w:vAlign w:val="center"/>
          </w:tcPr>
          <w:p w:rsidR="00453869" w:rsidRPr="0068761A" w:rsidRDefault="00453869" w:rsidP="00593C41">
            <w:pPr>
              <w:widowControl w:val="0"/>
              <w:jc w:val="center"/>
              <w:rPr>
                <w:rFonts w:cs="Times New Roman"/>
                <w:b/>
                <w:bCs/>
                <w:color w:val="000000"/>
              </w:rPr>
            </w:pPr>
            <w:r w:rsidRPr="0068761A">
              <w:rPr>
                <w:rFonts w:cs="Times New Roman"/>
                <w:b/>
                <w:bCs/>
                <w:color w:val="000000"/>
              </w:rPr>
              <w:t>Sample 02</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Methylone</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207.0889</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207.0895</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-2.9</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94.45</w:t>
            </w:r>
          </w:p>
        </w:tc>
      </w:tr>
      <w:tr w:rsidR="00453869" w:rsidRPr="0068761A" w:rsidTr="00453869">
        <w:trPr>
          <w:trHeight w:val="288"/>
        </w:trPr>
        <w:tc>
          <w:tcPr>
            <w:tcW w:w="0" w:type="auto"/>
            <w:vAlign w:val="center"/>
          </w:tcPr>
          <w:p w:rsidR="00453869" w:rsidRPr="0068761A" w:rsidRDefault="00453869" w:rsidP="00593C41">
            <w:pPr>
              <w:widowControl w:val="0"/>
              <w:jc w:val="center"/>
              <w:rPr>
                <w:rFonts w:cs="Times New Roman"/>
                <w:b/>
                <w:bCs/>
                <w:color w:val="000000"/>
              </w:rPr>
            </w:pPr>
            <w:r w:rsidRPr="0068761A">
              <w:rPr>
                <w:rFonts w:cs="Times New Roman"/>
                <w:b/>
                <w:bCs/>
                <w:color w:val="000000"/>
              </w:rPr>
              <w:t>Sample 03</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Ethylamphetamine</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163.1352</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163.1361</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-5.48</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94.77</w:t>
            </w:r>
          </w:p>
        </w:tc>
      </w:tr>
      <w:tr w:rsidR="00453869" w:rsidRPr="0068761A" w:rsidTr="00453869">
        <w:trPr>
          <w:trHeight w:val="288"/>
        </w:trPr>
        <w:tc>
          <w:tcPr>
            <w:tcW w:w="0" w:type="auto"/>
            <w:vAlign w:val="center"/>
          </w:tcPr>
          <w:p w:rsidR="00453869" w:rsidRPr="0068761A" w:rsidRDefault="00453869" w:rsidP="00593C41">
            <w:pPr>
              <w:widowControl w:val="0"/>
              <w:jc w:val="center"/>
              <w:rPr>
                <w:rFonts w:cs="Times New Roman"/>
                <w:b/>
                <w:bCs/>
                <w:color w:val="000000"/>
              </w:rPr>
            </w:pPr>
            <w:r w:rsidRPr="0068761A">
              <w:rPr>
                <w:rFonts w:cs="Times New Roman"/>
                <w:b/>
                <w:bCs/>
                <w:color w:val="000000"/>
              </w:rPr>
              <w:t>Sample 04</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Ethylamphetamine</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163.1354</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163.1361</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-4.58</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96.91</w:t>
            </w:r>
          </w:p>
        </w:tc>
      </w:tr>
      <w:tr w:rsidR="00453869" w:rsidRPr="0068761A" w:rsidTr="00453869">
        <w:trPr>
          <w:trHeight w:val="288"/>
        </w:trPr>
        <w:tc>
          <w:tcPr>
            <w:tcW w:w="0" w:type="auto"/>
            <w:vAlign w:val="center"/>
          </w:tcPr>
          <w:p w:rsidR="00453869" w:rsidRPr="0068761A" w:rsidRDefault="00453869" w:rsidP="00593C41">
            <w:pPr>
              <w:widowControl w:val="0"/>
              <w:jc w:val="center"/>
              <w:rPr>
                <w:rFonts w:cs="Times New Roman"/>
                <w:b/>
                <w:bCs/>
                <w:color w:val="000000"/>
              </w:rPr>
            </w:pPr>
            <w:r w:rsidRPr="0068761A">
              <w:rPr>
                <w:rFonts w:cs="Times New Roman"/>
                <w:b/>
                <w:bCs/>
                <w:color w:val="000000"/>
              </w:rPr>
              <w:t>Sample 05</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None</w:t>
            </w:r>
          </w:p>
        </w:tc>
        <w:tc>
          <w:tcPr>
            <w:tcW w:w="0" w:type="auto"/>
            <w:vAlign w:val="center"/>
          </w:tcPr>
          <w:p w:rsidR="00453869" w:rsidRPr="0068761A" w:rsidRDefault="00453869" w:rsidP="00593C41">
            <w:pPr>
              <w:widowControl w:val="0"/>
              <w:jc w:val="center"/>
              <w:rPr>
                <w:rFonts w:cs="Times New Roman"/>
              </w:rPr>
            </w:pPr>
          </w:p>
        </w:tc>
        <w:tc>
          <w:tcPr>
            <w:tcW w:w="0" w:type="auto"/>
            <w:vAlign w:val="center"/>
          </w:tcPr>
          <w:p w:rsidR="00453869" w:rsidRPr="0068761A" w:rsidRDefault="00453869" w:rsidP="00593C41">
            <w:pPr>
              <w:widowControl w:val="0"/>
              <w:jc w:val="center"/>
              <w:rPr>
                <w:rFonts w:cs="Times New Roman"/>
              </w:rPr>
            </w:pPr>
          </w:p>
        </w:tc>
        <w:tc>
          <w:tcPr>
            <w:tcW w:w="0" w:type="auto"/>
            <w:vAlign w:val="center"/>
          </w:tcPr>
          <w:p w:rsidR="00453869" w:rsidRPr="0068761A" w:rsidRDefault="00453869" w:rsidP="00593C41">
            <w:pPr>
              <w:widowControl w:val="0"/>
              <w:jc w:val="center"/>
              <w:rPr>
                <w:rFonts w:cs="Times New Roman"/>
              </w:rPr>
            </w:pPr>
          </w:p>
        </w:tc>
        <w:tc>
          <w:tcPr>
            <w:tcW w:w="0" w:type="auto"/>
            <w:vAlign w:val="center"/>
          </w:tcPr>
          <w:p w:rsidR="00453869" w:rsidRPr="0068761A" w:rsidRDefault="00453869" w:rsidP="00593C41">
            <w:pPr>
              <w:widowControl w:val="0"/>
              <w:jc w:val="center"/>
              <w:rPr>
                <w:rFonts w:cs="Times New Roman"/>
              </w:rPr>
            </w:pPr>
          </w:p>
        </w:tc>
      </w:tr>
      <w:tr w:rsidR="00453869" w:rsidRPr="0068761A" w:rsidTr="00453869">
        <w:trPr>
          <w:trHeight w:val="288"/>
        </w:trPr>
        <w:tc>
          <w:tcPr>
            <w:tcW w:w="0" w:type="auto"/>
            <w:vAlign w:val="center"/>
          </w:tcPr>
          <w:p w:rsidR="00453869" w:rsidRPr="0068761A" w:rsidRDefault="00453869" w:rsidP="00593C41">
            <w:pPr>
              <w:widowControl w:val="0"/>
              <w:jc w:val="center"/>
              <w:rPr>
                <w:rFonts w:cs="Times New Roman"/>
                <w:b/>
                <w:bCs/>
                <w:color w:val="000000"/>
              </w:rPr>
            </w:pPr>
            <w:r w:rsidRPr="0068761A">
              <w:rPr>
                <w:rFonts w:cs="Times New Roman"/>
                <w:b/>
                <w:bCs/>
                <w:color w:val="000000"/>
              </w:rPr>
              <w:t>Sample 06</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Methedrone</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193.1086</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193.1103</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-8.54</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79.17</w:t>
            </w:r>
          </w:p>
        </w:tc>
      </w:tr>
      <w:tr w:rsidR="00453869" w:rsidRPr="0068761A" w:rsidTr="00453869">
        <w:trPr>
          <w:trHeight w:val="288"/>
        </w:trPr>
        <w:tc>
          <w:tcPr>
            <w:tcW w:w="0" w:type="auto"/>
            <w:vAlign w:val="center"/>
          </w:tcPr>
          <w:p w:rsidR="00453869" w:rsidRPr="0068761A" w:rsidRDefault="00453869" w:rsidP="00593C41">
            <w:pPr>
              <w:widowControl w:val="0"/>
              <w:jc w:val="center"/>
              <w:rPr>
                <w:rFonts w:cs="Times New Roman"/>
                <w:b/>
                <w:bCs/>
                <w:color w:val="000000"/>
              </w:rPr>
            </w:pPr>
            <w:r w:rsidRPr="0068761A">
              <w:rPr>
                <w:rFonts w:cs="Times New Roman"/>
                <w:b/>
                <w:bCs/>
                <w:color w:val="000000"/>
              </w:rPr>
              <w:t>Sample 07</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Methylone</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207.0883</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207.0895</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-5.96</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91.92</w:t>
            </w:r>
          </w:p>
        </w:tc>
      </w:tr>
      <w:tr w:rsidR="00453869" w:rsidRPr="0068761A" w:rsidTr="00453869">
        <w:trPr>
          <w:trHeight w:val="288"/>
        </w:trPr>
        <w:tc>
          <w:tcPr>
            <w:tcW w:w="0" w:type="auto"/>
            <w:vAlign w:val="center"/>
          </w:tcPr>
          <w:p w:rsidR="00453869" w:rsidRPr="0068761A" w:rsidRDefault="00453869" w:rsidP="00593C41">
            <w:pPr>
              <w:widowControl w:val="0"/>
              <w:jc w:val="center"/>
              <w:rPr>
                <w:rFonts w:cs="Times New Roman"/>
                <w:b/>
                <w:bCs/>
                <w:color w:val="000000"/>
              </w:rPr>
            </w:pPr>
            <w:r w:rsidRPr="0068761A">
              <w:rPr>
                <w:rFonts w:cs="Times New Roman"/>
                <w:b/>
                <w:bCs/>
                <w:color w:val="000000"/>
              </w:rPr>
              <w:t>Sample 08</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2C-I</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307.006</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307.0069</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-2.96</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97.08</w:t>
            </w:r>
          </w:p>
        </w:tc>
      </w:tr>
      <w:tr w:rsidR="00453869" w:rsidRPr="0068761A" w:rsidTr="00453869">
        <w:trPr>
          <w:trHeight w:val="288"/>
        </w:trPr>
        <w:tc>
          <w:tcPr>
            <w:tcW w:w="0" w:type="auto"/>
            <w:vAlign w:val="center"/>
          </w:tcPr>
          <w:p w:rsidR="00453869" w:rsidRPr="0068761A" w:rsidRDefault="00453869" w:rsidP="00593C41">
            <w:pPr>
              <w:widowControl w:val="0"/>
              <w:jc w:val="center"/>
              <w:rPr>
                <w:rFonts w:cs="Times New Roman"/>
                <w:b/>
                <w:bCs/>
                <w:color w:val="000000"/>
              </w:rPr>
            </w:pPr>
            <w:r w:rsidRPr="0068761A">
              <w:rPr>
                <w:rFonts w:cs="Times New Roman"/>
                <w:b/>
                <w:bCs/>
                <w:color w:val="000000"/>
              </w:rPr>
              <w:t>Sample 09</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None</w:t>
            </w:r>
          </w:p>
        </w:tc>
        <w:tc>
          <w:tcPr>
            <w:tcW w:w="0" w:type="auto"/>
            <w:vAlign w:val="center"/>
          </w:tcPr>
          <w:p w:rsidR="00453869" w:rsidRPr="0068761A" w:rsidRDefault="00453869" w:rsidP="00593C41">
            <w:pPr>
              <w:widowControl w:val="0"/>
              <w:jc w:val="center"/>
              <w:rPr>
                <w:rFonts w:cs="Times New Roman"/>
              </w:rPr>
            </w:pPr>
          </w:p>
        </w:tc>
        <w:tc>
          <w:tcPr>
            <w:tcW w:w="0" w:type="auto"/>
            <w:vAlign w:val="center"/>
          </w:tcPr>
          <w:p w:rsidR="00453869" w:rsidRPr="0068761A" w:rsidRDefault="00453869" w:rsidP="00593C41">
            <w:pPr>
              <w:widowControl w:val="0"/>
              <w:jc w:val="center"/>
              <w:rPr>
                <w:rFonts w:cs="Times New Roman"/>
              </w:rPr>
            </w:pPr>
          </w:p>
        </w:tc>
        <w:tc>
          <w:tcPr>
            <w:tcW w:w="0" w:type="auto"/>
            <w:vAlign w:val="center"/>
          </w:tcPr>
          <w:p w:rsidR="00453869" w:rsidRPr="0068761A" w:rsidRDefault="00453869" w:rsidP="00593C41">
            <w:pPr>
              <w:widowControl w:val="0"/>
              <w:jc w:val="center"/>
              <w:rPr>
                <w:rFonts w:cs="Times New Roman"/>
              </w:rPr>
            </w:pPr>
          </w:p>
        </w:tc>
        <w:tc>
          <w:tcPr>
            <w:tcW w:w="0" w:type="auto"/>
            <w:vAlign w:val="center"/>
          </w:tcPr>
          <w:p w:rsidR="00453869" w:rsidRPr="0068761A" w:rsidRDefault="00453869" w:rsidP="00593C41">
            <w:pPr>
              <w:widowControl w:val="0"/>
              <w:jc w:val="center"/>
              <w:rPr>
                <w:rFonts w:cs="Times New Roman"/>
              </w:rPr>
            </w:pPr>
          </w:p>
        </w:tc>
      </w:tr>
      <w:tr w:rsidR="00453869" w:rsidRPr="0068761A" w:rsidTr="00453869">
        <w:trPr>
          <w:trHeight w:val="288"/>
        </w:trPr>
        <w:tc>
          <w:tcPr>
            <w:tcW w:w="0" w:type="auto"/>
            <w:vMerge w:val="restart"/>
            <w:vAlign w:val="center"/>
          </w:tcPr>
          <w:p w:rsidR="00453869" w:rsidRPr="0068761A" w:rsidRDefault="00453869" w:rsidP="00593C41">
            <w:pPr>
              <w:widowControl w:val="0"/>
              <w:jc w:val="center"/>
              <w:rPr>
                <w:rFonts w:cs="Times New Roman"/>
                <w:b/>
                <w:bCs/>
                <w:color w:val="000000"/>
              </w:rPr>
            </w:pPr>
            <w:r w:rsidRPr="0068761A">
              <w:rPr>
                <w:rFonts w:cs="Times New Roman"/>
                <w:b/>
                <w:bCs/>
                <w:color w:val="000000"/>
              </w:rPr>
              <w:t>Sample 10</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Methylone</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207.0892</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207.0895</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-1.47</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96.22</w:t>
            </w:r>
          </w:p>
        </w:tc>
      </w:tr>
      <w:tr w:rsidR="00453869" w:rsidRPr="0068761A" w:rsidTr="00453869">
        <w:trPr>
          <w:trHeight w:val="288"/>
        </w:trPr>
        <w:tc>
          <w:tcPr>
            <w:tcW w:w="0" w:type="auto"/>
            <w:vMerge/>
            <w:vAlign w:val="center"/>
          </w:tcPr>
          <w:p w:rsidR="00453869" w:rsidRPr="0068761A" w:rsidRDefault="00453869" w:rsidP="00593C41">
            <w:pPr>
              <w:widowControl w:val="0"/>
              <w:jc w:val="center"/>
              <w:rPr>
                <w:rFonts w:cs="Times New Roman"/>
                <w:b/>
                <w:bCs/>
                <w:color w:val="000000"/>
              </w:rPr>
            </w:pPr>
          </w:p>
        </w:tc>
        <w:tc>
          <w:tcPr>
            <w:tcW w:w="0" w:type="auto"/>
            <w:vAlign w:val="center"/>
          </w:tcPr>
          <w:p w:rsidR="00453869" w:rsidRPr="0068761A" w:rsidRDefault="00453869" w:rsidP="00593C41">
            <w:pPr>
              <w:widowControl w:val="0"/>
              <w:jc w:val="center"/>
              <w:rPr>
                <w:rFonts w:cs="Times New Roman"/>
              </w:rPr>
            </w:pPr>
            <w:r w:rsidRPr="0068761A">
              <w:rPr>
                <w:rFonts w:cs="Times New Roman"/>
              </w:rPr>
              <w:t>Flephedrone</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181.0899</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181.0903</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-1.88</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99.24</w:t>
            </w:r>
          </w:p>
        </w:tc>
      </w:tr>
      <w:tr w:rsidR="00453869" w:rsidRPr="0068761A" w:rsidTr="00453869">
        <w:trPr>
          <w:trHeight w:val="288"/>
        </w:trPr>
        <w:tc>
          <w:tcPr>
            <w:tcW w:w="0" w:type="auto"/>
            <w:vAlign w:val="center"/>
          </w:tcPr>
          <w:p w:rsidR="00453869" w:rsidRPr="0068761A" w:rsidRDefault="00453869" w:rsidP="00593C41">
            <w:pPr>
              <w:widowControl w:val="0"/>
              <w:jc w:val="center"/>
              <w:rPr>
                <w:rFonts w:cs="Times New Roman"/>
                <w:b/>
                <w:bCs/>
                <w:color w:val="000000"/>
              </w:rPr>
            </w:pPr>
            <w:r w:rsidRPr="0068761A">
              <w:rPr>
                <w:rFonts w:cs="Times New Roman"/>
                <w:b/>
                <w:bCs/>
                <w:color w:val="000000"/>
              </w:rPr>
              <w:t>Sample 11</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mCPP</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196.0759</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196.0767</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-4.04</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95.37</w:t>
            </w:r>
          </w:p>
        </w:tc>
      </w:tr>
      <w:tr w:rsidR="00453869" w:rsidRPr="0068761A" w:rsidTr="00453869">
        <w:trPr>
          <w:trHeight w:val="288"/>
        </w:trPr>
        <w:tc>
          <w:tcPr>
            <w:tcW w:w="0" w:type="auto"/>
            <w:vMerge w:val="restart"/>
            <w:vAlign w:val="center"/>
          </w:tcPr>
          <w:p w:rsidR="00453869" w:rsidRPr="0068761A" w:rsidRDefault="00453869" w:rsidP="00593C41">
            <w:pPr>
              <w:widowControl w:val="0"/>
              <w:jc w:val="center"/>
              <w:rPr>
                <w:rFonts w:cs="Times New Roman"/>
                <w:b/>
                <w:bCs/>
                <w:color w:val="000000"/>
              </w:rPr>
            </w:pPr>
            <w:r w:rsidRPr="0068761A">
              <w:rPr>
                <w:rFonts w:cs="Times New Roman"/>
                <w:b/>
                <w:bCs/>
                <w:color w:val="000000"/>
              </w:rPr>
              <w:t>Sample 12</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Methylone</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207.0883</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207.0895</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-5.93</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91.66</w:t>
            </w:r>
          </w:p>
        </w:tc>
      </w:tr>
      <w:tr w:rsidR="00453869" w:rsidRPr="0068761A" w:rsidTr="00453869">
        <w:trPr>
          <w:trHeight w:val="288"/>
        </w:trPr>
        <w:tc>
          <w:tcPr>
            <w:tcW w:w="0" w:type="auto"/>
            <w:vMerge/>
            <w:vAlign w:val="center"/>
          </w:tcPr>
          <w:p w:rsidR="00453869" w:rsidRPr="0068761A" w:rsidRDefault="00453869" w:rsidP="00593C41">
            <w:pPr>
              <w:widowControl w:val="0"/>
              <w:jc w:val="center"/>
              <w:rPr>
                <w:rFonts w:cs="Times New Roman"/>
                <w:b/>
                <w:bCs/>
                <w:color w:val="000000"/>
              </w:rPr>
            </w:pPr>
          </w:p>
        </w:tc>
        <w:tc>
          <w:tcPr>
            <w:tcW w:w="0" w:type="auto"/>
            <w:vAlign w:val="center"/>
          </w:tcPr>
          <w:p w:rsidR="00453869" w:rsidRPr="0068761A" w:rsidRDefault="00453869" w:rsidP="00593C41">
            <w:pPr>
              <w:widowControl w:val="0"/>
              <w:jc w:val="center"/>
              <w:rPr>
                <w:rFonts w:cs="Times New Roman"/>
              </w:rPr>
            </w:pPr>
            <w:r w:rsidRPr="0068761A">
              <w:rPr>
                <w:rFonts w:cs="Times New Roman"/>
              </w:rPr>
              <w:t>5-MeO-DiPT</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274.2034</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274.2045</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-4.18</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93.9</w:t>
            </w:r>
          </w:p>
        </w:tc>
      </w:tr>
      <w:tr w:rsidR="00453869" w:rsidRPr="0068761A" w:rsidTr="00453869">
        <w:trPr>
          <w:trHeight w:val="288"/>
        </w:trPr>
        <w:tc>
          <w:tcPr>
            <w:tcW w:w="0" w:type="auto"/>
            <w:vMerge w:val="restart"/>
            <w:vAlign w:val="center"/>
          </w:tcPr>
          <w:p w:rsidR="00453869" w:rsidRPr="0068761A" w:rsidRDefault="00453869" w:rsidP="00593C41">
            <w:pPr>
              <w:widowControl w:val="0"/>
              <w:jc w:val="center"/>
              <w:rPr>
                <w:rFonts w:cs="Times New Roman"/>
                <w:b/>
                <w:bCs/>
                <w:color w:val="000000"/>
              </w:rPr>
            </w:pPr>
            <w:r w:rsidRPr="0068761A">
              <w:rPr>
                <w:rFonts w:cs="Times New Roman"/>
                <w:b/>
                <w:bCs/>
                <w:color w:val="000000"/>
              </w:rPr>
              <w:t>Sample 13</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2C-I</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307.0057</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307.0069</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-4.05</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94.85</w:t>
            </w:r>
          </w:p>
        </w:tc>
      </w:tr>
      <w:tr w:rsidR="00453869" w:rsidRPr="0068761A" w:rsidTr="00453869">
        <w:trPr>
          <w:trHeight w:val="288"/>
        </w:trPr>
        <w:tc>
          <w:tcPr>
            <w:tcW w:w="0" w:type="auto"/>
            <w:vMerge/>
            <w:vAlign w:val="center"/>
          </w:tcPr>
          <w:p w:rsidR="00453869" w:rsidRPr="0068761A" w:rsidRDefault="00453869" w:rsidP="00593C41">
            <w:pPr>
              <w:widowControl w:val="0"/>
              <w:jc w:val="center"/>
              <w:rPr>
                <w:rFonts w:cs="Times New Roman"/>
                <w:b/>
                <w:bCs/>
                <w:color w:val="000000"/>
              </w:rPr>
            </w:pPr>
          </w:p>
        </w:tc>
        <w:tc>
          <w:tcPr>
            <w:tcW w:w="0" w:type="auto"/>
            <w:vAlign w:val="center"/>
          </w:tcPr>
          <w:p w:rsidR="00453869" w:rsidRPr="0068761A" w:rsidRDefault="00453869" w:rsidP="00593C41">
            <w:pPr>
              <w:widowControl w:val="0"/>
              <w:jc w:val="center"/>
              <w:rPr>
                <w:rFonts w:cs="Times New Roman"/>
              </w:rPr>
            </w:pPr>
            <w:r w:rsidRPr="0068761A">
              <w:rPr>
                <w:rFonts w:cs="Times New Roman"/>
              </w:rPr>
              <w:t>2C-T-7</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255.128</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255.1293</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-5.16</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92.26</w:t>
            </w:r>
          </w:p>
        </w:tc>
      </w:tr>
      <w:tr w:rsidR="00453869" w:rsidRPr="0068761A" w:rsidTr="00453869">
        <w:trPr>
          <w:trHeight w:val="288"/>
        </w:trPr>
        <w:tc>
          <w:tcPr>
            <w:tcW w:w="0" w:type="auto"/>
            <w:vMerge w:val="restart"/>
            <w:vAlign w:val="center"/>
          </w:tcPr>
          <w:p w:rsidR="00453869" w:rsidRPr="0068761A" w:rsidRDefault="00453869" w:rsidP="00593C41">
            <w:pPr>
              <w:widowControl w:val="0"/>
              <w:jc w:val="center"/>
              <w:rPr>
                <w:rFonts w:cs="Times New Roman"/>
                <w:b/>
                <w:bCs/>
                <w:color w:val="000000"/>
              </w:rPr>
            </w:pPr>
            <w:r w:rsidRPr="0068761A">
              <w:rPr>
                <w:rFonts w:cs="Times New Roman"/>
                <w:b/>
                <w:bCs/>
                <w:color w:val="000000"/>
              </w:rPr>
              <w:t>Sample 14</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Mephedrone</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177.1146</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177.1154</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-4.23</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96.86</w:t>
            </w:r>
          </w:p>
        </w:tc>
      </w:tr>
      <w:tr w:rsidR="00453869" w:rsidRPr="0068761A" w:rsidTr="00453869">
        <w:trPr>
          <w:trHeight w:val="288"/>
        </w:trPr>
        <w:tc>
          <w:tcPr>
            <w:tcW w:w="0" w:type="auto"/>
            <w:vMerge/>
            <w:vAlign w:val="center"/>
          </w:tcPr>
          <w:p w:rsidR="00453869" w:rsidRPr="0068761A" w:rsidRDefault="00453869" w:rsidP="00593C41">
            <w:pPr>
              <w:widowControl w:val="0"/>
              <w:jc w:val="center"/>
              <w:rPr>
                <w:rFonts w:cs="Times New Roman"/>
                <w:b/>
                <w:bCs/>
                <w:color w:val="000000"/>
              </w:rPr>
            </w:pPr>
          </w:p>
        </w:tc>
        <w:tc>
          <w:tcPr>
            <w:tcW w:w="0" w:type="auto"/>
            <w:vAlign w:val="center"/>
          </w:tcPr>
          <w:p w:rsidR="00453869" w:rsidRPr="0068761A" w:rsidRDefault="00453869" w:rsidP="00593C41">
            <w:pPr>
              <w:widowControl w:val="0"/>
              <w:jc w:val="center"/>
              <w:rPr>
                <w:rFonts w:cs="Times New Roman"/>
              </w:rPr>
            </w:pPr>
            <w:r w:rsidRPr="0068761A">
              <w:rPr>
                <w:rFonts w:cs="Times New Roman"/>
              </w:rPr>
              <w:t>MDPV</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275.1508</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275.1521</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-4.75</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93.07</w:t>
            </w:r>
          </w:p>
        </w:tc>
      </w:tr>
      <w:tr w:rsidR="00453869" w:rsidRPr="0068761A" w:rsidTr="00453869">
        <w:trPr>
          <w:trHeight w:val="288"/>
        </w:trPr>
        <w:tc>
          <w:tcPr>
            <w:tcW w:w="0" w:type="auto"/>
            <w:vMerge w:val="restart"/>
            <w:vAlign w:val="center"/>
          </w:tcPr>
          <w:p w:rsidR="00453869" w:rsidRPr="0068761A" w:rsidRDefault="00453869" w:rsidP="00593C41">
            <w:pPr>
              <w:widowControl w:val="0"/>
              <w:jc w:val="center"/>
              <w:rPr>
                <w:rFonts w:cs="Times New Roman"/>
                <w:b/>
                <w:bCs/>
                <w:color w:val="000000"/>
              </w:rPr>
            </w:pPr>
            <w:r w:rsidRPr="0068761A">
              <w:rPr>
                <w:rFonts w:cs="Times New Roman"/>
                <w:b/>
                <w:bCs/>
                <w:color w:val="000000"/>
              </w:rPr>
              <w:t>Sample 15</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AMT</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174.1145</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174.1157</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-6.62</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80.41</w:t>
            </w:r>
          </w:p>
        </w:tc>
      </w:tr>
      <w:tr w:rsidR="00453869" w:rsidRPr="0068761A" w:rsidTr="00453869">
        <w:trPr>
          <w:trHeight w:val="288"/>
        </w:trPr>
        <w:tc>
          <w:tcPr>
            <w:tcW w:w="0" w:type="auto"/>
            <w:vMerge/>
            <w:vAlign w:val="center"/>
          </w:tcPr>
          <w:p w:rsidR="00453869" w:rsidRPr="0068761A" w:rsidRDefault="00453869" w:rsidP="00593C41">
            <w:pPr>
              <w:widowControl w:val="0"/>
              <w:jc w:val="center"/>
              <w:rPr>
                <w:rFonts w:cs="Times New Roman"/>
                <w:b/>
                <w:bCs/>
                <w:color w:val="000000"/>
              </w:rPr>
            </w:pPr>
          </w:p>
        </w:tc>
        <w:tc>
          <w:tcPr>
            <w:tcW w:w="0" w:type="auto"/>
            <w:vAlign w:val="center"/>
          </w:tcPr>
          <w:p w:rsidR="00453869" w:rsidRPr="0068761A" w:rsidRDefault="00453869" w:rsidP="00593C41">
            <w:pPr>
              <w:widowControl w:val="0"/>
              <w:jc w:val="center"/>
              <w:rPr>
                <w:rFonts w:cs="Times New Roman"/>
              </w:rPr>
            </w:pPr>
            <w:r w:rsidRPr="0068761A">
              <w:rPr>
                <w:rFonts w:cs="Times New Roman"/>
              </w:rPr>
              <w:t>Butylone</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221.1037</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221.1052</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-6.95</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88.85</w:t>
            </w:r>
          </w:p>
        </w:tc>
      </w:tr>
      <w:tr w:rsidR="00453869" w:rsidRPr="0068761A" w:rsidTr="00453869">
        <w:trPr>
          <w:trHeight w:val="288"/>
        </w:trPr>
        <w:tc>
          <w:tcPr>
            <w:tcW w:w="0" w:type="auto"/>
            <w:vMerge/>
            <w:vAlign w:val="center"/>
          </w:tcPr>
          <w:p w:rsidR="00453869" w:rsidRPr="0068761A" w:rsidRDefault="00453869" w:rsidP="00593C41">
            <w:pPr>
              <w:widowControl w:val="0"/>
              <w:jc w:val="center"/>
              <w:rPr>
                <w:rFonts w:cs="Times New Roman"/>
                <w:b/>
                <w:bCs/>
                <w:color w:val="000000"/>
              </w:rPr>
            </w:pPr>
          </w:p>
        </w:tc>
        <w:tc>
          <w:tcPr>
            <w:tcW w:w="0" w:type="auto"/>
            <w:vAlign w:val="center"/>
          </w:tcPr>
          <w:p w:rsidR="00453869" w:rsidRPr="0068761A" w:rsidRDefault="00453869" w:rsidP="00593C41">
            <w:pPr>
              <w:widowControl w:val="0"/>
              <w:jc w:val="center"/>
              <w:rPr>
                <w:rFonts w:cs="Times New Roman"/>
              </w:rPr>
            </w:pPr>
            <w:r w:rsidRPr="0068761A">
              <w:rPr>
                <w:rFonts w:cs="Times New Roman"/>
              </w:rPr>
              <w:t>Ethylamphetamine</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163.1353</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163.1361</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-5.07</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94.3</w:t>
            </w:r>
          </w:p>
        </w:tc>
      </w:tr>
      <w:tr w:rsidR="00453869" w:rsidRPr="0068761A" w:rsidTr="00453869">
        <w:trPr>
          <w:trHeight w:val="288"/>
        </w:trPr>
        <w:tc>
          <w:tcPr>
            <w:tcW w:w="0" w:type="auto"/>
            <w:vAlign w:val="center"/>
          </w:tcPr>
          <w:p w:rsidR="00453869" w:rsidRPr="0068761A" w:rsidRDefault="00453869" w:rsidP="00593C41">
            <w:pPr>
              <w:widowControl w:val="0"/>
              <w:jc w:val="center"/>
              <w:rPr>
                <w:rFonts w:cs="Times New Roman"/>
                <w:b/>
                <w:bCs/>
                <w:color w:val="000000"/>
              </w:rPr>
            </w:pPr>
            <w:r w:rsidRPr="0068761A">
              <w:rPr>
                <w:rFonts w:cs="Times New Roman"/>
                <w:b/>
                <w:bCs/>
                <w:color w:val="000000"/>
              </w:rPr>
              <w:t>Sample 16</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None</w:t>
            </w:r>
          </w:p>
        </w:tc>
        <w:tc>
          <w:tcPr>
            <w:tcW w:w="0" w:type="auto"/>
            <w:vAlign w:val="center"/>
          </w:tcPr>
          <w:p w:rsidR="00453869" w:rsidRPr="0068761A" w:rsidRDefault="00453869" w:rsidP="00593C41">
            <w:pPr>
              <w:widowControl w:val="0"/>
              <w:jc w:val="center"/>
              <w:rPr>
                <w:rFonts w:cs="Times New Roman"/>
              </w:rPr>
            </w:pPr>
          </w:p>
        </w:tc>
        <w:tc>
          <w:tcPr>
            <w:tcW w:w="0" w:type="auto"/>
            <w:vAlign w:val="center"/>
          </w:tcPr>
          <w:p w:rsidR="00453869" w:rsidRPr="0068761A" w:rsidRDefault="00453869" w:rsidP="00593C41">
            <w:pPr>
              <w:widowControl w:val="0"/>
              <w:jc w:val="center"/>
              <w:rPr>
                <w:rFonts w:cs="Times New Roman"/>
              </w:rPr>
            </w:pPr>
          </w:p>
        </w:tc>
        <w:tc>
          <w:tcPr>
            <w:tcW w:w="0" w:type="auto"/>
            <w:vAlign w:val="center"/>
          </w:tcPr>
          <w:p w:rsidR="00453869" w:rsidRPr="0068761A" w:rsidRDefault="00453869" w:rsidP="00593C41">
            <w:pPr>
              <w:widowControl w:val="0"/>
              <w:jc w:val="center"/>
              <w:rPr>
                <w:rFonts w:cs="Times New Roman"/>
              </w:rPr>
            </w:pPr>
          </w:p>
        </w:tc>
        <w:tc>
          <w:tcPr>
            <w:tcW w:w="0" w:type="auto"/>
            <w:vAlign w:val="center"/>
          </w:tcPr>
          <w:p w:rsidR="00453869" w:rsidRPr="0068761A" w:rsidRDefault="00453869" w:rsidP="00593C41">
            <w:pPr>
              <w:widowControl w:val="0"/>
              <w:jc w:val="center"/>
              <w:rPr>
                <w:rFonts w:cs="Times New Roman"/>
              </w:rPr>
            </w:pPr>
          </w:p>
        </w:tc>
      </w:tr>
      <w:tr w:rsidR="00453869" w:rsidRPr="0068761A" w:rsidTr="00453869">
        <w:trPr>
          <w:trHeight w:val="288"/>
        </w:trPr>
        <w:tc>
          <w:tcPr>
            <w:tcW w:w="0" w:type="auto"/>
            <w:vAlign w:val="center"/>
          </w:tcPr>
          <w:p w:rsidR="00453869" w:rsidRPr="0068761A" w:rsidRDefault="00453869" w:rsidP="00593C41">
            <w:pPr>
              <w:widowControl w:val="0"/>
              <w:jc w:val="center"/>
              <w:rPr>
                <w:rFonts w:cs="Times New Roman"/>
                <w:b/>
                <w:bCs/>
                <w:color w:val="000000"/>
              </w:rPr>
            </w:pPr>
            <w:r w:rsidRPr="0068761A">
              <w:rPr>
                <w:rFonts w:cs="Times New Roman"/>
                <w:b/>
                <w:bCs/>
                <w:color w:val="000000"/>
              </w:rPr>
              <w:t>Sample 17</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2C-I</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307.0078</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307.0069</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2.78</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97.21</w:t>
            </w:r>
          </w:p>
        </w:tc>
      </w:tr>
      <w:tr w:rsidR="00453869" w:rsidRPr="0068761A" w:rsidTr="00453869">
        <w:trPr>
          <w:trHeight w:val="288"/>
        </w:trPr>
        <w:tc>
          <w:tcPr>
            <w:tcW w:w="0" w:type="auto"/>
            <w:vAlign w:val="center"/>
          </w:tcPr>
          <w:p w:rsidR="00453869" w:rsidRPr="0068761A" w:rsidRDefault="00453869" w:rsidP="00593C41">
            <w:pPr>
              <w:widowControl w:val="0"/>
              <w:jc w:val="center"/>
              <w:rPr>
                <w:rFonts w:cs="Times New Roman"/>
                <w:b/>
                <w:bCs/>
                <w:color w:val="000000"/>
              </w:rPr>
            </w:pPr>
            <w:r w:rsidRPr="0068761A">
              <w:rPr>
                <w:rFonts w:cs="Times New Roman"/>
                <w:b/>
                <w:bCs/>
                <w:color w:val="000000"/>
              </w:rPr>
              <w:t>Sample 18</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2C-I</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307.0057</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307.0069</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-3.86</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95.05</w:t>
            </w:r>
          </w:p>
        </w:tc>
      </w:tr>
      <w:tr w:rsidR="00453869" w:rsidRPr="0068761A" w:rsidTr="00453869">
        <w:trPr>
          <w:trHeight w:val="288"/>
        </w:trPr>
        <w:tc>
          <w:tcPr>
            <w:tcW w:w="0" w:type="auto"/>
            <w:vAlign w:val="center"/>
          </w:tcPr>
          <w:p w:rsidR="00453869" w:rsidRPr="0068761A" w:rsidRDefault="00453869" w:rsidP="00593C41">
            <w:pPr>
              <w:widowControl w:val="0"/>
              <w:jc w:val="center"/>
              <w:rPr>
                <w:rFonts w:cs="Times New Roman"/>
                <w:b/>
                <w:bCs/>
                <w:color w:val="000000"/>
              </w:rPr>
            </w:pPr>
            <w:r w:rsidRPr="0068761A">
              <w:rPr>
                <w:rFonts w:cs="Times New Roman"/>
                <w:b/>
                <w:bCs/>
                <w:color w:val="000000"/>
              </w:rPr>
              <w:t>Sample 19</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2C-I</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307.0059</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307.0069</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-3.35</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96.3</w:t>
            </w:r>
          </w:p>
        </w:tc>
      </w:tr>
      <w:tr w:rsidR="00453869" w:rsidRPr="0068761A" w:rsidTr="00453869">
        <w:trPr>
          <w:trHeight w:val="288"/>
        </w:trPr>
        <w:tc>
          <w:tcPr>
            <w:tcW w:w="0" w:type="auto"/>
            <w:vAlign w:val="center"/>
          </w:tcPr>
          <w:p w:rsidR="00453869" w:rsidRPr="0068761A" w:rsidRDefault="00453869" w:rsidP="00593C41">
            <w:pPr>
              <w:widowControl w:val="0"/>
              <w:jc w:val="center"/>
              <w:rPr>
                <w:rFonts w:cs="Times New Roman"/>
                <w:b/>
                <w:bCs/>
                <w:color w:val="000000"/>
              </w:rPr>
            </w:pPr>
            <w:r w:rsidRPr="0068761A">
              <w:rPr>
                <w:rFonts w:cs="Times New Roman"/>
                <w:b/>
                <w:bCs/>
                <w:color w:val="000000"/>
              </w:rPr>
              <w:t>Sample 20</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Flephedrone</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181.0899</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181.0903</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-2.41</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98.28</w:t>
            </w:r>
          </w:p>
        </w:tc>
      </w:tr>
      <w:tr w:rsidR="00453869" w:rsidRPr="0068761A" w:rsidTr="00453869">
        <w:trPr>
          <w:trHeight w:val="288"/>
        </w:trPr>
        <w:tc>
          <w:tcPr>
            <w:tcW w:w="0" w:type="auto"/>
            <w:vAlign w:val="center"/>
          </w:tcPr>
          <w:p w:rsidR="00453869" w:rsidRPr="0068761A" w:rsidRDefault="00453869" w:rsidP="00593C41">
            <w:pPr>
              <w:widowControl w:val="0"/>
              <w:jc w:val="center"/>
              <w:rPr>
                <w:rFonts w:cs="Times New Roman"/>
                <w:b/>
                <w:bCs/>
                <w:color w:val="000000"/>
              </w:rPr>
            </w:pPr>
            <w:r w:rsidRPr="0068761A">
              <w:rPr>
                <w:rFonts w:cs="Times New Roman"/>
                <w:b/>
                <w:bCs/>
                <w:color w:val="000000"/>
              </w:rPr>
              <w:t>Sample 21</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Flephedrone</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181.0892</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181.0903</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-6.23</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92.78</w:t>
            </w:r>
          </w:p>
        </w:tc>
      </w:tr>
      <w:tr w:rsidR="00453869" w:rsidRPr="0068761A" w:rsidTr="00453869">
        <w:trPr>
          <w:trHeight w:val="288"/>
        </w:trPr>
        <w:tc>
          <w:tcPr>
            <w:tcW w:w="0" w:type="auto"/>
            <w:vAlign w:val="center"/>
          </w:tcPr>
          <w:p w:rsidR="00453869" w:rsidRPr="0068761A" w:rsidRDefault="00453869" w:rsidP="00593C41">
            <w:pPr>
              <w:widowControl w:val="0"/>
              <w:jc w:val="center"/>
              <w:rPr>
                <w:rFonts w:cs="Times New Roman"/>
                <w:b/>
                <w:bCs/>
                <w:color w:val="000000"/>
              </w:rPr>
            </w:pPr>
            <w:r w:rsidRPr="0068761A">
              <w:rPr>
                <w:rFonts w:cs="Times New Roman"/>
                <w:b/>
                <w:bCs/>
                <w:color w:val="000000"/>
              </w:rPr>
              <w:t>Sample 22</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Flephedrone</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181.0893</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181.0903</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-5.7</w:t>
            </w:r>
          </w:p>
        </w:tc>
        <w:tc>
          <w:tcPr>
            <w:tcW w:w="0" w:type="auto"/>
            <w:vAlign w:val="center"/>
          </w:tcPr>
          <w:p w:rsidR="00453869" w:rsidRPr="0068761A" w:rsidRDefault="00453869" w:rsidP="00593C41">
            <w:pPr>
              <w:widowControl w:val="0"/>
              <w:jc w:val="center"/>
              <w:rPr>
                <w:rFonts w:cs="Times New Roman"/>
              </w:rPr>
            </w:pPr>
            <w:r w:rsidRPr="0068761A">
              <w:rPr>
                <w:rFonts w:cs="Times New Roman"/>
              </w:rPr>
              <w:t>94.01</w:t>
            </w:r>
          </w:p>
        </w:tc>
      </w:tr>
    </w:tbl>
    <w:p w:rsidR="00217E72" w:rsidRDefault="00217E72" w:rsidP="00EA267C">
      <w:pPr>
        <w:spacing w:after="0"/>
        <w:rPr>
          <w:szCs w:val="24"/>
        </w:rPr>
        <w:sectPr w:rsidR="00217E72" w:rsidSect="00005A65">
          <w:pgSz w:w="12240" w:h="15840" w:code="1"/>
          <w:pgMar w:top="1440" w:right="1440" w:bottom="1800" w:left="2160" w:header="720" w:footer="720" w:gutter="0"/>
          <w:cols w:space="720"/>
          <w:docGrid w:linePitch="360"/>
        </w:sectPr>
      </w:pPr>
    </w:p>
    <w:p w:rsidR="00C56A19" w:rsidRDefault="00C56A19" w:rsidP="00C56A19">
      <w:pPr>
        <w:widowControl w:val="0"/>
        <w:tabs>
          <w:tab w:val="left" w:pos="450"/>
        </w:tabs>
        <w:spacing w:after="0" w:line="480" w:lineRule="auto"/>
        <w:ind w:firstLine="720"/>
        <w:rPr>
          <w:szCs w:val="24"/>
        </w:rPr>
      </w:pPr>
      <w:r w:rsidRPr="00F97B2D">
        <w:rPr>
          <w:szCs w:val="24"/>
        </w:rPr>
        <w:t xml:space="preserve">The </w:t>
      </w:r>
      <w:r w:rsidR="00E73A76">
        <w:rPr>
          <w:szCs w:val="24"/>
        </w:rPr>
        <w:t>five authentic</w:t>
      </w:r>
      <w:r>
        <w:rPr>
          <w:szCs w:val="24"/>
        </w:rPr>
        <w:t xml:space="preserve"> blood</w:t>
      </w:r>
      <w:r w:rsidRPr="00F97B2D">
        <w:rPr>
          <w:szCs w:val="24"/>
        </w:rPr>
        <w:t xml:space="preserve"> samples </w:t>
      </w:r>
      <w:r w:rsidR="00E73A76">
        <w:rPr>
          <w:szCs w:val="24"/>
        </w:rPr>
        <w:t xml:space="preserve">obtained from PBSO </w:t>
      </w:r>
      <w:r w:rsidRPr="00F97B2D">
        <w:rPr>
          <w:szCs w:val="24"/>
        </w:rPr>
        <w:t xml:space="preserve">were screened by all 16 ELISA </w:t>
      </w:r>
      <w:r w:rsidR="00F066F5">
        <w:rPr>
          <w:szCs w:val="24"/>
        </w:rPr>
        <w:t>assay</w:t>
      </w:r>
      <w:r w:rsidRPr="00F97B2D">
        <w:rPr>
          <w:szCs w:val="24"/>
        </w:rPr>
        <w:t xml:space="preserve">s as listed in </w:t>
      </w:r>
      <w:r w:rsidR="002E77C7">
        <w:fldChar w:fldCharType="begin"/>
      </w:r>
      <w:r w:rsidR="002E77C7">
        <w:instrText xml:space="preserve"> REF _Ref362524679 \h  \* MERGEFORMAT </w:instrText>
      </w:r>
      <w:r w:rsidR="002E77C7">
        <w:fldChar w:fldCharType="separate"/>
      </w:r>
      <w:r w:rsidR="00E37796" w:rsidRPr="00E37796">
        <w:rPr>
          <w:szCs w:val="24"/>
        </w:rPr>
        <w:t>Table 2</w:t>
      </w:r>
      <w:r w:rsidR="002E77C7">
        <w:fldChar w:fldCharType="end"/>
      </w:r>
      <w:r w:rsidRPr="00F97B2D">
        <w:rPr>
          <w:szCs w:val="24"/>
        </w:rPr>
        <w:t>.  The samples were diluted as described above and analyzed against fresh positive and negative serum controls</w:t>
      </w:r>
      <w:r>
        <w:rPr>
          <w:szCs w:val="24"/>
        </w:rPr>
        <w:t xml:space="preserve"> as well as whole blood controls (to ensure appropriate displacement with the different matrix)</w:t>
      </w:r>
      <w:r w:rsidRPr="00F97B2D">
        <w:rPr>
          <w:szCs w:val="24"/>
        </w:rPr>
        <w:t>.  The results are shown i</w:t>
      </w:r>
      <w:r>
        <w:rPr>
          <w:szCs w:val="24"/>
        </w:rPr>
        <w:t xml:space="preserve">n </w:t>
      </w:r>
      <w:r w:rsidR="000E239B">
        <w:rPr>
          <w:szCs w:val="24"/>
          <w:highlight w:val="yellow"/>
        </w:rPr>
        <w:fldChar w:fldCharType="begin"/>
      </w:r>
      <w:r w:rsidR="004B4236">
        <w:rPr>
          <w:szCs w:val="24"/>
        </w:rPr>
        <w:instrText xml:space="preserve"> REF _Ref366477636 \h </w:instrText>
      </w:r>
      <w:r w:rsidR="000E239B">
        <w:rPr>
          <w:szCs w:val="24"/>
          <w:highlight w:val="yellow"/>
        </w:rPr>
      </w:r>
      <w:r w:rsidR="000E239B">
        <w:rPr>
          <w:szCs w:val="24"/>
          <w:highlight w:val="yellow"/>
        </w:rPr>
        <w:fldChar w:fldCharType="separate"/>
      </w:r>
      <w:r w:rsidR="00E37796">
        <w:t xml:space="preserve">Appendix </w:t>
      </w:r>
      <w:r w:rsidR="00E37796">
        <w:rPr>
          <w:noProof/>
        </w:rPr>
        <w:t>10</w:t>
      </w:r>
      <w:r w:rsidR="000E239B">
        <w:rPr>
          <w:szCs w:val="24"/>
          <w:highlight w:val="yellow"/>
        </w:rPr>
        <w:fldChar w:fldCharType="end"/>
      </w:r>
      <w:r w:rsidRPr="00F97B2D">
        <w:rPr>
          <w:szCs w:val="24"/>
        </w:rPr>
        <w:t xml:space="preserve">.  </w:t>
      </w:r>
      <w:r w:rsidR="004B4236">
        <w:rPr>
          <w:szCs w:val="24"/>
        </w:rPr>
        <w:t>None of</w:t>
      </w:r>
      <w:r w:rsidR="006E467F">
        <w:rPr>
          <w:szCs w:val="24"/>
        </w:rPr>
        <w:t xml:space="preserve"> the samples tested positive in</w:t>
      </w:r>
      <w:r w:rsidR="004B4236">
        <w:rPr>
          <w:szCs w:val="24"/>
        </w:rPr>
        <w:t xml:space="preserve"> any of the 16</w:t>
      </w:r>
      <w:r w:rsidR="00E05762">
        <w:rPr>
          <w:szCs w:val="24"/>
        </w:rPr>
        <w:t xml:space="preserve"> </w:t>
      </w:r>
      <w:r w:rsidR="00F066F5">
        <w:rPr>
          <w:szCs w:val="24"/>
        </w:rPr>
        <w:t>assay</w:t>
      </w:r>
      <w:r w:rsidR="00E05762">
        <w:rPr>
          <w:szCs w:val="24"/>
        </w:rPr>
        <w:t>s, except for 11-002,</w:t>
      </w:r>
      <w:r w:rsidR="004B4236">
        <w:rPr>
          <w:szCs w:val="24"/>
        </w:rPr>
        <w:t xml:space="preserve"> 12-001</w:t>
      </w:r>
      <w:r w:rsidR="00E05762">
        <w:rPr>
          <w:szCs w:val="24"/>
        </w:rPr>
        <w:t>, and 12-002</w:t>
      </w:r>
      <w:r w:rsidR="004B4236">
        <w:rPr>
          <w:szCs w:val="24"/>
        </w:rPr>
        <w:t xml:space="preserve">, which were positive for cotinine.  </w:t>
      </w:r>
      <w:r w:rsidRPr="00F97B2D">
        <w:rPr>
          <w:szCs w:val="24"/>
        </w:rPr>
        <w:t xml:space="preserve">Since this </w:t>
      </w:r>
      <w:r w:rsidR="00F066F5">
        <w:rPr>
          <w:szCs w:val="24"/>
        </w:rPr>
        <w:t>assay</w:t>
      </w:r>
      <w:r w:rsidRPr="00F97B2D">
        <w:rPr>
          <w:szCs w:val="24"/>
        </w:rPr>
        <w:t xml:space="preserve"> did not exhibit any cross-reactivity towards the analytes of interest during the initial stages of this study, it was determined that the positive reactions </w:t>
      </w:r>
      <w:r w:rsidR="00404A20">
        <w:rPr>
          <w:szCs w:val="24"/>
        </w:rPr>
        <w:t>were</w:t>
      </w:r>
      <w:r w:rsidR="004B4236">
        <w:rPr>
          <w:szCs w:val="24"/>
        </w:rPr>
        <w:t xml:space="preserve"> from nicotine use</w:t>
      </w:r>
      <w:r w:rsidRPr="00F97B2D">
        <w:rPr>
          <w:szCs w:val="24"/>
        </w:rPr>
        <w:t xml:space="preserve">.  </w:t>
      </w:r>
    </w:p>
    <w:p w:rsidR="00430693" w:rsidRPr="003A6D72" w:rsidRDefault="0083704F" w:rsidP="002E1141">
      <w:pPr>
        <w:widowControl w:val="0"/>
        <w:tabs>
          <w:tab w:val="left" w:pos="450"/>
        </w:tabs>
        <w:spacing w:after="0" w:line="480" w:lineRule="auto"/>
        <w:ind w:firstLine="720"/>
        <w:rPr>
          <w:szCs w:val="24"/>
        </w:rPr>
      </w:pPr>
      <w:r w:rsidRPr="00F97B2D">
        <w:rPr>
          <w:szCs w:val="24"/>
        </w:rPr>
        <w:t xml:space="preserve">The </w:t>
      </w:r>
      <w:r>
        <w:rPr>
          <w:szCs w:val="24"/>
        </w:rPr>
        <w:t>PBSO</w:t>
      </w:r>
      <w:r w:rsidRPr="00F97B2D">
        <w:rPr>
          <w:szCs w:val="24"/>
        </w:rPr>
        <w:t xml:space="preserve"> samples were also analyzed by LC-QTOF-MS to confirm the results of the ELISA by means of high-resolutio</w:t>
      </w:r>
      <w:r w:rsidR="00E73A76">
        <w:rPr>
          <w:szCs w:val="24"/>
        </w:rPr>
        <w:t>n mass spectral library and/or database matching</w:t>
      </w:r>
      <w:r w:rsidRPr="00F97B2D">
        <w:rPr>
          <w:szCs w:val="24"/>
        </w:rPr>
        <w:t>.</w:t>
      </w:r>
      <w:r w:rsidR="00E73A76">
        <w:rPr>
          <w:szCs w:val="24"/>
        </w:rPr>
        <w:t xml:space="preserve">  A library search provides matching based on spectral data while a database search provides matching based on mass.  </w:t>
      </w:r>
      <w:r w:rsidR="003D3660" w:rsidRPr="00F97B2D">
        <w:rPr>
          <w:szCs w:val="24"/>
        </w:rPr>
        <w:t xml:space="preserve">The samples were analyzed in full-scan mode and compared to </w:t>
      </w:r>
      <w:r w:rsidR="00430693">
        <w:rPr>
          <w:szCs w:val="24"/>
        </w:rPr>
        <w:t xml:space="preserve">an in-house designer drug library and database as well as </w:t>
      </w:r>
      <w:r w:rsidR="00566301">
        <w:rPr>
          <w:szCs w:val="24"/>
        </w:rPr>
        <w:t xml:space="preserve">a </w:t>
      </w:r>
      <w:r w:rsidR="00430693">
        <w:rPr>
          <w:szCs w:val="24"/>
        </w:rPr>
        <w:t>forensic toxicology library and database from Agilent Technologies.</w:t>
      </w:r>
      <w:r w:rsidR="003D3660" w:rsidRPr="00F97B2D">
        <w:rPr>
          <w:szCs w:val="24"/>
        </w:rPr>
        <w:t xml:space="preserve">  The results are summarized in</w:t>
      </w:r>
      <w:r w:rsidR="002E1141">
        <w:t xml:space="preserve"> </w:t>
      </w:r>
      <w:r w:rsidR="000E239B">
        <w:fldChar w:fldCharType="begin"/>
      </w:r>
      <w:r w:rsidR="002E1141">
        <w:instrText xml:space="preserve"> REF _Ref366590425 \h </w:instrText>
      </w:r>
      <w:r w:rsidR="000E239B">
        <w:fldChar w:fldCharType="separate"/>
      </w:r>
      <w:r w:rsidR="00E37796">
        <w:t xml:space="preserve">Table </w:t>
      </w:r>
      <w:r w:rsidR="00E37796">
        <w:rPr>
          <w:noProof/>
        </w:rPr>
        <w:t>12</w:t>
      </w:r>
      <w:r w:rsidR="000E239B">
        <w:fldChar w:fldCharType="end"/>
      </w:r>
      <w:r w:rsidR="003D3660" w:rsidRPr="00F97B2D">
        <w:rPr>
          <w:szCs w:val="24"/>
        </w:rPr>
        <w:t>.</w:t>
      </w:r>
      <w:r w:rsidR="00430693">
        <w:rPr>
          <w:szCs w:val="24"/>
        </w:rPr>
        <w:t xml:space="preserve">  </w:t>
      </w:r>
      <w:r w:rsidR="003A6D72">
        <w:rPr>
          <w:szCs w:val="24"/>
        </w:rPr>
        <w:t xml:space="preserve">The positive cotinine ELISA results were confirmed for 11-002, 12-001, and 12-002 by the identification of cotinine and/or 3-hydroxycotinine, indicative of nicotine use.  None of the targeted </w:t>
      </w:r>
      <w:r w:rsidR="00E73A76">
        <w:rPr>
          <w:szCs w:val="24"/>
        </w:rPr>
        <w:t xml:space="preserve">designer drug </w:t>
      </w:r>
      <w:r w:rsidR="003A6D72">
        <w:rPr>
          <w:szCs w:val="24"/>
        </w:rPr>
        <w:t>analytes of this research were identified by the in-house designer drug library or database.  Th</w:t>
      </w:r>
      <w:r w:rsidR="004F48B7">
        <w:rPr>
          <w:szCs w:val="24"/>
        </w:rPr>
        <w:t>e negative LC-QTOF findings for the designer drugs</w:t>
      </w:r>
      <w:r w:rsidR="003A6D72">
        <w:rPr>
          <w:szCs w:val="24"/>
        </w:rPr>
        <w:t xml:space="preserve"> </w:t>
      </w:r>
      <w:r w:rsidR="004F48B7">
        <w:rPr>
          <w:szCs w:val="24"/>
        </w:rPr>
        <w:t>are</w:t>
      </w:r>
      <w:r w:rsidR="003A6D72">
        <w:rPr>
          <w:szCs w:val="24"/>
        </w:rPr>
        <w:t xml:space="preserve"> consistent with the negative ELISA results for the amphetamine-type compounds.  </w:t>
      </w:r>
      <w:r w:rsidR="00E73A76">
        <w:rPr>
          <w:szCs w:val="24"/>
        </w:rPr>
        <w:t>However, o</w:t>
      </w:r>
      <w:r w:rsidR="003A6D72">
        <w:rPr>
          <w:szCs w:val="24"/>
        </w:rPr>
        <w:t>ther drugs and their metabolites were detected as sum</w:t>
      </w:r>
      <w:r w:rsidR="00E73A76">
        <w:rPr>
          <w:szCs w:val="24"/>
        </w:rPr>
        <w:t>marized in the table.  T</w:t>
      </w:r>
      <w:r w:rsidR="003A6D72">
        <w:rPr>
          <w:szCs w:val="24"/>
        </w:rPr>
        <w:t xml:space="preserve">hese results remain presumptive as these analytes were not a part of this study and certified reference standards were not available to confirm retention time or the library results.  </w:t>
      </w:r>
      <w:r>
        <w:rPr>
          <w:szCs w:val="24"/>
        </w:rPr>
        <w:t xml:space="preserve">  </w:t>
      </w:r>
      <w:r w:rsidRPr="00F97B2D">
        <w:rPr>
          <w:szCs w:val="24"/>
        </w:rPr>
        <w:t xml:space="preserve">  </w:t>
      </w:r>
      <w:bookmarkStart w:id="284" w:name="_Ref366480230"/>
    </w:p>
    <w:p w:rsidR="0057429B" w:rsidRDefault="0057429B" w:rsidP="007977AB">
      <w:pPr>
        <w:pStyle w:val="Caption"/>
        <w:keepNext/>
        <w:jc w:val="left"/>
      </w:pPr>
      <w:bookmarkStart w:id="285" w:name="_Ref366590425"/>
      <w:bookmarkStart w:id="286" w:name="_Toc372536127"/>
      <w:r>
        <w:t xml:space="preserve">Table </w:t>
      </w:r>
      <w:r w:rsidR="002E77C7">
        <w:fldChar w:fldCharType="begin"/>
      </w:r>
      <w:r w:rsidR="002E77C7">
        <w:instrText xml:space="preserve"> SEQ Table \* ARABIC </w:instrText>
      </w:r>
      <w:r w:rsidR="002E77C7">
        <w:fldChar w:fldCharType="separate"/>
      </w:r>
      <w:r w:rsidR="00E37796">
        <w:rPr>
          <w:noProof/>
        </w:rPr>
        <w:t>12</w:t>
      </w:r>
      <w:r w:rsidR="002E77C7">
        <w:rPr>
          <w:noProof/>
        </w:rPr>
        <w:fldChar w:fldCharType="end"/>
      </w:r>
      <w:bookmarkEnd w:id="284"/>
      <w:bookmarkEnd w:id="285"/>
      <w:r>
        <w:t>: LC-QTOF Data for PBSO Samples</w:t>
      </w:r>
      <w:bookmarkEnd w:id="286"/>
    </w:p>
    <w:tbl>
      <w:tblPr>
        <w:tblStyle w:val="TableGrid"/>
        <w:tblW w:w="0" w:type="auto"/>
        <w:tblLook w:val="04A0" w:firstRow="1" w:lastRow="0" w:firstColumn="1" w:lastColumn="0" w:noHBand="0" w:noVBand="1"/>
      </w:tblPr>
      <w:tblGrid>
        <w:gridCol w:w="977"/>
        <w:gridCol w:w="7879"/>
      </w:tblGrid>
      <w:tr w:rsidR="00430693" w:rsidRPr="0068761A" w:rsidTr="009F4645">
        <w:trPr>
          <w:trHeight w:val="432"/>
          <w:tblHeader/>
        </w:trPr>
        <w:tc>
          <w:tcPr>
            <w:tcW w:w="0" w:type="auto"/>
            <w:vAlign w:val="center"/>
          </w:tcPr>
          <w:p w:rsidR="00430693" w:rsidRPr="0068761A" w:rsidRDefault="00430693" w:rsidP="001C010C">
            <w:pPr>
              <w:widowControl w:val="0"/>
              <w:jc w:val="center"/>
              <w:rPr>
                <w:rFonts w:cs="Times New Roman"/>
                <w:b/>
                <w:bCs/>
                <w:color w:val="000000"/>
              </w:rPr>
            </w:pPr>
            <w:r w:rsidRPr="0068761A">
              <w:rPr>
                <w:rFonts w:cs="Times New Roman"/>
                <w:b/>
                <w:bCs/>
                <w:color w:val="000000"/>
              </w:rPr>
              <w:t>Sample</w:t>
            </w:r>
          </w:p>
        </w:tc>
        <w:tc>
          <w:tcPr>
            <w:tcW w:w="0" w:type="auto"/>
            <w:vAlign w:val="center"/>
          </w:tcPr>
          <w:p w:rsidR="00430693" w:rsidRPr="0068761A" w:rsidRDefault="00430693" w:rsidP="001C010C">
            <w:pPr>
              <w:widowControl w:val="0"/>
              <w:jc w:val="center"/>
              <w:rPr>
                <w:rFonts w:cs="Times New Roman"/>
                <w:b/>
              </w:rPr>
            </w:pPr>
            <w:r>
              <w:rPr>
                <w:rFonts w:cs="Times New Roman"/>
                <w:b/>
              </w:rPr>
              <w:t>Library Matches</w:t>
            </w:r>
          </w:p>
        </w:tc>
      </w:tr>
      <w:tr w:rsidR="00430693" w:rsidRPr="0068761A" w:rsidTr="009F4645">
        <w:trPr>
          <w:trHeight w:val="288"/>
        </w:trPr>
        <w:tc>
          <w:tcPr>
            <w:tcW w:w="0" w:type="auto"/>
            <w:vAlign w:val="center"/>
          </w:tcPr>
          <w:p w:rsidR="00430693" w:rsidRPr="0068761A" w:rsidRDefault="00430693" w:rsidP="001C010C">
            <w:pPr>
              <w:widowControl w:val="0"/>
              <w:jc w:val="center"/>
              <w:rPr>
                <w:rFonts w:cs="Times New Roman"/>
                <w:b/>
                <w:bCs/>
                <w:color w:val="000000"/>
              </w:rPr>
            </w:pPr>
            <w:r>
              <w:rPr>
                <w:rFonts w:cs="Times New Roman"/>
                <w:b/>
                <w:bCs/>
                <w:color w:val="000000"/>
              </w:rPr>
              <w:t>7-001</w:t>
            </w:r>
          </w:p>
        </w:tc>
        <w:tc>
          <w:tcPr>
            <w:tcW w:w="0" w:type="auto"/>
            <w:vAlign w:val="center"/>
          </w:tcPr>
          <w:p w:rsidR="00430693" w:rsidRPr="0068761A" w:rsidRDefault="00EE14B5" w:rsidP="00EE14B5">
            <w:pPr>
              <w:widowControl w:val="0"/>
              <w:jc w:val="center"/>
              <w:rPr>
                <w:rFonts w:cs="Times New Roman"/>
              </w:rPr>
            </w:pPr>
            <w:r>
              <w:rPr>
                <w:rFonts w:cs="Times New Roman"/>
              </w:rPr>
              <w:t>d</w:t>
            </w:r>
            <w:r w:rsidR="00430693">
              <w:rPr>
                <w:rFonts w:cs="Times New Roman"/>
              </w:rPr>
              <w:t>iphenhydramine</w:t>
            </w:r>
            <w:r>
              <w:rPr>
                <w:rFonts w:cs="Times New Roman"/>
              </w:rPr>
              <w:t xml:space="preserve">, </w:t>
            </w:r>
            <w:r w:rsidR="00430693">
              <w:rPr>
                <w:rFonts w:cs="Times New Roman"/>
              </w:rPr>
              <w:t>methadone</w:t>
            </w:r>
            <w:r>
              <w:rPr>
                <w:rFonts w:cs="Times New Roman"/>
              </w:rPr>
              <w:t xml:space="preserve">, </w:t>
            </w:r>
            <w:r w:rsidR="00430693">
              <w:rPr>
                <w:rFonts w:cs="Times New Roman"/>
              </w:rPr>
              <w:t>EDDP (methadone metabolite)</w:t>
            </w:r>
          </w:p>
        </w:tc>
      </w:tr>
      <w:tr w:rsidR="00430693" w:rsidRPr="0068761A" w:rsidTr="009F4645">
        <w:trPr>
          <w:trHeight w:val="288"/>
        </w:trPr>
        <w:tc>
          <w:tcPr>
            <w:tcW w:w="0" w:type="auto"/>
            <w:vAlign w:val="center"/>
          </w:tcPr>
          <w:p w:rsidR="00430693" w:rsidRPr="0068761A" w:rsidRDefault="00430693" w:rsidP="001C010C">
            <w:pPr>
              <w:widowControl w:val="0"/>
              <w:jc w:val="center"/>
              <w:rPr>
                <w:rFonts w:cs="Times New Roman"/>
                <w:b/>
                <w:bCs/>
                <w:color w:val="000000"/>
              </w:rPr>
            </w:pPr>
            <w:r>
              <w:rPr>
                <w:rFonts w:cs="Times New Roman"/>
                <w:b/>
                <w:bCs/>
                <w:color w:val="000000"/>
              </w:rPr>
              <w:t>11-001</w:t>
            </w:r>
          </w:p>
        </w:tc>
        <w:tc>
          <w:tcPr>
            <w:tcW w:w="0" w:type="auto"/>
            <w:vAlign w:val="center"/>
          </w:tcPr>
          <w:p w:rsidR="00430693" w:rsidRPr="0068761A" w:rsidRDefault="00430693" w:rsidP="00EE14B5">
            <w:pPr>
              <w:widowControl w:val="0"/>
              <w:jc w:val="center"/>
              <w:rPr>
                <w:rFonts w:cs="Times New Roman"/>
              </w:rPr>
            </w:pPr>
            <w:r>
              <w:rPr>
                <w:rFonts w:cs="Times New Roman"/>
              </w:rPr>
              <w:t>tramadol</w:t>
            </w:r>
          </w:p>
        </w:tc>
      </w:tr>
      <w:tr w:rsidR="00430693" w:rsidRPr="0068761A" w:rsidTr="009F4645">
        <w:trPr>
          <w:trHeight w:val="288"/>
        </w:trPr>
        <w:tc>
          <w:tcPr>
            <w:tcW w:w="0" w:type="auto"/>
            <w:vAlign w:val="center"/>
          </w:tcPr>
          <w:p w:rsidR="00430693" w:rsidRPr="0068761A" w:rsidRDefault="00430693" w:rsidP="001C010C">
            <w:pPr>
              <w:widowControl w:val="0"/>
              <w:jc w:val="center"/>
              <w:rPr>
                <w:rFonts w:cs="Times New Roman"/>
                <w:b/>
                <w:bCs/>
                <w:color w:val="000000"/>
              </w:rPr>
            </w:pPr>
            <w:r>
              <w:rPr>
                <w:rFonts w:cs="Times New Roman"/>
                <w:b/>
                <w:bCs/>
                <w:color w:val="000000"/>
              </w:rPr>
              <w:t>11-002</w:t>
            </w:r>
          </w:p>
        </w:tc>
        <w:tc>
          <w:tcPr>
            <w:tcW w:w="0" w:type="auto"/>
            <w:vAlign w:val="center"/>
          </w:tcPr>
          <w:p w:rsidR="008B10FB" w:rsidRPr="0068761A" w:rsidRDefault="00EE14B5" w:rsidP="00EE14B5">
            <w:pPr>
              <w:widowControl w:val="0"/>
              <w:jc w:val="center"/>
              <w:rPr>
                <w:rFonts w:cs="Times New Roman"/>
              </w:rPr>
            </w:pPr>
            <w:r>
              <w:rPr>
                <w:rFonts w:cs="Times New Roman"/>
              </w:rPr>
              <w:t>B</w:t>
            </w:r>
            <w:r w:rsidR="008B10FB">
              <w:rPr>
                <w:rFonts w:cs="Times New Roman"/>
              </w:rPr>
              <w:t>enzoylecgonine</w:t>
            </w:r>
            <w:r>
              <w:rPr>
                <w:rFonts w:cs="Times New Roman"/>
              </w:rPr>
              <w:t xml:space="preserve">, </w:t>
            </w:r>
            <w:r w:rsidR="00430693">
              <w:rPr>
                <w:rFonts w:cs="Times New Roman"/>
              </w:rPr>
              <w:t>morphine</w:t>
            </w:r>
            <w:r>
              <w:rPr>
                <w:rFonts w:cs="Times New Roman"/>
              </w:rPr>
              <w:t xml:space="preserve">, </w:t>
            </w:r>
            <w:r w:rsidR="00430693">
              <w:rPr>
                <w:rFonts w:cs="Times New Roman"/>
              </w:rPr>
              <w:t>dihydromorphine</w:t>
            </w:r>
            <w:r>
              <w:rPr>
                <w:rFonts w:cs="Times New Roman"/>
              </w:rPr>
              <w:t xml:space="preserve">, </w:t>
            </w:r>
            <w:r w:rsidR="00430693">
              <w:rPr>
                <w:rFonts w:cs="Times New Roman"/>
              </w:rPr>
              <w:t>cyclobenzaprine</w:t>
            </w:r>
            <w:r>
              <w:rPr>
                <w:rFonts w:cs="Times New Roman"/>
              </w:rPr>
              <w:t xml:space="preserve">, </w:t>
            </w:r>
            <w:r w:rsidR="008B10FB">
              <w:rPr>
                <w:rFonts w:cs="Times New Roman"/>
              </w:rPr>
              <w:t>3-hydroxycotinine</w:t>
            </w:r>
          </w:p>
        </w:tc>
      </w:tr>
      <w:tr w:rsidR="00430693" w:rsidRPr="0068761A" w:rsidTr="009F4645">
        <w:trPr>
          <w:trHeight w:val="288"/>
        </w:trPr>
        <w:tc>
          <w:tcPr>
            <w:tcW w:w="0" w:type="auto"/>
            <w:vAlign w:val="center"/>
          </w:tcPr>
          <w:p w:rsidR="00430693" w:rsidRPr="0068761A" w:rsidRDefault="00430693" w:rsidP="001C010C">
            <w:pPr>
              <w:widowControl w:val="0"/>
              <w:jc w:val="center"/>
              <w:rPr>
                <w:rFonts w:cs="Times New Roman"/>
                <w:b/>
                <w:bCs/>
                <w:color w:val="000000"/>
              </w:rPr>
            </w:pPr>
            <w:r>
              <w:rPr>
                <w:rFonts w:cs="Times New Roman"/>
                <w:b/>
                <w:bCs/>
                <w:color w:val="000000"/>
              </w:rPr>
              <w:t>12-001</w:t>
            </w:r>
          </w:p>
        </w:tc>
        <w:tc>
          <w:tcPr>
            <w:tcW w:w="0" w:type="auto"/>
            <w:vAlign w:val="center"/>
          </w:tcPr>
          <w:p w:rsidR="008B10FB" w:rsidRPr="0068761A" w:rsidRDefault="003A6D72" w:rsidP="00EE14B5">
            <w:pPr>
              <w:widowControl w:val="0"/>
              <w:jc w:val="center"/>
              <w:rPr>
                <w:rFonts w:cs="Times New Roman"/>
              </w:rPr>
            </w:pPr>
            <w:r>
              <w:rPr>
                <w:rFonts w:cs="Times New Roman"/>
              </w:rPr>
              <w:t>b</w:t>
            </w:r>
            <w:r w:rsidR="008B10FB">
              <w:rPr>
                <w:rFonts w:cs="Times New Roman"/>
              </w:rPr>
              <w:t>enzoylecgonin</w:t>
            </w:r>
            <w:r w:rsidR="00EE14B5">
              <w:rPr>
                <w:rFonts w:cs="Times New Roman"/>
              </w:rPr>
              <w:t xml:space="preserve">e, </w:t>
            </w:r>
            <w:r w:rsidR="008B10FB">
              <w:rPr>
                <w:rFonts w:cs="Times New Roman"/>
              </w:rPr>
              <w:t>3-hydroxycotinine</w:t>
            </w:r>
          </w:p>
        </w:tc>
      </w:tr>
      <w:tr w:rsidR="00430693" w:rsidRPr="0068761A" w:rsidTr="009F4645">
        <w:trPr>
          <w:trHeight w:val="288"/>
        </w:trPr>
        <w:tc>
          <w:tcPr>
            <w:tcW w:w="0" w:type="auto"/>
            <w:vAlign w:val="center"/>
          </w:tcPr>
          <w:p w:rsidR="00430693" w:rsidRPr="0068761A" w:rsidRDefault="00430693" w:rsidP="001C010C">
            <w:pPr>
              <w:widowControl w:val="0"/>
              <w:jc w:val="center"/>
              <w:rPr>
                <w:rFonts w:cs="Times New Roman"/>
                <w:b/>
                <w:bCs/>
                <w:color w:val="000000"/>
              </w:rPr>
            </w:pPr>
            <w:r>
              <w:rPr>
                <w:rFonts w:cs="Times New Roman"/>
                <w:b/>
                <w:bCs/>
                <w:color w:val="000000"/>
              </w:rPr>
              <w:t>12-002</w:t>
            </w:r>
          </w:p>
        </w:tc>
        <w:tc>
          <w:tcPr>
            <w:tcW w:w="0" w:type="auto"/>
            <w:vAlign w:val="center"/>
          </w:tcPr>
          <w:p w:rsidR="00430693" w:rsidRPr="0068761A" w:rsidRDefault="008B10FB" w:rsidP="00EE14B5">
            <w:pPr>
              <w:widowControl w:val="0"/>
              <w:jc w:val="center"/>
              <w:rPr>
                <w:rFonts w:cs="Times New Roman"/>
              </w:rPr>
            </w:pPr>
            <w:r>
              <w:rPr>
                <w:rFonts w:cs="Times New Roman"/>
              </w:rPr>
              <w:t>3-hydroxycotinine</w:t>
            </w:r>
            <w:r w:rsidR="00EE14B5">
              <w:rPr>
                <w:rFonts w:cs="Times New Roman"/>
              </w:rPr>
              <w:t xml:space="preserve">, </w:t>
            </w:r>
            <w:r>
              <w:rPr>
                <w:rFonts w:cs="Times New Roman"/>
              </w:rPr>
              <w:t>cotinine</w:t>
            </w:r>
            <w:r w:rsidR="00EE14B5">
              <w:rPr>
                <w:rFonts w:cs="Times New Roman"/>
              </w:rPr>
              <w:t xml:space="preserve">, </w:t>
            </w:r>
            <w:r w:rsidR="00430693">
              <w:rPr>
                <w:rFonts w:cs="Times New Roman"/>
              </w:rPr>
              <w:t>tramadol</w:t>
            </w:r>
            <w:r w:rsidR="00EE14B5">
              <w:rPr>
                <w:rFonts w:cs="Times New Roman"/>
              </w:rPr>
              <w:t xml:space="preserve">, </w:t>
            </w:r>
            <w:r w:rsidR="00430693">
              <w:rPr>
                <w:rFonts w:cs="Times New Roman"/>
              </w:rPr>
              <w:t>citalopram</w:t>
            </w:r>
            <w:r w:rsidR="00EE14B5">
              <w:rPr>
                <w:rFonts w:cs="Times New Roman"/>
              </w:rPr>
              <w:t xml:space="preserve">, </w:t>
            </w:r>
            <w:r w:rsidR="00430693">
              <w:rPr>
                <w:rFonts w:cs="Times New Roman"/>
              </w:rPr>
              <w:t>norcitalopram</w:t>
            </w:r>
          </w:p>
        </w:tc>
      </w:tr>
    </w:tbl>
    <w:p w:rsidR="00C56A19" w:rsidRPr="00C56A19" w:rsidRDefault="00C56A19" w:rsidP="003A6D72">
      <w:pPr>
        <w:widowControl w:val="0"/>
        <w:tabs>
          <w:tab w:val="left" w:pos="450"/>
        </w:tabs>
        <w:spacing w:after="0" w:line="480" w:lineRule="auto"/>
        <w:rPr>
          <w:szCs w:val="24"/>
        </w:rPr>
      </w:pPr>
    </w:p>
    <w:p w:rsidR="004F4AE4" w:rsidRPr="00F97B2D" w:rsidRDefault="004F4AE4" w:rsidP="0005442E">
      <w:pPr>
        <w:pStyle w:val="Heading2"/>
      </w:pPr>
      <w:bookmarkStart w:id="287" w:name="_Toc372536111"/>
      <w:bookmarkStart w:id="288" w:name="_Toc372538774"/>
      <w:r w:rsidRPr="00F97B2D">
        <w:t>Conclusions</w:t>
      </w:r>
      <w:bookmarkEnd w:id="287"/>
      <w:bookmarkEnd w:id="288"/>
    </w:p>
    <w:p w:rsidR="008C7B90" w:rsidRPr="00F97B2D" w:rsidRDefault="002625AE" w:rsidP="002625AE">
      <w:pPr>
        <w:spacing w:line="480" w:lineRule="auto"/>
        <w:ind w:firstLine="720"/>
        <w:rPr>
          <w:szCs w:val="24"/>
        </w:rPr>
      </w:pPr>
      <w:r>
        <w:rPr>
          <w:szCs w:val="24"/>
        </w:rPr>
        <w:t xml:space="preserve">The </w:t>
      </w:r>
      <w:r w:rsidR="008C1AC3">
        <w:rPr>
          <w:szCs w:val="24"/>
        </w:rPr>
        <w:t xml:space="preserve">comparison of immunoassays to the LC-MS methods demonstrated that false positives and false negatives can occur and require confirmatory techniques, such as LC-QQQ or LC-QTOF, to accurately identify drugs that may be present in a biological sample.  The immunoassays were able to detect some of the </w:t>
      </w:r>
      <w:r w:rsidR="006816C2">
        <w:rPr>
          <w:szCs w:val="24"/>
        </w:rPr>
        <w:t xml:space="preserve">compounds present, but gave some indeterminate or negative results </w:t>
      </w:r>
      <w:r w:rsidR="00E73A76">
        <w:rPr>
          <w:szCs w:val="24"/>
        </w:rPr>
        <w:t>in</w:t>
      </w:r>
      <w:r w:rsidR="006816C2">
        <w:rPr>
          <w:szCs w:val="24"/>
        </w:rPr>
        <w:t xml:space="preserve"> cases that were </w:t>
      </w:r>
      <w:r w:rsidR="00494D40">
        <w:rPr>
          <w:szCs w:val="24"/>
        </w:rPr>
        <w:t>not truly negative.  The two LC-MS methods</w:t>
      </w:r>
      <w:r w:rsidR="006816C2">
        <w:rPr>
          <w:szCs w:val="24"/>
        </w:rPr>
        <w:t xml:space="preserve"> were able to confirm and identify</w:t>
      </w:r>
      <w:r w:rsidR="00566301">
        <w:rPr>
          <w:szCs w:val="24"/>
        </w:rPr>
        <w:t>,</w:t>
      </w:r>
      <w:r w:rsidR="006816C2">
        <w:rPr>
          <w:szCs w:val="24"/>
        </w:rPr>
        <w:t xml:space="preserve"> with </w:t>
      </w:r>
      <w:r w:rsidR="00494D40">
        <w:rPr>
          <w:szCs w:val="24"/>
        </w:rPr>
        <w:t xml:space="preserve">MRM and/or </w:t>
      </w:r>
      <w:r w:rsidR="006816C2">
        <w:rPr>
          <w:szCs w:val="24"/>
        </w:rPr>
        <w:t>exact mass data</w:t>
      </w:r>
      <w:r w:rsidR="00566301">
        <w:rPr>
          <w:szCs w:val="24"/>
        </w:rPr>
        <w:t>,</w:t>
      </w:r>
      <w:r w:rsidR="006816C2">
        <w:rPr>
          <w:szCs w:val="24"/>
        </w:rPr>
        <w:t xml:space="preserve"> the identities of the compounds that were present, even at low levels.  Th</w:t>
      </w:r>
      <w:r w:rsidR="004F48B7">
        <w:rPr>
          <w:szCs w:val="24"/>
        </w:rPr>
        <w:t>e current</w:t>
      </w:r>
      <w:r w:rsidR="006816C2">
        <w:rPr>
          <w:szCs w:val="24"/>
        </w:rPr>
        <w:t xml:space="preserve"> study reiterates the need for laboratories to gravitate towards LC-based methods</w:t>
      </w:r>
      <w:r w:rsidR="00E73A76">
        <w:rPr>
          <w:szCs w:val="24"/>
        </w:rPr>
        <w:t>,</w:t>
      </w:r>
      <w:r w:rsidR="006816C2">
        <w:rPr>
          <w:szCs w:val="24"/>
        </w:rPr>
        <w:t xml:space="preserve"> as screening techniques such as immunoassays are not sufficient for detecting</w:t>
      </w:r>
      <w:r w:rsidR="00494D40">
        <w:rPr>
          <w:szCs w:val="24"/>
        </w:rPr>
        <w:t xml:space="preserve"> most of</w:t>
      </w:r>
      <w:r w:rsidR="006816C2">
        <w:rPr>
          <w:szCs w:val="24"/>
        </w:rPr>
        <w:t xml:space="preserve"> these designer drugs.  As the structures of these compounds constantly evolve, screening techniques will require more sensitive, selective methods, such as LC-QTOF, in order to positively identify this type of analyte</w:t>
      </w:r>
      <w:r w:rsidR="00494D40">
        <w:rPr>
          <w:szCs w:val="24"/>
        </w:rPr>
        <w:t>,</w:t>
      </w:r>
      <w:r w:rsidR="006816C2">
        <w:rPr>
          <w:szCs w:val="24"/>
        </w:rPr>
        <w:t xml:space="preserve"> since designing antibodies for immunoassays will be too lengthy of a process.  </w:t>
      </w:r>
      <w:r w:rsidR="008C7B90" w:rsidRPr="00F97B2D">
        <w:rPr>
          <w:szCs w:val="24"/>
        </w:rPr>
        <w:br w:type="page"/>
      </w:r>
    </w:p>
    <w:p w:rsidR="008C7B90" w:rsidRPr="00F97B2D" w:rsidRDefault="008C7B90" w:rsidP="00F97B2D">
      <w:pPr>
        <w:pStyle w:val="Heading1"/>
      </w:pPr>
      <w:bookmarkStart w:id="289" w:name="_Toc372536112"/>
      <w:bookmarkStart w:id="290" w:name="_Toc372538775"/>
      <w:r w:rsidRPr="00F97B2D">
        <w:t>SUMMARY AND PROSPECT</w:t>
      </w:r>
      <w:bookmarkEnd w:id="289"/>
      <w:bookmarkEnd w:id="290"/>
    </w:p>
    <w:p w:rsidR="006816C2" w:rsidRDefault="001B1331" w:rsidP="006816C2">
      <w:pPr>
        <w:widowControl w:val="0"/>
        <w:spacing w:after="0" w:line="480" w:lineRule="auto"/>
        <w:ind w:firstLine="720"/>
      </w:pPr>
      <w:r>
        <w:t>Current</w:t>
      </w:r>
      <w:r w:rsidR="006816C2">
        <w:t xml:space="preserve"> immunoassay-based screening methods </w:t>
      </w:r>
      <w:r>
        <w:t xml:space="preserve">are not </w:t>
      </w:r>
      <w:r w:rsidR="006816C2">
        <w:t>ideal for presumptively identifying most designer drugs, including the “bath salts”.  Recently, there has been a trend toward the introduction of new immunoassays with specificity for individual designer drugs or groups of drugs, a development that can, at least to some extent, help address this problem.  Alternatively, as more laboratories move towards LC-MS/MS as an in-house analytical tool, screening methods for such analytes will likely gravitate towards higher specificity approaches, in particular high-resolution, high mass accuracy MS.</w:t>
      </w:r>
    </w:p>
    <w:p w:rsidR="006816C2" w:rsidRDefault="006816C2" w:rsidP="001B1331">
      <w:pPr>
        <w:widowControl w:val="0"/>
        <w:spacing w:after="0" w:line="480" w:lineRule="auto"/>
        <w:ind w:firstLine="720"/>
      </w:pPr>
      <w:r w:rsidRPr="004C44BA">
        <w:t>Th</w:t>
      </w:r>
      <w:r>
        <w:t xml:space="preserve">e expected results of this study were </w:t>
      </w:r>
      <w:proofErr w:type="gramStart"/>
      <w:r>
        <w:t>obtained,</w:t>
      </w:r>
      <w:proofErr w:type="gramEnd"/>
      <w:r>
        <w:t xml:space="preserve"> as it was hypothesized that commercial immunoassays would not detect the cathinone derivatives and other designer drugs outside the realm of the traditional phenethylamines, such as amphetamine, methamphetamine, and MDMA.  Th</w:t>
      </w:r>
      <w:r w:rsidR="00860A7A">
        <w:t>e lack of cross-reactivity</w:t>
      </w:r>
      <w:r>
        <w:t xml:space="preserve"> demonstrates that </w:t>
      </w:r>
      <w:r w:rsidR="00494D40">
        <w:t xml:space="preserve">forensic </w:t>
      </w:r>
      <w:r>
        <w:t xml:space="preserve">toxicology </w:t>
      </w:r>
      <w:r w:rsidR="00C06AE3">
        <w:t>laboratories</w:t>
      </w:r>
      <w:r>
        <w:t xml:space="preserve"> will not be able to solely rely on immunoassays for screening procedures.  More advanced analytical techniques, such as LC-MS, are required for the identification of these compounds, as demonstrated by the LC-QQQ and LC-QTOF analyses.  Laboratories should keep cross-reactivity, or the lack thereof, in mind when performing routine screens so that these types of compounds are not overlooked.  With the exception of the Randox </w:t>
      </w:r>
      <w:r w:rsidR="00F066F5">
        <w:t>kit</w:t>
      </w:r>
      <w:r>
        <w:t xml:space="preserve">s, few immunoassays have been developed to target these analytes.  While oral fluid may not be a commonly analyzed matrix, the results obtained for the cross-reactivity of the cathinone derivatives in serum by the OraSure Methamphetamine </w:t>
      </w:r>
      <w:r w:rsidR="00932348">
        <w:t>assay</w:t>
      </w:r>
      <w:r>
        <w:t xml:space="preserve"> indicate its possible use for detecting such compounds, but would require extensive validation for this matrix and would not be applicable to every cathinone derivative as MDPV was not cross-reactive.  In addition, this study only incorporates thirty</w:t>
      </w:r>
      <w:r w:rsidR="00494D40">
        <w:t xml:space="preserve"> designer drugs, of which only eight</w:t>
      </w:r>
      <w:r>
        <w:t xml:space="preserve"> were cathinone derivatives.  Many more compounds exist in the drug market and continue to be synthesized such that this research cannot be considered comprehensive or complete.  Toxicology labs should and will continue to move towards LC-MS or other advanced techniques for the detection of these compounds in routine screenings of biological specimens.    </w:t>
      </w:r>
    </w:p>
    <w:p w:rsidR="001B1331" w:rsidRDefault="006816C2" w:rsidP="001B1331">
      <w:pPr>
        <w:widowControl w:val="0"/>
        <w:spacing w:line="480" w:lineRule="auto"/>
        <w:ind w:firstLine="720"/>
      </w:pPr>
      <w:r>
        <w:t>For future studies, additional commercial immunoassays could be investigated to determine the cross-reactivity for those thirty compounds of interest.  As the designer drugs in the market become more diversified, additional analytes may need to be examined for cross-reactivity.  While computational modeling can help to predict cross-reactivity, actual experiments will be necessary to indicate the real-life nature of forensic specimens.  Since cathinone derivatives have only been made popular over the past few years, it is difficult to forecast the long-term trends of abuse for these drugs.  If persistent, antibodies may need to be developed to create more commercial immunoassays like the one already released by Randox, so that high-throughput, automated screens can be used to presumptively identify these compounds.  However, since there are so many designer drugs with similar masses and structures, high-resolution mass spectrometry will be the best technique for identifying these compounds and will likely be the future focus of qualitative and quantitative methods.</w:t>
      </w:r>
      <w:r w:rsidR="001B1331">
        <w:t xml:space="preserve">  As standards become available, updating the confirmatory LC-MS method presented in this research would allow for more broad-based screening.  Further incorporation of LC-QTOF would allow for exact-mass capabilities and structural elucidation.  Data mining could also be performed using high resolution mass spectral data as standards become available and libraries are updated.</w:t>
      </w:r>
      <w:bookmarkStart w:id="291" w:name="_Toc354741004"/>
      <w:bookmarkStart w:id="292" w:name="_Toc354742761"/>
    </w:p>
    <w:p w:rsidR="002802BF" w:rsidRPr="00F97B2D" w:rsidRDefault="00076F2D" w:rsidP="00F97B2D">
      <w:pPr>
        <w:pStyle w:val="Heading1"/>
        <w:numPr>
          <w:ilvl w:val="0"/>
          <w:numId w:val="0"/>
        </w:numPr>
      </w:pPr>
      <w:bookmarkStart w:id="293" w:name="_Toc372536113"/>
      <w:bookmarkStart w:id="294" w:name="_Toc372538776"/>
      <w:r w:rsidRPr="00F97B2D">
        <w:t>REFERENCES</w:t>
      </w:r>
      <w:bookmarkEnd w:id="291"/>
      <w:bookmarkEnd w:id="292"/>
      <w:bookmarkEnd w:id="293"/>
      <w:bookmarkEnd w:id="294"/>
    </w:p>
    <w:p w:rsidR="00420938" w:rsidRDefault="000E239B" w:rsidP="00420938">
      <w:pPr>
        <w:pStyle w:val="Bibliography"/>
        <w:rPr>
          <w:noProof/>
          <w:vanish/>
        </w:rPr>
      </w:pPr>
      <w:r w:rsidRPr="00F97B2D">
        <w:rPr>
          <w:szCs w:val="24"/>
        </w:rPr>
        <w:fldChar w:fldCharType="begin"/>
      </w:r>
      <w:r w:rsidR="002802BF" w:rsidRPr="00F97B2D">
        <w:rPr>
          <w:szCs w:val="24"/>
        </w:rPr>
        <w:instrText xml:space="preserve"> BIBLIOGRAPHY  \l 1033 </w:instrText>
      </w:r>
      <w:r w:rsidRPr="00F97B2D">
        <w:rPr>
          <w:szCs w:val="24"/>
        </w:rPr>
        <w:fldChar w:fldCharType="separate"/>
      </w:r>
      <w:r w:rsidR="00420938">
        <w:rPr>
          <w:noProof/>
          <w:vanish/>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5"/>
        <w:gridCol w:w="8235"/>
      </w:tblGrid>
      <w:tr w:rsidR="00420938" w:rsidTr="00420938">
        <w:trPr>
          <w:tblCellSpacing w:w="15" w:type="dxa"/>
        </w:trPr>
        <w:tc>
          <w:tcPr>
            <w:tcW w:w="0" w:type="auto"/>
            <w:hideMark/>
          </w:tcPr>
          <w:p w:rsidR="00420938" w:rsidRDefault="00420938">
            <w:pPr>
              <w:pStyle w:val="Bibliography"/>
              <w:rPr>
                <w:noProof/>
              </w:rPr>
            </w:pPr>
            <w:r>
              <w:rPr>
                <w:noProof/>
              </w:rPr>
              <w:t>1.</w:t>
            </w:r>
          </w:p>
        </w:tc>
        <w:tc>
          <w:tcPr>
            <w:tcW w:w="0" w:type="auto"/>
            <w:hideMark/>
          </w:tcPr>
          <w:p w:rsidR="00420938" w:rsidRDefault="00420938">
            <w:pPr>
              <w:pStyle w:val="Bibliography"/>
              <w:rPr>
                <w:noProof/>
              </w:rPr>
            </w:pPr>
            <w:r>
              <w:rPr>
                <w:noProof/>
              </w:rPr>
              <w:t xml:space="preserve">Coppola, M., Mondola, R. (2012) Synthetic cathinones: Chemistry, pharmacology and toxicology of a new class of designer drugs of abuse marketed as 'bath salts' or 'plant food'. </w:t>
            </w:r>
            <w:r>
              <w:rPr>
                <w:i/>
                <w:iCs/>
                <w:noProof/>
              </w:rPr>
              <w:t>Toxicol. Lett.</w:t>
            </w:r>
            <w:r>
              <w:rPr>
                <w:noProof/>
              </w:rPr>
              <w:t xml:space="preserve"> </w:t>
            </w:r>
            <w:r>
              <w:rPr>
                <w:b/>
                <w:bCs/>
                <w:noProof/>
              </w:rPr>
              <w:t>211</w:t>
            </w:r>
            <w:r>
              <w:rPr>
                <w:noProof/>
              </w:rPr>
              <w:t>, 144-149.</w:t>
            </w:r>
          </w:p>
        </w:tc>
      </w:tr>
      <w:tr w:rsidR="00420938" w:rsidTr="00420938">
        <w:trPr>
          <w:tblCellSpacing w:w="15" w:type="dxa"/>
        </w:trPr>
        <w:tc>
          <w:tcPr>
            <w:tcW w:w="0" w:type="auto"/>
            <w:hideMark/>
          </w:tcPr>
          <w:p w:rsidR="00420938" w:rsidRDefault="00420938">
            <w:pPr>
              <w:pStyle w:val="Bibliography"/>
              <w:rPr>
                <w:noProof/>
              </w:rPr>
            </w:pPr>
            <w:r>
              <w:rPr>
                <w:noProof/>
              </w:rPr>
              <w:t>2.</w:t>
            </w:r>
          </w:p>
        </w:tc>
        <w:tc>
          <w:tcPr>
            <w:tcW w:w="0" w:type="auto"/>
            <w:hideMark/>
          </w:tcPr>
          <w:p w:rsidR="00420938" w:rsidRDefault="00420938">
            <w:pPr>
              <w:pStyle w:val="Bibliography"/>
              <w:rPr>
                <w:noProof/>
              </w:rPr>
            </w:pPr>
            <w:r>
              <w:rPr>
                <w:noProof/>
              </w:rPr>
              <w:t xml:space="preserve">Elliott, S., Smith, C. (2008) Investigation of the first deaths in the United Kingdom involving the detection and quantitation of the piperazines BZP and 3-TFMPP. </w:t>
            </w:r>
            <w:r>
              <w:rPr>
                <w:i/>
                <w:iCs/>
                <w:noProof/>
              </w:rPr>
              <w:t>J. Anal. Toxicol.</w:t>
            </w:r>
            <w:r>
              <w:rPr>
                <w:noProof/>
              </w:rPr>
              <w:t xml:space="preserve"> </w:t>
            </w:r>
            <w:r>
              <w:rPr>
                <w:b/>
                <w:bCs/>
                <w:noProof/>
              </w:rPr>
              <w:t>32</w:t>
            </w:r>
            <w:r>
              <w:rPr>
                <w:noProof/>
              </w:rPr>
              <w:t>, 172-177.</w:t>
            </w:r>
          </w:p>
        </w:tc>
      </w:tr>
      <w:tr w:rsidR="00420938" w:rsidTr="00420938">
        <w:trPr>
          <w:tblCellSpacing w:w="15" w:type="dxa"/>
        </w:trPr>
        <w:tc>
          <w:tcPr>
            <w:tcW w:w="0" w:type="auto"/>
            <w:hideMark/>
          </w:tcPr>
          <w:p w:rsidR="00420938" w:rsidRDefault="00420938">
            <w:pPr>
              <w:pStyle w:val="Bibliography"/>
              <w:rPr>
                <w:noProof/>
              </w:rPr>
            </w:pPr>
            <w:r>
              <w:rPr>
                <w:noProof/>
              </w:rPr>
              <w:t>3.</w:t>
            </w:r>
          </w:p>
        </w:tc>
        <w:tc>
          <w:tcPr>
            <w:tcW w:w="0" w:type="auto"/>
            <w:hideMark/>
          </w:tcPr>
          <w:p w:rsidR="00420938" w:rsidRDefault="00420938">
            <w:pPr>
              <w:pStyle w:val="Bibliography"/>
              <w:rPr>
                <w:noProof/>
              </w:rPr>
            </w:pPr>
            <w:r>
              <w:rPr>
                <w:noProof/>
              </w:rPr>
              <w:t xml:space="preserve">Lusthof, K. J., Oosting, R., Maes, A., Verschraagen, M., Dijkhuizen, A., Sprong, A. GA. (2011) A case of extreme agitation and death after the use of mephedrone in The Netherlands. </w:t>
            </w:r>
            <w:r>
              <w:rPr>
                <w:i/>
                <w:iCs/>
                <w:noProof/>
              </w:rPr>
              <w:t>Forensic. Sci. Int.</w:t>
            </w:r>
            <w:r>
              <w:rPr>
                <w:noProof/>
              </w:rPr>
              <w:t xml:space="preserve"> </w:t>
            </w:r>
            <w:r>
              <w:rPr>
                <w:b/>
                <w:bCs/>
                <w:noProof/>
              </w:rPr>
              <w:t>206(1)</w:t>
            </w:r>
            <w:r>
              <w:rPr>
                <w:noProof/>
              </w:rPr>
              <w:t>, e93-e95.</w:t>
            </w:r>
          </w:p>
        </w:tc>
      </w:tr>
      <w:tr w:rsidR="00420938" w:rsidTr="00420938">
        <w:trPr>
          <w:tblCellSpacing w:w="15" w:type="dxa"/>
        </w:trPr>
        <w:tc>
          <w:tcPr>
            <w:tcW w:w="0" w:type="auto"/>
            <w:hideMark/>
          </w:tcPr>
          <w:p w:rsidR="00420938" w:rsidRDefault="00420938">
            <w:pPr>
              <w:pStyle w:val="Bibliography"/>
              <w:rPr>
                <w:noProof/>
              </w:rPr>
            </w:pPr>
            <w:r>
              <w:rPr>
                <w:noProof/>
              </w:rPr>
              <w:t>4.</w:t>
            </w:r>
          </w:p>
        </w:tc>
        <w:tc>
          <w:tcPr>
            <w:tcW w:w="0" w:type="auto"/>
            <w:hideMark/>
          </w:tcPr>
          <w:p w:rsidR="00420938" w:rsidRDefault="00420938">
            <w:pPr>
              <w:pStyle w:val="Bibliography"/>
              <w:rPr>
                <w:noProof/>
              </w:rPr>
            </w:pPr>
            <w:r>
              <w:rPr>
                <w:noProof/>
              </w:rPr>
              <w:t xml:space="preserve">McClean, J. M., Anspikian, A., Tsuang, J. W. (2012) Bath Salt Use: A case report and review of the literature. </w:t>
            </w:r>
            <w:r>
              <w:rPr>
                <w:i/>
                <w:iCs/>
                <w:noProof/>
              </w:rPr>
              <w:t>J. Dual Diagnosis</w:t>
            </w:r>
            <w:r>
              <w:rPr>
                <w:noProof/>
              </w:rPr>
              <w:t xml:space="preserve"> </w:t>
            </w:r>
            <w:r>
              <w:rPr>
                <w:b/>
                <w:bCs/>
                <w:noProof/>
              </w:rPr>
              <w:t>8(3)</w:t>
            </w:r>
            <w:r>
              <w:rPr>
                <w:noProof/>
              </w:rPr>
              <w:t>, 250-256.</w:t>
            </w:r>
          </w:p>
        </w:tc>
      </w:tr>
      <w:tr w:rsidR="00420938" w:rsidTr="00420938">
        <w:trPr>
          <w:tblCellSpacing w:w="15" w:type="dxa"/>
        </w:trPr>
        <w:tc>
          <w:tcPr>
            <w:tcW w:w="0" w:type="auto"/>
            <w:hideMark/>
          </w:tcPr>
          <w:p w:rsidR="00420938" w:rsidRDefault="00420938">
            <w:pPr>
              <w:pStyle w:val="Bibliography"/>
              <w:rPr>
                <w:noProof/>
              </w:rPr>
            </w:pPr>
            <w:r>
              <w:rPr>
                <w:noProof/>
              </w:rPr>
              <w:t>5.</w:t>
            </w:r>
          </w:p>
        </w:tc>
        <w:tc>
          <w:tcPr>
            <w:tcW w:w="0" w:type="auto"/>
            <w:hideMark/>
          </w:tcPr>
          <w:p w:rsidR="00420938" w:rsidRDefault="00420938">
            <w:pPr>
              <w:pStyle w:val="Bibliography"/>
              <w:rPr>
                <w:noProof/>
              </w:rPr>
            </w:pPr>
            <w:r>
              <w:rPr>
                <w:noProof/>
              </w:rPr>
              <w:t xml:space="preserve">Murray, B. L., Murphy, C. M., Beuhler, M. C. (2012) Death following recreational use of designer drug 'bath salts' containing 3,4-methylenedioxypyrovalerone (MDPV). </w:t>
            </w:r>
            <w:r>
              <w:rPr>
                <w:i/>
                <w:iCs/>
                <w:noProof/>
              </w:rPr>
              <w:t>J. Med. Toxicol.</w:t>
            </w:r>
            <w:r>
              <w:rPr>
                <w:noProof/>
              </w:rPr>
              <w:t xml:space="preserve"> </w:t>
            </w:r>
            <w:r>
              <w:rPr>
                <w:b/>
                <w:bCs/>
                <w:noProof/>
              </w:rPr>
              <w:t>8(1)</w:t>
            </w:r>
            <w:r>
              <w:rPr>
                <w:noProof/>
              </w:rPr>
              <w:t>, 69-75.</w:t>
            </w:r>
          </w:p>
        </w:tc>
      </w:tr>
      <w:tr w:rsidR="00420938" w:rsidTr="00420938">
        <w:trPr>
          <w:tblCellSpacing w:w="15" w:type="dxa"/>
        </w:trPr>
        <w:tc>
          <w:tcPr>
            <w:tcW w:w="0" w:type="auto"/>
            <w:hideMark/>
          </w:tcPr>
          <w:p w:rsidR="00420938" w:rsidRDefault="00420938">
            <w:pPr>
              <w:pStyle w:val="Bibliography"/>
              <w:rPr>
                <w:noProof/>
              </w:rPr>
            </w:pPr>
            <w:r>
              <w:rPr>
                <w:noProof/>
              </w:rPr>
              <w:t>6.</w:t>
            </w:r>
          </w:p>
        </w:tc>
        <w:tc>
          <w:tcPr>
            <w:tcW w:w="0" w:type="auto"/>
            <w:hideMark/>
          </w:tcPr>
          <w:p w:rsidR="00420938" w:rsidRDefault="00420938">
            <w:pPr>
              <w:pStyle w:val="Bibliography"/>
              <w:rPr>
                <w:noProof/>
              </w:rPr>
            </w:pPr>
            <w:r>
              <w:rPr>
                <w:noProof/>
              </w:rPr>
              <w:t xml:space="preserve">Tanaka, E., Kamata, T., Katagi, M., Tsuchihashi, H., Honda, K. (2006) A fatal poisoning with 5-methoxy-N,N-diisopropyltryptamine, Foxy. </w:t>
            </w:r>
            <w:r>
              <w:rPr>
                <w:i/>
                <w:iCs/>
                <w:noProof/>
              </w:rPr>
              <w:t>Forensic. Sci. Int.</w:t>
            </w:r>
            <w:r>
              <w:rPr>
                <w:noProof/>
              </w:rPr>
              <w:t xml:space="preserve"> </w:t>
            </w:r>
            <w:r>
              <w:rPr>
                <w:b/>
                <w:bCs/>
                <w:noProof/>
              </w:rPr>
              <w:t>163(1-2)</w:t>
            </w:r>
            <w:r>
              <w:rPr>
                <w:noProof/>
              </w:rPr>
              <w:t>, 152-154.</w:t>
            </w:r>
          </w:p>
        </w:tc>
      </w:tr>
      <w:tr w:rsidR="00420938" w:rsidTr="00420938">
        <w:trPr>
          <w:tblCellSpacing w:w="15" w:type="dxa"/>
        </w:trPr>
        <w:tc>
          <w:tcPr>
            <w:tcW w:w="0" w:type="auto"/>
            <w:hideMark/>
          </w:tcPr>
          <w:p w:rsidR="00420938" w:rsidRDefault="00420938">
            <w:pPr>
              <w:pStyle w:val="Bibliography"/>
              <w:rPr>
                <w:noProof/>
              </w:rPr>
            </w:pPr>
            <w:r>
              <w:rPr>
                <w:noProof/>
              </w:rPr>
              <w:t>7.</w:t>
            </w:r>
          </w:p>
        </w:tc>
        <w:tc>
          <w:tcPr>
            <w:tcW w:w="0" w:type="auto"/>
            <w:hideMark/>
          </w:tcPr>
          <w:p w:rsidR="00420938" w:rsidRDefault="00420938">
            <w:pPr>
              <w:pStyle w:val="Bibliography"/>
              <w:rPr>
                <w:noProof/>
              </w:rPr>
            </w:pPr>
            <w:r>
              <w:rPr>
                <w:noProof/>
              </w:rPr>
              <w:t xml:space="preserve">Torrance, H., Cooper, G. (2010) The detection of mephedrone (4-methylmethcathinone) in 4 fatalities in Scotland. </w:t>
            </w:r>
            <w:r>
              <w:rPr>
                <w:i/>
                <w:iCs/>
                <w:noProof/>
              </w:rPr>
              <w:t>Forensic Sci. Int.</w:t>
            </w:r>
            <w:r>
              <w:rPr>
                <w:noProof/>
              </w:rPr>
              <w:t xml:space="preserve"> </w:t>
            </w:r>
            <w:r>
              <w:rPr>
                <w:b/>
                <w:bCs/>
                <w:noProof/>
              </w:rPr>
              <w:t>202</w:t>
            </w:r>
            <w:r>
              <w:rPr>
                <w:noProof/>
              </w:rPr>
              <w:t>, e62-e63.</w:t>
            </w:r>
          </w:p>
        </w:tc>
      </w:tr>
      <w:tr w:rsidR="00420938" w:rsidTr="00420938">
        <w:trPr>
          <w:tblCellSpacing w:w="15" w:type="dxa"/>
        </w:trPr>
        <w:tc>
          <w:tcPr>
            <w:tcW w:w="0" w:type="auto"/>
            <w:hideMark/>
          </w:tcPr>
          <w:p w:rsidR="00420938" w:rsidRDefault="00420938">
            <w:pPr>
              <w:pStyle w:val="Bibliography"/>
              <w:rPr>
                <w:noProof/>
              </w:rPr>
            </w:pPr>
            <w:r>
              <w:rPr>
                <w:noProof/>
              </w:rPr>
              <w:t>8.</w:t>
            </w:r>
          </w:p>
        </w:tc>
        <w:tc>
          <w:tcPr>
            <w:tcW w:w="0" w:type="auto"/>
            <w:hideMark/>
          </w:tcPr>
          <w:p w:rsidR="00420938" w:rsidRDefault="00420938">
            <w:pPr>
              <w:pStyle w:val="Bibliography"/>
              <w:rPr>
                <w:noProof/>
              </w:rPr>
            </w:pPr>
            <w:r>
              <w:rPr>
                <w:noProof/>
              </w:rPr>
              <w:t xml:space="preserve">Verschraagen, M., Maes, A., Ruiter, B., Bosman, I. J., Smink, B. E., Lusthof, K. J. (2007) Post-mortem cases involving amphetamine-based drugs in the Netherlands - Comparison with driving under the influence cases. </w:t>
            </w:r>
            <w:r>
              <w:rPr>
                <w:i/>
                <w:iCs/>
                <w:noProof/>
              </w:rPr>
              <w:t>Forensic Sci. Int.</w:t>
            </w:r>
            <w:r>
              <w:rPr>
                <w:noProof/>
              </w:rPr>
              <w:t xml:space="preserve"> </w:t>
            </w:r>
            <w:r>
              <w:rPr>
                <w:b/>
                <w:bCs/>
                <w:noProof/>
              </w:rPr>
              <w:t>170</w:t>
            </w:r>
            <w:r>
              <w:rPr>
                <w:noProof/>
              </w:rPr>
              <w:t>, 163-170.</w:t>
            </w:r>
          </w:p>
        </w:tc>
      </w:tr>
      <w:tr w:rsidR="00420938" w:rsidTr="00420938">
        <w:trPr>
          <w:tblCellSpacing w:w="15" w:type="dxa"/>
        </w:trPr>
        <w:tc>
          <w:tcPr>
            <w:tcW w:w="0" w:type="auto"/>
            <w:hideMark/>
          </w:tcPr>
          <w:p w:rsidR="00420938" w:rsidRDefault="00420938">
            <w:pPr>
              <w:pStyle w:val="Bibliography"/>
              <w:rPr>
                <w:noProof/>
              </w:rPr>
            </w:pPr>
            <w:r>
              <w:rPr>
                <w:noProof/>
              </w:rPr>
              <w:t>9.</w:t>
            </w:r>
          </w:p>
        </w:tc>
        <w:tc>
          <w:tcPr>
            <w:tcW w:w="0" w:type="auto"/>
            <w:hideMark/>
          </w:tcPr>
          <w:p w:rsidR="00420938" w:rsidRDefault="00420938">
            <w:pPr>
              <w:pStyle w:val="Bibliography"/>
              <w:rPr>
                <w:noProof/>
              </w:rPr>
            </w:pPr>
            <w:r>
              <w:rPr>
                <w:noProof/>
              </w:rPr>
              <w:t xml:space="preserve">Wikstrom, M., Thelander, G., Nystrom, I., Kronstrand, R. (2010) Two fatal intoxications with the new designer drug methedrone (4-methoxymethcathinone). </w:t>
            </w:r>
            <w:r>
              <w:rPr>
                <w:i/>
                <w:iCs/>
                <w:noProof/>
              </w:rPr>
              <w:t>J. Anal. Toxicol.</w:t>
            </w:r>
            <w:r>
              <w:rPr>
                <w:noProof/>
              </w:rPr>
              <w:t xml:space="preserve"> </w:t>
            </w:r>
            <w:r>
              <w:rPr>
                <w:b/>
                <w:bCs/>
                <w:noProof/>
              </w:rPr>
              <w:t>34</w:t>
            </w:r>
            <w:r>
              <w:rPr>
                <w:noProof/>
              </w:rPr>
              <w:t>, 594-598.</w:t>
            </w:r>
          </w:p>
        </w:tc>
      </w:tr>
      <w:tr w:rsidR="00420938" w:rsidTr="00420938">
        <w:trPr>
          <w:tblCellSpacing w:w="15" w:type="dxa"/>
        </w:trPr>
        <w:tc>
          <w:tcPr>
            <w:tcW w:w="0" w:type="auto"/>
            <w:hideMark/>
          </w:tcPr>
          <w:p w:rsidR="00420938" w:rsidRDefault="00420938">
            <w:pPr>
              <w:pStyle w:val="Bibliography"/>
              <w:rPr>
                <w:noProof/>
              </w:rPr>
            </w:pPr>
            <w:r>
              <w:rPr>
                <w:noProof/>
              </w:rPr>
              <w:t>10.</w:t>
            </w:r>
          </w:p>
        </w:tc>
        <w:tc>
          <w:tcPr>
            <w:tcW w:w="0" w:type="auto"/>
            <w:hideMark/>
          </w:tcPr>
          <w:p w:rsidR="001934AC" w:rsidRPr="001934AC" w:rsidRDefault="00420938" w:rsidP="001934AC">
            <w:pPr>
              <w:pStyle w:val="Bibliography"/>
              <w:rPr>
                <w:noProof/>
              </w:rPr>
            </w:pPr>
            <w:r>
              <w:rPr>
                <w:noProof/>
              </w:rPr>
              <w:t xml:space="preserve">Zwingenberger, S., Pietsch, J., Hommola, A., Drebler, J. (2010) Illegal drug-related deaths in East Germany between 1995 and 2004. </w:t>
            </w:r>
            <w:r>
              <w:rPr>
                <w:i/>
                <w:iCs/>
                <w:noProof/>
              </w:rPr>
              <w:t>Forensic Sci. Int.</w:t>
            </w:r>
            <w:r>
              <w:rPr>
                <w:noProof/>
              </w:rPr>
              <w:t xml:space="preserve"> </w:t>
            </w:r>
            <w:r>
              <w:rPr>
                <w:b/>
                <w:bCs/>
                <w:noProof/>
              </w:rPr>
              <w:t>199</w:t>
            </w:r>
            <w:r>
              <w:rPr>
                <w:noProof/>
              </w:rPr>
              <w:t>, 58-62.</w:t>
            </w:r>
          </w:p>
        </w:tc>
      </w:tr>
      <w:tr w:rsidR="00420938" w:rsidTr="00420938">
        <w:trPr>
          <w:tblCellSpacing w:w="15" w:type="dxa"/>
        </w:trPr>
        <w:tc>
          <w:tcPr>
            <w:tcW w:w="0" w:type="auto"/>
            <w:hideMark/>
          </w:tcPr>
          <w:p w:rsidR="001934AC" w:rsidRDefault="001934AC">
            <w:pPr>
              <w:pStyle w:val="Bibliography"/>
              <w:rPr>
                <w:noProof/>
              </w:rPr>
            </w:pPr>
          </w:p>
          <w:p w:rsidR="00420938" w:rsidRDefault="00420938">
            <w:pPr>
              <w:pStyle w:val="Bibliography"/>
              <w:rPr>
                <w:noProof/>
              </w:rPr>
            </w:pPr>
            <w:r>
              <w:rPr>
                <w:noProof/>
              </w:rPr>
              <w:t>11.</w:t>
            </w:r>
          </w:p>
        </w:tc>
        <w:tc>
          <w:tcPr>
            <w:tcW w:w="0" w:type="auto"/>
            <w:hideMark/>
          </w:tcPr>
          <w:p w:rsidR="001934AC" w:rsidRDefault="001934AC">
            <w:pPr>
              <w:pStyle w:val="Bibliography"/>
              <w:rPr>
                <w:noProof/>
              </w:rPr>
            </w:pPr>
          </w:p>
          <w:p w:rsidR="00420938" w:rsidRDefault="00420938">
            <w:pPr>
              <w:pStyle w:val="Bibliography"/>
              <w:rPr>
                <w:noProof/>
              </w:rPr>
            </w:pPr>
            <w:r>
              <w:rPr>
                <w:noProof/>
              </w:rPr>
              <w:t xml:space="preserve">Warrick, B. J., Wilson, J., Hedge, M., Freeman, S., Leonard, K., Aaron, C. (2012) Lethal serotonin syndrome after methylone and butylone ingestion. </w:t>
            </w:r>
            <w:r>
              <w:rPr>
                <w:i/>
                <w:iCs/>
                <w:noProof/>
              </w:rPr>
              <w:t>J. Med. Toxicol.</w:t>
            </w:r>
            <w:r>
              <w:rPr>
                <w:noProof/>
              </w:rPr>
              <w:t xml:space="preserve"> </w:t>
            </w:r>
            <w:r>
              <w:rPr>
                <w:b/>
                <w:bCs/>
                <w:noProof/>
              </w:rPr>
              <w:t>8</w:t>
            </w:r>
            <w:r>
              <w:rPr>
                <w:noProof/>
              </w:rPr>
              <w:t>, 65.</w:t>
            </w:r>
          </w:p>
        </w:tc>
      </w:tr>
      <w:tr w:rsidR="00420938" w:rsidTr="00420938">
        <w:trPr>
          <w:tblCellSpacing w:w="15" w:type="dxa"/>
        </w:trPr>
        <w:tc>
          <w:tcPr>
            <w:tcW w:w="0" w:type="auto"/>
            <w:hideMark/>
          </w:tcPr>
          <w:p w:rsidR="00420938" w:rsidRDefault="00420938">
            <w:pPr>
              <w:pStyle w:val="Bibliography"/>
              <w:rPr>
                <w:noProof/>
              </w:rPr>
            </w:pPr>
            <w:r>
              <w:rPr>
                <w:noProof/>
              </w:rPr>
              <w:t>12.</w:t>
            </w:r>
          </w:p>
        </w:tc>
        <w:tc>
          <w:tcPr>
            <w:tcW w:w="0" w:type="auto"/>
            <w:hideMark/>
          </w:tcPr>
          <w:p w:rsidR="00420938" w:rsidRDefault="00420938">
            <w:pPr>
              <w:pStyle w:val="Bibliography"/>
              <w:rPr>
                <w:noProof/>
              </w:rPr>
            </w:pPr>
            <w:r>
              <w:rPr>
                <w:noProof/>
              </w:rPr>
              <w:t xml:space="preserve">Stoica, M. V., Felthouse, A. R. (2012) Acute psychosis induced by bath salts: A case report with clinical and forensic implications. </w:t>
            </w:r>
            <w:r>
              <w:rPr>
                <w:i/>
                <w:iCs/>
                <w:noProof/>
              </w:rPr>
              <w:t>J. Forensic Sci.</w:t>
            </w:r>
            <w:r>
              <w:rPr>
                <w:noProof/>
              </w:rPr>
              <w:t xml:space="preserve"> </w:t>
            </w:r>
            <w:r>
              <w:rPr>
                <w:b/>
                <w:bCs/>
                <w:noProof/>
              </w:rPr>
              <w:t>Ahead of print</w:t>
            </w:r>
            <w:r>
              <w:rPr>
                <w:noProof/>
              </w:rPr>
              <w:t>.</w:t>
            </w:r>
          </w:p>
        </w:tc>
      </w:tr>
      <w:tr w:rsidR="00420938" w:rsidTr="00420938">
        <w:trPr>
          <w:tblCellSpacing w:w="15" w:type="dxa"/>
        </w:trPr>
        <w:tc>
          <w:tcPr>
            <w:tcW w:w="0" w:type="auto"/>
            <w:hideMark/>
          </w:tcPr>
          <w:p w:rsidR="00420938" w:rsidRDefault="00420938">
            <w:pPr>
              <w:pStyle w:val="Bibliography"/>
              <w:rPr>
                <w:noProof/>
              </w:rPr>
            </w:pPr>
            <w:r>
              <w:rPr>
                <w:noProof/>
              </w:rPr>
              <w:t>13.</w:t>
            </w:r>
          </w:p>
        </w:tc>
        <w:tc>
          <w:tcPr>
            <w:tcW w:w="0" w:type="auto"/>
            <w:hideMark/>
          </w:tcPr>
          <w:p w:rsidR="00420938" w:rsidRDefault="00420938">
            <w:pPr>
              <w:pStyle w:val="Bibliography"/>
              <w:rPr>
                <w:noProof/>
              </w:rPr>
            </w:pPr>
            <w:r>
              <w:rPr>
                <w:noProof/>
              </w:rPr>
              <w:t xml:space="preserve">Regunath, H., Ariyamuthu, V. K., Dalal, P., Misra, M. (2012) Bath salt intoxication causing acute kidney injury requiring hemodialysis. </w:t>
            </w:r>
            <w:r>
              <w:rPr>
                <w:i/>
                <w:iCs/>
                <w:noProof/>
              </w:rPr>
              <w:t>Hemodial. Int.</w:t>
            </w:r>
            <w:r>
              <w:rPr>
                <w:noProof/>
              </w:rPr>
              <w:t xml:space="preserve"> </w:t>
            </w:r>
            <w:r>
              <w:rPr>
                <w:b/>
                <w:bCs/>
                <w:noProof/>
              </w:rPr>
              <w:t>16</w:t>
            </w:r>
            <w:r>
              <w:rPr>
                <w:noProof/>
              </w:rPr>
              <w:t>, S47-S49.</w:t>
            </w:r>
          </w:p>
        </w:tc>
      </w:tr>
      <w:tr w:rsidR="00420938" w:rsidTr="00420938">
        <w:trPr>
          <w:tblCellSpacing w:w="15" w:type="dxa"/>
        </w:trPr>
        <w:tc>
          <w:tcPr>
            <w:tcW w:w="0" w:type="auto"/>
            <w:hideMark/>
          </w:tcPr>
          <w:p w:rsidR="00420938" w:rsidRDefault="00420938">
            <w:pPr>
              <w:pStyle w:val="Bibliography"/>
              <w:rPr>
                <w:noProof/>
              </w:rPr>
            </w:pPr>
            <w:r>
              <w:rPr>
                <w:noProof/>
              </w:rPr>
              <w:t>14.</w:t>
            </w:r>
          </w:p>
        </w:tc>
        <w:tc>
          <w:tcPr>
            <w:tcW w:w="0" w:type="auto"/>
            <w:hideMark/>
          </w:tcPr>
          <w:p w:rsidR="00420938" w:rsidRDefault="00420938">
            <w:pPr>
              <w:pStyle w:val="Bibliography"/>
              <w:rPr>
                <w:noProof/>
              </w:rPr>
            </w:pPr>
            <w:r>
              <w:rPr>
                <w:noProof/>
              </w:rPr>
              <w:t xml:space="preserve">Rojek, S., Klys, M., Strona, M., Maciow, M., Kula, K. (2012) "Legal highs" - Toxicity in the clinical and medico-legal aspect as exemplified suicide with bk-MBDB administration. </w:t>
            </w:r>
            <w:r>
              <w:rPr>
                <w:i/>
                <w:iCs/>
                <w:noProof/>
              </w:rPr>
              <w:t>Forensic Sci. Int.</w:t>
            </w:r>
            <w:r>
              <w:rPr>
                <w:noProof/>
              </w:rPr>
              <w:t xml:space="preserve"> </w:t>
            </w:r>
            <w:r>
              <w:rPr>
                <w:b/>
                <w:bCs/>
                <w:noProof/>
              </w:rPr>
              <w:t>222(1-3)</w:t>
            </w:r>
            <w:r>
              <w:rPr>
                <w:noProof/>
              </w:rPr>
              <w:t>, e1-6.</w:t>
            </w:r>
          </w:p>
        </w:tc>
      </w:tr>
      <w:tr w:rsidR="00420938" w:rsidTr="00420938">
        <w:trPr>
          <w:tblCellSpacing w:w="15" w:type="dxa"/>
        </w:trPr>
        <w:tc>
          <w:tcPr>
            <w:tcW w:w="0" w:type="auto"/>
            <w:hideMark/>
          </w:tcPr>
          <w:p w:rsidR="00420938" w:rsidRDefault="00420938">
            <w:pPr>
              <w:pStyle w:val="Bibliography"/>
              <w:rPr>
                <w:noProof/>
              </w:rPr>
            </w:pPr>
            <w:r>
              <w:rPr>
                <w:noProof/>
              </w:rPr>
              <w:t>15.</w:t>
            </w:r>
          </w:p>
        </w:tc>
        <w:tc>
          <w:tcPr>
            <w:tcW w:w="0" w:type="auto"/>
            <w:hideMark/>
          </w:tcPr>
          <w:p w:rsidR="00420938" w:rsidRDefault="00420938">
            <w:pPr>
              <w:pStyle w:val="Bibliography"/>
              <w:rPr>
                <w:noProof/>
              </w:rPr>
            </w:pPr>
            <w:r>
              <w:rPr>
                <w:noProof/>
              </w:rPr>
              <w:t xml:space="preserve">Zuba, D., Adamowicz, P., Byrska, B. (2012) Detection of buphedrone in biological and non-biological material - Two case reports. </w:t>
            </w:r>
            <w:r>
              <w:rPr>
                <w:i/>
                <w:iCs/>
                <w:noProof/>
              </w:rPr>
              <w:t>Forensic Sci. Int.</w:t>
            </w:r>
            <w:r>
              <w:rPr>
                <w:noProof/>
              </w:rPr>
              <w:t xml:space="preserve"> </w:t>
            </w:r>
            <w:r>
              <w:rPr>
                <w:b/>
                <w:bCs/>
                <w:noProof/>
              </w:rPr>
              <w:t>227</w:t>
            </w:r>
            <w:r>
              <w:rPr>
                <w:noProof/>
              </w:rPr>
              <w:t>, 15.</w:t>
            </w:r>
          </w:p>
        </w:tc>
      </w:tr>
      <w:tr w:rsidR="00420938" w:rsidTr="00420938">
        <w:trPr>
          <w:tblCellSpacing w:w="15" w:type="dxa"/>
        </w:trPr>
        <w:tc>
          <w:tcPr>
            <w:tcW w:w="0" w:type="auto"/>
            <w:hideMark/>
          </w:tcPr>
          <w:p w:rsidR="00420938" w:rsidRDefault="00420938">
            <w:pPr>
              <w:pStyle w:val="Bibliography"/>
              <w:rPr>
                <w:noProof/>
              </w:rPr>
            </w:pPr>
            <w:r>
              <w:rPr>
                <w:noProof/>
              </w:rPr>
              <w:t>16.</w:t>
            </w:r>
          </w:p>
        </w:tc>
        <w:tc>
          <w:tcPr>
            <w:tcW w:w="0" w:type="auto"/>
            <w:hideMark/>
          </w:tcPr>
          <w:p w:rsidR="00420938" w:rsidRDefault="00420938">
            <w:pPr>
              <w:pStyle w:val="Bibliography"/>
              <w:rPr>
                <w:noProof/>
              </w:rPr>
            </w:pPr>
            <w:r>
              <w:rPr>
                <w:noProof/>
              </w:rPr>
              <w:t xml:space="preserve">Sadeg, N., Darie, A., Vilamot, B., Passamar, M., Frances, B., Belhadj-Tahar, H. (2013) Case report of cathinone-like designer drug intoxication psychosis and addiction with serum identification. </w:t>
            </w:r>
            <w:r>
              <w:rPr>
                <w:i/>
                <w:iCs/>
                <w:noProof/>
              </w:rPr>
              <w:t>Addict. Disord. Their Treat.</w:t>
            </w:r>
            <w:r>
              <w:rPr>
                <w:noProof/>
              </w:rPr>
              <w:t xml:space="preserve"> </w:t>
            </w:r>
            <w:r>
              <w:rPr>
                <w:b/>
                <w:bCs/>
                <w:noProof/>
              </w:rPr>
              <w:t>Ahead of print</w:t>
            </w:r>
            <w:r>
              <w:rPr>
                <w:noProof/>
              </w:rPr>
              <w:t>.</w:t>
            </w:r>
          </w:p>
        </w:tc>
      </w:tr>
      <w:tr w:rsidR="00420938" w:rsidTr="00420938">
        <w:trPr>
          <w:tblCellSpacing w:w="15" w:type="dxa"/>
        </w:trPr>
        <w:tc>
          <w:tcPr>
            <w:tcW w:w="0" w:type="auto"/>
            <w:hideMark/>
          </w:tcPr>
          <w:p w:rsidR="00420938" w:rsidRDefault="00420938">
            <w:pPr>
              <w:pStyle w:val="Bibliography"/>
              <w:rPr>
                <w:noProof/>
              </w:rPr>
            </w:pPr>
            <w:r>
              <w:rPr>
                <w:noProof/>
              </w:rPr>
              <w:t>17.</w:t>
            </w:r>
          </w:p>
        </w:tc>
        <w:tc>
          <w:tcPr>
            <w:tcW w:w="0" w:type="auto"/>
            <w:hideMark/>
          </w:tcPr>
          <w:p w:rsidR="00420938" w:rsidRDefault="00420938">
            <w:pPr>
              <w:pStyle w:val="Bibliography"/>
              <w:rPr>
                <w:noProof/>
              </w:rPr>
            </w:pPr>
            <w:r>
              <w:rPr>
                <w:noProof/>
              </w:rPr>
              <w:t xml:space="preserve">Gaillard, Y. P., Cuquel, A., Boucher, A., Romeuf, L., Bevalot, F., Prevosto, J., Menard, J. (2013) A fatality following ingestion of the designer drug meta-chlorophenylpiperazine (mCPP) in an asthmatic - HPLC-MS/MS detection in biofluids and hair. </w:t>
            </w:r>
            <w:r>
              <w:rPr>
                <w:i/>
                <w:iCs/>
                <w:noProof/>
              </w:rPr>
              <w:t>J. Forensic Sci.</w:t>
            </w:r>
            <w:r>
              <w:rPr>
                <w:noProof/>
              </w:rPr>
              <w:t xml:space="preserve"> </w:t>
            </w:r>
            <w:r>
              <w:rPr>
                <w:b/>
                <w:bCs/>
                <w:noProof/>
              </w:rPr>
              <w:t>58(1)</w:t>
            </w:r>
            <w:r>
              <w:rPr>
                <w:noProof/>
              </w:rPr>
              <w:t>, 263-269.</w:t>
            </w:r>
          </w:p>
        </w:tc>
      </w:tr>
      <w:tr w:rsidR="00420938" w:rsidTr="00420938">
        <w:trPr>
          <w:tblCellSpacing w:w="15" w:type="dxa"/>
        </w:trPr>
        <w:tc>
          <w:tcPr>
            <w:tcW w:w="0" w:type="auto"/>
            <w:hideMark/>
          </w:tcPr>
          <w:p w:rsidR="00420938" w:rsidRDefault="00420938">
            <w:pPr>
              <w:pStyle w:val="Bibliography"/>
              <w:rPr>
                <w:noProof/>
              </w:rPr>
            </w:pPr>
            <w:r>
              <w:rPr>
                <w:noProof/>
              </w:rPr>
              <w:t>18.</w:t>
            </w:r>
          </w:p>
        </w:tc>
        <w:tc>
          <w:tcPr>
            <w:tcW w:w="0" w:type="auto"/>
            <w:hideMark/>
          </w:tcPr>
          <w:p w:rsidR="00420938" w:rsidRDefault="00420938">
            <w:pPr>
              <w:pStyle w:val="Bibliography"/>
              <w:rPr>
                <w:noProof/>
              </w:rPr>
            </w:pPr>
            <w:r>
              <w:rPr>
                <w:noProof/>
              </w:rPr>
              <w:t xml:space="preserve">Bosak, A., LoVecchio, F., Levine, M. (2013) Recurrent seizures and serotonin syndrome following "2C-I" ingestion. </w:t>
            </w:r>
            <w:r>
              <w:rPr>
                <w:i/>
                <w:iCs/>
                <w:noProof/>
              </w:rPr>
              <w:t>J. Med. Toxicol.</w:t>
            </w:r>
            <w:r>
              <w:rPr>
                <w:noProof/>
              </w:rPr>
              <w:t xml:space="preserve"> </w:t>
            </w:r>
            <w:r>
              <w:rPr>
                <w:b/>
                <w:bCs/>
                <w:noProof/>
              </w:rPr>
              <w:t>Ahead of print</w:t>
            </w:r>
            <w:r>
              <w:rPr>
                <w:noProof/>
              </w:rPr>
              <w:t>.</w:t>
            </w:r>
          </w:p>
        </w:tc>
      </w:tr>
      <w:tr w:rsidR="00420938" w:rsidTr="00420938">
        <w:trPr>
          <w:tblCellSpacing w:w="15" w:type="dxa"/>
        </w:trPr>
        <w:tc>
          <w:tcPr>
            <w:tcW w:w="0" w:type="auto"/>
            <w:hideMark/>
          </w:tcPr>
          <w:p w:rsidR="00420938" w:rsidRDefault="00420938">
            <w:pPr>
              <w:pStyle w:val="Bibliography"/>
              <w:rPr>
                <w:noProof/>
              </w:rPr>
            </w:pPr>
            <w:r>
              <w:rPr>
                <w:noProof/>
              </w:rPr>
              <w:t>19.</w:t>
            </w:r>
          </w:p>
        </w:tc>
        <w:tc>
          <w:tcPr>
            <w:tcW w:w="0" w:type="auto"/>
            <w:hideMark/>
          </w:tcPr>
          <w:p w:rsidR="00420938" w:rsidRDefault="00420938">
            <w:pPr>
              <w:pStyle w:val="Bibliography"/>
              <w:rPr>
                <w:noProof/>
              </w:rPr>
            </w:pPr>
            <w:r>
              <w:rPr>
                <w:noProof/>
              </w:rPr>
              <w:t xml:space="preserve">Thornton, S. L., Lo, J., Clark, R. F., Wu, A. HB., Gerona, R. R. (2012) Simultaneous detection of multiple designer drugs in serum, urine, and CSF in a patient with prolonged psychosis. </w:t>
            </w:r>
            <w:r>
              <w:rPr>
                <w:i/>
                <w:iCs/>
                <w:noProof/>
              </w:rPr>
              <w:t>Clin. Toxicol.</w:t>
            </w:r>
            <w:r>
              <w:rPr>
                <w:noProof/>
              </w:rPr>
              <w:t xml:space="preserve"> </w:t>
            </w:r>
            <w:r>
              <w:rPr>
                <w:b/>
                <w:bCs/>
                <w:noProof/>
              </w:rPr>
              <w:t>50(10)</w:t>
            </w:r>
            <w:r>
              <w:rPr>
                <w:noProof/>
              </w:rPr>
              <w:t>, 1165-1168.</w:t>
            </w:r>
          </w:p>
        </w:tc>
      </w:tr>
      <w:tr w:rsidR="00420938" w:rsidTr="00420938">
        <w:trPr>
          <w:tblCellSpacing w:w="15" w:type="dxa"/>
        </w:trPr>
        <w:tc>
          <w:tcPr>
            <w:tcW w:w="0" w:type="auto"/>
            <w:hideMark/>
          </w:tcPr>
          <w:p w:rsidR="00420938" w:rsidRDefault="00420938">
            <w:pPr>
              <w:pStyle w:val="Bibliography"/>
              <w:rPr>
                <w:noProof/>
              </w:rPr>
            </w:pPr>
            <w:r>
              <w:rPr>
                <w:noProof/>
              </w:rPr>
              <w:t>20.</w:t>
            </w:r>
          </w:p>
        </w:tc>
        <w:tc>
          <w:tcPr>
            <w:tcW w:w="0" w:type="auto"/>
            <w:hideMark/>
          </w:tcPr>
          <w:p w:rsidR="00420938" w:rsidRDefault="00420938">
            <w:pPr>
              <w:pStyle w:val="Bibliography"/>
              <w:rPr>
                <w:noProof/>
              </w:rPr>
            </w:pPr>
            <w:r>
              <w:rPr>
                <w:noProof/>
              </w:rPr>
              <w:t xml:space="preserve">Wohlfarth, A., Weinmann, W. (2010) Bioanalysis of new designer drugs. </w:t>
            </w:r>
            <w:r>
              <w:rPr>
                <w:i/>
                <w:iCs/>
                <w:noProof/>
              </w:rPr>
              <w:t>Bioanalysis</w:t>
            </w:r>
            <w:r>
              <w:rPr>
                <w:noProof/>
              </w:rPr>
              <w:t xml:space="preserve"> </w:t>
            </w:r>
            <w:r>
              <w:rPr>
                <w:b/>
                <w:bCs/>
                <w:noProof/>
              </w:rPr>
              <w:t>2</w:t>
            </w:r>
            <w:r>
              <w:rPr>
                <w:noProof/>
              </w:rPr>
              <w:t>, 965-979.</w:t>
            </w:r>
          </w:p>
        </w:tc>
      </w:tr>
      <w:tr w:rsidR="00420938" w:rsidTr="00420938">
        <w:trPr>
          <w:tblCellSpacing w:w="15" w:type="dxa"/>
        </w:trPr>
        <w:tc>
          <w:tcPr>
            <w:tcW w:w="0" w:type="auto"/>
            <w:hideMark/>
          </w:tcPr>
          <w:p w:rsidR="00420938" w:rsidRDefault="00420938">
            <w:pPr>
              <w:pStyle w:val="Bibliography"/>
              <w:rPr>
                <w:noProof/>
              </w:rPr>
            </w:pPr>
            <w:r>
              <w:rPr>
                <w:noProof/>
              </w:rPr>
              <w:t>21.</w:t>
            </w:r>
          </w:p>
        </w:tc>
        <w:tc>
          <w:tcPr>
            <w:tcW w:w="0" w:type="auto"/>
            <w:hideMark/>
          </w:tcPr>
          <w:p w:rsidR="00420938" w:rsidRDefault="00420938">
            <w:pPr>
              <w:pStyle w:val="Bibliography"/>
              <w:rPr>
                <w:noProof/>
              </w:rPr>
            </w:pPr>
            <w:r>
              <w:rPr>
                <w:noProof/>
              </w:rPr>
              <w:t xml:space="preserve">Henderson, G. L. (1988) Designer drugs: past history and future prospects. </w:t>
            </w:r>
            <w:r>
              <w:rPr>
                <w:i/>
                <w:iCs/>
                <w:noProof/>
              </w:rPr>
              <w:t>J. Forensic Sci.</w:t>
            </w:r>
            <w:r>
              <w:rPr>
                <w:noProof/>
              </w:rPr>
              <w:t xml:space="preserve"> </w:t>
            </w:r>
            <w:r>
              <w:rPr>
                <w:b/>
                <w:bCs/>
                <w:noProof/>
              </w:rPr>
              <w:t>33</w:t>
            </w:r>
            <w:r>
              <w:rPr>
                <w:noProof/>
              </w:rPr>
              <w:t>, 569-575.</w:t>
            </w:r>
          </w:p>
          <w:p w:rsidR="007F5CA3" w:rsidRPr="007F5CA3" w:rsidRDefault="007F5CA3" w:rsidP="007F5CA3"/>
        </w:tc>
      </w:tr>
      <w:tr w:rsidR="00420938" w:rsidTr="00420938">
        <w:trPr>
          <w:tblCellSpacing w:w="15" w:type="dxa"/>
        </w:trPr>
        <w:tc>
          <w:tcPr>
            <w:tcW w:w="0" w:type="auto"/>
            <w:hideMark/>
          </w:tcPr>
          <w:p w:rsidR="00420938" w:rsidRDefault="00420938">
            <w:pPr>
              <w:pStyle w:val="Bibliography"/>
              <w:rPr>
                <w:noProof/>
              </w:rPr>
            </w:pPr>
            <w:r>
              <w:rPr>
                <w:noProof/>
              </w:rPr>
              <w:t>22.</w:t>
            </w:r>
          </w:p>
        </w:tc>
        <w:tc>
          <w:tcPr>
            <w:tcW w:w="0" w:type="auto"/>
            <w:hideMark/>
          </w:tcPr>
          <w:p w:rsidR="00420938" w:rsidRDefault="00420938">
            <w:pPr>
              <w:pStyle w:val="Bibliography"/>
              <w:rPr>
                <w:noProof/>
              </w:rPr>
            </w:pPr>
            <w:r>
              <w:rPr>
                <w:noProof/>
              </w:rPr>
              <w:t xml:space="preserve">Carroll, F. I., Lewin, A. H., Mascarella, S. W., Seltzman, H. H., Reddy, P. A. (2012) Designer drugs: a medicinal chemistry perspective. </w:t>
            </w:r>
            <w:r>
              <w:rPr>
                <w:i/>
                <w:iCs/>
                <w:noProof/>
              </w:rPr>
              <w:t>Ann. NY Acad. Sci.</w:t>
            </w:r>
            <w:r>
              <w:rPr>
                <w:noProof/>
              </w:rPr>
              <w:t xml:space="preserve"> </w:t>
            </w:r>
            <w:r>
              <w:rPr>
                <w:b/>
                <w:bCs/>
                <w:noProof/>
              </w:rPr>
              <w:t>1248</w:t>
            </w:r>
            <w:r>
              <w:rPr>
                <w:noProof/>
              </w:rPr>
              <w:t>, 18-38.</w:t>
            </w:r>
          </w:p>
        </w:tc>
      </w:tr>
      <w:tr w:rsidR="00420938" w:rsidTr="00420938">
        <w:trPr>
          <w:tblCellSpacing w:w="15" w:type="dxa"/>
        </w:trPr>
        <w:tc>
          <w:tcPr>
            <w:tcW w:w="0" w:type="auto"/>
            <w:hideMark/>
          </w:tcPr>
          <w:p w:rsidR="00420938" w:rsidRDefault="00420938">
            <w:pPr>
              <w:pStyle w:val="Bibliography"/>
              <w:rPr>
                <w:noProof/>
              </w:rPr>
            </w:pPr>
            <w:r>
              <w:rPr>
                <w:noProof/>
              </w:rPr>
              <w:t>23.</w:t>
            </w:r>
          </w:p>
        </w:tc>
        <w:tc>
          <w:tcPr>
            <w:tcW w:w="0" w:type="auto"/>
            <w:hideMark/>
          </w:tcPr>
          <w:p w:rsidR="00420938" w:rsidRDefault="00420938">
            <w:pPr>
              <w:pStyle w:val="Bibliography"/>
              <w:rPr>
                <w:noProof/>
              </w:rPr>
            </w:pPr>
            <w:r>
              <w:rPr>
                <w:noProof/>
              </w:rPr>
              <w:t xml:space="preserve">McGrane, O., Simmons, J., Jacobson, E., Skinner, C. (2011) Alarming trends in a novel class of designer drugs. </w:t>
            </w:r>
            <w:r>
              <w:rPr>
                <w:i/>
                <w:iCs/>
                <w:noProof/>
              </w:rPr>
              <w:t>J. Clin. Toxicol.</w:t>
            </w:r>
            <w:r>
              <w:rPr>
                <w:noProof/>
              </w:rPr>
              <w:t xml:space="preserve"> </w:t>
            </w:r>
            <w:r>
              <w:rPr>
                <w:b/>
                <w:bCs/>
                <w:noProof/>
              </w:rPr>
              <w:t>1(2)</w:t>
            </w:r>
            <w:r>
              <w:rPr>
                <w:noProof/>
              </w:rPr>
              <w:t>.</w:t>
            </w:r>
          </w:p>
        </w:tc>
      </w:tr>
      <w:tr w:rsidR="00420938" w:rsidTr="00420938">
        <w:trPr>
          <w:tblCellSpacing w:w="15" w:type="dxa"/>
        </w:trPr>
        <w:tc>
          <w:tcPr>
            <w:tcW w:w="0" w:type="auto"/>
            <w:hideMark/>
          </w:tcPr>
          <w:p w:rsidR="00420938" w:rsidRDefault="00420938">
            <w:pPr>
              <w:pStyle w:val="Bibliography"/>
              <w:rPr>
                <w:noProof/>
              </w:rPr>
            </w:pPr>
            <w:r>
              <w:rPr>
                <w:noProof/>
              </w:rPr>
              <w:t>24.</w:t>
            </w:r>
          </w:p>
        </w:tc>
        <w:tc>
          <w:tcPr>
            <w:tcW w:w="0" w:type="auto"/>
            <w:hideMark/>
          </w:tcPr>
          <w:p w:rsidR="00420938" w:rsidRDefault="00420938">
            <w:pPr>
              <w:pStyle w:val="Bibliography"/>
              <w:rPr>
                <w:noProof/>
              </w:rPr>
            </w:pPr>
            <w:r>
              <w:rPr>
                <w:noProof/>
              </w:rPr>
              <w:t xml:space="preserve">Prosser, J. M., Nelson, L. S. (2012) The toxicology of bath salts: a review of synthetic cathinones. </w:t>
            </w:r>
            <w:r>
              <w:rPr>
                <w:i/>
                <w:iCs/>
                <w:noProof/>
              </w:rPr>
              <w:t>J. Med. Toxicol.</w:t>
            </w:r>
            <w:r>
              <w:rPr>
                <w:noProof/>
              </w:rPr>
              <w:t xml:space="preserve"> </w:t>
            </w:r>
            <w:r>
              <w:rPr>
                <w:b/>
                <w:bCs/>
                <w:noProof/>
              </w:rPr>
              <w:t>8</w:t>
            </w:r>
            <w:r>
              <w:rPr>
                <w:noProof/>
              </w:rPr>
              <w:t>, 33-42.</w:t>
            </w:r>
          </w:p>
        </w:tc>
      </w:tr>
      <w:tr w:rsidR="00420938" w:rsidTr="00420938">
        <w:trPr>
          <w:tblCellSpacing w:w="15" w:type="dxa"/>
        </w:trPr>
        <w:tc>
          <w:tcPr>
            <w:tcW w:w="0" w:type="auto"/>
            <w:hideMark/>
          </w:tcPr>
          <w:p w:rsidR="00420938" w:rsidRDefault="00420938">
            <w:pPr>
              <w:pStyle w:val="Bibliography"/>
              <w:rPr>
                <w:noProof/>
              </w:rPr>
            </w:pPr>
            <w:r>
              <w:rPr>
                <w:noProof/>
              </w:rPr>
              <w:t>25.</w:t>
            </w:r>
          </w:p>
        </w:tc>
        <w:tc>
          <w:tcPr>
            <w:tcW w:w="0" w:type="auto"/>
            <w:hideMark/>
          </w:tcPr>
          <w:p w:rsidR="00420938" w:rsidRDefault="00420938">
            <w:pPr>
              <w:pStyle w:val="Bibliography"/>
              <w:rPr>
                <w:noProof/>
              </w:rPr>
            </w:pPr>
            <w:r>
              <w:rPr>
                <w:noProof/>
              </w:rPr>
              <w:t xml:space="preserve">Boland, D. M., Andollo, W., Hime, G. W., Hearn, W. L. (2005) Fatality due to acute alpha-methyltryptamine intoxication. </w:t>
            </w:r>
            <w:r>
              <w:rPr>
                <w:i/>
                <w:iCs/>
                <w:noProof/>
              </w:rPr>
              <w:t>J. Anal. Toxicol.</w:t>
            </w:r>
            <w:r>
              <w:rPr>
                <w:noProof/>
              </w:rPr>
              <w:t xml:space="preserve"> </w:t>
            </w:r>
            <w:r>
              <w:rPr>
                <w:b/>
                <w:bCs/>
                <w:noProof/>
              </w:rPr>
              <w:t>29</w:t>
            </w:r>
            <w:r>
              <w:rPr>
                <w:noProof/>
              </w:rPr>
              <w:t>, 394-397.</w:t>
            </w:r>
          </w:p>
        </w:tc>
      </w:tr>
      <w:tr w:rsidR="00420938" w:rsidTr="00420938">
        <w:trPr>
          <w:tblCellSpacing w:w="15" w:type="dxa"/>
        </w:trPr>
        <w:tc>
          <w:tcPr>
            <w:tcW w:w="0" w:type="auto"/>
            <w:hideMark/>
          </w:tcPr>
          <w:p w:rsidR="00420938" w:rsidRDefault="00420938">
            <w:pPr>
              <w:pStyle w:val="Bibliography"/>
              <w:rPr>
                <w:noProof/>
              </w:rPr>
            </w:pPr>
            <w:r>
              <w:rPr>
                <w:noProof/>
              </w:rPr>
              <w:t>26.</w:t>
            </w:r>
          </w:p>
        </w:tc>
        <w:tc>
          <w:tcPr>
            <w:tcW w:w="0" w:type="auto"/>
            <w:hideMark/>
          </w:tcPr>
          <w:p w:rsidR="00420938" w:rsidRDefault="00420938">
            <w:pPr>
              <w:pStyle w:val="Bibliography"/>
              <w:rPr>
                <w:noProof/>
              </w:rPr>
            </w:pPr>
            <w:r>
              <w:rPr>
                <w:noProof/>
              </w:rPr>
              <w:t xml:space="preserve">Hill, S. L., Thomas, S. H. (2011) Clinical toxicology of newer recreational drugs. </w:t>
            </w:r>
            <w:r>
              <w:rPr>
                <w:i/>
                <w:iCs/>
                <w:noProof/>
              </w:rPr>
              <w:t>Clin. Toxicol.</w:t>
            </w:r>
            <w:r>
              <w:rPr>
                <w:noProof/>
              </w:rPr>
              <w:t xml:space="preserve"> </w:t>
            </w:r>
            <w:r>
              <w:rPr>
                <w:b/>
                <w:bCs/>
                <w:noProof/>
              </w:rPr>
              <w:t>49</w:t>
            </w:r>
            <w:r>
              <w:rPr>
                <w:noProof/>
              </w:rPr>
              <w:t>, 705-719.</w:t>
            </w:r>
          </w:p>
        </w:tc>
      </w:tr>
      <w:tr w:rsidR="00420938" w:rsidTr="00420938">
        <w:trPr>
          <w:tblCellSpacing w:w="15" w:type="dxa"/>
        </w:trPr>
        <w:tc>
          <w:tcPr>
            <w:tcW w:w="0" w:type="auto"/>
            <w:hideMark/>
          </w:tcPr>
          <w:p w:rsidR="00420938" w:rsidRDefault="00420938">
            <w:pPr>
              <w:pStyle w:val="Bibliography"/>
              <w:rPr>
                <w:noProof/>
              </w:rPr>
            </w:pPr>
            <w:r>
              <w:rPr>
                <w:noProof/>
              </w:rPr>
              <w:t>27.</w:t>
            </w:r>
          </w:p>
        </w:tc>
        <w:tc>
          <w:tcPr>
            <w:tcW w:w="0" w:type="auto"/>
            <w:hideMark/>
          </w:tcPr>
          <w:p w:rsidR="00420938" w:rsidRDefault="00420938">
            <w:pPr>
              <w:pStyle w:val="Bibliography"/>
              <w:rPr>
                <w:noProof/>
              </w:rPr>
            </w:pPr>
            <w:r>
              <w:rPr>
                <w:noProof/>
              </w:rPr>
              <w:t xml:space="preserve">Brunt, T. M., Poortman, A., Niesink, R. JM., van den Brink, W. (2011) Instability of the ecstasy market and a new kid on the block: mephedrone. </w:t>
            </w:r>
            <w:r>
              <w:rPr>
                <w:i/>
                <w:iCs/>
                <w:noProof/>
              </w:rPr>
              <w:t>J. Psychopharm.</w:t>
            </w:r>
            <w:r>
              <w:rPr>
                <w:noProof/>
              </w:rPr>
              <w:t xml:space="preserve"> </w:t>
            </w:r>
            <w:r>
              <w:rPr>
                <w:b/>
                <w:bCs/>
                <w:noProof/>
              </w:rPr>
              <w:t>25</w:t>
            </w:r>
            <w:r>
              <w:rPr>
                <w:noProof/>
              </w:rPr>
              <w:t>, 1543-1547.</w:t>
            </w:r>
          </w:p>
        </w:tc>
      </w:tr>
      <w:tr w:rsidR="00420938" w:rsidTr="00420938">
        <w:trPr>
          <w:tblCellSpacing w:w="15" w:type="dxa"/>
        </w:trPr>
        <w:tc>
          <w:tcPr>
            <w:tcW w:w="0" w:type="auto"/>
            <w:hideMark/>
          </w:tcPr>
          <w:p w:rsidR="00420938" w:rsidRDefault="00420938">
            <w:pPr>
              <w:pStyle w:val="Bibliography"/>
              <w:rPr>
                <w:noProof/>
              </w:rPr>
            </w:pPr>
            <w:r>
              <w:rPr>
                <w:noProof/>
              </w:rPr>
              <w:t>28.</w:t>
            </w:r>
          </w:p>
        </w:tc>
        <w:tc>
          <w:tcPr>
            <w:tcW w:w="0" w:type="auto"/>
            <w:hideMark/>
          </w:tcPr>
          <w:p w:rsidR="00420938" w:rsidRDefault="00420938">
            <w:pPr>
              <w:pStyle w:val="Bibliography"/>
              <w:rPr>
                <w:noProof/>
              </w:rPr>
            </w:pPr>
            <w:r>
              <w:rPr>
                <w:noProof/>
              </w:rPr>
              <w:t xml:space="preserve">McClean, J. M., Anspikian, A., Tsuang, J. W. (2012) Bath salt use: A case report and review of the literature. </w:t>
            </w:r>
            <w:r>
              <w:rPr>
                <w:i/>
                <w:iCs/>
                <w:noProof/>
              </w:rPr>
              <w:t>J. Dual Diagn.</w:t>
            </w:r>
            <w:r>
              <w:rPr>
                <w:noProof/>
              </w:rPr>
              <w:t xml:space="preserve"> </w:t>
            </w:r>
            <w:r>
              <w:rPr>
                <w:b/>
                <w:bCs/>
                <w:noProof/>
              </w:rPr>
              <w:t>8</w:t>
            </w:r>
            <w:r>
              <w:rPr>
                <w:noProof/>
              </w:rPr>
              <w:t>, 250-256.</w:t>
            </w:r>
          </w:p>
        </w:tc>
      </w:tr>
      <w:tr w:rsidR="00420938" w:rsidTr="00420938">
        <w:trPr>
          <w:tblCellSpacing w:w="15" w:type="dxa"/>
        </w:trPr>
        <w:tc>
          <w:tcPr>
            <w:tcW w:w="0" w:type="auto"/>
            <w:hideMark/>
          </w:tcPr>
          <w:p w:rsidR="00420938" w:rsidRDefault="00420938">
            <w:pPr>
              <w:pStyle w:val="Bibliography"/>
              <w:rPr>
                <w:noProof/>
              </w:rPr>
            </w:pPr>
            <w:r>
              <w:rPr>
                <w:noProof/>
              </w:rPr>
              <w:t>29.</w:t>
            </w:r>
          </w:p>
        </w:tc>
        <w:tc>
          <w:tcPr>
            <w:tcW w:w="0" w:type="auto"/>
            <w:hideMark/>
          </w:tcPr>
          <w:p w:rsidR="00420938" w:rsidRDefault="00420938">
            <w:pPr>
              <w:pStyle w:val="Bibliography"/>
              <w:rPr>
                <w:noProof/>
              </w:rPr>
            </w:pPr>
            <w:r>
              <w:rPr>
                <w:noProof/>
              </w:rPr>
              <w:t xml:space="preserve">Borek, H. A., Holstege, C. P. (2012) Hyperthermia and multiorgan failure after abuse of "bath salts" containing 3,4-methylenedioxypyrovalerone. </w:t>
            </w:r>
            <w:r>
              <w:rPr>
                <w:i/>
                <w:iCs/>
                <w:noProof/>
              </w:rPr>
              <w:t>Ann. Emerg. Med.</w:t>
            </w:r>
            <w:r>
              <w:rPr>
                <w:noProof/>
              </w:rPr>
              <w:t xml:space="preserve"> </w:t>
            </w:r>
            <w:r>
              <w:rPr>
                <w:b/>
                <w:bCs/>
                <w:noProof/>
              </w:rPr>
              <w:t>60</w:t>
            </w:r>
            <w:r>
              <w:rPr>
                <w:noProof/>
              </w:rPr>
              <w:t>, 103-105.</w:t>
            </w:r>
          </w:p>
        </w:tc>
      </w:tr>
      <w:tr w:rsidR="00420938" w:rsidTr="00420938">
        <w:trPr>
          <w:tblCellSpacing w:w="15" w:type="dxa"/>
        </w:trPr>
        <w:tc>
          <w:tcPr>
            <w:tcW w:w="0" w:type="auto"/>
            <w:hideMark/>
          </w:tcPr>
          <w:p w:rsidR="00420938" w:rsidRDefault="00420938">
            <w:pPr>
              <w:pStyle w:val="Bibliography"/>
              <w:rPr>
                <w:noProof/>
              </w:rPr>
            </w:pPr>
            <w:r>
              <w:rPr>
                <w:noProof/>
              </w:rPr>
              <w:t>30.</w:t>
            </w:r>
          </w:p>
        </w:tc>
        <w:tc>
          <w:tcPr>
            <w:tcW w:w="0" w:type="auto"/>
            <w:hideMark/>
          </w:tcPr>
          <w:p w:rsidR="00420938" w:rsidRDefault="00420938">
            <w:pPr>
              <w:pStyle w:val="Bibliography"/>
              <w:rPr>
                <w:noProof/>
              </w:rPr>
            </w:pPr>
            <w:r>
              <w:rPr>
                <w:noProof/>
              </w:rPr>
              <w:t xml:space="preserve">Young, A. C., Schwarz, E. S., Velez, L. I. (2012) Two cases of disseminated intravascular coagulation due to "bath salts" resulting in fatalities, with laboratory confirmation. </w:t>
            </w:r>
            <w:r>
              <w:rPr>
                <w:i/>
                <w:iCs/>
                <w:noProof/>
              </w:rPr>
              <w:t>Amer. J. Emerg. Med.</w:t>
            </w:r>
            <w:r>
              <w:rPr>
                <w:noProof/>
              </w:rPr>
              <w:t xml:space="preserve"> </w:t>
            </w:r>
            <w:r>
              <w:rPr>
                <w:b/>
                <w:bCs/>
                <w:noProof/>
              </w:rPr>
              <w:t>31</w:t>
            </w:r>
            <w:r>
              <w:rPr>
                <w:noProof/>
              </w:rPr>
              <w:t>, 445.e3-445.e5.</w:t>
            </w:r>
          </w:p>
        </w:tc>
      </w:tr>
      <w:tr w:rsidR="00420938" w:rsidTr="00420938">
        <w:trPr>
          <w:tblCellSpacing w:w="15" w:type="dxa"/>
        </w:trPr>
        <w:tc>
          <w:tcPr>
            <w:tcW w:w="0" w:type="auto"/>
            <w:hideMark/>
          </w:tcPr>
          <w:p w:rsidR="00420938" w:rsidRDefault="00420938">
            <w:pPr>
              <w:pStyle w:val="Bibliography"/>
              <w:rPr>
                <w:noProof/>
              </w:rPr>
            </w:pPr>
            <w:r>
              <w:rPr>
                <w:noProof/>
              </w:rPr>
              <w:t>31.</w:t>
            </w:r>
          </w:p>
        </w:tc>
        <w:tc>
          <w:tcPr>
            <w:tcW w:w="0" w:type="auto"/>
            <w:hideMark/>
          </w:tcPr>
          <w:p w:rsidR="00420938" w:rsidRDefault="00420938">
            <w:pPr>
              <w:pStyle w:val="Bibliography"/>
              <w:rPr>
                <w:noProof/>
              </w:rPr>
            </w:pPr>
            <w:r>
              <w:rPr>
                <w:noProof/>
              </w:rPr>
              <w:t xml:space="preserve">Pearson, J. M., Hargraves, T. L., Hair, L. S., Massucci, C. J., Frazee, C. C., Garg, U., Pietak, B. R. (2012) Three fatal intoxications due to methylone. </w:t>
            </w:r>
            <w:r>
              <w:rPr>
                <w:i/>
                <w:iCs/>
                <w:noProof/>
              </w:rPr>
              <w:t>J. Anal. Toxicol.</w:t>
            </w:r>
            <w:r>
              <w:rPr>
                <w:noProof/>
              </w:rPr>
              <w:t xml:space="preserve"> </w:t>
            </w:r>
            <w:r>
              <w:rPr>
                <w:b/>
                <w:bCs/>
                <w:noProof/>
              </w:rPr>
              <w:t>36</w:t>
            </w:r>
            <w:r>
              <w:rPr>
                <w:noProof/>
              </w:rPr>
              <w:t>, 444-451.</w:t>
            </w:r>
          </w:p>
        </w:tc>
      </w:tr>
      <w:tr w:rsidR="00420938" w:rsidTr="00420938">
        <w:trPr>
          <w:tblCellSpacing w:w="15" w:type="dxa"/>
        </w:trPr>
        <w:tc>
          <w:tcPr>
            <w:tcW w:w="0" w:type="auto"/>
            <w:hideMark/>
          </w:tcPr>
          <w:p w:rsidR="00420938" w:rsidRDefault="00420938">
            <w:pPr>
              <w:pStyle w:val="Bibliography"/>
              <w:rPr>
                <w:noProof/>
              </w:rPr>
            </w:pPr>
            <w:r>
              <w:rPr>
                <w:noProof/>
              </w:rPr>
              <w:t>32.</w:t>
            </w:r>
          </w:p>
        </w:tc>
        <w:tc>
          <w:tcPr>
            <w:tcW w:w="0" w:type="auto"/>
            <w:hideMark/>
          </w:tcPr>
          <w:p w:rsidR="00420938" w:rsidRDefault="00420938">
            <w:pPr>
              <w:pStyle w:val="Bibliography"/>
              <w:rPr>
                <w:noProof/>
              </w:rPr>
            </w:pPr>
            <w:r>
              <w:rPr>
                <w:noProof/>
              </w:rPr>
              <w:t xml:space="preserve">van Vrancken, M. J., Benavides, R., Wians, F. H. (2013) Identification of designer drug 2C-E in urine following a drug overdose. </w:t>
            </w:r>
            <w:r>
              <w:rPr>
                <w:i/>
                <w:iCs/>
                <w:noProof/>
              </w:rPr>
              <w:t>Proc. (Bayl. Univ. Med. Cent.)</w:t>
            </w:r>
            <w:r>
              <w:rPr>
                <w:noProof/>
              </w:rPr>
              <w:t xml:space="preserve"> </w:t>
            </w:r>
            <w:r>
              <w:rPr>
                <w:b/>
                <w:bCs/>
                <w:noProof/>
              </w:rPr>
              <w:t>26</w:t>
            </w:r>
            <w:r>
              <w:rPr>
                <w:noProof/>
              </w:rPr>
              <w:t>, 58-61.</w:t>
            </w:r>
          </w:p>
        </w:tc>
      </w:tr>
      <w:tr w:rsidR="00420938" w:rsidTr="00420938">
        <w:trPr>
          <w:tblCellSpacing w:w="15" w:type="dxa"/>
        </w:trPr>
        <w:tc>
          <w:tcPr>
            <w:tcW w:w="0" w:type="auto"/>
            <w:hideMark/>
          </w:tcPr>
          <w:p w:rsidR="00420938" w:rsidRDefault="00420938">
            <w:pPr>
              <w:pStyle w:val="Bibliography"/>
              <w:rPr>
                <w:noProof/>
              </w:rPr>
            </w:pPr>
            <w:r>
              <w:rPr>
                <w:noProof/>
              </w:rPr>
              <w:t>33.</w:t>
            </w:r>
          </w:p>
        </w:tc>
        <w:tc>
          <w:tcPr>
            <w:tcW w:w="0" w:type="auto"/>
            <w:hideMark/>
          </w:tcPr>
          <w:p w:rsidR="00420938" w:rsidRDefault="00420938">
            <w:pPr>
              <w:pStyle w:val="Bibliography"/>
              <w:rPr>
                <w:noProof/>
              </w:rPr>
            </w:pPr>
            <w:r>
              <w:rPr>
                <w:noProof/>
              </w:rPr>
              <w:t xml:space="preserve">Peters, F. T., Maurer, H. H., Musshoff, F. (2011) Forensic Toxicology. </w:t>
            </w:r>
            <w:r>
              <w:rPr>
                <w:i/>
                <w:iCs/>
                <w:noProof/>
              </w:rPr>
              <w:t>Anal. Bioanal. Chem.</w:t>
            </w:r>
            <w:r>
              <w:rPr>
                <w:noProof/>
              </w:rPr>
              <w:t xml:space="preserve"> </w:t>
            </w:r>
            <w:r>
              <w:rPr>
                <w:b/>
                <w:bCs/>
                <w:noProof/>
              </w:rPr>
              <w:t>400</w:t>
            </w:r>
            <w:r>
              <w:rPr>
                <w:noProof/>
              </w:rPr>
              <w:t>, 7-8.</w:t>
            </w:r>
          </w:p>
        </w:tc>
      </w:tr>
      <w:tr w:rsidR="00420938" w:rsidTr="00420938">
        <w:trPr>
          <w:tblCellSpacing w:w="15" w:type="dxa"/>
        </w:trPr>
        <w:tc>
          <w:tcPr>
            <w:tcW w:w="0" w:type="auto"/>
            <w:hideMark/>
          </w:tcPr>
          <w:p w:rsidR="00420938" w:rsidRDefault="00420938">
            <w:pPr>
              <w:pStyle w:val="Bibliography"/>
              <w:rPr>
                <w:noProof/>
              </w:rPr>
            </w:pPr>
            <w:r>
              <w:rPr>
                <w:noProof/>
              </w:rPr>
              <w:t>34.</w:t>
            </w:r>
          </w:p>
        </w:tc>
        <w:tc>
          <w:tcPr>
            <w:tcW w:w="0" w:type="auto"/>
            <w:hideMark/>
          </w:tcPr>
          <w:p w:rsidR="00420938" w:rsidRDefault="00420938">
            <w:pPr>
              <w:pStyle w:val="Bibliography"/>
              <w:rPr>
                <w:noProof/>
              </w:rPr>
            </w:pPr>
            <w:r>
              <w:rPr>
                <w:noProof/>
              </w:rPr>
              <w:t xml:space="preserve">Rust, K. Y., Baumgartner, M. R., Dally, A. M., Kraemer, T. (2012) Prevalence of new psychoactive substances: A retrospective study in hair. </w:t>
            </w:r>
            <w:r>
              <w:rPr>
                <w:i/>
                <w:iCs/>
                <w:noProof/>
              </w:rPr>
              <w:t>Drug Test. Analysis</w:t>
            </w:r>
            <w:r>
              <w:rPr>
                <w:noProof/>
              </w:rPr>
              <w:t xml:space="preserve"> </w:t>
            </w:r>
            <w:r>
              <w:rPr>
                <w:b/>
                <w:bCs/>
                <w:noProof/>
              </w:rPr>
              <w:t>4</w:t>
            </w:r>
            <w:r>
              <w:rPr>
                <w:noProof/>
              </w:rPr>
              <w:t>.</w:t>
            </w:r>
          </w:p>
        </w:tc>
      </w:tr>
      <w:tr w:rsidR="00420938" w:rsidTr="00420938">
        <w:trPr>
          <w:tblCellSpacing w:w="15" w:type="dxa"/>
        </w:trPr>
        <w:tc>
          <w:tcPr>
            <w:tcW w:w="0" w:type="auto"/>
            <w:hideMark/>
          </w:tcPr>
          <w:p w:rsidR="00420938" w:rsidRDefault="00420938">
            <w:pPr>
              <w:pStyle w:val="Bibliography"/>
              <w:rPr>
                <w:noProof/>
              </w:rPr>
            </w:pPr>
            <w:r>
              <w:rPr>
                <w:noProof/>
              </w:rPr>
              <w:t>35.</w:t>
            </w:r>
          </w:p>
        </w:tc>
        <w:tc>
          <w:tcPr>
            <w:tcW w:w="0" w:type="auto"/>
            <w:hideMark/>
          </w:tcPr>
          <w:p w:rsidR="00420938" w:rsidRDefault="00420938">
            <w:pPr>
              <w:pStyle w:val="Bibliography"/>
              <w:rPr>
                <w:noProof/>
              </w:rPr>
            </w:pPr>
            <w:r>
              <w:rPr>
                <w:noProof/>
              </w:rPr>
              <w:t xml:space="preserve">Martin, M., Muller, J. F., Turner, K., Duez, M., Cirimele, V. (2012) Evidence of mephedrone chronic abuse through hair analysis using GC/MS. </w:t>
            </w:r>
            <w:r>
              <w:rPr>
                <w:i/>
                <w:iCs/>
                <w:noProof/>
              </w:rPr>
              <w:t>Forensic Sci. Int.</w:t>
            </w:r>
            <w:r>
              <w:rPr>
                <w:noProof/>
              </w:rPr>
              <w:t xml:space="preserve"> </w:t>
            </w:r>
            <w:r>
              <w:rPr>
                <w:b/>
                <w:bCs/>
                <w:noProof/>
              </w:rPr>
              <w:t>218</w:t>
            </w:r>
            <w:r>
              <w:rPr>
                <w:noProof/>
              </w:rPr>
              <w:t>, 44-48.</w:t>
            </w:r>
          </w:p>
        </w:tc>
      </w:tr>
      <w:tr w:rsidR="00420938" w:rsidTr="00420938">
        <w:trPr>
          <w:tblCellSpacing w:w="15" w:type="dxa"/>
        </w:trPr>
        <w:tc>
          <w:tcPr>
            <w:tcW w:w="0" w:type="auto"/>
            <w:hideMark/>
          </w:tcPr>
          <w:p w:rsidR="00420938" w:rsidRDefault="00420938">
            <w:pPr>
              <w:pStyle w:val="Bibliography"/>
              <w:rPr>
                <w:noProof/>
              </w:rPr>
            </w:pPr>
            <w:r>
              <w:rPr>
                <w:noProof/>
              </w:rPr>
              <w:t>36.</w:t>
            </w:r>
          </w:p>
        </w:tc>
        <w:tc>
          <w:tcPr>
            <w:tcW w:w="0" w:type="auto"/>
            <w:hideMark/>
          </w:tcPr>
          <w:p w:rsidR="00420938" w:rsidRDefault="00420938">
            <w:pPr>
              <w:pStyle w:val="Bibliography"/>
              <w:rPr>
                <w:noProof/>
              </w:rPr>
            </w:pPr>
            <w:r>
              <w:rPr>
                <w:noProof/>
              </w:rPr>
              <w:t xml:space="preserve">Shah, S. AB., Deshmukh, N. IK., Barker, J., Petroczi, A., Cross, P., Archer, R., Naughton, D. P. (2012) Quantitative analysis of mephedrone using liquid chromatography tandem mass spectrometry: Application to human hair. </w:t>
            </w:r>
            <w:r>
              <w:rPr>
                <w:i/>
                <w:iCs/>
                <w:noProof/>
              </w:rPr>
              <w:t>Analysis</w:t>
            </w:r>
            <w:r>
              <w:rPr>
                <w:noProof/>
              </w:rPr>
              <w:t xml:space="preserve"> </w:t>
            </w:r>
            <w:r>
              <w:rPr>
                <w:b/>
                <w:bCs/>
                <w:noProof/>
              </w:rPr>
              <w:t>61</w:t>
            </w:r>
            <w:r>
              <w:rPr>
                <w:noProof/>
              </w:rPr>
              <w:t>.</w:t>
            </w:r>
          </w:p>
        </w:tc>
      </w:tr>
      <w:tr w:rsidR="00420938" w:rsidTr="00420938">
        <w:trPr>
          <w:tblCellSpacing w:w="15" w:type="dxa"/>
        </w:trPr>
        <w:tc>
          <w:tcPr>
            <w:tcW w:w="0" w:type="auto"/>
            <w:hideMark/>
          </w:tcPr>
          <w:p w:rsidR="00420938" w:rsidRDefault="00420938">
            <w:pPr>
              <w:pStyle w:val="Bibliography"/>
              <w:rPr>
                <w:noProof/>
              </w:rPr>
            </w:pPr>
            <w:r>
              <w:rPr>
                <w:noProof/>
              </w:rPr>
              <w:t>37.</w:t>
            </w:r>
          </w:p>
        </w:tc>
        <w:tc>
          <w:tcPr>
            <w:tcW w:w="0" w:type="auto"/>
            <w:hideMark/>
          </w:tcPr>
          <w:p w:rsidR="00420938" w:rsidRDefault="00420938">
            <w:pPr>
              <w:pStyle w:val="Bibliography"/>
              <w:rPr>
                <w:noProof/>
              </w:rPr>
            </w:pPr>
            <w:r>
              <w:rPr>
                <w:noProof/>
              </w:rPr>
              <w:t xml:space="preserve">Strano-Rossi, S., Anzillotti, L., Castrignano, E., Romolo, F. S., Chiarotti, M. (2012) Ultra high performance liquid chromatography-electrospray ionization-tandem mass spectrometry method for direct analysis of designer drugs, "spice" and stimulants in oral fluid. </w:t>
            </w:r>
            <w:r>
              <w:rPr>
                <w:i/>
                <w:iCs/>
                <w:noProof/>
              </w:rPr>
              <w:t>J. Chromatogr. A</w:t>
            </w:r>
            <w:r>
              <w:rPr>
                <w:noProof/>
              </w:rPr>
              <w:t xml:space="preserve"> </w:t>
            </w:r>
            <w:r>
              <w:rPr>
                <w:b/>
                <w:bCs/>
                <w:noProof/>
              </w:rPr>
              <w:t>1258</w:t>
            </w:r>
            <w:r>
              <w:rPr>
                <w:noProof/>
              </w:rPr>
              <w:t>.</w:t>
            </w:r>
          </w:p>
        </w:tc>
      </w:tr>
      <w:tr w:rsidR="00420938" w:rsidTr="00420938">
        <w:trPr>
          <w:tblCellSpacing w:w="15" w:type="dxa"/>
        </w:trPr>
        <w:tc>
          <w:tcPr>
            <w:tcW w:w="0" w:type="auto"/>
            <w:hideMark/>
          </w:tcPr>
          <w:p w:rsidR="00420938" w:rsidRDefault="00420938">
            <w:pPr>
              <w:pStyle w:val="Bibliography"/>
              <w:rPr>
                <w:noProof/>
              </w:rPr>
            </w:pPr>
            <w:r>
              <w:rPr>
                <w:noProof/>
              </w:rPr>
              <w:t>38.</w:t>
            </w:r>
          </w:p>
        </w:tc>
        <w:tc>
          <w:tcPr>
            <w:tcW w:w="0" w:type="auto"/>
            <w:hideMark/>
          </w:tcPr>
          <w:p w:rsidR="00420938" w:rsidRDefault="00420938">
            <w:pPr>
              <w:pStyle w:val="Bibliography"/>
              <w:rPr>
                <w:noProof/>
              </w:rPr>
            </w:pPr>
            <w:r>
              <w:rPr>
                <w:noProof/>
              </w:rPr>
              <w:t xml:space="preserve">Moore, C., Crouch, D. (2013) Oral fluid for the detection of drugs of abuse using immunoassay and LC-MS/MS. </w:t>
            </w:r>
            <w:r>
              <w:rPr>
                <w:i/>
                <w:iCs/>
                <w:noProof/>
              </w:rPr>
              <w:t>Bioanalysis</w:t>
            </w:r>
            <w:r>
              <w:rPr>
                <w:noProof/>
              </w:rPr>
              <w:t xml:space="preserve"> </w:t>
            </w:r>
            <w:r>
              <w:rPr>
                <w:b/>
                <w:bCs/>
                <w:noProof/>
              </w:rPr>
              <w:t>5</w:t>
            </w:r>
            <w:r>
              <w:rPr>
                <w:noProof/>
              </w:rPr>
              <w:t>, 1555-1569.</w:t>
            </w:r>
          </w:p>
        </w:tc>
      </w:tr>
      <w:tr w:rsidR="00420938" w:rsidTr="00420938">
        <w:trPr>
          <w:tblCellSpacing w:w="15" w:type="dxa"/>
        </w:trPr>
        <w:tc>
          <w:tcPr>
            <w:tcW w:w="0" w:type="auto"/>
            <w:hideMark/>
          </w:tcPr>
          <w:p w:rsidR="00420938" w:rsidRDefault="00420938">
            <w:pPr>
              <w:pStyle w:val="Bibliography"/>
              <w:rPr>
                <w:noProof/>
              </w:rPr>
            </w:pPr>
            <w:r>
              <w:rPr>
                <w:noProof/>
              </w:rPr>
              <w:t>39.</w:t>
            </w:r>
          </w:p>
        </w:tc>
        <w:tc>
          <w:tcPr>
            <w:tcW w:w="0" w:type="auto"/>
            <w:hideMark/>
          </w:tcPr>
          <w:p w:rsidR="00420938" w:rsidRDefault="00420938">
            <w:pPr>
              <w:pStyle w:val="Bibliography"/>
              <w:rPr>
                <w:noProof/>
              </w:rPr>
            </w:pPr>
            <w:r>
              <w:rPr>
                <w:noProof/>
              </w:rPr>
              <w:t xml:space="preserve">Concheiro, M., de Castro, A., Quintela, O., Lopez-Rivadulla, M., Cruz, A. (2006) Determination of drugs of abuse and their metabolites in human plasma by liquid chromatography-mass spectrometry: An application to 156 road fatalities. </w:t>
            </w:r>
            <w:r>
              <w:rPr>
                <w:i/>
                <w:iCs/>
                <w:noProof/>
              </w:rPr>
              <w:t>J. Chromatrogr. B</w:t>
            </w:r>
            <w:r>
              <w:rPr>
                <w:noProof/>
              </w:rPr>
              <w:t xml:space="preserve"> </w:t>
            </w:r>
            <w:r>
              <w:rPr>
                <w:b/>
                <w:bCs/>
                <w:noProof/>
              </w:rPr>
              <w:t>832</w:t>
            </w:r>
            <w:r>
              <w:rPr>
                <w:noProof/>
              </w:rPr>
              <w:t>, 81-89.</w:t>
            </w:r>
          </w:p>
        </w:tc>
      </w:tr>
      <w:tr w:rsidR="00420938" w:rsidTr="00420938">
        <w:trPr>
          <w:tblCellSpacing w:w="15" w:type="dxa"/>
        </w:trPr>
        <w:tc>
          <w:tcPr>
            <w:tcW w:w="0" w:type="auto"/>
            <w:hideMark/>
          </w:tcPr>
          <w:p w:rsidR="00420938" w:rsidRDefault="00420938">
            <w:pPr>
              <w:pStyle w:val="Bibliography"/>
              <w:rPr>
                <w:noProof/>
              </w:rPr>
            </w:pPr>
            <w:r>
              <w:rPr>
                <w:noProof/>
              </w:rPr>
              <w:t>40.</w:t>
            </w:r>
          </w:p>
        </w:tc>
        <w:tc>
          <w:tcPr>
            <w:tcW w:w="0" w:type="auto"/>
            <w:hideMark/>
          </w:tcPr>
          <w:p w:rsidR="00420938" w:rsidRDefault="00420938">
            <w:pPr>
              <w:pStyle w:val="Bibliography"/>
              <w:rPr>
                <w:noProof/>
              </w:rPr>
            </w:pPr>
            <w:r>
              <w:rPr>
                <w:noProof/>
              </w:rPr>
              <w:t xml:space="preserve">Antia, U., Tingle, M. D., Russell, B. R. (2010) Validation of an LC-MS method for the detection and quantification of BZP and TMFPP and their hydroxylated metabolites in human plasma and its application to the pharmacokinetic study of TFMPP in humans. </w:t>
            </w:r>
            <w:r>
              <w:rPr>
                <w:i/>
                <w:iCs/>
                <w:noProof/>
              </w:rPr>
              <w:t>J. Forensic Sci.</w:t>
            </w:r>
            <w:r>
              <w:rPr>
                <w:noProof/>
              </w:rPr>
              <w:t xml:space="preserve"> </w:t>
            </w:r>
            <w:r>
              <w:rPr>
                <w:b/>
                <w:bCs/>
                <w:noProof/>
              </w:rPr>
              <w:t>55</w:t>
            </w:r>
            <w:r>
              <w:rPr>
                <w:noProof/>
              </w:rPr>
              <w:t>, 1311-1318.</w:t>
            </w:r>
          </w:p>
        </w:tc>
      </w:tr>
      <w:tr w:rsidR="00420938" w:rsidTr="00420938">
        <w:trPr>
          <w:tblCellSpacing w:w="15" w:type="dxa"/>
        </w:trPr>
        <w:tc>
          <w:tcPr>
            <w:tcW w:w="0" w:type="auto"/>
            <w:hideMark/>
          </w:tcPr>
          <w:p w:rsidR="00420938" w:rsidRDefault="00420938">
            <w:pPr>
              <w:pStyle w:val="Bibliography"/>
              <w:rPr>
                <w:noProof/>
              </w:rPr>
            </w:pPr>
            <w:r>
              <w:rPr>
                <w:noProof/>
              </w:rPr>
              <w:t>41.</w:t>
            </w:r>
          </w:p>
        </w:tc>
        <w:tc>
          <w:tcPr>
            <w:tcW w:w="0" w:type="auto"/>
            <w:hideMark/>
          </w:tcPr>
          <w:p w:rsidR="00420938" w:rsidRDefault="00420938">
            <w:pPr>
              <w:pStyle w:val="Bibliography"/>
              <w:rPr>
                <w:noProof/>
              </w:rPr>
            </w:pPr>
            <w:r>
              <w:rPr>
                <w:noProof/>
              </w:rPr>
              <w:t xml:space="preserve">Apollonio, L. G., Pianca, D. J., Whittall, I. R., maher, W. A., Kyd, J. M. (2006) A demonstration of the use of ultra-performance liquid chromatography-mass spectrometry in the determination of amphetamine-type substances and ketamine in forensic and toxicological analysis. </w:t>
            </w:r>
            <w:r>
              <w:rPr>
                <w:i/>
                <w:iCs/>
                <w:noProof/>
              </w:rPr>
              <w:t>J. Chromatogr. B</w:t>
            </w:r>
            <w:r>
              <w:rPr>
                <w:noProof/>
              </w:rPr>
              <w:t xml:space="preserve"> </w:t>
            </w:r>
            <w:r>
              <w:rPr>
                <w:b/>
                <w:bCs/>
                <w:noProof/>
              </w:rPr>
              <w:t>836</w:t>
            </w:r>
            <w:r>
              <w:rPr>
                <w:noProof/>
              </w:rPr>
              <w:t>, 111-115.</w:t>
            </w:r>
          </w:p>
        </w:tc>
      </w:tr>
      <w:tr w:rsidR="00420938" w:rsidTr="00420938">
        <w:trPr>
          <w:tblCellSpacing w:w="15" w:type="dxa"/>
        </w:trPr>
        <w:tc>
          <w:tcPr>
            <w:tcW w:w="0" w:type="auto"/>
            <w:hideMark/>
          </w:tcPr>
          <w:p w:rsidR="00420938" w:rsidRDefault="00420938">
            <w:pPr>
              <w:pStyle w:val="Bibliography"/>
              <w:rPr>
                <w:noProof/>
              </w:rPr>
            </w:pPr>
            <w:r>
              <w:rPr>
                <w:noProof/>
              </w:rPr>
              <w:t>42.</w:t>
            </w:r>
          </w:p>
        </w:tc>
        <w:tc>
          <w:tcPr>
            <w:tcW w:w="0" w:type="auto"/>
            <w:hideMark/>
          </w:tcPr>
          <w:p w:rsidR="00420938" w:rsidRDefault="00420938">
            <w:pPr>
              <w:pStyle w:val="Bibliography"/>
              <w:rPr>
                <w:noProof/>
              </w:rPr>
            </w:pPr>
            <w:r>
              <w:rPr>
                <w:noProof/>
              </w:rPr>
              <w:t xml:space="preserve">Maurer, H. H. (2009) Mass spectrometric approaches in impaired driving toxicology. </w:t>
            </w:r>
            <w:r>
              <w:rPr>
                <w:i/>
                <w:iCs/>
                <w:noProof/>
              </w:rPr>
              <w:t>Anal. Bioanal. Chem.</w:t>
            </w:r>
            <w:r>
              <w:rPr>
                <w:noProof/>
              </w:rPr>
              <w:t xml:space="preserve"> </w:t>
            </w:r>
            <w:r>
              <w:rPr>
                <w:b/>
                <w:bCs/>
                <w:noProof/>
              </w:rPr>
              <w:t>393</w:t>
            </w:r>
            <w:r>
              <w:rPr>
                <w:noProof/>
              </w:rPr>
              <w:t>, 97-107.</w:t>
            </w:r>
          </w:p>
        </w:tc>
      </w:tr>
      <w:tr w:rsidR="00420938" w:rsidTr="00420938">
        <w:trPr>
          <w:tblCellSpacing w:w="15" w:type="dxa"/>
        </w:trPr>
        <w:tc>
          <w:tcPr>
            <w:tcW w:w="0" w:type="auto"/>
            <w:hideMark/>
          </w:tcPr>
          <w:p w:rsidR="00420938" w:rsidRDefault="00420938">
            <w:pPr>
              <w:pStyle w:val="Bibliography"/>
              <w:rPr>
                <w:noProof/>
              </w:rPr>
            </w:pPr>
            <w:r>
              <w:rPr>
                <w:noProof/>
              </w:rPr>
              <w:t>43.</w:t>
            </w:r>
          </w:p>
        </w:tc>
        <w:tc>
          <w:tcPr>
            <w:tcW w:w="0" w:type="auto"/>
            <w:hideMark/>
          </w:tcPr>
          <w:p w:rsidR="00420938" w:rsidRDefault="00420938">
            <w:pPr>
              <w:pStyle w:val="Bibliography"/>
              <w:rPr>
                <w:noProof/>
              </w:rPr>
            </w:pPr>
            <w:r>
              <w:rPr>
                <w:noProof/>
              </w:rPr>
              <w:t xml:space="preserve">Bucelli, F., Fratini, A., Bavazzano, P., Comodo, N. (2009) Quantification of drugs of abuse and some stimulants in hair samples by liquid chromatography-electrospray ionization ion trap mass spectrometry. </w:t>
            </w:r>
            <w:r>
              <w:rPr>
                <w:i/>
                <w:iCs/>
                <w:noProof/>
              </w:rPr>
              <w:t>J. Chromatogr. B</w:t>
            </w:r>
            <w:r>
              <w:rPr>
                <w:noProof/>
              </w:rPr>
              <w:t xml:space="preserve"> </w:t>
            </w:r>
            <w:r>
              <w:rPr>
                <w:b/>
                <w:bCs/>
                <w:noProof/>
              </w:rPr>
              <w:t>877</w:t>
            </w:r>
            <w:r>
              <w:rPr>
                <w:noProof/>
              </w:rPr>
              <w:t>, 3931-3936.</w:t>
            </w:r>
          </w:p>
        </w:tc>
      </w:tr>
      <w:tr w:rsidR="00420938" w:rsidTr="00420938">
        <w:trPr>
          <w:tblCellSpacing w:w="15" w:type="dxa"/>
        </w:trPr>
        <w:tc>
          <w:tcPr>
            <w:tcW w:w="0" w:type="auto"/>
            <w:hideMark/>
          </w:tcPr>
          <w:p w:rsidR="00420938" w:rsidRDefault="00420938">
            <w:pPr>
              <w:pStyle w:val="Bibliography"/>
              <w:rPr>
                <w:noProof/>
              </w:rPr>
            </w:pPr>
            <w:r>
              <w:rPr>
                <w:noProof/>
              </w:rPr>
              <w:t>44.</w:t>
            </w:r>
          </w:p>
        </w:tc>
        <w:tc>
          <w:tcPr>
            <w:tcW w:w="0" w:type="auto"/>
            <w:hideMark/>
          </w:tcPr>
          <w:p w:rsidR="00420938" w:rsidRDefault="00420938">
            <w:pPr>
              <w:pStyle w:val="Bibliography"/>
              <w:rPr>
                <w:noProof/>
              </w:rPr>
            </w:pPr>
            <w:r>
              <w:rPr>
                <w:noProof/>
              </w:rPr>
              <w:t xml:space="preserve">Beck, O., Leine, K., Palmskog, G., Franck, J. (2010) Amphetamines detected in exhaled breath from drug addicts: A new possible method for drugs-of-abuse testing. </w:t>
            </w:r>
            <w:r>
              <w:rPr>
                <w:i/>
                <w:iCs/>
                <w:noProof/>
              </w:rPr>
              <w:t>J. Anal. Toxicol.</w:t>
            </w:r>
            <w:r>
              <w:rPr>
                <w:noProof/>
              </w:rPr>
              <w:t xml:space="preserve"> </w:t>
            </w:r>
            <w:r>
              <w:rPr>
                <w:b/>
                <w:bCs/>
                <w:noProof/>
              </w:rPr>
              <w:t>34</w:t>
            </w:r>
            <w:r>
              <w:rPr>
                <w:noProof/>
              </w:rPr>
              <w:t>, 233-237.</w:t>
            </w:r>
          </w:p>
        </w:tc>
      </w:tr>
      <w:tr w:rsidR="00420938" w:rsidTr="00420938">
        <w:trPr>
          <w:tblCellSpacing w:w="15" w:type="dxa"/>
        </w:trPr>
        <w:tc>
          <w:tcPr>
            <w:tcW w:w="0" w:type="auto"/>
            <w:hideMark/>
          </w:tcPr>
          <w:p w:rsidR="00420938" w:rsidRDefault="00420938">
            <w:pPr>
              <w:pStyle w:val="Bibliography"/>
              <w:rPr>
                <w:noProof/>
              </w:rPr>
            </w:pPr>
            <w:r>
              <w:rPr>
                <w:noProof/>
              </w:rPr>
              <w:t>45.</w:t>
            </w:r>
          </w:p>
        </w:tc>
        <w:tc>
          <w:tcPr>
            <w:tcW w:w="0" w:type="auto"/>
            <w:hideMark/>
          </w:tcPr>
          <w:p w:rsidR="00420938" w:rsidRDefault="00420938">
            <w:pPr>
              <w:pStyle w:val="Bibliography"/>
              <w:rPr>
                <w:noProof/>
              </w:rPr>
            </w:pPr>
            <w:r>
              <w:rPr>
                <w:noProof/>
              </w:rPr>
              <w:t xml:space="preserve">Fritch, D., Blum, K., Nonnemacher, S., Haggerty, B. J., Sullivan, M. P., Cone, E. J. (2009) Identification and quantitation of amphetamines, cocaine, opitates, and phencyclidine in oral fluid by liquid chromatography-tandem mass spectrometry. </w:t>
            </w:r>
            <w:r>
              <w:rPr>
                <w:i/>
                <w:iCs/>
                <w:noProof/>
              </w:rPr>
              <w:t>J. Anal. Toxicol.</w:t>
            </w:r>
            <w:r>
              <w:rPr>
                <w:noProof/>
              </w:rPr>
              <w:t xml:space="preserve"> </w:t>
            </w:r>
            <w:r>
              <w:rPr>
                <w:b/>
                <w:bCs/>
                <w:noProof/>
              </w:rPr>
              <w:t>33</w:t>
            </w:r>
            <w:r>
              <w:rPr>
                <w:noProof/>
              </w:rPr>
              <w:t>, 569-577.</w:t>
            </w:r>
          </w:p>
        </w:tc>
      </w:tr>
      <w:tr w:rsidR="00420938" w:rsidTr="00420938">
        <w:trPr>
          <w:tblCellSpacing w:w="15" w:type="dxa"/>
        </w:trPr>
        <w:tc>
          <w:tcPr>
            <w:tcW w:w="0" w:type="auto"/>
            <w:hideMark/>
          </w:tcPr>
          <w:p w:rsidR="00420938" w:rsidRDefault="00420938">
            <w:pPr>
              <w:pStyle w:val="Bibliography"/>
              <w:rPr>
                <w:noProof/>
              </w:rPr>
            </w:pPr>
            <w:r>
              <w:rPr>
                <w:noProof/>
              </w:rPr>
              <w:t>46.</w:t>
            </w:r>
          </w:p>
        </w:tc>
        <w:tc>
          <w:tcPr>
            <w:tcW w:w="0" w:type="auto"/>
            <w:hideMark/>
          </w:tcPr>
          <w:p w:rsidR="00420938" w:rsidRDefault="00420938">
            <w:pPr>
              <w:pStyle w:val="Bibliography"/>
              <w:rPr>
                <w:noProof/>
              </w:rPr>
            </w:pPr>
            <w:r>
              <w:rPr>
                <w:noProof/>
              </w:rPr>
              <w:t xml:space="preserve">Farrell, L. J., Kerrigan, S., Logan, B. K. (2007) Recommendations for toxicological investigation of drug impaired driving. </w:t>
            </w:r>
            <w:r>
              <w:rPr>
                <w:i/>
                <w:iCs/>
                <w:noProof/>
              </w:rPr>
              <w:t>J. Forensic Sci.</w:t>
            </w:r>
            <w:r>
              <w:rPr>
                <w:noProof/>
              </w:rPr>
              <w:t xml:space="preserve"> </w:t>
            </w:r>
            <w:r>
              <w:rPr>
                <w:b/>
                <w:bCs/>
                <w:noProof/>
              </w:rPr>
              <w:t>52</w:t>
            </w:r>
            <w:r>
              <w:rPr>
                <w:noProof/>
              </w:rPr>
              <w:t>, 1214-1218.</w:t>
            </w:r>
          </w:p>
        </w:tc>
      </w:tr>
      <w:tr w:rsidR="00420938" w:rsidTr="00420938">
        <w:trPr>
          <w:tblCellSpacing w:w="15" w:type="dxa"/>
        </w:trPr>
        <w:tc>
          <w:tcPr>
            <w:tcW w:w="0" w:type="auto"/>
            <w:hideMark/>
          </w:tcPr>
          <w:p w:rsidR="00420938" w:rsidRDefault="00420938">
            <w:pPr>
              <w:pStyle w:val="Bibliography"/>
              <w:rPr>
                <w:noProof/>
              </w:rPr>
            </w:pPr>
            <w:r>
              <w:rPr>
                <w:noProof/>
              </w:rPr>
              <w:t>47.</w:t>
            </w:r>
          </w:p>
        </w:tc>
        <w:tc>
          <w:tcPr>
            <w:tcW w:w="0" w:type="auto"/>
            <w:hideMark/>
          </w:tcPr>
          <w:p w:rsidR="00420938" w:rsidRDefault="00420938">
            <w:pPr>
              <w:pStyle w:val="Bibliography"/>
              <w:rPr>
                <w:noProof/>
              </w:rPr>
            </w:pPr>
            <w:r>
              <w:rPr>
                <w:noProof/>
              </w:rPr>
              <w:t xml:space="preserve">Nakashima, K. (2005) High-performance liquid chromatographic analysis of drugs of abuse in biologic samples. </w:t>
            </w:r>
            <w:r>
              <w:rPr>
                <w:i/>
                <w:iCs/>
                <w:noProof/>
              </w:rPr>
              <w:t>J. Health Sci.</w:t>
            </w:r>
            <w:r>
              <w:rPr>
                <w:noProof/>
              </w:rPr>
              <w:t xml:space="preserve"> </w:t>
            </w:r>
            <w:r>
              <w:rPr>
                <w:b/>
                <w:bCs/>
                <w:noProof/>
              </w:rPr>
              <w:t>51</w:t>
            </w:r>
            <w:r>
              <w:rPr>
                <w:noProof/>
              </w:rPr>
              <w:t>, 272-277.</w:t>
            </w:r>
          </w:p>
        </w:tc>
      </w:tr>
      <w:tr w:rsidR="00420938" w:rsidTr="00420938">
        <w:trPr>
          <w:tblCellSpacing w:w="15" w:type="dxa"/>
        </w:trPr>
        <w:tc>
          <w:tcPr>
            <w:tcW w:w="0" w:type="auto"/>
            <w:hideMark/>
          </w:tcPr>
          <w:p w:rsidR="00420938" w:rsidRDefault="00420938">
            <w:pPr>
              <w:pStyle w:val="Bibliography"/>
              <w:rPr>
                <w:noProof/>
              </w:rPr>
            </w:pPr>
            <w:r>
              <w:rPr>
                <w:noProof/>
              </w:rPr>
              <w:t>48.</w:t>
            </w:r>
          </w:p>
        </w:tc>
        <w:tc>
          <w:tcPr>
            <w:tcW w:w="0" w:type="auto"/>
            <w:hideMark/>
          </w:tcPr>
          <w:p w:rsidR="00420938" w:rsidRDefault="00420938">
            <w:pPr>
              <w:pStyle w:val="Bibliography"/>
              <w:rPr>
                <w:noProof/>
              </w:rPr>
            </w:pPr>
            <w:r>
              <w:rPr>
                <w:noProof/>
              </w:rPr>
              <w:t xml:space="preserve">Fernandez, M. DR., Wille, S. MR., Samyn, N., Wood, M., Lopez-Rivadulla, M. (2009) High-throughput analysis of amphetamines in blood and urine with online solid-phase extraction-liquid chromatography-tandem mass spectrometry. </w:t>
            </w:r>
            <w:r>
              <w:rPr>
                <w:i/>
                <w:iCs/>
                <w:noProof/>
              </w:rPr>
              <w:t>J. Anal. Toxicol.</w:t>
            </w:r>
            <w:r>
              <w:rPr>
                <w:noProof/>
              </w:rPr>
              <w:t xml:space="preserve"> </w:t>
            </w:r>
            <w:r>
              <w:rPr>
                <w:b/>
                <w:bCs/>
                <w:noProof/>
              </w:rPr>
              <w:t>33</w:t>
            </w:r>
            <w:r>
              <w:rPr>
                <w:noProof/>
              </w:rPr>
              <w:t>, 578-587.</w:t>
            </w:r>
          </w:p>
        </w:tc>
      </w:tr>
      <w:tr w:rsidR="00420938" w:rsidTr="00420938">
        <w:trPr>
          <w:tblCellSpacing w:w="15" w:type="dxa"/>
        </w:trPr>
        <w:tc>
          <w:tcPr>
            <w:tcW w:w="0" w:type="auto"/>
            <w:hideMark/>
          </w:tcPr>
          <w:p w:rsidR="00420938" w:rsidRDefault="00420938">
            <w:pPr>
              <w:pStyle w:val="Bibliography"/>
              <w:rPr>
                <w:noProof/>
              </w:rPr>
            </w:pPr>
            <w:r>
              <w:rPr>
                <w:noProof/>
              </w:rPr>
              <w:t>49.</w:t>
            </w:r>
          </w:p>
        </w:tc>
        <w:tc>
          <w:tcPr>
            <w:tcW w:w="0" w:type="auto"/>
            <w:hideMark/>
          </w:tcPr>
          <w:p w:rsidR="00420938" w:rsidRDefault="00420938">
            <w:pPr>
              <w:pStyle w:val="Bibliography"/>
              <w:rPr>
                <w:noProof/>
              </w:rPr>
            </w:pPr>
            <w:r>
              <w:rPr>
                <w:noProof/>
              </w:rPr>
              <w:t xml:space="preserve">Peters, F. T., Drvarov, O., Lottner, S., Spellmeier, A., Rieger, K., Haefeli, W. E., Maurer, H. H. (2009) A systematic comparison of four different workup procedures for systematic toxicological analysis of urine samples using gas chromatography-mass spectrometry. </w:t>
            </w:r>
            <w:r>
              <w:rPr>
                <w:i/>
                <w:iCs/>
                <w:noProof/>
              </w:rPr>
              <w:t>Anal. Bional. Chem.</w:t>
            </w:r>
            <w:r>
              <w:rPr>
                <w:noProof/>
              </w:rPr>
              <w:t xml:space="preserve"> </w:t>
            </w:r>
            <w:r>
              <w:rPr>
                <w:b/>
                <w:bCs/>
                <w:noProof/>
              </w:rPr>
              <w:t>393</w:t>
            </w:r>
            <w:r>
              <w:rPr>
                <w:noProof/>
              </w:rPr>
              <w:t>, 735-745.</w:t>
            </w:r>
          </w:p>
        </w:tc>
      </w:tr>
      <w:tr w:rsidR="00420938" w:rsidTr="00420938">
        <w:trPr>
          <w:tblCellSpacing w:w="15" w:type="dxa"/>
        </w:trPr>
        <w:tc>
          <w:tcPr>
            <w:tcW w:w="0" w:type="auto"/>
            <w:hideMark/>
          </w:tcPr>
          <w:p w:rsidR="00420938" w:rsidRDefault="00420938">
            <w:pPr>
              <w:pStyle w:val="Bibliography"/>
              <w:rPr>
                <w:noProof/>
              </w:rPr>
            </w:pPr>
            <w:r>
              <w:rPr>
                <w:noProof/>
              </w:rPr>
              <w:t>50.</w:t>
            </w:r>
          </w:p>
        </w:tc>
        <w:tc>
          <w:tcPr>
            <w:tcW w:w="0" w:type="auto"/>
            <w:hideMark/>
          </w:tcPr>
          <w:p w:rsidR="00420938" w:rsidRDefault="00420938">
            <w:pPr>
              <w:pStyle w:val="Bibliography"/>
              <w:rPr>
                <w:noProof/>
              </w:rPr>
            </w:pPr>
            <w:r>
              <w:rPr>
                <w:noProof/>
              </w:rPr>
              <w:t xml:space="preserve">Chiuminatto, U., Gosetti, F., Dossetto, P., Mazzucco, E., Zampieri, D., Robotti, E., Gennaro, M. C., Marengo, E. (2010) Automated online solid phase extraction ultra high performance liquid chromatography method coupled with tandem mass spectrometry for determination of forty-two therapeutic drugs and drugs of abuse in human urine. </w:t>
            </w:r>
            <w:r>
              <w:rPr>
                <w:i/>
                <w:iCs/>
                <w:noProof/>
              </w:rPr>
              <w:t>Anal. Chem.</w:t>
            </w:r>
            <w:r>
              <w:rPr>
                <w:noProof/>
              </w:rPr>
              <w:t xml:space="preserve"> </w:t>
            </w:r>
            <w:r>
              <w:rPr>
                <w:b/>
                <w:bCs/>
                <w:noProof/>
              </w:rPr>
              <w:t>82</w:t>
            </w:r>
            <w:r>
              <w:rPr>
                <w:noProof/>
              </w:rPr>
              <w:t>, 5636-5645.</w:t>
            </w:r>
          </w:p>
        </w:tc>
      </w:tr>
      <w:tr w:rsidR="00420938" w:rsidTr="00420938">
        <w:trPr>
          <w:tblCellSpacing w:w="15" w:type="dxa"/>
        </w:trPr>
        <w:tc>
          <w:tcPr>
            <w:tcW w:w="0" w:type="auto"/>
            <w:hideMark/>
          </w:tcPr>
          <w:p w:rsidR="00420938" w:rsidRDefault="00420938">
            <w:pPr>
              <w:pStyle w:val="Bibliography"/>
              <w:rPr>
                <w:noProof/>
              </w:rPr>
            </w:pPr>
            <w:r>
              <w:rPr>
                <w:noProof/>
              </w:rPr>
              <w:t>51.</w:t>
            </w:r>
          </w:p>
        </w:tc>
        <w:tc>
          <w:tcPr>
            <w:tcW w:w="0" w:type="auto"/>
            <w:hideMark/>
          </w:tcPr>
          <w:p w:rsidR="00420938" w:rsidRDefault="00420938">
            <w:pPr>
              <w:pStyle w:val="Bibliography"/>
              <w:rPr>
                <w:noProof/>
              </w:rPr>
            </w:pPr>
            <w:r>
              <w:rPr>
                <w:noProof/>
              </w:rPr>
              <w:t xml:space="preserve">Remane, D., Meyer, M. R., Peters, F. T., Wissenbach, D. K., Maurer, H. H. (2010) Fast and simple procedure for liquid-liquid extraction of 136 analytes from different drug classes for development of a liquid chromatographic-tandem mass spectrometric quantification method in human blood plasma. </w:t>
            </w:r>
            <w:r>
              <w:rPr>
                <w:i/>
                <w:iCs/>
                <w:noProof/>
              </w:rPr>
              <w:t>Anal. Bioanal. Chem.</w:t>
            </w:r>
            <w:r>
              <w:rPr>
                <w:noProof/>
              </w:rPr>
              <w:t xml:space="preserve"> </w:t>
            </w:r>
            <w:r>
              <w:rPr>
                <w:b/>
                <w:bCs/>
                <w:noProof/>
              </w:rPr>
              <w:t>397</w:t>
            </w:r>
            <w:r>
              <w:rPr>
                <w:noProof/>
              </w:rPr>
              <w:t>, 2303-2314.</w:t>
            </w:r>
          </w:p>
          <w:p w:rsidR="007F5CA3" w:rsidRDefault="007F5CA3" w:rsidP="007F5CA3"/>
          <w:p w:rsidR="007F5CA3" w:rsidRPr="007F5CA3" w:rsidRDefault="007F5CA3" w:rsidP="007F5CA3"/>
        </w:tc>
      </w:tr>
      <w:tr w:rsidR="00420938" w:rsidTr="00420938">
        <w:trPr>
          <w:tblCellSpacing w:w="15" w:type="dxa"/>
        </w:trPr>
        <w:tc>
          <w:tcPr>
            <w:tcW w:w="0" w:type="auto"/>
            <w:hideMark/>
          </w:tcPr>
          <w:p w:rsidR="00420938" w:rsidRDefault="00420938">
            <w:pPr>
              <w:pStyle w:val="Bibliography"/>
              <w:rPr>
                <w:noProof/>
              </w:rPr>
            </w:pPr>
            <w:r>
              <w:rPr>
                <w:noProof/>
              </w:rPr>
              <w:t>52.</w:t>
            </w:r>
          </w:p>
        </w:tc>
        <w:tc>
          <w:tcPr>
            <w:tcW w:w="0" w:type="auto"/>
            <w:hideMark/>
          </w:tcPr>
          <w:p w:rsidR="00420938" w:rsidRDefault="00420938">
            <w:pPr>
              <w:pStyle w:val="Bibliography"/>
              <w:rPr>
                <w:noProof/>
              </w:rPr>
            </w:pPr>
            <w:r>
              <w:rPr>
                <w:noProof/>
              </w:rPr>
              <w:t xml:space="preserve">Bijlsma, L., Sancho, J. V., Pitarch, E., Ibanez, M., Hernandez, F. (2009) Simultaneous ultra-high-pressure liquid chromatography-tandem mass spectrometry determination of amphetamine and amphetamine-like stimulants, cocaine and its metabolites, and a cannabis metabolite in surface water and urban wastewater. </w:t>
            </w:r>
            <w:r>
              <w:rPr>
                <w:i/>
                <w:iCs/>
                <w:noProof/>
              </w:rPr>
              <w:t>J. Chromatogr. A</w:t>
            </w:r>
            <w:r>
              <w:rPr>
                <w:noProof/>
              </w:rPr>
              <w:t xml:space="preserve"> </w:t>
            </w:r>
            <w:r>
              <w:rPr>
                <w:b/>
                <w:bCs/>
                <w:noProof/>
              </w:rPr>
              <w:t>1216</w:t>
            </w:r>
            <w:r>
              <w:rPr>
                <w:noProof/>
              </w:rPr>
              <w:t>, 3078-3089.</w:t>
            </w:r>
          </w:p>
        </w:tc>
      </w:tr>
      <w:tr w:rsidR="00420938" w:rsidTr="00420938">
        <w:trPr>
          <w:tblCellSpacing w:w="15" w:type="dxa"/>
        </w:trPr>
        <w:tc>
          <w:tcPr>
            <w:tcW w:w="0" w:type="auto"/>
            <w:hideMark/>
          </w:tcPr>
          <w:p w:rsidR="00420938" w:rsidRDefault="00420938">
            <w:pPr>
              <w:pStyle w:val="Bibliography"/>
              <w:rPr>
                <w:noProof/>
              </w:rPr>
            </w:pPr>
            <w:r>
              <w:rPr>
                <w:noProof/>
              </w:rPr>
              <w:t>53.</w:t>
            </w:r>
          </w:p>
        </w:tc>
        <w:tc>
          <w:tcPr>
            <w:tcW w:w="0" w:type="auto"/>
            <w:hideMark/>
          </w:tcPr>
          <w:p w:rsidR="00420938" w:rsidRDefault="00420938">
            <w:pPr>
              <w:pStyle w:val="Bibliography"/>
              <w:rPr>
                <w:noProof/>
              </w:rPr>
            </w:pPr>
            <w:r>
              <w:rPr>
                <w:noProof/>
              </w:rPr>
              <w:t xml:space="preserve">Wohlfarth, A., Weinman, W., Dresen, S. (2010) LC-MS/MS screening method for designer amphetamines, tryptamines, and piperazines in serum. </w:t>
            </w:r>
            <w:r>
              <w:rPr>
                <w:i/>
                <w:iCs/>
                <w:noProof/>
              </w:rPr>
              <w:t>Anal. Bioanal. Chem.</w:t>
            </w:r>
            <w:r>
              <w:rPr>
                <w:noProof/>
              </w:rPr>
              <w:t xml:space="preserve"> </w:t>
            </w:r>
            <w:r>
              <w:rPr>
                <w:b/>
                <w:bCs/>
                <w:noProof/>
              </w:rPr>
              <w:t>396</w:t>
            </w:r>
            <w:r>
              <w:rPr>
                <w:noProof/>
              </w:rPr>
              <w:t>, 2403-2414.</w:t>
            </w:r>
          </w:p>
        </w:tc>
      </w:tr>
      <w:tr w:rsidR="00420938" w:rsidTr="00420938">
        <w:trPr>
          <w:tblCellSpacing w:w="15" w:type="dxa"/>
        </w:trPr>
        <w:tc>
          <w:tcPr>
            <w:tcW w:w="0" w:type="auto"/>
            <w:hideMark/>
          </w:tcPr>
          <w:p w:rsidR="00420938" w:rsidRDefault="00420938">
            <w:pPr>
              <w:pStyle w:val="Bibliography"/>
              <w:rPr>
                <w:noProof/>
              </w:rPr>
            </w:pPr>
            <w:r>
              <w:rPr>
                <w:noProof/>
              </w:rPr>
              <w:t>54.</w:t>
            </w:r>
          </w:p>
        </w:tc>
        <w:tc>
          <w:tcPr>
            <w:tcW w:w="0" w:type="auto"/>
            <w:hideMark/>
          </w:tcPr>
          <w:p w:rsidR="00420938" w:rsidRDefault="00420938">
            <w:pPr>
              <w:pStyle w:val="Bibliography"/>
              <w:rPr>
                <w:noProof/>
              </w:rPr>
            </w:pPr>
            <w:r>
              <w:rPr>
                <w:noProof/>
              </w:rPr>
              <w:t xml:space="preserve">Jickells, S., Negrusz, A., eds. (2008) </w:t>
            </w:r>
            <w:r>
              <w:rPr>
                <w:i/>
                <w:iCs/>
                <w:noProof/>
              </w:rPr>
              <w:t>Clarke's Analytical Forensic Toxicology</w:t>
            </w:r>
            <w:r>
              <w:rPr>
                <w:noProof/>
              </w:rPr>
              <w:t>. Pharmaceutical Press.</w:t>
            </w:r>
          </w:p>
        </w:tc>
      </w:tr>
      <w:tr w:rsidR="00420938" w:rsidTr="00420938">
        <w:trPr>
          <w:tblCellSpacing w:w="15" w:type="dxa"/>
        </w:trPr>
        <w:tc>
          <w:tcPr>
            <w:tcW w:w="0" w:type="auto"/>
            <w:hideMark/>
          </w:tcPr>
          <w:p w:rsidR="00420938" w:rsidRDefault="00420938">
            <w:pPr>
              <w:pStyle w:val="Bibliography"/>
              <w:rPr>
                <w:noProof/>
              </w:rPr>
            </w:pPr>
            <w:r>
              <w:rPr>
                <w:noProof/>
              </w:rPr>
              <w:t>55.</w:t>
            </w:r>
          </w:p>
        </w:tc>
        <w:tc>
          <w:tcPr>
            <w:tcW w:w="0" w:type="auto"/>
            <w:hideMark/>
          </w:tcPr>
          <w:p w:rsidR="00420938" w:rsidRDefault="00420938">
            <w:pPr>
              <w:pStyle w:val="Bibliography"/>
              <w:rPr>
                <w:noProof/>
              </w:rPr>
            </w:pPr>
            <w:r>
              <w:rPr>
                <w:noProof/>
              </w:rPr>
              <w:t xml:space="preserve">Apollonio, L. G., Whittall, I. R., Pianca, D. J., Kyd, J. M., Maher, W. A. (2007) Matrix effect and cross-reactivity of select amphetamine-type substances, designer analogues, and putrefactive amines using the Bio-Quant Direct ELISA presumptive assays for amphetamine and methamphetamine. </w:t>
            </w:r>
            <w:r>
              <w:rPr>
                <w:i/>
                <w:iCs/>
                <w:noProof/>
              </w:rPr>
              <w:t xml:space="preserve">J. Anal. Toxicol. </w:t>
            </w:r>
            <w:r>
              <w:rPr>
                <w:b/>
                <w:bCs/>
                <w:noProof/>
              </w:rPr>
              <w:t>31</w:t>
            </w:r>
            <w:r>
              <w:rPr>
                <w:noProof/>
              </w:rPr>
              <w:t>, 208-213.</w:t>
            </w:r>
          </w:p>
        </w:tc>
      </w:tr>
      <w:tr w:rsidR="00420938" w:rsidTr="00420938">
        <w:trPr>
          <w:tblCellSpacing w:w="15" w:type="dxa"/>
        </w:trPr>
        <w:tc>
          <w:tcPr>
            <w:tcW w:w="0" w:type="auto"/>
            <w:hideMark/>
          </w:tcPr>
          <w:p w:rsidR="00420938" w:rsidRDefault="00420938">
            <w:pPr>
              <w:pStyle w:val="Bibliography"/>
              <w:rPr>
                <w:noProof/>
              </w:rPr>
            </w:pPr>
            <w:r>
              <w:rPr>
                <w:noProof/>
              </w:rPr>
              <w:t>56.</w:t>
            </w:r>
          </w:p>
        </w:tc>
        <w:tc>
          <w:tcPr>
            <w:tcW w:w="0" w:type="auto"/>
            <w:hideMark/>
          </w:tcPr>
          <w:p w:rsidR="00420938" w:rsidRDefault="00420938">
            <w:pPr>
              <w:pStyle w:val="Bibliography"/>
              <w:rPr>
                <w:noProof/>
              </w:rPr>
            </w:pPr>
            <w:r>
              <w:rPr>
                <w:noProof/>
              </w:rPr>
              <w:t xml:space="preserve">Drummer, O. H. (2007) Requirements for bioanalytical procedures in postmortem toxicology. </w:t>
            </w:r>
            <w:r>
              <w:rPr>
                <w:i/>
                <w:iCs/>
                <w:noProof/>
              </w:rPr>
              <w:t>Anal. Bioanal. Chem.</w:t>
            </w:r>
            <w:r>
              <w:rPr>
                <w:noProof/>
              </w:rPr>
              <w:t xml:space="preserve"> </w:t>
            </w:r>
            <w:r>
              <w:rPr>
                <w:b/>
                <w:bCs/>
                <w:noProof/>
              </w:rPr>
              <w:t>31</w:t>
            </w:r>
            <w:r>
              <w:rPr>
                <w:noProof/>
              </w:rPr>
              <w:t>, 208-213.</w:t>
            </w:r>
          </w:p>
        </w:tc>
      </w:tr>
      <w:tr w:rsidR="00420938" w:rsidTr="00420938">
        <w:trPr>
          <w:tblCellSpacing w:w="15" w:type="dxa"/>
        </w:trPr>
        <w:tc>
          <w:tcPr>
            <w:tcW w:w="0" w:type="auto"/>
            <w:hideMark/>
          </w:tcPr>
          <w:p w:rsidR="00420938" w:rsidRDefault="00420938">
            <w:pPr>
              <w:pStyle w:val="Bibliography"/>
              <w:rPr>
                <w:noProof/>
              </w:rPr>
            </w:pPr>
            <w:r>
              <w:rPr>
                <w:noProof/>
              </w:rPr>
              <w:t>57.</w:t>
            </w:r>
          </w:p>
        </w:tc>
        <w:tc>
          <w:tcPr>
            <w:tcW w:w="0" w:type="auto"/>
            <w:hideMark/>
          </w:tcPr>
          <w:p w:rsidR="00420938" w:rsidRDefault="00420938">
            <w:pPr>
              <w:pStyle w:val="Bibliography"/>
              <w:rPr>
                <w:noProof/>
              </w:rPr>
            </w:pPr>
            <w:r>
              <w:rPr>
                <w:noProof/>
              </w:rPr>
              <w:t xml:space="preserve">Park, M., Choi, H., Son, H., Lim, M., Chung, H. (2003) Cross-reactivity of amphetamine analogues in various immunoassays. </w:t>
            </w:r>
            <w:r>
              <w:rPr>
                <w:i/>
                <w:iCs/>
                <w:noProof/>
              </w:rPr>
              <w:t>J. Pharm. Soc. Korea</w:t>
            </w:r>
            <w:r>
              <w:rPr>
                <w:noProof/>
              </w:rPr>
              <w:t xml:space="preserve"> </w:t>
            </w:r>
            <w:r>
              <w:rPr>
                <w:b/>
                <w:bCs/>
                <w:noProof/>
              </w:rPr>
              <w:t>47</w:t>
            </w:r>
            <w:r>
              <w:rPr>
                <w:noProof/>
              </w:rPr>
              <w:t>, 266-270.</w:t>
            </w:r>
          </w:p>
        </w:tc>
      </w:tr>
      <w:tr w:rsidR="00420938" w:rsidTr="00420938">
        <w:trPr>
          <w:tblCellSpacing w:w="15" w:type="dxa"/>
        </w:trPr>
        <w:tc>
          <w:tcPr>
            <w:tcW w:w="0" w:type="auto"/>
            <w:hideMark/>
          </w:tcPr>
          <w:p w:rsidR="00420938" w:rsidRDefault="00420938">
            <w:pPr>
              <w:pStyle w:val="Bibliography"/>
              <w:rPr>
                <w:noProof/>
              </w:rPr>
            </w:pPr>
            <w:r>
              <w:rPr>
                <w:noProof/>
              </w:rPr>
              <w:t>58.</w:t>
            </w:r>
          </w:p>
        </w:tc>
        <w:tc>
          <w:tcPr>
            <w:tcW w:w="0" w:type="auto"/>
            <w:hideMark/>
          </w:tcPr>
          <w:p w:rsidR="00420938" w:rsidRDefault="00420938">
            <w:pPr>
              <w:pStyle w:val="Bibliography"/>
              <w:rPr>
                <w:noProof/>
              </w:rPr>
            </w:pPr>
            <w:r>
              <w:rPr>
                <w:noProof/>
              </w:rPr>
              <w:t xml:space="preserve">Marin, S. J., Moore, C., McMillin, G. A. (2009) Cross-reactivity of phentermine with an immunoassay designed to detect amphetamine in a meconium specimen. </w:t>
            </w:r>
            <w:r>
              <w:rPr>
                <w:i/>
                <w:iCs/>
                <w:noProof/>
              </w:rPr>
              <w:t>Clin. Chem.</w:t>
            </w:r>
            <w:r>
              <w:rPr>
                <w:noProof/>
              </w:rPr>
              <w:t xml:space="preserve"> </w:t>
            </w:r>
            <w:r>
              <w:rPr>
                <w:b/>
                <w:bCs/>
                <w:noProof/>
              </w:rPr>
              <w:t>55</w:t>
            </w:r>
            <w:r>
              <w:rPr>
                <w:noProof/>
              </w:rPr>
              <w:t>, 589-590.</w:t>
            </w:r>
          </w:p>
        </w:tc>
      </w:tr>
      <w:tr w:rsidR="00420938" w:rsidTr="00420938">
        <w:trPr>
          <w:tblCellSpacing w:w="15" w:type="dxa"/>
        </w:trPr>
        <w:tc>
          <w:tcPr>
            <w:tcW w:w="0" w:type="auto"/>
            <w:hideMark/>
          </w:tcPr>
          <w:p w:rsidR="00420938" w:rsidRDefault="00420938">
            <w:pPr>
              <w:pStyle w:val="Bibliography"/>
              <w:rPr>
                <w:noProof/>
              </w:rPr>
            </w:pPr>
            <w:r>
              <w:rPr>
                <w:noProof/>
              </w:rPr>
              <w:t>59.</w:t>
            </w:r>
          </w:p>
        </w:tc>
        <w:tc>
          <w:tcPr>
            <w:tcW w:w="0" w:type="auto"/>
            <w:hideMark/>
          </w:tcPr>
          <w:p w:rsidR="00420938" w:rsidRDefault="00420938">
            <w:pPr>
              <w:pStyle w:val="Bibliography"/>
              <w:rPr>
                <w:noProof/>
              </w:rPr>
            </w:pPr>
            <w:r>
              <w:rPr>
                <w:noProof/>
              </w:rPr>
              <w:t xml:space="preserve">Crooks, C. R., Brown, S. (2010) Roche DAT immunoassay: Sensitivity and specificity testing for amphetamines, cocaine, and opiates in oral fluid. </w:t>
            </w:r>
            <w:r>
              <w:rPr>
                <w:i/>
                <w:iCs/>
                <w:noProof/>
              </w:rPr>
              <w:t>J. Anal. Toxicol.</w:t>
            </w:r>
            <w:r>
              <w:rPr>
                <w:noProof/>
              </w:rPr>
              <w:t xml:space="preserve"> </w:t>
            </w:r>
            <w:r>
              <w:rPr>
                <w:b/>
                <w:bCs/>
                <w:noProof/>
              </w:rPr>
              <w:t>34</w:t>
            </w:r>
            <w:r>
              <w:rPr>
                <w:noProof/>
              </w:rPr>
              <w:t>, 103-109.</w:t>
            </w:r>
          </w:p>
        </w:tc>
      </w:tr>
      <w:tr w:rsidR="00420938" w:rsidTr="00420938">
        <w:trPr>
          <w:tblCellSpacing w:w="15" w:type="dxa"/>
        </w:trPr>
        <w:tc>
          <w:tcPr>
            <w:tcW w:w="0" w:type="auto"/>
            <w:hideMark/>
          </w:tcPr>
          <w:p w:rsidR="00420938" w:rsidRDefault="00420938">
            <w:pPr>
              <w:pStyle w:val="Bibliography"/>
              <w:rPr>
                <w:noProof/>
              </w:rPr>
            </w:pPr>
            <w:r>
              <w:rPr>
                <w:noProof/>
              </w:rPr>
              <w:t>60.</w:t>
            </w:r>
          </w:p>
        </w:tc>
        <w:tc>
          <w:tcPr>
            <w:tcW w:w="0" w:type="auto"/>
            <w:hideMark/>
          </w:tcPr>
          <w:p w:rsidR="00420938" w:rsidRDefault="00420938">
            <w:pPr>
              <w:pStyle w:val="Bibliography"/>
              <w:rPr>
                <w:noProof/>
              </w:rPr>
            </w:pPr>
            <w:r>
              <w:rPr>
                <w:noProof/>
              </w:rPr>
              <w:t xml:space="preserve">Christophersen, A. S. (2000) Amphetamine designer drugs - an overview and epidemiology. </w:t>
            </w:r>
            <w:r>
              <w:rPr>
                <w:i/>
                <w:iCs/>
                <w:noProof/>
              </w:rPr>
              <w:t>Toxicol. Lett.</w:t>
            </w:r>
            <w:r>
              <w:rPr>
                <w:noProof/>
              </w:rPr>
              <w:t xml:space="preserve"> </w:t>
            </w:r>
            <w:r>
              <w:rPr>
                <w:b/>
                <w:bCs/>
                <w:noProof/>
              </w:rPr>
              <w:t>112-113</w:t>
            </w:r>
            <w:r>
              <w:rPr>
                <w:noProof/>
              </w:rPr>
              <w:t>, 127-131.</w:t>
            </w:r>
          </w:p>
        </w:tc>
      </w:tr>
      <w:tr w:rsidR="00420938" w:rsidTr="00420938">
        <w:trPr>
          <w:tblCellSpacing w:w="15" w:type="dxa"/>
        </w:trPr>
        <w:tc>
          <w:tcPr>
            <w:tcW w:w="0" w:type="auto"/>
            <w:hideMark/>
          </w:tcPr>
          <w:p w:rsidR="00420938" w:rsidRDefault="00420938">
            <w:pPr>
              <w:pStyle w:val="Bibliography"/>
              <w:rPr>
                <w:noProof/>
              </w:rPr>
            </w:pPr>
            <w:r>
              <w:rPr>
                <w:noProof/>
              </w:rPr>
              <w:t>61.</w:t>
            </w:r>
          </w:p>
        </w:tc>
        <w:tc>
          <w:tcPr>
            <w:tcW w:w="0" w:type="auto"/>
            <w:hideMark/>
          </w:tcPr>
          <w:p w:rsidR="00420938" w:rsidRDefault="00420938">
            <w:pPr>
              <w:pStyle w:val="Bibliography"/>
              <w:rPr>
                <w:noProof/>
              </w:rPr>
            </w:pPr>
            <w:r>
              <w:rPr>
                <w:noProof/>
              </w:rPr>
              <w:t xml:space="preserve">Allen, K. R., Azad, R., Field, H. P., Blake, D. K. (2005) Replacement of immunoassay by LC tandem mass spectrometry for the routine measurement of drugs of abuse in oral fluid. </w:t>
            </w:r>
            <w:r>
              <w:rPr>
                <w:i/>
                <w:iCs/>
                <w:noProof/>
              </w:rPr>
              <w:t>Annals. Clin. Biochem.</w:t>
            </w:r>
            <w:r>
              <w:rPr>
                <w:noProof/>
              </w:rPr>
              <w:t xml:space="preserve"> </w:t>
            </w:r>
            <w:r>
              <w:rPr>
                <w:b/>
                <w:bCs/>
                <w:noProof/>
              </w:rPr>
              <w:t>42</w:t>
            </w:r>
            <w:r>
              <w:rPr>
                <w:noProof/>
              </w:rPr>
              <w:t>, 277-284.</w:t>
            </w:r>
          </w:p>
        </w:tc>
      </w:tr>
      <w:tr w:rsidR="00420938" w:rsidTr="00420938">
        <w:trPr>
          <w:tblCellSpacing w:w="15" w:type="dxa"/>
        </w:trPr>
        <w:tc>
          <w:tcPr>
            <w:tcW w:w="0" w:type="auto"/>
            <w:hideMark/>
          </w:tcPr>
          <w:p w:rsidR="00420938" w:rsidRDefault="00420938">
            <w:pPr>
              <w:pStyle w:val="Bibliography"/>
              <w:rPr>
                <w:noProof/>
              </w:rPr>
            </w:pPr>
            <w:r>
              <w:rPr>
                <w:noProof/>
              </w:rPr>
              <w:t>62.</w:t>
            </w:r>
          </w:p>
        </w:tc>
        <w:tc>
          <w:tcPr>
            <w:tcW w:w="0" w:type="auto"/>
            <w:hideMark/>
          </w:tcPr>
          <w:p w:rsidR="00420938" w:rsidRDefault="00420938">
            <w:pPr>
              <w:pStyle w:val="Bibliography"/>
              <w:rPr>
                <w:noProof/>
              </w:rPr>
            </w:pPr>
            <w:r>
              <w:rPr>
                <w:noProof/>
              </w:rPr>
              <w:t xml:space="preserve">Crowther, J. (2008) Enzyme linked immunosorbent assay (ELISA). In Walker, J. M., Rapley, R., eds. : </w:t>
            </w:r>
            <w:r>
              <w:rPr>
                <w:i/>
                <w:iCs/>
                <w:noProof/>
              </w:rPr>
              <w:t>Molecular Biomethods Handbook</w:t>
            </w:r>
            <w:r>
              <w:rPr>
                <w:noProof/>
              </w:rPr>
              <w:t xml:space="preserve"> 2nd edn. Humana Press, Totowa 657-682.</w:t>
            </w:r>
          </w:p>
        </w:tc>
      </w:tr>
      <w:tr w:rsidR="00420938" w:rsidTr="00420938">
        <w:trPr>
          <w:tblCellSpacing w:w="15" w:type="dxa"/>
        </w:trPr>
        <w:tc>
          <w:tcPr>
            <w:tcW w:w="0" w:type="auto"/>
            <w:hideMark/>
          </w:tcPr>
          <w:p w:rsidR="00420938" w:rsidRDefault="00420938">
            <w:pPr>
              <w:pStyle w:val="Bibliography"/>
              <w:rPr>
                <w:noProof/>
              </w:rPr>
            </w:pPr>
            <w:r>
              <w:rPr>
                <w:noProof/>
              </w:rPr>
              <w:t>63.</w:t>
            </w:r>
          </w:p>
        </w:tc>
        <w:tc>
          <w:tcPr>
            <w:tcW w:w="0" w:type="auto"/>
            <w:hideMark/>
          </w:tcPr>
          <w:p w:rsidR="00420938" w:rsidRDefault="00420938">
            <w:pPr>
              <w:pStyle w:val="Bibliography"/>
              <w:rPr>
                <w:noProof/>
              </w:rPr>
            </w:pPr>
            <w:r>
              <w:rPr>
                <w:noProof/>
              </w:rPr>
              <w:t xml:space="preserve">Nakanishi, K., Miki, A., Zaitsu, K., Kamata, H., Shima, N., Kamata, T., katagi, M., Tatsuno, M., Tsuchihashi, H., Suzuki, K. (2012) Cross-reactivities of various phenethylamine-type designer drugs to immunoassays for amphetamines, with special attention to the evaluation of the one-step urine drug test Instant-View(TM), and the Emit(R) assays for use in drug enforcement. </w:t>
            </w:r>
            <w:r>
              <w:rPr>
                <w:i/>
                <w:iCs/>
                <w:noProof/>
              </w:rPr>
              <w:t>Forensic Sci. Int.</w:t>
            </w:r>
            <w:r>
              <w:rPr>
                <w:noProof/>
              </w:rPr>
              <w:t xml:space="preserve"> </w:t>
            </w:r>
            <w:r>
              <w:rPr>
                <w:b/>
                <w:bCs/>
                <w:noProof/>
              </w:rPr>
              <w:t>217</w:t>
            </w:r>
            <w:r>
              <w:rPr>
                <w:noProof/>
              </w:rPr>
              <w:t>, 174-181.</w:t>
            </w:r>
          </w:p>
        </w:tc>
      </w:tr>
      <w:tr w:rsidR="00420938" w:rsidTr="00420938">
        <w:trPr>
          <w:tblCellSpacing w:w="15" w:type="dxa"/>
        </w:trPr>
        <w:tc>
          <w:tcPr>
            <w:tcW w:w="0" w:type="auto"/>
            <w:hideMark/>
          </w:tcPr>
          <w:p w:rsidR="00420938" w:rsidRDefault="00420938">
            <w:pPr>
              <w:pStyle w:val="Bibliography"/>
              <w:rPr>
                <w:noProof/>
              </w:rPr>
            </w:pPr>
            <w:r>
              <w:rPr>
                <w:noProof/>
              </w:rPr>
              <w:t>64.</w:t>
            </w:r>
          </w:p>
        </w:tc>
        <w:tc>
          <w:tcPr>
            <w:tcW w:w="0" w:type="auto"/>
            <w:hideMark/>
          </w:tcPr>
          <w:p w:rsidR="00420938" w:rsidRDefault="00420938">
            <w:pPr>
              <w:pStyle w:val="Bibliography"/>
              <w:rPr>
                <w:noProof/>
              </w:rPr>
            </w:pPr>
            <w:r>
              <w:rPr>
                <w:noProof/>
              </w:rPr>
              <w:t xml:space="preserve">Ullman, E. F. (2005) Homogeneous Immunoassays. In Wild, D., ed. : </w:t>
            </w:r>
            <w:r>
              <w:rPr>
                <w:i/>
                <w:iCs/>
                <w:noProof/>
              </w:rPr>
              <w:t>The Immunoassay Handbook</w:t>
            </w:r>
            <w:r>
              <w:rPr>
                <w:noProof/>
              </w:rPr>
              <w:t>. Elsevier Ltd., San Diego 212-232.</w:t>
            </w:r>
          </w:p>
        </w:tc>
      </w:tr>
      <w:tr w:rsidR="00420938" w:rsidTr="00420938">
        <w:trPr>
          <w:tblCellSpacing w:w="15" w:type="dxa"/>
        </w:trPr>
        <w:tc>
          <w:tcPr>
            <w:tcW w:w="0" w:type="auto"/>
            <w:hideMark/>
          </w:tcPr>
          <w:p w:rsidR="00420938" w:rsidRDefault="00420938">
            <w:pPr>
              <w:pStyle w:val="Bibliography"/>
              <w:rPr>
                <w:noProof/>
              </w:rPr>
            </w:pPr>
            <w:r>
              <w:rPr>
                <w:noProof/>
              </w:rPr>
              <w:t>65.</w:t>
            </w:r>
          </w:p>
        </w:tc>
        <w:tc>
          <w:tcPr>
            <w:tcW w:w="0" w:type="auto"/>
            <w:hideMark/>
          </w:tcPr>
          <w:p w:rsidR="00420938" w:rsidRDefault="00420938">
            <w:pPr>
              <w:pStyle w:val="Bibliography"/>
              <w:rPr>
                <w:noProof/>
              </w:rPr>
            </w:pPr>
            <w:r>
              <w:rPr>
                <w:noProof/>
              </w:rPr>
              <w:t xml:space="preserve">Koivunen, M. E., Krogsrud, R. L. (2006) Principles of immunochemical techniques used in clinical laboratories. </w:t>
            </w:r>
            <w:r>
              <w:rPr>
                <w:i/>
                <w:iCs/>
                <w:noProof/>
              </w:rPr>
              <w:t>Lab. Med.</w:t>
            </w:r>
            <w:r>
              <w:rPr>
                <w:noProof/>
              </w:rPr>
              <w:t xml:space="preserve"> </w:t>
            </w:r>
            <w:r>
              <w:rPr>
                <w:b/>
                <w:bCs/>
                <w:noProof/>
              </w:rPr>
              <w:t>37</w:t>
            </w:r>
            <w:r>
              <w:rPr>
                <w:noProof/>
              </w:rPr>
              <w:t>, 490-497.</w:t>
            </w:r>
          </w:p>
        </w:tc>
      </w:tr>
      <w:tr w:rsidR="00420938" w:rsidTr="00420938">
        <w:trPr>
          <w:tblCellSpacing w:w="15" w:type="dxa"/>
        </w:trPr>
        <w:tc>
          <w:tcPr>
            <w:tcW w:w="0" w:type="auto"/>
            <w:hideMark/>
          </w:tcPr>
          <w:p w:rsidR="00420938" w:rsidRDefault="00420938">
            <w:pPr>
              <w:pStyle w:val="Bibliography"/>
              <w:rPr>
                <w:noProof/>
              </w:rPr>
            </w:pPr>
            <w:r>
              <w:rPr>
                <w:noProof/>
              </w:rPr>
              <w:t>66.</w:t>
            </w:r>
          </w:p>
        </w:tc>
        <w:tc>
          <w:tcPr>
            <w:tcW w:w="0" w:type="auto"/>
            <w:hideMark/>
          </w:tcPr>
          <w:p w:rsidR="00420938" w:rsidRDefault="00420938">
            <w:pPr>
              <w:pStyle w:val="Bibliography"/>
              <w:rPr>
                <w:noProof/>
              </w:rPr>
            </w:pPr>
            <w:r>
              <w:rPr>
                <w:noProof/>
              </w:rPr>
              <w:t xml:space="preserve">Peters, F. T., Martinez-Ramirez, J. A. (2010) Analytical toxicology of emerging drugs of abuse. </w:t>
            </w:r>
            <w:r>
              <w:rPr>
                <w:i/>
                <w:iCs/>
                <w:noProof/>
              </w:rPr>
              <w:t>Ther. Drug Monitor.</w:t>
            </w:r>
            <w:r>
              <w:rPr>
                <w:noProof/>
              </w:rPr>
              <w:t xml:space="preserve"> </w:t>
            </w:r>
            <w:r>
              <w:rPr>
                <w:b/>
                <w:bCs/>
                <w:noProof/>
              </w:rPr>
              <w:t>32</w:t>
            </w:r>
            <w:r>
              <w:rPr>
                <w:noProof/>
              </w:rPr>
              <w:t>, 532-539.</w:t>
            </w:r>
          </w:p>
        </w:tc>
      </w:tr>
      <w:tr w:rsidR="00420938" w:rsidTr="00420938">
        <w:trPr>
          <w:tblCellSpacing w:w="15" w:type="dxa"/>
        </w:trPr>
        <w:tc>
          <w:tcPr>
            <w:tcW w:w="0" w:type="auto"/>
            <w:hideMark/>
          </w:tcPr>
          <w:p w:rsidR="00420938" w:rsidRDefault="00420938">
            <w:pPr>
              <w:pStyle w:val="Bibliography"/>
              <w:rPr>
                <w:noProof/>
              </w:rPr>
            </w:pPr>
            <w:r>
              <w:rPr>
                <w:noProof/>
              </w:rPr>
              <w:t>67.</w:t>
            </w:r>
          </w:p>
        </w:tc>
        <w:tc>
          <w:tcPr>
            <w:tcW w:w="0" w:type="auto"/>
            <w:hideMark/>
          </w:tcPr>
          <w:p w:rsidR="00420938" w:rsidRDefault="00420938">
            <w:pPr>
              <w:pStyle w:val="Bibliography"/>
              <w:rPr>
                <w:noProof/>
              </w:rPr>
            </w:pPr>
            <w:r>
              <w:rPr>
                <w:noProof/>
              </w:rPr>
              <w:t xml:space="preserve">Peters, F. T., Schaefer, S., Staack, R. F., Kraemer, T., Maurer, H. H. (2003) Screening for and validated quantification of amphetamines and of amphetamine- and piperazine-derived designer drugs in human blood plasma by gas chromatography/mass spectrometry. </w:t>
            </w:r>
            <w:r>
              <w:rPr>
                <w:i/>
                <w:iCs/>
                <w:noProof/>
              </w:rPr>
              <w:t>J. Mass Spectrom.</w:t>
            </w:r>
            <w:r>
              <w:rPr>
                <w:noProof/>
              </w:rPr>
              <w:t xml:space="preserve"> </w:t>
            </w:r>
            <w:r>
              <w:rPr>
                <w:b/>
                <w:bCs/>
                <w:noProof/>
              </w:rPr>
              <w:t>38</w:t>
            </w:r>
            <w:r>
              <w:rPr>
                <w:noProof/>
              </w:rPr>
              <w:t>, 659-676.</w:t>
            </w:r>
          </w:p>
        </w:tc>
      </w:tr>
      <w:tr w:rsidR="00420938" w:rsidTr="00420938">
        <w:trPr>
          <w:tblCellSpacing w:w="15" w:type="dxa"/>
        </w:trPr>
        <w:tc>
          <w:tcPr>
            <w:tcW w:w="0" w:type="auto"/>
            <w:hideMark/>
          </w:tcPr>
          <w:p w:rsidR="00420938" w:rsidRDefault="00420938">
            <w:pPr>
              <w:pStyle w:val="Bibliography"/>
              <w:rPr>
                <w:noProof/>
              </w:rPr>
            </w:pPr>
            <w:r>
              <w:rPr>
                <w:noProof/>
              </w:rPr>
              <w:t>68.</w:t>
            </w:r>
          </w:p>
        </w:tc>
        <w:tc>
          <w:tcPr>
            <w:tcW w:w="0" w:type="auto"/>
            <w:hideMark/>
          </w:tcPr>
          <w:p w:rsidR="00420938" w:rsidRDefault="00420938">
            <w:pPr>
              <w:pStyle w:val="Bibliography"/>
              <w:rPr>
                <w:noProof/>
              </w:rPr>
            </w:pPr>
            <w:r>
              <w:rPr>
                <w:noProof/>
              </w:rPr>
              <w:t xml:space="preserve">Kudo, K., Ishisa, T., Hara, K., Kashimura, S., Tsuji, A., Ikeda, N. (2007) Simultaneous determination of 13 amphetamine related drugs in human whole blood using an enhanced polymer column and gas chromatography-mass spectrometry. </w:t>
            </w:r>
            <w:r>
              <w:rPr>
                <w:i/>
                <w:iCs/>
                <w:noProof/>
              </w:rPr>
              <w:t>J. Chromatogr. B</w:t>
            </w:r>
            <w:r>
              <w:rPr>
                <w:noProof/>
              </w:rPr>
              <w:t xml:space="preserve"> </w:t>
            </w:r>
            <w:r>
              <w:rPr>
                <w:b/>
                <w:bCs/>
                <w:noProof/>
              </w:rPr>
              <w:t>855</w:t>
            </w:r>
            <w:r>
              <w:rPr>
                <w:noProof/>
              </w:rPr>
              <w:t>, 115-120.</w:t>
            </w:r>
          </w:p>
        </w:tc>
      </w:tr>
      <w:tr w:rsidR="00420938" w:rsidTr="00420938">
        <w:trPr>
          <w:tblCellSpacing w:w="15" w:type="dxa"/>
        </w:trPr>
        <w:tc>
          <w:tcPr>
            <w:tcW w:w="0" w:type="auto"/>
            <w:hideMark/>
          </w:tcPr>
          <w:p w:rsidR="00420938" w:rsidRDefault="00420938">
            <w:pPr>
              <w:pStyle w:val="Bibliography"/>
              <w:rPr>
                <w:noProof/>
              </w:rPr>
            </w:pPr>
            <w:r>
              <w:rPr>
                <w:noProof/>
              </w:rPr>
              <w:t>69.</w:t>
            </w:r>
          </w:p>
        </w:tc>
        <w:tc>
          <w:tcPr>
            <w:tcW w:w="0" w:type="auto"/>
            <w:hideMark/>
          </w:tcPr>
          <w:p w:rsidR="00420938" w:rsidRDefault="00420938">
            <w:pPr>
              <w:pStyle w:val="Bibliography"/>
              <w:rPr>
                <w:noProof/>
              </w:rPr>
            </w:pPr>
            <w:r>
              <w:rPr>
                <w:noProof/>
              </w:rPr>
              <w:t xml:space="preserve">Takahashi, M., Nagashima, M., Suzuki, J., Seto, T., Yasuda, I., Yoshida, T. (2008) Analysis of phenethylamines and tryptamines in designer drugs using gas chromatography-mass spectrometry. </w:t>
            </w:r>
            <w:r>
              <w:rPr>
                <w:i/>
                <w:iCs/>
                <w:noProof/>
              </w:rPr>
              <w:t>J. Health Sci.</w:t>
            </w:r>
            <w:r>
              <w:rPr>
                <w:noProof/>
              </w:rPr>
              <w:t xml:space="preserve"> </w:t>
            </w:r>
            <w:r>
              <w:rPr>
                <w:b/>
                <w:bCs/>
                <w:noProof/>
              </w:rPr>
              <w:t>54</w:t>
            </w:r>
            <w:r>
              <w:rPr>
                <w:noProof/>
              </w:rPr>
              <w:t>, 89-96.</w:t>
            </w:r>
          </w:p>
        </w:tc>
      </w:tr>
      <w:tr w:rsidR="00420938" w:rsidTr="00420938">
        <w:trPr>
          <w:tblCellSpacing w:w="15" w:type="dxa"/>
        </w:trPr>
        <w:tc>
          <w:tcPr>
            <w:tcW w:w="0" w:type="auto"/>
            <w:hideMark/>
          </w:tcPr>
          <w:p w:rsidR="00420938" w:rsidRDefault="00420938">
            <w:pPr>
              <w:pStyle w:val="Bibliography"/>
              <w:rPr>
                <w:noProof/>
              </w:rPr>
            </w:pPr>
            <w:r>
              <w:rPr>
                <w:noProof/>
              </w:rPr>
              <w:t>70.</w:t>
            </w:r>
          </w:p>
        </w:tc>
        <w:tc>
          <w:tcPr>
            <w:tcW w:w="0" w:type="auto"/>
            <w:hideMark/>
          </w:tcPr>
          <w:p w:rsidR="00420938" w:rsidRDefault="00420938">
            <w:pPr>
              <w:pStyle w:val="Bibliography"/>
              <w:rPr>
                <w:noProof/>
              </w:rPr>
            </w:pPr>
            <w:r>
              <w:rPr>
                <w:noProof/>
              </w:rPr>
              <w:t xml:space="preserve">Springer, D., Fritschi, G., Maurer, H. H. (2003) Mtabolism of the new designer drug alpha-pyrrolidinopropiophenone (PPP) and the toxicological detection of PPP and 4'-methyl-alpha-pyrrolidinopropiophenone (MPPP) studied in rat urine using gas chromatography-mass spectrometry. </w:t>
            </w:r>
            <w:r>
              <w:rPr>
                <w:i/>
                <w:iCs/>
                <w:noProof/>
              </w:rPr>
              <w:t>J. Chromatogr. B</w:t>
            </w:r>
            <w:r>
              <w:rPr>
                <w:noProof/>
              </w:rPr>
              <w:t xml:space="preserve"> </w:t>
            </w:r>
            <w:r>
              <w:rPr>
                <w:b/>
                <w:bCs/>
                <w:noProof/>
              </w:rPr>
              <w:t>796</w:t>
            </w:r>
            <w:r>
              <w:rPr>
                <w:noProof/>
              </w:rPr>
              <w:t>, 253-266.</w:t>
            </w:r>
          </w:p>
          <w:p w:rsidR="007F5CA3" w:rsidRPr="007F5CA3" w:rsidRDefault="007F5CA3" w:rsidP="007F5CA3"/>
        </w:tc>
      </w:tr>
      <w:tr w:rsidR="00420938" w:rsidTr="00420938">
        <w:trPr>
          <w:tblCellSpacing w:w="15" w:type="dxa"/>
        </w:trPr>
        <w:tc>
          <w:tcPr>
            <w:tcW w:w="0" w:type="auto"/>
            <w:hideMark/>
          </w:tcPr>
          <w:p w:rsidR="00420938" w:rsidRDefault="00420938">
            <w:pPr>
              <w:pStyle w:val="Bibliography"/>
              <w:rPr>
                <w:noProof/>
              </w:rPr>
            </w:pPr>
            <w:r>
              <w:rPr>
                <w:noProof/>
              </w:rPr>
              <w:t>71.</w:t>
            </w:r>
          </w:p>
        </w:tc>
        <w:tc>
          <w:tcPr>
            <w:tcW w:w="0" w:type="auto"/>
            <w:hideMark/>
          </w:tcPr>
          <w:p w:rsidR="00420938" w:rsidRDefault="00420938">
            <w:pPr>
              <w:pStyle w:val="Bibliography"/>
              <w:rPr>
                <w:noProof/>
              </w:rPr>
            </w:pPr>
            <w:r>
              <w:rPr>
                <w:noProof/>
              </w:rPr>
              <w:t xml:space="preserve">Staack, R. F., Fritschi, G., Maurer, H. H. (2003) New designer drug 1-(3-trifluoromethylphenyl)piperazine (TFMPP): gas chromatography/mass spectrometry and liquid chromatography/mass spectrometry studies on its phase I and phase II metabolism and on its toxicological detection in rat urine. </w:t>
            </w:r>
            <w:r>
              <w:rPr>
                <w:i/>
                <w:iCs/>
                <w:noProof/>
              </w:rPr>
              <w:t>J. Mass Spectrom.</w:t>
            </w:r>
            <w:r>
              <w:rPr>
                <w:noProof/>
              </w:rPr>
              <w:t xml:space="preserve"> </w:t>
            </w:r>
            <w:r>
              <w:rPr>
                <w:b/>
                <w:bCs/>
                <w:noProof/>
              </w:rPr>
              <w:t>38</w:t>
            </w:r>
            <w:r>
              <w:rPr>
                <w:noProof/>
              </w:rPr>
              <w:t>, 971-981.</w:t>
            </w:r>
          </w:p>
        </w:tc>
      </w:tr>
      <w:tr w:rsidR="00420938" w:rsidTr="00420938">
        <w:trPr>
          <w:tblCellSpacing w:w="15" w:type="dxa"/>
        </w:trPr>
        <w:tc>
          <w:tcPr>
            <w:tcW w:w="0" w:type="auto"/>
            <w:hideMark/>
          </w:tcPr>
          <w:p w:rsidR="00420938" w:rsidRDefault="00420938">
            <w:pPr>
              <w:pStyle w:val="Bibliography"/>
              <w:rPr>
                <w:noProof/>
              </w:rPr>
            </w:pPr>
            <w:r>
              <w:rPr>
                <w:noProof/>
              </w:rPr>
              <w:t>72.</w:t>
            </w:r>
          </w:p>
        </w:tc>
        <w:tc>
          <w:tcPr>
            <w:tcW w:w="0" w:type="auto"/>
            <w:hideMark/>
          </w:tcPr>
          <w:p w:rsidR="00420938" w:rsidRDefault="00420938">
            <w:pPr>
              <w:pStyle w:val="Bibliography"/>
              <w:rPr>
                <w:noProof/>
              </w:rPr>
            </w:pPr>
            <w:r>
              <w:rPr>
                <w:noProof/>
              </w:rPr>
              <w:t xml:space="preserve">Tsutsumi, H., Katagi, M., Miki, A., Shima, N., Kamata, T., Nishikawa, M., Nakajima, K., Tsuchihashi, H. (2005) Development of simultaneous gas chromatography-mass spectrometric and liquid chromatography-electrospray ionization mass spectrometric determination method for the new designer drugs BZP, TFMPP, and their main metabolites in urine. </w:t>
            </w:r>
            <w:r>
              <w:rPr>
                <w:i/>
                <w:iCs/>
                <w:noProof/>
              </w:rPr>
              <w:t>J. Chromatogr. B</w:t>
            </w:r>
            <w:r>
              <w:rPr>
                <w:noProof/>
              </w:rPr>
              <w:t xml:space="preserve"> </w:t>
            </w:r>
            <w:r>
              <w:rPr>
                <w:b/>
                <w:bCs/>
                <w:noProof/>
              </w:rPr>
              <w:t>819</w:t>
            </w:r>
            <w:r>
              <w:rPr>
                <w:noProof/>
              </w:rPr>
              <w:t>, 315-322.</w:t>
            </w:r>
          </w:p>
        </w:tc>
      </w:tr>
      <w:tr w:rsidR="00420938" w:rsidTr="00420938">
        <w:trPr>
          <w:tblCellSpacing w:w="15" w:type="dxa"/>
        </w:trPr>
        <w:tc>
          <w:tcPr>
            <w:tcW w:w="0" w:type="auto"/>
            <w:hideMark/>
          </w:tcPr>
          <w:p w:rsidR="00420938" w:rsidRDefault="00420938">
            <w:pPr>
              <w:pStyle w:val="Bibliography"/>
              <w:rPr>
                <w:noProof/>
              </w:rPr>
            </w:pPr>
            <w:r>
              <w:rPr>
                <w:noProof/>
              </w:rPr>
              <w:t>73.</w:t>
            </w:r>
          </w:p>
        </w:tc>
        <w:tc>
          <w:tcPr>
            <w:tcW w:w="0" w:type="auto"/>
            <w:hideMark/>
          </w:tcPr>
          <w:p w:rsidR="00420938" w:rsidRDefault="00420938">
            <w:pPr>
              <w:pStyle w:val="Bibliography"/>
              <w:rPr>
                <w:noProof/>
              </w:rPr>
            </w:pPr>
            <w:r>
              <w:rPr>
                <w:noProof/>
              </w:rPr>
              <w:t xml:space="preserve">Theobald, D. S., Maurer, H. H. (2006) Studies on the metabolism and toxicological detection of the designer drug 2,5-dimethoxy-4-methyl-beta-phenethylamine (2C-D) in rat urine using gas chromatography/mass spectrometric techniques. </w:t>
            </w:r>
            <w:r>
              <w:rPr>
                <w:i/>
                <w:iCs/>
                <w:noProof/>
              </w:rPr>
              <w:t>J. Mass Spectrom.</w:t>
            </w:r>
            <w:r>
              <w:rPr>
                <w:noProof/>
              </w:rPr>
              <w:t xml:space="preserve"> </w:t>
            </w:r>
            <w:r>
              <w:rPr>
                <w:b/>
                <w:bCs/>
                <w:noProof/>
              </w:rPr>
              <w:t>41</w:t>
            </w:r>
            <w:r>
              <w:rPr>
                <w:noProof/>
              </w:rPr>
              <w:t>, 1509-1519.</w:t>
            </w:r>
          </w:p>
        </w:tc>
      </w:tr>
      <w:tr w:rsidR="00420938" w:rsidTr="00420938">
        <w:trPr>
          <w:tblCellSpacing w:w="15" w:type="dxa"/>
        </w:trPr>
        <w:tc>
          <w:tcPr>
            <w:tcW w:w="0" w:type="auto"/>
            <w:hideMark/>
          </w:tcPr>
          <w:p w:rsidR="00420938" w:rsidRDefault="00420938">
            <w:pPr>
              <w:pStyle w:val="Bibliography"/>
              <w:rPr>
                <w:noProof/>
              </w:rPr>
            </w:pPr>
            <w:r>
              <w:rPr>
                <w:noProof/>
              </w:rPr>
              <w:t>74.</w:t>
            </w:r>
          </w:p>
        </w:tc>
        <w:tc>
          <w:tcPr>
            <w:tcW w:w="0" w:type="auto"/>
            <w:hideMark/>
          </w:tcPr>
          <w:p w:rsidR="00420938" w:rsidRDefault="00420938">
            <w:pPr>
              <w:pStyle w:val="Bibliography"/>
              <w:rPr>
                <w:noProof/>
              </w:rPr>
            </w:pPr>
            <w:r>
              <w:rPr>
                <w:noProof/>
              </w:rPr>
              <w:t xml:space="preserve">Zaitsu, K., Katagi, M., Kamata, T., Kamata, H., Shima, N., Tsuchihashi, H., Hayashi, T., Kuroki, H., Matoba, R. (2008) Determination of a newly encountered designer drug "p-methoxyethylamphetamine" and its metabolites in human urine and blood. </w:t>
            </w:r>
            <w:r>
              <w:rPr>
                <w:i/>
                <w:iCs/>
                <w:noProof/>
              </w:rPr>
              <w:t>Forensic Sci. Int.</w:t>
            </w:r>
            <w:r>
              <w:rPr>
                <w:noProof/>
              </w:rPr>
              <w:t xml:space="preserve"> </w:t>
            </w:r>
            <w:r>
              <w:rPr>
                <w:b/>
                <w:bCs/>
                <w:noProof/>
              </w:rPr>
              <w:t>177</w:t>
            </w:r>
            <w:r>
              <w:rPr>
                <w:noProof/>
              </w:rPr>
              <w:t>, 77-84.</w:t>
            </w:r>
          </w:p>
        </w:tc>
      </w:tr>
      <w:tr w:rsidR="00420938" w:rsidTr="00420938">
        <w:trPr>
          <w:tblCellSpacing w:w="15" w:type="dxa"/>
        </w:trPr>
        <w:tc>
          <w:tcPr>
            <w:tcW w:w="0" w:type="auto"/>
            <w:hideMark/>
          </w:tcPr>
          <w:p w:rsidR="00420938" w:rsidRDefault="00420938">
            <w:pPr>
              <w:pStyle w:val="Bibliography"/>
              <w:rPr>
                <w:noProof/>
              </w:rPr>
            </w:pPr>
            <w:r>
              <w:rPr>
                <w:noProof/>
              </w:rPr>
              <w:t>75.</w:t>
            </w:r>
          </w:p>
        </w:tc>
        <w:tc>
          <w:tcPr>
            <w:tcW w:w="0" w:type="auto"/>
            <w:hideMark/>
          </w:tcPr>
          <w:p w:rsidR="00420938" w:rsidRDefault="00420938">
            <w:pPr>
              <w:pStyle w:val="Bibliography"/>
              <w:rPr>
                <w:noProof/>
              </w:rPr>
            </w:pPr>
            <w:r>
              <w:rPr>
                <w:noProof/>
              </w:rPr>
              <w:t xml:space="preserve">Pellegrini, M., Rosati, R., Zuccaro, P., Romolo, F. S., Lopez, A. (2002) Rapid screening method for determination of Ecstasy and amphetamines in urine samples using gas chromatography-chemical ionization mass spectrometry. </w:t>
            </w:r>
            <w:r>
              <w:rPr>
                <w:i/>
                <w:iCs/>
                <w:noProof/>
              </w:rPr>
              <w:t>J. Chromatrogr. B</w:t>
            </w:r>
            <w:r>
              <w:rPr>
                <w:noProof/>
              </w:rPr>
              <w:t xml:space="preserve"> </w:t>
            </w:r>
            <w:r>
              <w:rPr>
                <w:b/>
                <w:bCs/>
                <w:noProof/>
              </w:rPr>
              <w:t>769</w:t>
            </w:r>
            <w:r>
              <w:rPr>
                <w:noProof/>
              </w:rPr>
              <w:t>, 243-251.</w:t>
            </w:r>
          </w:p>
        </w:tc>
      </w:tr>
      <w:tr w:rsidR="00420938" w:rsidTr="00420938">
        <w:trPr>
          <w:tblCellSpacing w:w="15" w:type="dxa"/>
        </w:trPr>
        <w:tc>
          <w:tcPr>
            <w:tcW w:w="0" w:type="auto"/>
            <w:hideMark/>
          </w:tcPr>
          <w:p w:rsidR="00420938" w:rsidRDefault="00420938">
            <w:pPr>
              <w:pStyle w:val="Bibliography"/>
              <w:rPr>
                <w:noProof/>
              </w:rPr>
            </w:pPr>
            <w:r>
              <w:rPr>
                <w:noProof/>
              </w:rPr>
              <w:t>76.</w:t>
            </w:r>
          </w:p>
        </w:tc>
        <w:tc>
          <w:tcPr>
            <w:tcW w:w="0" w:type="auto"/>
            <w:hideMark/>
          </w:tcPr>
          <w:p w:rsidR="00420938" w:rsidRDefault="00420938">
            <w:pPr>
              <w:pStyle w:val="Bibliography"/>
              <w:rPr>
                <w:noProof/>
              </w:rPr>
            </w:pPr>
            <w:r>
              <w:rPr>
                <w:noProof/>
              </w:rPr>
              <w:t xml:space="preserve">Habrdova, V., Peters, F. T., Theobald, D. S., Maurer, H. H. (2005) Screening for and validated quantification of phenethylamine-type designer drugs and mescaline in human blood plasma by gas chromatography/mass spectrometry. </w:t>
            </w:r>
            <w:r>
              <w:rPr>
                <w:i/>
                <w:iCs/>
                <w:noProof/>
              </w:rPr>
              <w:t>J. Mass Spectrom.</w:t>
            </w:r>
            <w:r>
              <w:rPr>
                <w:noProof/>
              </w:rPr>
              <w:t xml:space="preserve"> </w:t>
            </w:r>
            <w:r>
              <w:rPr>
                <w:b/>
                <w:bCs/>
                <w:noProof/>
              </w:rPr>
              <w:t>40</w:t>
            </w:r>
            <w:r>
              <w:rPr>
                <w:noProof/>
              </w:rPr>
              <w:t>, 785-795.</w:t>
            </w:r>
          </w:p>
        </w:tc>
      </w:tr>
      <w:tr w:rsidR="00420938" w:rsidTr="00420938">
        <w:trPr>
          <w:tblCellSpacing w:w="15" w:type="dxa"/>
        </w:trPr>
        <w:tc>
          <w:tcPr>
            <w:tcW w:w="0" w:type="auto"/>
            <w:hideMark/>
          </w:tcPr>
          <w:p w:rsidR="00420938" w:rsidRDefault="00420938">
            <w:pPr>
              <w:pStyle w:val="Bibliography"/>
              <w:rPr>
                <w:noProof/>
              </w:rPr>
            </w:pPr>
            <w:r>
              <w:rPr>
                <w:noProof/>
              </w:rPr>
              <w:t>77.</w:t>
            </w:r>
          </w:p>
        </w:tc>
        <w:tc>
          <w:tcPr>
            <w:tcW w:w="0" w:type="auto"/>
            <w:hideMark/>
          </w:tcPr>
          <w:p w:rsidR="00420938" w:rsidRDefault="00420938">
            <w:pPr>
              <w:pStyle w:val="Bibliography"/>
              <w:rPr>
                <w:noProof/>
              </w:rPr>
            </w:pPr>
            <w:r>
              <w:rPr>
                <w:noProof/>
              </w:rPr>
              <w:t xml:space="preserve">Pirnay, S. O., Abraham, T. T., Huestis, M. A. (2006) Sensitive gas chromatography-mass spectrometry method for simultaneous meansurement of MDEA, MDMA, and metabolites HMA, MDA, and HMMA in human urine. </w:t>
            </w:r>
            <w:r>
              <w:rPr>
                <w:i/>
                <w:iCs/>
                <w:noProof/>
              </w:rPr>
              <w:t>Clin. Chem.</w:t>
            </w:r>
            <w:r>
              <w:rPr>
                <w:noProof/>
              </w:rPr>
              <w:t xml:space="preserve"> </w:t>
            </w:r>
            <w:r>
              <w:rPr>
                <w:b/>
                <w:bCs/>
                <w:noProof/>
              </w:rPr>
              <w:t>52</w:t>
            </w:r>
            <w:r>
              <w:rPr>
                <w:noProof/>
              </w:rPr>
              <w:t>, 1728-1734.</w:t>
            </w:r>
          </w:p>
        </w:tc>
      </w:tr>
      <w:tr w:rsidR="00420938" w:rsidTr="00420938">
        <w:trPr>
          <w:tblCellSpacing w:w="15" w:type="dxa"/>
        </w:trPr>
        <w:tc>
          <w:tcPr>
            <w:tcW w:w="0" w:type="auto"/>
            <w:hideMark/>
          </w:tcPr>
          <w:p w:rsidR="00420938" w:rsidRDefault="00420938">
            <w:pPr>
              <w:pStyle w:val="Bibliography"/>
              <w:rPr>
                <w:noProof/>
              </w:rPr>
            </w:pPr>
            <w:r>
              <w:rPr>
                <w:noProof/>
              </w:rPr>
              <w:t>78.</w:t>
            </w:r>
          </w:p>
        </w:tc>
        <w:tc>
          <w:tcPr>
            <w:tcW w:w="0" w:type="auto"/>
            <w:hideMark/>
          </w:tcPr>
          <w:p w:rsidR="00420938" w:rsidRDefault="00420938">
            <w:pPr>
              <w:pStyle w:val="Bibliography"/>
              <w:rPr>
                <w:noProof/>
              </w:rPr>
            </w:pPr>
            <w:r>
              <w:rPr>
                <w:noProof/>
              </w:rPr>
              <w:t xml:space="preserve">Maresova, V., Chadt, J., Prikryl, L. (2006) Simultaneous determination of amphetamines and amphetamine-derived designer drugs in human urine by GC-MS. </w:t>
            </w:r>
            <w:r>
              <w:rPr>
                <w:i/>
                <w:iCs/>
                <w:noProof/>
              </w:rPr>
              <w:t>Neuroendocrin. Lett.</w:t>
            </w:r>
            <w:r>
              <w:rPr>
                <w:noProof/>
              </w:rPr>
              <w:t xml:space="preserve"> </w:t>
            </w:r>
            <w:r>
              <w:rPr>
                <w:b/>
                <w:bCs/>
                <w:noProof/>
              </w:rPr>
              <w:t>27</w:t>
            </w:r>
            <w:r>
              <w:rPr>
                <w:noProof/>
              </w:rPr>
              <w:t>, 121-124.</w:t>
            </w:r>
          </w:p>
        </w:tc>
      </w:tr>
      <w:tr w:rsidR="00420938" w:rsidTr="00420938">
        <w:trPr>
          <w:tblCellSpacing w:w="15" w:type="dxa"/>
        </w:trPr>
        <w:tc>
          <w:tcPr>
            <w:tcW w:w="0" w:type="auto"/>
            <w:hideMark/>
          </w:tcPr>
          <w:p w:rsidR="00420938" w:rsidRDefault="00420938">
            <w:pPr>
              <w:pStyle w:val="Bibliography"/>
              <w:rPr>
                <w:noProof/>
              </w:rPr>
            </w:pPr>
            <w:r>
              <w:rPr>
                <w:noProof/>
              </w:rPr>
              <w:t>79.</w:t>
            </w:r>
          </w:p>
        </w:tc>
        <w:tc>
          <w:tcPr>
            <w:tcW w:w="0" w:type="auto"/>
            <w:hideMark/>
          </w:tcPr>
          <w:p w:rsidR="00420938" w:rsidRDefault="00420938">
            <w:pPr>
              <w:pStyle w:val="Bibliography"/>
              <w:rPr>
                <w:noProof/>
              </w:rPr>
            </w:pPr>
            <w:r>
              <w:rPr>
                <w:noProof/>
              </w:rPr>
              <w:t xml:space="preserve">Kanai, K., Takekawa, K., Jumamoto, T., Ishikawa, T., Ohmori, T. (2008) Simultaneous analysis of six phenethylamine-type designer drugs by TLC, LC-MS, and GC-MS. </w:t>
            </w:r>
            <w:r>
              <w:rPr>
                <w:i/>
                <w:iCs/>
                <w:noProof/>
              </w:rPr>
              <w:t>Forensic. Toxicol.</w:t>
            </w:r>
            <w:r>
              <w:rPr>
                <w:noProof/>
              </w:rPr>
              <w:t xml:space="preserve"> </w:t>
            </w:r>
            <w:r>
              <w:rPr>
                <w:b/>
                <w:bCs/>
                <w:noProof/>
              </w:rPr>
              <w:t>26</w:t>
            </w:r>
            <w:r>
              <w:rPr>
                <w:noProof/>
              </w:rPr>
              <w:t>, 6-12.</w:t>
            </w:r>
          </w:p>
        </w:tc>
      </w:tr>
      <w:tr w:rsidR="00420938" w:rsidTr="00420938">
        <w:trPr>
          <w:tblCellSpacing w:w="15" w:type="dxa"/>
        </w:trPr>
        <w:tc>
          <w:tcPr>
            <w:tcW w:w="0" w:type="auto"/>
            <w:hideMark/>
          </w:tcPr>
          <w:p w:rsidR="00420938" w:rsidRDefault="00420938">
            <w:pPr>
              <w:pStyle w:val="Bibliography"/>
              <w:rPr>
                <w:noProof/>
              </w:rPr>
            </w:pPr>
            <w:r>
              <w:rPr>
                <w:noProof/>
              </w:rPr>
              <w:t>80.</w:t>
            </w:r>
          </w:p>
        </w:tc>
        <w:tc>
          <w:tcPr>
            <w:tcW w:w="0" w:type="auto"/>
            <w:hideMark/>
          </w:tcPr>
          <w:p w:rsidR="00420938" w:rsidRDefault="00420938">
            <w:pPr>
              <w:pStyle w:val="Bibliography"/>
              <w:rPr>
                <w:noProof/>
              </w:rPr>
            </w:pPr>
            <w:r>
              <w:rPr>
                <w:noProof/>
              </w:rPr>
              <w:t xml:space="preserve">Kudo, K., Ishia, T., Hikiji, W., Hayashida, M., Uekusa, K., Usumoto, Y., Tsuji, A., Ikeda, N. (2009) Construction of calibration-locking databases for rapid and reliable drug screening by gas chromatography-mass spectrometry. </w:t>
            </w:r>
            <w:r>
              <w:rPr>
                <w:i/>
                <w:iCs/>
                <w:noProof/>
              </w:rPr>
              <w:t>Forensic Toxicol.</w:t>
            </w:r>
            <w:r>
              <w:rPr>
                <w:noProof/>
              </w:rPr>
              <w:t xml:space="preserve"> </w:t>
            </w:r>
            <w:r>
              <w:rPr>
                <w:b/>
                <w:bCs/>
                <w:noProof/>
              </w:rPr>
              <w:t>27</w:t>
            </w:r>
            <w:r>
              <w:rPr>
                <w:noProof/>
              </w:rPr>
              <w:t>, 27-31.</w:t>
            </w:r>
          </w:p>
        </w:tc>
      </w:tr>
      <w:tr w:rsidR="00420938" w:rsidTr="00420938">
        <w:trPr>
          <w:tblCellSpacing w:w="15" w:type="dxa"/>
        </w:trPr>
        <w:tc>
          <w:tcPr>
            <w:tcW w:w="0" w:type="auto"/>
            <w:hideMark/>
          </w:tcPr>
          <w:p w:rsidR="00420938" w:rsidRDefault="00420938">
            <w:pPr>
              <w:pStyle w:val="Bibliography"/>
              <w:rPr>
                <w:noProof/>
              </w:rPr>
            </w:pPr>
            <w:r>
              <w:rPr>
                <w:noProof/>
              </w:rPr>
              <w:t>81.</w:t>
            </w:r>
          </w:p>
        </w:tc>
        <w:tc>
          <w:tcPr>
            <w:tcW w:w="0" w:type="auto"/>
            <w:hideMark/>
          </w:tcPr>
          <w:p w:rsidR="00420938" w:rsidRDefault="00420938">
            <w:pPr>
              <w:pStyle w:val="Bibliography"/>
              <w:rPr>
                <w:noProof/>
              </w:rPr>
            </w:pPr>
            <w:r>
              <w:rPr>
                <w:noProof/>
              </w:rPr>
              <w:t xml:space="preserve">Takahashi, M., Nagashima, M., Suzuki, J., Seto, T., Yasuda, I., Yoshida, T. (2009) Creation and application of psychoactive designer drugs data library using liquid chromatography with photodiode array spectrophotometry detector and gas chromatography-mass spectrometry. </w:t>
            </w:r>
            <w:r>
              <w:rPr>
                <w:i/>
                <w:iCs/>
                <w:noProof/>
              </w:rPr>
              <w:t>Talanta</w:t>
            </w:r>
            <w:r>
              <w:rPr>
                <w:noProof/>
              </w:rPr>
              <w:t xml:space="preserve"> </w:t>
            </w:r>
            <w:r>
              <w:rPr>
                <w:b/>
                <w:bCs/>
                <w:noProof/>
              </w:rPr>
              <w:t>77</w:t>
            </w:r>
            <w:r>
              <w:rPr>
                <w:noProof/>
              </w:rPr>
              <w:t>, 1245-1272.</w:t>
            </w:r>
          </w:p>
        </w:tc>
      </w:tr>
      <w:tr w:rsidR="00420938" w:rsidTr="00420938">
        <w:trPr>
          <w:tblCellSpacing w:w="15" w:type="dxa"/>
        </w:trPr>
        <w:tc>
          <w:tcPr>
            <w:tcW w:w="0" w:type="auto"/>
            <w:hideMark/>
          </w:tcPr>
          <w:p w:rsidR="00420938" w:rsidRDefault="00420938">
            <w:pPr>
              <w:pStyle w:val="Bibliography"/>
              <w:rPr>
                <w:noProof/>
              </w:rPr>
            </w:pPr>
            <w:r>
              <w:rPr>
                <w:noProof/>
              </w:rPr>
              <w:t>82.</w:t>
            </w:r>
          </w:p>
        </w:tc>
        <w:tc>
          <w:tcPr>
            <w:tcW w:w="0" w:type="auto"/>
            <w:hideMark/>
          </w:tcPr>
          <w:p w:rsidR="00420938" w:rsidRDefault="00420938">
            <w:pPr>
              <w:pStyle w:val="Bibliography"/>
              <w:rPr>
                <w:noProof/>
              </w:rPr>
            </w:pPr>
            <w:r>
              <w:rPr>
                <w:noProof/>
              </w:rPr>
              <w:t xml:space="preserve">Kolbrich, E. A., Lowe, R. H., Huestis, M. A. (2008) Two-dimensional gas chromatography/electron-impact mass spectrometry with cryofocusing for simultaneous quantification of MDMA, MDA, HMMA, HMA, and MDEA in human plasma. </w:t>
            </w:r>
            <w:r>
              <w:rPr>
                <w:i/>
                <w:iCs/>
                <w:noProof/>
              </w:rPr>
              <w:t>Clin. Chem.</w:t>
            </w:r>
            <w:r>
              <w:rPr>
                <w:noProof/>
              </w:rPr>
              <w:t xml:space="preserve"> </w:t>
            </w:r>
            <w:r>
              <w:rPr>
                <w:b/>
                <w:bCs/>
                <w:noProof/>
              </w:rPr>
              <w:t>54</w:t>
            </w:r>
            <w:r>
              <w:rPr>
                <w:noProof/>
              </w:rPr>
              <w:t>, 279-287.</w:t>
            </w:r>
          </w:p>
        </w:tc>
      </w:tr>
      <w:tr w:rsidR="00420938" w:rsidTr="00420938">
        <w:trPr>
          <w:tblCellSpacing w:w="15" w:type="dxa"/>
        </w:trPr>
        <w:tc>
          <w:tcPr>
            <w:tcW w:w="0" w:type="auto"/>
            <w:hideMark/>
          </w:tcPr>
          <w:p w:rsidR="00420938" w:rsidRDefault="00420938">
            <w:pPr>
              <w:pStyle w:val="Bibliography"/>
              <w:rPr>
                <w:noProof/>
              </w:rPr>
            </w:pPr>
            <w:r>
              <w:rPr>
                <w:noProof/>
              </w:rPr>
              <w:t>83.</w:t>
            </w:r>
          </w:p>
        </w:tc>
        <w:tc>
          <w:tcPr>
            <w:tcW w:w="0" w:type="auto"/>
            <w:hideMark/>
          </w:tcPr>
          <w:p w:rsidR="00420938" w:rsidRDefault="00420938">
            <w:pPr>
              <w:pStyle w:val="Bibliography"/>
              <w:rPr>
                <w:noProof/>
              </w:rPr>
            </w:pPr>
            <w:r>
              <w:rPr>
                <w:noProof/>
              </w:rPr>
              <w:t xml:space="preserve">Maurer, H. H., Bickeboeller-Friedrich, J., Kraemer, T., Peters, F. T. (2000) Toxicokinetics and analytical toxicology of amphetamine-derived designer drugs. </w:t>
            </w:r>
            <w:r>
              <w:rPr>
                <w:i/>
                <w:iCs/>
                <w:noProof/>
              </w:rPr>
              <w:t>Toxicol. Lett.</w:t>
            </w:r>
            <w:r>
              <w:rPr>
                <w:noProof/>
              </w:rPr>
              <w:t xml:space="preserve"> </w:t>
            </w:r>
            <w:r>
              <w:rPr>
                <w:b/>
                <w:bCs/>
                <w:noProof/>
              </w:rPr>
              <w:t>112-113</w:t>
            </w:r>
            <w:r>
              <w:rPr>
                <w:noProof/>
              </w:rPr>
              <w:t>, 133-142.</w:t>
            </w:r>
          </w:p>
        </w:tc>
      </w:tr>
      <w:tr w:rsidR="00420938" w:rsidTr="00420938">
        <w:trPr>
          <w:tblCellSpacing w:w="15" w:type="dxa"/>
        </w:trPr>
        <w:tc>
          <w:tcPr>
            <w:tcW w:w="0" w:type="auto"/>
            <w:hideMark/>
          </w:tcPr>
          <w:p w:rsidR="00420938" w:rsidRDefault="00420938">
            <w:pPr>
              <w:pStyle w:val="Bibliography"/>
              <w:rPr>
                <w:noProof/>
              </w:rPr>
            </w:pPr>
            <w:r>
              <w:rPr>
                <w:noProof/>
              </w:rPr>
              <w:t>84.</w:t>
            </w:r>
          </w:p>
        </w:tc>
        <w:tc>
          <w:tcPr>
            <w:tcW w:w="0" w:type="auto"/>
            <w:hideMark/>
          </w:tcPr>
          <w:p w:rsidR="00420938" w:rsidRDefault="00420938">
            <w:pPr>
              <w:pStyle w:val="Bibliography"/>
              <w:rPr>
                <w:noProof/>
              </w:rPr>
            </w:pPr>
            <w:r>
              <w:rPr>
                <w:noProof/>
              </w:rPr>
              <w:t xml:space="preserve">Namera, A., Nakamoto, A., Saito, T., Nagao, M. (2011) Colorimetric detection and chromatographic analyses of designer drugs in biological materials: a comprehensive review. </w:t>
            </w:r>
            <w:r>
              <w:rPr>
                <w:i/>
                <w:iCs/>
                <w:noProof/>
              </w:rPr>
              <w:t>Forensic Toxicol.</w:t>
            </w:r>
            <w:r>
              <w:rPr>
                <w:noProof/>
              </w:rPr>
              <w:t xml:space="preserve"> </w:t>
            </w:r>
            <w:r>
              <w:rPr>
                <w:b/>
                <w:bCs/>
                <w:noProof/>
              </w:rPr>
              <w:t>29</w:t>
            </w:r>
            <w:r>
              <w:rPr>
                <w:noProof/>
              </w:rPr>
              <w:t>, 1-24.</w:t>
            </w:r>
          </w:p>
        </w:tc>
      </w:tr>
      <w:tr w:rsidR="00420938" w:rsidTr="00420938">
        <w:trPr>
          <w:tblCellSpacing w:w="15" w:type="dxa"/>
        </w:trPr>
        <w:tc>
          <w:tcPr>
            <w:tcW w:w="0" w:type="auto"/>
            <w:hideMark/>
          </w:tcPr>
          <w:p w:rsidR="00420938" w:rsidRDefault="00420938">
            <w:pPr>
              <w:pStyle w:val="Bibliography"/>
              <w:rPr>
                <w:noProof/>
              </w:rPr>
            </w:pPr>
            <w:r>
              <w:rPr>
                <w:noProof/>
              </w:rPr>
              <w:t>85.</w:t>
            </w:r>
          </w:p>
        </w:tc>
        <w:tc>
          <w:tcPr>
            <w:tcW w:w="0" w:type="auto"/>
            <w:hideMark/>
          </w:tcPr>
          <w:p w:rsidR="00420938" w:rsidRDefault="00420938">
            <w:pPr>
              <w:pStyle w:val="Bibliography"/>
              <w:rPr>
                <w:noProof/>
              </w:rPr>
            </w:pPr>
            <w:r>
              <w:rPr>
                <w:noProof/>
              </w:rPr>
              <w:t xml:space="preserve">Drummer, O. H. (1999) Chromatographic screening techniques in systematic toxicological analysis. </w:t>
            </w:r>
            <w:r>
              <w:rPr>
                <w:i/>
                <w:iCs/>
                <w:noProof/>
              </w:rPr>
              <w:t>J. Chromatogr. B</w:t>
            </w:r>
            <w:r>
              <w:rPr>
                <w:noProof/>
              </w:rPr>
              <w:t xml:space="preserve"> </w:t>
            </w:r>
            <w:r>
              <w:rPr>
                <w:b/>
                <w:bCs/>
                <w:noProof/>
              </w:rPr>
              <w:t>733</w:t>
            </w:r>
            <w:r>
              <w:rPr>
                <w:noProof/>
              </w:rPr>
              <w:t>, 27-45.</w:t>
            </w:r>
          </w:p>
        </w:tc>
      </w:tr>
      <w:tr w:rsidR="00420938" w:rsidTr="00420938">
        <w:trPr>
          <w:tblCellSpacing w:w="15" w:type="dxa"/>
        </w:trPr>
        <w:tc>
          <w:tcPr>
            <w:tcW w:w="0" w:type="auto"/>
            <w:hideMark/>
          </w:tcPr>
          <w:p w:rsidR="00420938" w:rsidRDefault="00420938">
            <w:pPr>
              <w:pStyle w:val="Bibliography"/>
              <w:rPr>
                <w:noProof/>
              </w:rPr>
            </w:pPr>
            <w:r>
              <w:rPr>
                <w:noProof/>
              </w:rPr>
              <w:t>86.</w:t>
            </w:r>
          </w:p>
        </w:tc>
        <w:tc>
          <w:tcPr>
            <w:tcW w:w="0" w:type="auto"/>
            <w:hideMark/>
          </w:tcPr>
          <w:p w:rsidR="00420938" w:rsidRDefault="00420938">
            <w:pPr>
              <w:pStyle w:val="Bibliography"/>
              <w:rPr>
                <w:noProof/>
              </w:rPr>
            </w:pPr>
            <w:r>
              <w:rPr>
                <w:noProof/>
              </w:rPr>
              <w:t xml:space="preserve">Yahata, M., Namera, A., Nishida, M., Yashiki, M., Kuramoto, T., Kimura, K. (2006) In-matrix derivatization and automated headspace solid-phase microextraction for GC-MS determination of amphetamine-related drugs in human hair. </w:t>
            </w:r>
            <w:r>
              <w:rPr>
                <w:i/>
                <w:iCs/>
                <w:noProof/>
              </w:rPr>
              <w:t>Forensic Toxicol.</w:t>
            </w:r>
            <w:r>
              <w:rPr>
                <w:noProof/>
              </w:rPr>
              <w:t xml:space="preserve"> </w:t>
            </w:r>
            <w:r>
              <w:rPr>
                <w:b/>
                <w:bCs/>
                <w:noProof/>
              </w:rPr>
              <w:t>24</w:t>
            </w:r>
            <w:r>
              <w:rPr>
                <w:noProof/>
              </w:rPr>
              <w:t>, 51-57.</w:t>
            </w:r>
          </w:p>
        </w:tc>
      </w:tr>
      <w:tr w:rsidR="00420938" w:rsidTr="00420938">
        <w:trPr>
          <w:tblCellSpacing w:w="15" w:type="dxa"/>
        </w:trPr>
        <w:tc>
          <w:tcPr>
            <w:tcW w:w="0" w:type="auto"/>
            <w:hideMark/>
          </w:tcPr>
          <w:p w:rsidR="00420938" w:rsidRDefault="00420938">
            <w:pPr>
              <w:pStyle w:val="Bibliography"/>
              <w:rPr>
                <w:noProof/>
              </w:rPr>
            </w:pPr>
            <w:r>
              <w:rPr>
                <w:noProof/>
              </w:rPr>
              <w:t>87.</w:t>
            </w:r>
          </w:p>
        </w:tc>
        <w:tc>
          <w:tcPr>
            <w:tcW w:w="0" w:type="auto"/>
            <w:hideMark/>
          </w:tcPr>
          <w:p w:rsidR="00420938" w:rsidRDefault="00420938">
            <w:pPr>
              <w:pStyle w:val="Bibliography"/>
              <w:rPr>
                <w:noProof/>
              </w:rPr>
            </w:pPr>
            <w:r>
              <w:rPr>
                <w:noProof/>
              </w:rPr>
              <w:t xml:space="preserve">Leis, H. J., Windischofer, W., Wintersteiger, R. (1994) Quantitative meansurement of amphetamine in human plasma by gas chromatography/negative ion chemical ionization mass spectrometry. </w:t>
            </w:r>
            <w:r>
              <w:rPr>
                <w:i/>
                <w:iCs/>
                <w:noProof/>
              </w:rPr>
              <w:t>Biol. Mass Spectrom.</w:t>
            </w:r>
            <w:r>
              <w:rPr>
                <w:noProof/>
              </w:rPr>
              <w:t xml:space="preserve"> </w:t>
            </w:r>
            <w:r>
              <w:rPr>
                <w:b/>
                <w:bCs/>
                <w:noProof/>
              </w:rPr>
              <w:t>23</w:t>
            </w:r>
            <w:r>
              <w:rPr>
                <w:noProof/>
              </w:rPr>
              <w:t>, 637-641.</w:t>
            </w:r>
          </w:p>
          <w:p w:rsidR="007F5CA3" w:rsidRPr="007F5CA3" w:rsidRDefault="007F5CA3" w:rsidP="007F5CA3"/>
        </w:tc>
      </w:tr>
      <w:tr w:rsidR="00420938" w:rsidTr="00420938">
        <w:trPr>
          <w:tblCellSpacing w:w="15" w:type="dxa"/>
        </w:trPr>
        <w:tc>
          <w:tcPr>
            <w:tcW w:w="0" w:type="auto"/>
            <w:hideMark/>
          </w:tcPr>
          <w:p w:rsidR="00420938" w:rsidRDefault="00420938">
            <w:pPr>
              <w:pStyle w:val="Bibliography"/>
              <w:rPr>
                <w:noProof/>
              </w:rPr>
            </w:pPr>
            <w:r>
              <w:rPr>
                <w:noProof/>
              </w:rPr>
              <w:t>88.</w:t>
            </w:r>
          </w:p>
        </w:tc>
        <w:tc>
          <w:tcPr>
            <w:tcW w:w="0" w:type="auto"/>
            <w:hideMark/>
          </w:tcPr>
          <w:p w:rsidR="00420938" w:rsidRDefault="00420938">
            <w:pPr>
              <w:pStyle w:val="Bibliography"/>
              <w:rPr>
                <w:noProof/>
              </w:rPr>
            </w:pPr>
            <w:r>
              <w:rPr>
                <w:noProof/>
              </w:rPr>
              <w:t xml:space="preserve">Uhl, M. (2000) Tandem mass spectrometry: a helpful tool in hair analysis for the forensic expert. </w:t>
            </w:r>
            <w:r>
              <w:rPr>
                <w:i/>
                <w:iCs/>
                <w:noProof/>
              </w:rPr>
              <w:t>Forensic Sci. Int.</w:t>
            </w:r>
            <w:r>
              <w:rPr>
                <w:noProof/>
              </w:rPr>
              <w:t xml:space="preserve"> </w:t>
            </w:r>
            <w:r>
              <w:rPr>
                <w:b/>
                <w:bCs/>
                <w:noProof/>
              </w:rPr>
              <w:t>107</w:t>
            </w:r>
            <w:r>
              <w:rPr>
                <w:noProof/>
              </w:rPr>
              <w:t>, 169-179.</w:t>
            </w:r>
          </w:p>
        </w:tc>
      </w:tr>
      <w:tr w:rsidR="00420938" w:rsidTr="00420938">
        <w:trPr>
          <w:tblCellSpacing w:w="15" w:type="dxa"/>
        </w:trPr>
        <w:tc>
          <w:tcPr>
            <w:tcW w:w="0" w:type="auto"/>
            <w:hideMark/>
          </w:tcPr>
          <w:p w:rsidR="00420938" w:rsidRDefault="00420938">
            <w:pPr>
              <w:pStyle w:val="Bibliography"/>
              <w:rPr>
                <w:noProof/>
              </w:rPr>
            </w:pPr>
            <w:r>
              <w:rPr>
                <w:noProof/>
              </w:rPr>
              <w:t>89.</w:t>
            </w:r>
          </w:p>
        </w:tc>
        <w:tc>
          <w:tcPr>
            <w:tcW w:w="0" w:type="auto"/>
            <w:hideMark/>
          </w:tcPr>
          <w:p w:rsidR="00420938" w:rsidRDefault="00420938">
            <w:pPr>
              <w:pStyle w:val="Bibliography"/>
              <w:rPr>
                <w:noProof/>
              </w:rPr>
            </w:pPr>
            <w:r>
              <w:rPr>
                <w:noProof/>
              </w:rPr>
              <w:t xml:space="preserve">Strano-Rossi, S., Botre, F., Bermejo, A. M., Tabernero, M. J. (2009) A rapid method for the extraction, enantiomeric separation and quantification of amphetamines in hair. </w:t>
            </w:r>
            <w:r>
              <w:rPr>
                <w:i/>
                <w:iCs/>
                <w:noProof/>
              </w:rPr>
              <w:t>Forensic Sci. Int.</w:t>
            </w:r>
            <w:r>
              <w:rPr>
                <w:b/>
                <w:bCs/>
                <w:noProof/>
              </w:rPr>
              <w:t>(193)</w:t>
            </w:r>
            <w:r>
              <w:rPr>
                <w:noProof/>
              </w:rPr>
              <w:t>.</w:t>
            </w:r>
          </w:p>
        </w:tc>
      </w:tr>
      <w:tr w:rsidR="00420938" w:rsidTr="00420938">
        <w:trPr>
          <w:tblCellSpacing w:w="15" w:type="dxa"/>
        </w:trPr>
        <w:tc>
          <w:tcPr>
            <w:tcW w:w="0" w:type="auto"/>
            <w:hideMark/>
          </w:tcPr>
          <w:p w:rsidR="00420938" w:rsidRDefault="00420938">
            <w:pPr>
              <w:pStyle w:val="Bibliography"/>
              <w:rPr>
                <w:noProof/>
              </w:rPr>
            </w:pPr>
            <w:r>
              <w:rPr>
                <w:noProof/>
              </w:rPr>
              <w:t>90.</w:t>
            </w:r>
          </w:p>
        </w:tc>
        <w:tc>
          <w:tcPr>
            <w:tcW w:w="0" w:type="auto"/>
            <w:hideMark/>
          </w:tcPr>
          <w:p w:rsidR="00420938" w:rsidRDefault="00420938">
            <w:pPr>
              <w:pStyle w:val="Bibliography"/>
              <w:rPr>
                <w:noProof/>
              </w:rPr>
            </w:pPr>
            <w:r>
              <w:rPr>
                <w:noProof/>
              </w:rPr>
              <w:t xml:space="preserve">Maurer, H. H. (2007) Current role of liquid chromatography–mass spectrometry in clinical and forensic toxicology. </w:t>
            </w:r>
            <w:r>
              <w:rPr>
                <w:i/>
                <w:iCs/>
                <w:noProof/>
              </w:rPr>
              <w:t>Anal. Bional. Chem.</w:t>
            </w:r>
            <w:r>
              <w:rPr>
                <w:noProof/>
              </w:rPr>
              <w:t xml:space="preserve"> </w:t>
            </w:r>
            <w:r>
              <w:rPr>
                <w:b/>
                <w:bCs/>
                <w:noProof/>
              </w:rPr>
              <w:t>388</w:t>
            </w:r>
            <w:r>
              <w:rPr>
                <w:noProof/>
              </w:rPr>
              <w:t>, 1315-1325.</w:t>
            </w:r>
          </w:p>
        </w:tc>
      </w:tr>
      <w:tr w:rsidR="00420938" w:rsidTr="00420938">
        <w:trPr>
          <w:tblCellSpacing w:w="15" w:type="dxa"/>
        </w:trPr>
        <w:tc>
          <w:tcPr>
            <w:tcW w:w="0" w:type="auto"/>
            <w:hideMark/>
          </w:tcPr>
          <w:p w:rsidR="00420938" w:rsidRDefault="00420938">
            <w:pPr>
              <w:pStyle w:val="Bibliography"/>
              <w:rPr>
                <w:noProof/>
              </w:rPr>
            </w:pPr>
            <w:r>
              <w:rPr>
                <w:noProof/>
              </w:rPr>
              <w:t>91.</w:t>
            </w:r>
          </w:p>
        </w:tc>
        <w:tc>
          <w:tcPr>
            <w:tcW w:w="0" w:type="auto"/>
            <w:hideMark/>
          </w:tcPr>
          <w:p w:rsidR="00420938" w:rsidRDefault="00420938">
            <w:pPr>
              <w:pStyle w:val="Bibliography"/>
              <w:rPr>
                <w:noProof/>
              </w:rPr>
            </w:pPr>
            <w:r>
              <w:rPr>
                <w:noProof/>
              </w:rPr>
              <w:t xml:space="preserve">Kolliker, S., Oehme, M. (2004) Structure elucidation of nanogram quantities of unknown designer drugs based on phenalkylamine derivatives by ion trap multiple mass spectrometry. </w:t>
            </w:r>
            <w:r>
              <w:rPr>
                <w:i/>
                <w:iCs/>
                <w:noProof/>
              </w:rPr>
              <w:t>Anal. Bioanal. Chem.</w:t>
            </w:r>
            <w:r>
              <w:rPr>
                <w:noProof/>
              </w:rPr>
              <w:t xml:space="preserve"> </w:t>
            </w:r>
            <w:r>
              <w:rPr>
                <w:b/>
                <w:bCs/>
                <w:noProof/>
              </w:rPr>
              <w:t>378</w:t>
            </w:r>
            <w:r>
              <w:rPr>
                <w:noProof/>
              </w:rPr>
              <w:t>, 1294-1304.</w:t>
            </w:r>
          </w:p>
        </w:tc>
      </w:tr>
      <w:tr w:rsidR="00420938" w:rsidTr="00420938">
        <w:trPr>
          <w:tblCellSpacing w:w="15" w:type="dxa"/>
        </w:trPr>
        <w:tc>
          <w:tcPr>
            <w:tcW w:w="0" w:type="auto"/>
            <w:hideMark/>
          </w:tcPr>
          <w:p w:rsidR="00420938" w:rsidRDefault="00420938">
            <w:pPr>
              <w:pStyle w:val="Bibliography"/>
              <w:rPr>
                <w:noProof/>
              </w:rPr>
            </w:pPr>
            <w:r>
              <w:rPr>
                <w:noProof/>
              </w:rPr>
              <w:t>92.</w:t>
            </w:r>
          </w:p>
        </w:tc>
        <w:tc>
          <w:tcPr>
            <w:tcW w:w="0" w:type="auto"/>
            <w:hideMark/>
          </w:tcPr>
          <w:p w:rsidR="00420938" w:rsidRDefault="00420938">
            <w:pPr>
              <w:pStyle w:val="Bibliography"/>
              <w:rPr>
                <w:noProof/>
              </w:rPr>
            </w:pPr>
            <w:r>
              <w:rPr>
                <w:noProof/>
              </w:rPr>
              <w:t xml:space="preserve">Concheiro, M., de Castro, A., Quintela, O., Cruz, A., Lopez-Rivadulla, M. (2007) Determination of illicit drugs and their metabolites in human urine by liquid chromatography tandem mass spectrometry including relative ion intensity criterion. </w:t>
            </w:r>
            <w:r>
              <w:rPr>
                <w:i/>
                <w:iCs/>
                <w:noProof/>
              </w:rPr>
              <w:t>J. Anal. Toxicol.</w:t>
            </w:r>
            <w:r>
              <w:rPr>
                <w:noProof/>
              </w:rPr>
              <w:t xml:space="preserve"> </w:t>
            </w:r>
            <w:r>
              <w:rPr>
                <w:b/>
                <w:bCs/>
                <w:noProof/>
              </w:rPr>
              <w:t>31</w:t>
            </w:r>
            <w:r>
              <w:rPr>
                <w:noProof/>
              </w:rPr>
              <w:t>, 573-580.</w:t>
            </w:r>
          </w:p>
        </w:tc>
      </w:tr>
      <w:tr w:rsidR="00420938" w:rsidTr="00420938">
        <w:trPr>
          <w:tblCellSpacing w:w="15" w:type="dxa"/>
        </w:trPr>
        <w:tc>
          <w:tcPr>
            <w:tcW w:w="0" w:type="auto"/>
            <w:hideMark/>
          </w:tcPr>
          <w:p w:rsidR="00420938" w:rsidRDefault="00420938">
            <w:pPr>
              <w:pStyle w:val="Bibliography"/>
              <w:rPr>
                <w:noProof/>
              </w:rPr>
            </w:pPr>
            <w:r>
              <w:rPr>
                <w:noProof/>
              </w:rPr>
              <w:t>93.</w:t>
            </w:r>
          </w:p>
        </w:tc>
        <w:tc>
          <w:tcPr>
            <w:tcW w:w="0" w:type="auto"/>
            <w:hideMark/>
          </w:tcPr>
          <w:p w:rsidR="00420938" w:rsidRDefault="00420938">
            <w:pPr>
              <w:pStyle w:val="Bibliography"/>
              <w:rPr>
                <w:noProof/>
              </w:rPr>
            </w:pPr>
            <w:r>
              <w:rPr>
                <w:noProof/>
              </w:rPr>
              <w:t xml:space="preserve">Mortier, K. A., Dams, R., Lambert, W. E., de Letter, E. A., van Calenbergh, S., de Leenheer, A. P. (2002) Determination of paramethoxyampheatmine and other amphetamine-related designer drugs by liquid chromatography/sonic spray ionization mass spectrometry. </w:t>
            </w:r>
            <w:r>
              <w:rPr>
                <w:i/>
                <w:iCs/>
                <w:noProof/>
              </w:rPr>
              <w:t>Rapid Comm. Mass Spectrom.</w:t>
            </w:r>
            <w:r>
              <w:rPr>
                <w:noProof/>
              </w:rPr>
              <w:t xml:space="preserve"> </w:t>
            </w:r>
            <w:r>
              <w:rPr>
                <w:b/>
                <w:bCs/>
                <w:noProof/>
              </w:rPr>
              <w:t>16</w:t>
            </w:r>
            <w:r>
              <w:rPr>
                <w:noProof/>
              </w:rPr>
              <w:t>, 865-870.</w:t>
            </w:r>
          </w:p>
        </w:tc>
      </w:tr>
      <w:tr w:rsidR="00420938" w:rsidTr="00420938">
        <w:trPr>
          <w:tblCellSpacing w:w="15" w:type="dxa"/>
        </w:trPr>
        <w:tc>
          <w:tcPr>
            <w:tcW w:w="0" w:type="auto"/>
            <w:hideMark/>
          </w:tcPr>
          <w:p w:rsidR="00420938" w:rsidRDefault="00420938">
            <w:pPr>
              <w:pStyle w:val="Bibliography"/>
              <w:rPr>
                <w:noProof/>
              </w:rPr>
            </w:pPr>
            <w:r>
              <w:rPr>
                <w:noProof/>
              </w:rPr>
              <w:t>94.</w:t>
            </w:r>
          </w:p>
        </w:tc>
        <w:tc>
          <w:tcPr>
            <w:tcW w:w="0" w:type="auto"/>
            <w:hideMark/>
          </w:tcPr>
          <w:p w:rsidR="00420938" w:rsidRDefault="00420938">
            <w:pPr>
              <w:pStyle w:val="Bibliography"/>
              <w:rPr>
                <w:noProof/>
              </w:rPr>
            </w:pPr>
            <w:r>
              <w:rPr>
                <w:noProof/>
              </w:rPr>
              <w:t xml:space="preserve">Nieddu, M., Boatto, G., Pirisi, M. A., Azara, E., Marchetti, M. (2008) LC-MS analysis of trimethoxyamphetamine designer drugs (TMA series) from urine samples. </w:t>
            </w:r>
            <w:r>
              <w:rPr>
                <w:i/>
                <w:iCs/>
                <w:noProof/>
              </w:rPr>
              <w:t>J. Chromatogr. B</w:t>
            </w:r>
            <w:r>
              <w:rPr>
                <w:noProof/>
              </w:rPr>
              <w:t xml:space="preserve"> </w:t>
            </w:r>
            <w:r>
              <w:rPr>
                <w:b/>
                <w:bCs/>
                <w:noProof/>
              </w:rPr>
              <w:t>867</w:t>
            </w:r>
            <w:r>
              <w:rPr>
                <w:noProof/>
              </w:rPr>
              <w:t>, 126-130.</w:t>
            </w:r>
          </w:p>
        </w:tc>
      </w:tr>
      <w:tr w:rsidR="00420938" w:rsidTr="00420938">
        <w:trPr>
          <w:tblCellSpacing w:w="15" w:type="dxa"/>
        </w:trPr>
        <w:tc>
          <w:tcPr>
            <w:tcW w:w="0" w:type="auto"/>
            <w:hideMark/>
          </w:tcPr>
          <w:p w:rsidR="00420938" w:rsidRDefault="00420938">
            <w:pPr>
              <w:pStyle w:val="Bibliography"/>
              <w:rPr>
                <w:noProof/>
              </w:rPr>
            </w:pPr>
            <w:r>
              <w:rPr>
                <w:noProof/>
              </w:rPr>
              <w:t>95.</w:t>
            </w:r>
          </w:p>
        </w:tc>
        <w:tc>
          <w:tcPr>
            <w:tcW w:w="0" w:type="auto"/>
            <w:hideMark/>
          </w:tcPr>
          <w:p w:rsidR="00420938" w:rsidRDefault="00420938">
            <w:pPr>
              <w:pStyle w:val="Bibliography"/>
              <w:rPr>
                <w:noProof/>
              </w:rPr>
            </w:pPr>
            <w:r>
              <w:rPr>
                <w:noProof/>
              </w:rPr>
              <w:t xml:space="preserve">Sturm, S., Hammann, F., Drewe, J., Maurer, H. H., Scholer, A. (2010) An automated screening method for drugs and toxic compounds in human serum and urine using liquid chromatography-tandem mass spectrometry. </w:t>
            </w:r>
            <w:r>
              <w:rPr>
                <w:i/>
                <w:iCs/>
                <w:noProof/>
              </w:rPr>
              <w:t>J. Chromatogr. B</w:t>
            </w:r>
            <w:r>
              <w:rPr>
                <w:noProof/>
              </w:rPr>
              <w:t xml:space="preserve"> </w:t>
            </w:r>
            <w:r>
              <w:rPr>
                <w:b/>
                <w:bCs/>
                <w:noProof/>
              </w:rPr>
              <w:t>878</w:t>
            </w:r>
            <w:r>
              <w:rPr>
                <w:noProof/>
              </w:rPr>
              <w:t>, 2726-2732.</w:t>
            </w:r>
          </w:p>
        </w:tc>
      </w:tr>
      <w:tr w:rsidR="00420938" w:rsidTr="00420938">
        <w:trPr>
          <w:tblCellSpacing w:w="15" w:type="dxa"/>
        </w:trPr>
        <w:tc>
          <w:tcPr>
            <w:tcW w:w="0" w:type="auto"/>
            <w:hideMark/>
          </w:tcPr>
          <w:p w:rsidR="00420938" w:rsidRDefault="00420938">
            <w:pPr>
              <w:pStyle w:val="Bibliography"/>
              <w:rPr>
                <w:noProof/>
              </w:rPr>
            </w:pPr>
            <w:r>
              <w:rPr>
                <w:noProof/>
              </w:rPr>
              <w:t>96.</w:t>
            </w:r>
          </w:p>
        </w:tc>
        <w:tc>
          <w:tcPr>
            <w:tcW w:w="0" w:type="auto"/>
            <w:hideMark/>
          </w:tcPr>
          <w:p w:rsidR="00420938" w:rsidRDefault="00420938">
            <w:pPr>
              <w:pStyle w:val="Bibliography"/>
              <w:rPr>
                <w:noProof/>
              </w:rPr>
            </w:pPr>
            <w:r>
              <w:rPr>
                <w:noProof/>
              </w:rPr>
              <w:t xml:space="preserve">Vorce, S. P., Sklerov, J. H. (2004) A general screening and confirmation approach to the analysis of designer tryptamines and phenethylamines in blood and urine using GC-EI-MS and HPLC-electrospray-MS. </w:t>
            </w:r>
            <w:r>
              <w:rPr>
                <w:i/>
                <w:iCs/>
                <w:noProof/>
              </w:rPr>
              <w:t>J. Anal. Toxicol.</w:t>
            </w:r>
            <w:r>
              <w:rPr>
                <w:noProof/>
              </w:rPr>
              <w:t xml:space="preserve"> </w:t>
            </w:r>
            <w:r>
              <w:rPr>
                <w:b/>
                <w:bCs/>
                <w:noProof/>
              </w:rPr>
              <w:t>28</w:t>
            </w:r>
            <w:r>
              <w:rPr>
                <w:noProof/>
              </w:rPr>
              <w:t>, 407-410.</w:t>
            </w:r>
          </w:p>
        </w:tc>
      </w:tr>
      <w:tr w:rsidR="00420938" w:rsidTr="00420938">
        <w:trPr>
          <w:tblCellSpacing w:w="15" w:type="dxa"/>
        </w:trPr>
        <w:tc>
          <w:tcPr>
            <w:tcW w:w="0" w:type="auto"/>
            <w:hideMark/>
          </w:tcPr>
          <w:p w:rsidR="00420938" w:rsidRDefault="00420938">
            <w:pPr>
              <w:pStyle w:val="Bibliography"/>
              <w:rPr>
                <w:noProof/>
              </w:rPr>
            </w:pPr>
            <w:r>
              <w:rPr>
                <w:noProof/>
              </w:rPr>
              <w:t>97.</w:t>
            </w:r>
          </w:p>
        </w:tc>
        <w:tc>
          <w:tcPr>
            <w:tcW w:w="0" w:type="auto"/>
            <w:hideMark/>
          </w:tcPr>
          <w:p w:rsidR="00420938" w:rsidRDefault="00420938">
            <w:pPr>
              <w:pStyle w:val="Bibliography"/>
              <w:rPr>
                <w:noProof/>
              </w:rPr>
            </w:pPr>
            <w:r>
              <w:rPr>
                <w:noProof/>
              </w:rPr>
              <w:t xml:space="preserve">Nordgren, H. K., Beck, O. (2004) Multicomponent screenings for drugs of abuse. </w:t>
            </w:r>
            <w:r>
              <w:rPr>
                <w:i/>
                <w:iCs/>
                <w:noProof/>
              </w:rPr>
              <w:t>Ther. Drug Monit.</w:t>
            </w:r>
            <w:r>
              <w:rPr>
                <w:noProof/>
              </w:rPr>
              <w:t xml:space="preserve"> </w:t>
            </w:r>
            <w:r>
              <w:rPr>
                <w:b/>
                <w:bCs/>
                <w:noProof/>
              </w:rPr>
              <w:t>26</w:t>
            </w:r>
            <w:r>
              <w:rPr>
                <w:noProof/>
              </w:rPr>
              <w:t>, 90-97.</w:t>
            </w:r>
          </w:p>
        </w:tc>
      </w:tr>
      <w:tr w:rsidR="00420938" w:rsidTr="00420938">
        <w:trPr>
          <w:tblCellSpacing w:w="15" w:type="dxa"/>
        </w:trPr>
        <w:tc>
          <w:tcPr>
            <w:tcW w:w="0" w:type="auto"/>
            <w:hideMark/>
          </w:tcPr>
          <w:p w:rsidR="00420938" w:rsidRDefault="00420938">
            <w:pPr>
              <w:pStyle w:val="Bibliography"/>
              <w:rPr>
                <w:noProof/>
              </w:rPr>
            </w:pPr>
            <w:r>
              <w:rPr>
                <w:noProof/>
              </w:rPr>
              <w:t>98.</w:t>
            </w:r>
          </w:p>
        </w:tc>
        <w:tc>
          <w:tcPr>
            <w:tcW w:w="0" w:type="auto"/>
            <w:hideMark/>
          </w:tcPr>
          <w:p w:rsidR="00420938" w:rsidRDefault="00420938">
            <w:pPr>
              <w:pStyle w:val="Bibliography"/>
              <w:rPr>
                <w:noProof/>
              </w:rPr>
            </w:pPr>
            <w:r>
              <w:rPr>
                <w:noProof/>
              </w:rPr>
              <w:t xml:space="preserve">Kikura-Hanajiri, R., Hayashi, M., Saisho, K., Goda, Y. (2005) Simultaneous determination of nineteen hallucinogenic tryptamines/b-calbolines and phenethylamines using gas chromatography-mass spectrometry and liquid chromatography-electrospray ionization-mass spectrometry. </w:t>
            </w:r>
            <w:r>
              <w:rPr>
                <w:i/>
                <w:iCs/>
                <w:noProof/>
              </w:rPr>
              <w:t>J. Chromatogr. B</w:t>
            </w:r>
            <w:r>
              <w:rPr>
                <w:noProof/>
              </w:rPr>
              <w:t xml:space="preserve"> </w:t>
            </w:r>
            <w:r>
              <w:rPr>
                <w:b/>
                <w:bCs/>
                <w:noProof/>
              </w:rPr>
              <w:t>825</w:t>
            </w:r>
            <w:r>
              <w:rPr>
                <w:noProof/>
              </w:rPr>
              <w:t>, 29-37.</w:t>
            </w:r>
          </w:p>
        </w:tc>
      </w:tr>
      <w:tr w:rsidR="00420938" w:rsidTr="00420938">
        <w:trPr>
          <w:tblCellSpacing w:w="15" w:type="dxa"/>
        </w:trPr>
        <w:tc>
          <w:tcPr>
            <w:tcW w:w="0" w:type="auto"/>
            <w:hideMark/>
          </w:tcPr>
          <w:p w:rsidR="00420938" w:rsidRDefault="00420938">
            <w:pPr>
              <w:pStyle w:val="Bibliography"/>
              <w:rPr>
                <w:noProof/>
              </w:rPr>
            </w:pPr>
            <w:r>
              <w:rPr>
                <w:noProof/>
              </w:rPr>
              <w:t>99.</w:t>
            </w:r>
          </w:p>
        </w:tc>
        <w:tc>
          <w:tcPr>
            <w:tcW w:w="0" w:type="auto"/>
            <w:hideMark/>
          </w:tcPr>
          <w:p w:rsidR="00420938" w:rsidRDefault="00420938">
            <w:pPr>
              <w:pStyle w:val="Bibliography"/>
              <w:rPr>
                <w:noProof/>
              </w:rPr>
            </w:pPr>
            <w:r>
              <w:rPr>
                <w:noProof/>
              </w:rPr>
              <w:t xml:space="preserve">Pichini, S., Pujadas, M., Marchei, E., Pellegrini, M., Fiz, J., Pacifici, R., Zuccaro, P., Farre, M., de la Torre, R. (2008) Liquid chromatography-atmospheric pressure ionization electrospray mass spectrometry determination of "hallucinogenic designer drugs" in urine of consumers. </w:t>
            </w:r>
            <w:r>
              <w:rPr>
                <w:i/>
                <w:iCs/>
                <w:noProof/>
              </w:rPr>
              <w:t>J. Pharm. Biomed. Analysis</w:t>
            </w:r>
            <w:r>
              <w:rPr>
                <w:noProof/>
              </w:rPr>
              <w:t xml:space="preserve"> </w:t>
            </w:r>
            <w:r>
              <w:rPr>
                <w:b/>
                <w:bCs/>
                <w:noProof/>
              </w:rPr>
              <w:t>47</w:t>
            </w:r>
            <w:r>
              <w:rPr>
                <w:noProof/>
              </w:rPr>
              <w:t>, 335-342.</w:t>
            </w:r>
          </w:p>
        </w:tc>
      </w:tr>
      <w:tr w:rsidR="00420938" w:rsidTr="00420938">
        <w:trPr>
          <w:tblCellSpacing w:w="15" w:type="dxa"/>
        </w:trPr>
        <w:tc>
          <w:tcPr>
            <w:tcW w:w="0" w:type="auto"/>
            <w:hideMark/>
          </w:tcPr>
          <w:p w:rsidR="00420938" w:rsidRDefault="00420938">
            <w:pPr>
              <w:pStyle w:val="Bibliography"/>
              <w:rPr>
                <w:noProof/>
              </w:rPr>
            </w:pPr>
            <w:r>
              <w:rPr>
                <w:noProof/>
              </w:rPr>
              <w:t>100.</w:t>
            </w:r>
          </w:p>
        </w:tc>
        <w:tc>
          <w:tcPr>
            <w:tcW w:w="0" w:type="auto"/>
            <w:hideMark/>
          </w:tcPr>
          <w:p w:rsidR="00420938" w:rsidRDefault="00420938">
            <w:pPr>
              <w:pStyle w:val="Bibliography"/>
              <w:rPr>
                <w:noProof/>
              </w:rPr>
            </w:pPr>
            <w:r>
              <w:rPr>
                <w:noProof/>
              </w:rPr>
              <w:t xml:space="preserve">van de Casteele, S. R., Bouche, M. L., van Bocxlaer, J. F. (2005) LC-MS/MS in the elucidation of an isomer of the recreational drug methylenedioxy ethylamphetamine: methylenedioxy dimethylamphetamine. </w:t>
            </w:r>
            <w:r>
              <w:rPr>
                <w:i/>
                <w:iCs/>
                <w:noProof/>
              </w:rPr>
              <w:t>J. Sep. Sci.</w:t>
            </w:r>
            <w:r>
              <w:rPr>
                <w:noProof/>
              </w:rPr>
              <w:t xml:space="preserve"> </w:t>
            </w:r>
            <w:r>
              <w:rPr>
                <w:b/>
                <w:bCs/>
                <w:noProof/>
              </w:rPr>
              <w:t>28</w:t>
            </w:r>
            <w:r>
              <w:rPr>
                <w:noProof/>
              </w:rPr>
              <w:t>, 1729-1734.</w:t>
            </w:r>
          </w:p>
        </w:tc>
      </w:tr>
      <w:tr w:rsidR="00420938" w:rsidTr="00420938">
        <w:trPr>
          <w:tblCellSpacing w:w="15" w:type="dxa"/>
        </w:trPr>
        <w:tc>
          <w:tcPr>
            <w:tcW w:w="0" w:type="auto"/>
            <w:hideMark/>
          </w:tcPr>
          <w:p w:rsidR="00420938" w:rsidRDefault="00420938">
            <w:pPr>
              <w:pStyle w:val="Bibliography"/>
              <w:rPr>
                <w:noProof/>
              </w:rPr>
            </w:pPr>
            <w:r>
              <w:rPr>
                <w:noProof/>
              </w:rPr>
              <w:t>101.</w:t>
            </w:r>
          </w:p>
        </w:tc>
        <w:tc>
          <w:tcPr>
            <w:tcW w:w="0" w:type="auto"/>
            <w:hideMark/>
          </w:tcPr>
          <w:p w:rsidR="00420938" w:rsidRDefault="00420938">
            <w:pPr>
              <w:pStyle w:val="Bibliography"/>
              <w:rPr>
                <w:noProof/>
              </w:rPr>
            </w:pPr>
            <w:r>
              <w:rPr>
                <w:noProof/>
              </w:rPr>
              <w:t xml:space="preserve">Menet, M., Fonsart, J., Herve, F., Fompeydie, D., Gaillot-Guilley, M., Noble, F., Schermann, J. (2010) Determination of 3,4-methylenedioxymethamphetamine and its five main metabolites in rat urine by solid-phase extraction and high performance liquid chromatography with on-line mass spectrometry. </w:t>
            </w:r>
            <w:r>
              <w:rPr>
                <w:i/>
                <w:iCs/>
                <w:noProof/>
              </w:rPr>
              <w:t>J. Chromatogr. B</w:t>
            </w:r>
            <w:r>
              <w:rPr>
                <w:noProof/>
              </w:rPr>
              <w:t xml:space="preserve"> </w:t>
            </w:r>
            <w:r>
              <w:rPr>
                <w:b/>
                <w:bCs/>
                <w:noProof/>
              </w:rPr>
              <w:t>878</w:t>
            </w:r>
            <w:r>
              <w:rPr>
                <w:noProof/>
              </w:rPr>
              <w:t>, 2905-2910.</w:t>
            </w:r>
          </w:p>
        </w:tc>
      </w:tr>
      <w:tr w:rsidR="00420938" w:rsidTr="00420938">
        <w:trPr>
          <w:tblCellSpacing w:w="15" w:type="dxa"/>
        </w:trPr>
        <w:tc>
          <w:tcPr>
            <w:tcW w:w="0" w:type="auto"/>
            <w:hideMark/>
          </w:tcPr>
          <w:p w:rsidR="00420938" w:rsidRDefault="00420938">
            <w:pPr>
              <w:pStyle w:val="Bibliography"/>
              <w:rPr>
                <w:noProof/>
              </w:rPr>
            </w:pPr>
            <w:r>
              <w:rPr>
                <w:noProof/>
              </w:rPr>
              <w:t>102.</w:t>
            </w:r>
          </w:p>
        </w:tc>
        <w:tc>
          <w:tcPr>
            <w:tcW w:w="0" w:type="auto"/>
            <w:hideMark/>
          </w:tcPr>
          <w:p w:rsidR="00420938" w:rsidRDefault="00420938">
            <w:pPr>
              <w:pStyle w:val="Bibliography"/>
              <w:rPr>
                <w:noProof/>
              </w:rPr>
            </w:pPr>
            <w:r>
              <w:rPr>
                <w:noProof/>
              </w:rPr>
              <w:t xml:space="preserve">Meyer, M. R., Du, P., Schuster, F., Maurer, H. H. (2010) Studies on the metabolism of the alpha-pyrrolidinophenone designer drug MDPV in rat and human urine and human liver microsomes using GC-MS and LC-high resolution MS and its detectability in urine by GC-MS. </w:t>
            </w:r>
            <w:r>
              <w:rPr>
                <w:i/>
                <w:iCs/>
                <w:noProof/>
              </w:rPr>
              <w:t>J. Mass Spectrom.</w:t>
            </w:r>
            <w:r>
              <w:rPr>
                <w:noProof/>
              </w:rPr>
              <w:t xml:space="preserve"> </w:t>
            </w:r>
            <w:r>
              <w:rPr>
                <w:b/>
                <w:bCs/>
                <w:noProof/>
              </w:rPr>
              <w:t>45</w:t>
            </w:r>
            <w:r>
              <w:rPr>
                <w:noProof/>
              </w:rPr>
              <w:t>, 1426-1442.</w:t>
            </w:r>
          </w:p>
        </w:tc>
      </w:tr>
      <w:tr w:rsidR="00420938" w:rsidTr="00420938">
        <w:trPr>
          <w:tblCellSpacing w:w="15" w:type="dxa"/>
        </w:trPr>
        <w:tc>
          <w:tcPr>
            <w:tcW w:w="0" w:type="auto"/>
            <w:hideMark/>
          </w:tcPr>
          <w:p w:rsidR="00420938" w:rsidRDefault="00420938">
            <w:pPr>
              <w:pStyle w:val="Bibliography"/>
              <w:rPr>
                <w:noProof/>
              </w:rPr>
            </w:pPr>
            <w:r>
              <w:rPr>
                <w:noProof/>
              </w:rPr>
              <w:t>103.</w:t>
            </w:r>
          </w:p>
        </w:tc>
        <w:tc>
          <w:tcPr>
            <w:tcW w:w="0" w:type="auto"/>
            <w:hideMark/>
          </w:tcPr>
          <w:p w:rsidR="00420938" w:rsidRDefault="00420938">
            <w:pPr>
              <w:pStyle w:val="Bibliography"/>
              <w:rPr>
                <w:noProof/>
              </w:rPr>
            </w:pPr>
            <w:r>
              <w:rPr>
                <w:noProof/>
              </w:rPr>
              <w:t xml:space="preserve">Min, J. Z., Shimizu, Y., Toyo'oka, T., Inagaki, S., Kikura-Hanajiri, R., Goda, Y. (2008) Simultaneous determination of 11 designated hallucinogenic phenethylamines by ultra-fast liquid chromatography with fluorescence detection. </w:t>
            </w:r>
            <w:r>
              <w:rPr>
                <w:i/>
                <w:iCs/>
                <w:noProof/>
              </w:rPr>
              <w:t>J. Chromatogr. B</w:t>
            </w:r>
            <w:r>
              <w:rPr>
                <w:noProof/>
              </w:rPr>
              <w:t xml:space="preserve"> </w:t>
            </w:r>
            <w:r>
              <w:rPr>
                <w:b/>
                <w:bCs/>
                <w:noProof/>
              </w:rPr>
              <w:t>873</w:t>
            </w:r>
            <w:r>
              <w:rPr>
                <w:noProof/>
              </w:rPr>
              <w:t>, 187-194.</w:t>
            </w:r>
          </w:p>
        </w:tc>
      </w:tr>
      <w:tr w:rsidR="00420938" w:rsidTr="00420938">
        <w:trPr>
          <w:tblCellSpacing w:w="15" w:type="dxa"/>
        </w:trPr>
        <w:tc>
          <w:tcPr>
            <w:tcW w:w="0" w:type="auto"/>
            <w:hideMark/>
          </w:tcPr>
          <w:p w:rsidR="00420938" w:rsidRDefault="00420938">
            <w:pPr>
              <w:pStyle w:val="Bibliography"/>
              <w:rPr>
                <w:noProof/>
              </w:rPr>
            </w:pPr>
            <w:r>
              <w:rPr>
                <w:noProof/>
              </w:rPr>
              <w:t>104.</w:t>
            </w:r>
          </w:p>
        </w:tc>
        <w:tc>
          <w:tcPr>
            <w:tcW w:w="0" w:type="auto"/>
            <w:hideMark/>
          </w:tcPr>
          <w:p w:rsidR="00420938" w:rsidRDefault="00420938">
            <w:pPr>
              <w:pStyle w:val="Bibliography"/>
              <w:rPr>
                <w:noProof/>
              </w:rPr>
            </w:pPr>
            <w:r>
              <w:rPr>
                <w:noProof/>
              </w:rPr>
              <w:t xml:space="preserve">Nieddu, M., Boatto, G., Pirisi, M. A., Baralla, E. (2009) Multi-residue analysis of eight thioamphetamine designer drugs in human urine by liquid chromatography/mass spectrometry. </w:t>
            </w:r>
            <w:r>
              <w:rPr>
                <w:i/>
                <w:iCs/>
                <w:noProof/>
              </w:rPr>
              <w:t>Rapid Comm. Mass Spectrom.</w:t>
            </w:r>
            <w:r>
              <w:rPr>
                <w:noProof/>
              </w:rPr>
              <w:t xml:space="preserve"> </w:t>
            </w:r>
            <w:r>
              <w:rPr>
                <w:b/>
                <w:bCs/>
                <w:noProof/>
              </w:rPr>
              <w:t>23</w:t>
            </w:r>
            <w:r>
              <w:rPr>
                <w:noProof/>
              </w:rPr>
              <w:t>, 3051-3056.</w:t>
            </w:r>
          </w:p>
        </w:tc>
      </w:tr>
      <w:tr w:rsidR="00420938" w:rsidTr="00420938">
        <w:trPr>
          <w:tblCellSpacing w:w="15" w:type="dxa"/>
        </w:trPr>
        <w:tc>
          <w:tcPr>
            <w:tcW w:w="0" w:type="auto"/>
            <w:hideMark/>
          </w:tcPr>
          <w:p w:rsidR="00420938" w:rsidRDefault="00420938">
            <w:pPr>
              <w:pStyle w:val="Bibliography"/>
              <w:rPr>
                <w:noProof/>
              </w:rPr>
            </w:pPr>
            <w:r>
              <w:rPr>
                <w:noProof/>
              </w:rPr>
              <w:t>105.</w:t>
            </w:r>
          </w:p>
        </w:tc>
        <w:tc>
          <w:tcPr>
            <w:tcW w:w="0" w:type="auto"/>
            <w:hideMark/>
          </w:tcPr>
          <w:p w:rsidR="00420938" w:rsidRDefault="00420938">
            <w:pPr>
              <w:pStyle w:val="Bibliography"/>
              <w:rPr>
                <w:noProof/>
              </w:rPr>
            </w:pPr>
            <w:r>
              <w:rPr>
                <w:noProof/>
              </w:rPr>
              <w:t xml:space="preserve">Blachut, D., Wojtasiewicz, K., Czarnocki, Z., Szukalski, B. (2009) The analytical profile of some 4-methylthioamphetamine (4-MTA) homologues. </w:t>
            </w:r>
            <w:r>
              <w:rPr>
                <w:i/>
                <w:iCs/>
                <w:noProof/>
              </w:rPr>
              <w:t>Forensic Sci. Int.</w:t>
            </w:r>
            <w:r>
              <w:rPr>
                <w:noProof/>
              </w:rPr>
              <w:t xml:space="preserve"> </w:t>
            </w:r>
            <w:r>
              <w:rPr>
                <w:b/>
                <w:bCs/>
                <w:noProof/>
              </w:rPr>
              <w:t>2009</w:t>
            </w:r>
            <w:r>
              <w:rPr>
                <w:noProof/>
              </w:rPr>
              <w:t>, 98-114.</w:t>
            </w:r>
          </w:p>
          <w:p w:rsidR="007F5CA3" w:rsidRPr="007F5CA3" w:rsidRDefault="007F5CA3" w:rsidP="007F5CA3"/>
        </w:tc>
      </w:tr>
      <w:tr w:rsidR="00420938" w:rsidTr="00420938">
        <w:trPr>
          <w:tblCellSpacing w:w="15" w:type="dxa"/>
        </w:trPr>
        <w:tc>
          <w:tcPr>
            <w:tcW w:w="0" w:type="auto"/>
            <w:hideMark/>
          </w:tcPr>
          <w:p w:rsidR="00420938" w:rsidRDefault="00420938">
            <w:pPr>
              <w:pStyle w:val="Bibliography"/>
              <w:rPr>
                <w:noProof/>
              </w:rPr>
            </w:pPr>
            <w:r>
              <w:rPr>
                <w:noProof/>
              </w:rPr>
              <w:t>106.</w:t>
            </w:r>
          </w:p>
        </w:tc>
        <w:tc>
          <w:tcPr>
            <w:tcW w:w="0" w:type="auto"/>
            <w:hideMark/>
          </w:tcPr>
          <w:p w:rsidR="00420938" w:rsidRDefault="00420938">
            <w:pPr>
              <w:pStyle w:val="Bibliography"/>
              <w:rPr>
                <w:noProof/>
              </w:rPr>
            </w:pPr>
            <w:r>
              <w:rPr>
                <w:noProof/>
              </w:rPr>
              <w:t xml:space="preserve">Brandt, S. D., Martins, C. PB. (2010) Analytical methods for psychoactive N,N-dialkylated tryptamines. </w:t>
            </w:r>
            <w:r>
              <w:rPr>
                <w:i/>
                <w:iCs/>
                <w:noProof/>
              </w:rPr>
              <w:t>Trends Anal. Chem.</w:t>
            </w:r>
            <w:r>
              <w:rPr>
                <w:noProof/>
              </w:rPr>
              <w:t xml:space="preserve"> </w:t>
            </w:r>
            <w:r>
              <w:rPr>
                <w:b/>
                <w:bCs/>
                <w:noProof/>
              </w:rPr>
              <w:t>29</w:t>
            </w:r>
            <w:r>
              <w:rPr>
                <w:noProof/>
              </w:rPr>
              <w:t>, 858-869.</w:t>
            </w:r>
          </w:p>
        </w:tc>
      </w:tr>
      <w:tr w:rsidR="00420938" w:rsidTr="00420938">
        <w:trPr>
          <w:tblCellSpacing w:w="15" w:type="dxa"/>
        </w:trPr>
        <w:tc>
          <w:tcPr>
            <w:tcW w:w="0" w:type="auto"/>
            <w:hideMark/>
          </w:tcPr>
          <w:p w:rsidR="00420938" w:rsidRDefault="00420938">
            <w:pPr>
              <w:pStyle w:val="Bibliography"/>
              <w:rPr>
                <w:noProof/>
              </w:rPr>
            </w:pPr>
            <w:r>
              <w:rPr>
                <w:noProof/>
              </w:rPr>
              <w:t>107.</w:t>
            </w:r>
          </w:p>
        </w:tc>
        <w:tc>
          <w:tcPr>
            <w:tcW w:w="0" w:type="auto"/>
            <w:hideMark/>
          </w:tcPr>
          <w:p w:rsidR="00420938" w:rsidRDefault="00420938">
            <w:pPr>
              <w:pStyle w:val="Bibliography"/>
              <w:rPr>
                <w:noProof/>
              </w:rPr>
            </w:pPr>
            <w:r>
              <w:rPr>
                <w:noProof/>
              </w:rPr>
              <w:t xml:space="preserve">Al-Saffar, Y., Stephanson, N. N., Beck, O. (2013) Multicomponent LC-MS/MS screening method for the detection of new psychoactive drugs, legal highs, in urine: Experience from the Swedish population. </w:t>
            </w:r>
            <w:r>
              <w:rPr>
                <w:i/>
                <w:iCs/>
                <w:noProof/>
              </w:rPr>
              <w:t>J. Chromatogr. A</w:t>
            </w:r>
            <w:r>
              <w:rPr>
                <w:noProof/>
              </w:rPr>
              <w:t xml:space="preserve"> </w:t>
            </w:r>
            <w:r>
              <w:rPr>
                <w:b/>
                <w:bCs/>
                <w:noProof/>
              </w:rPr>
              <w:t>930</w:t>
            </w:r>
            <w:r>
              <w:rPr>
                <w:noProof/>
              </w:rPr>
              <w:t>, 112-120.</w:t>
            </w:r>
          </w:p>
        </w:tc>
      </w:tr>
      <w:tr w:rsidR="00420938" w:rsidTr="00420938">
        <w:trPr>
          <w:tblCellSpacing w:w="15" w:type="dxa"/>
        </w:trPr>
        <w:tc>
          <w:tcPr>
            <w:tcW w:w="0" w:type="auto"/>
            <w:hideMark/>
          </w:tcPr>
          <w:p w:rsidR="00420938" w:rsidRDefault="00420938">
            <w:pPr>
              <w:pStyle w:val="Bibliography"/>
              <w:rPr>
                <w:noProof/>
              </w:rPr>
            </w:pPr>
            <w:r>
              <w:rPr>
                <w:noProof/>
              </w:rPr>
              <w:t>108.</w:t>
            </w:r>
          </w:p>
        </w:tc>
        <w:tc>
          <w:tcPr>
            <w:tcW w:w="0" w:type="auto"/>
            <w:hideMark/>
          </w:tcPr>
          <w:p w:rsidR="00420938" w:rsidRDefault="00420938">
            <w:pPr>
              <w:pStyle w:val="Bibliography"/>
              <w:rPr>
                <w:noProof/>
              </w:rPr>
            </w:pPr>
            <w:r>
              <w:rPr>
                <w:noProof/>
              </w:rPr>
              <w:t xml:space="preserve">Ambach, L., Redondo, A. H., Konig, S., Weinmann, W. (2013) Rapid and simple LC-MS/MS screening of 64 novel psychoactive substances using dried blood spots. </w:t>
            </w:r>
            <w:r>
              <w:rPr>
                <w:i/>
                <w:iCs/>
                <w:noProof/>
              </w:rPr>
              <w:t>Drug Test. Analysis</w:t>
            </w:r>
            <w:r>
              <w:rPr>
                <w:noProof/>
              </w:rPr>
              <w:t xml:space="preserve"> </w:t>
            </w:r>
            <w:r>
              <w:rPr>
                <w:b/>
                <w:bCs/>
                <w:noProof/>
              </w:rPr>
              <w:t>Early View</w:t>
            </w:r>
            <w:r>
              <w:rPr>
                <w:noProof/>
              </w:rPr>
              <w:t>.</w:t>
            </w:r>
          </w:p>
        </w:tc>
      </w:tr>
      <w:tr w:rsidR="00420938" w:rsidTr="00420938">
        <w:trPr>
          <w:tblCellSpacing w:w="15" w:type="dxa"/>
        </w:trPr>
        <w:tc>
          <w:tcPr>
            <w:tcW w:w="0" w:type="auto"/>
            <w:hideMark/>
          </w:tcPr>
          <w:p w:rsidR="00420938" w:rsidRDefault="00420938">
            <w:pPr>
              <w:pStyle w:val="Bibliography"/>
              <w:rPr>
                <w:noProof/>
              </w:rPr>
            </w:pPr>
            <w:r>
              <w:rPr>
                <w:noProof/>
              </w:rPr>
              <w:t>109.</w:t>
            </w:r>
          </w:p>
        </w:tc>
        <w:tc>
          <w:tcPr>
            <w:tcW w:w="0" w:type="auto"/>
            <w:hideMark/>
          </w:tcPr>
          <w:p w:rsidR="00420938" w:rsidRDefault="00420938">
            <w:pPr>
              <w:pStyle w:val="Bibliography"/>
              <w:rPr>
                <w:noProof/>
              </w:rPr>
            </w:pPr>
            <w:r>
              <w:rPr>
                <w:noProof/>
              </w:rPr>
              <w:t xml:space="preserve">Guale, F., Shahreza, S., Walterscheid, J. P., Chen, H. H., Arndt, C., Kelly, A. T., Mozayani, A. (2013) Validation of LC-TOF-MS screening for drugs, metabolites, and collateral compounds in forensic toxicology specimens. </w:t>
            </w:r>
            <w:r>
              <w:rPr>
                <w:i/>
                <w:iCs/>
                <w:noProof/>
              </w:rPr>
              <w:t>J. Anal. Toxicol.</w:t>
            </w:r>
            <w:r>
              <w:rPr>
                <w:noProof/>
              </w:rPr>
              <w:t xml:space="preserve"> </w:t>
            </w:r>
            <w:r>
              <w:rPr>
                <w:b/>
                <w:bCs/>
                <w:noProof/>
              </w:rPr>
              <w:t>37</w:t>
            </w:r>
            <w:r>
              <w:rPr>
                <w:noProof/>
              </w:rPr>
              <w:t>, 17-24.</w:t>
            </w:r>
          </w:p>
        </w:tc>
      </w:tr>
      <w:tr w:rsidR="00420938" w:rsidTr="00420938">
        <w:trPr>
          <w:tblCellSpacing w:w="15" w:type="dxa"/>
        </w:trPr>
        <w:tc>
          <w:tcPr>
            <w:tcW w:w="0" w:type="auto"/>
            <w:hideMark/>
          </w:tcPr>
          <w:p w:rsidR="00420938" w:rsidRDefault="00420938">
            <w:pPr>
              <w:pStyle w:val="Bibliography"/>
              <w:rPr>
                <w:noProof/>
              </w:rPr>
            </w:pPr>
            <w:r>
              <w:rPr>
                <w:noProof/>
              </w:rPr>
              <w:t>110.</w:t>
            </w:r>
          </w:p>
        </w:tc>
        <w:tc>
          <w:tcPr>
            <w:tcW w:w="0" w:type="auto"/>
            <w:hideMark/>
          </w:tcPr>
          <w:p w:rsidR="00420938" w:rsidRDefault="00420938">
            <w:pPr>
              <w:pStyle w:val="Bibliography"/>
              <w:rPr>
                <w:noProof/>
              </w:rPr>
            </w:pPr>
            <w:r>
              <w:rPr>
                <w:noProof/>
              </w:rPr>
              <w:t>Sundstrom, M., Pelander, A., Angerer, V., Hutter, M., Kneisel, S., Ojanpera, I. (2013) A high-sensitivity ultra-high performance liquid chromatography/high-resolution time-of-flight mass spectrometry method for screening synthetic cannabinoids and other drugs of abuse in urine..</w:t>
            </w:r>
          </w:p>
        </w:tc>
      </w:tr>
      <w:tr w:rsidR="00420938" w:rsidTr="00420938">
        <w:trPr>
          <w:tblCellSpacing w:w="15" w:type="dxa"/>
        </w:trPr>
        <w:tc>
          <w:tcPr>
            <w:tcW w:w="0" w:type="auto"/>
            <w:hideMark/>
          </w:tcPr>
          <w:p w:rsidR="00420938" w:rsidRDefault="00420938">
            <w:pPr>
              <w:pStyle w:val="Bibliography"/>
              <w:rPr>
                <w:noProof/>
              </w:rPr>
            </w:pPr>
            <w:r>
              <w:rPr>
                <w:noProof/>
              </w:rPr>
              <w:t>111.</w:t>
            </w:r>
          </w:p>
        </w:tc>
        <w:tc>
          <w:tcPr>
            <w:tcW w:w="0" w:type="auto"/>
            <w:hideMark/>
          </w:tcPr>
          <w:p w:rsidR="00420938" w:rsidRDefault="00420938">
            <w:pPr>
              <w:pStyle w:val="Bibliography"/>
              <w:rPr>
                <w:noProof/>
              </w:rPr>
            </w:pPr>
            <w:r>
              <w:rPr>
                <w:noProof/>
              </w:rPr>
              <w:t xml:space="preserve">Pelander, A., Ojanpera, I., Laks, S., Rasanen, I., Vuori, E. (2003) Toxicological screening with formula-based metabolite identification by liquid chromatography/time-of-flight mass spectrometry. </w:t>
            </w:r>
            <w:r>
              <w:rPr>
                <w:i/>
                <w:iCs/>
                <w:noProof/>
              </w:rPr>
              <w:t>Anal. Chem.</w:t>
            </w:r>
            <w:r>
              <w:rPr>
                <w:noProof/>
              </w:rPr>
              <w:t xml:space="preserve"> </w:t>
            </w:r>
            <w:r>
              <w:rPr>
                <w:b/>
                <w:bCs/>
                <w:noProof/>
              </w:rPr>
              <w:t>75</w:t>
            </w:r>
            <w:r>
              <w:rPr>
                <w:noProof/>
              </w:rPr>
              <w:t>, 5710-5718.</w:t>
            </w:r>
          </w:p>
        </w:tc>
      </w:tr>
      <w:tr w:rsidR="00420938" w:rsidTr="00420938">
        <w:trPr>
          <w:tblCellSpacing w:w="15" w:type="dxa"/>
        </w:trPr>
        <w:tc>
          <w:tcPr>
            <w:tcW w:w="0" w:type="auto"/>
            <w:hideMark/>
          </w:tcPr>
          <w:p w:rsidR="00420938" w:rsidRDefault="00420938">
            <w:pPr>
              <w:pStyle w:val="Bibliography"/>
              <w:rPr>
                <w:noProof/>
              </w:rPr>
            </w:pPr>
            <w:r>
              <w:rPr>
                <w:noProof/>
              </w:rPr>
              <w:t>112.</w:t>
            </w:r>
          </w:p>
        </w:tc>
        <w:tc>
          <w:tcPr>
            <w:tcW w:w="0" w:type="auto"/>
            <w:hideMark/>
          </w:tcPr>
          <w:p w:rsidR="00420938" w:rsidRDefault="00420938">
            <w:pPr>
              <w:pStyle w:val="Bibliography"/>
              <w:rPr>
                <w:noProof/>
              </w:rPr>
            </w:pPr>
            <w:r>
              <w:rPr>
                <w:noProof/>
              </w:rPr>
              <w:t xml:space="preserve">Chen, B. H., Liu, J. T., Chen, W. X., Chen, H. M., Lin, C. H. (2008) A general approach to the screening and confirmation of tryptamines and phenethylamines by mass spectral fragmentation. </w:t>
            </w:r>
            <w:r>
              <w:rPr>
                <w:i/>
                <w:iCs/>
                <w:noProof/>
              </w:rPr>
              <w:t>Talanta</w:t>
            </w:r>
            <w:r>
              <w:rPr>
                <w:noProof/>
              </w:rPr>
              <w:t xml:space="preserve"> </w:t>
            </w:r>
            <w:r>
              <w:rPr>
                <w:b/>
                <w:bCs/>
                <w:noProof/>
              </w:rPr>
              <w:t>74</w:t>
            </w:r>
            <w:r>
              <w:rPr>
                <w:noProof/>
              </w:rPr>
              <w:t>, 512-517.</w:t>
            </w:r>
          </w:p>
        </w:tc>
      </w:tr>
      <w:tr w:rsidR="00420938" w:rsidTr="00420938">
        <w:trPr>
          <w:tblCellSpacing w:w="15" w:type="dxa"/>
        </w:trPr>
        <w:tc>
          <w:tcPr>
            <w:tcW w:w="0" w:type="auto"/>
            <w:hideMark/>
          </w:tcPr>
          <w:p w:rsidR="00420938" w:rsidRDefault="00420938">
            <w:pPr>
              <w:pStyle w:val="Bibliography"/>
              <w:rPr>
                <w:noProof/>
              </w:rPr>
            </w:pPr>
            <w:r>
              <w:rPr>
                <w:noProof/>
              </w:rPr>
              <w:t>113.</w:t>
            </w:r>
          </w:p>
        </w:tc>
        <w:tc>
          <w:tcPr>
            <w:tcW w:w="0" w:type="auto"/>
            <w:hideMark/>
          </w:tcPr>
          <w:p w:rsidR="00420938" w:rsidRDefault="00420938">
            <w:pPr>
              <w:pStyle w:val="Bibliography"/>
              <w:rPr>
                <w:noProof/>
              </w:rPr>
            </w:pPr>
            <w:r>
              <w:rPr>
                <w:noProof/>
              </w:rPr>
              <w:t xml:space="preserve">Concheiro, M., de Castro, A., Quintela, O., Lopez-Rivadulla, M., Cruz, A. (2005) Determination of MDMA, MDA, MDEA, and MBDB in oral fluid using high performance liquid chromatography with native fluorescence detection. </w:t>
            </w:r>
            <w:r>
              <w:rPr>
                <w:i/>
                <w:iCs/>
                <w:noProof/>
              </w:rPr>
              <w:t>Forensic Sci. Int.</w:t>
            </w:r>
            <w:r>
              <w:rPr>
                <w:noProof/>
              </w:rPr>
              <w:t xml:space="preserve"> </w:t>
            </w:r>
            <w:r>
              <w:rPr>
                <w:b/>
                <w:bCs/>
                <w:noProof/>
              </w:rPr>
              <w:t>150</w:t>
            </w:r>
            <w:r>
              <w:rPr>
                <w:noProof/>
              </w:rPr>
              <w:t>, 221-226.</w:t>
            </w:r>
          </w:p>
        </w:tc>
      </w:tr>
      <w:tr w:rsidR="00420938" w:rsidTr="00420938">
        <w:trPr>
          <w:tblCellSpacing w:w="15" w:type="dxa"/>
        </w:trPr>
        <w:tc>
          <w:tcPr>
            <w:tcW w:w="0" w:type="auto"/>
            <w:hideMark/>
          </w:tcPr>
          <w:p w:rsidR="00420938" w:rsidRDefault="00420938">
            <w:pPr>
              <w:pStyle w:val="Bibliography"/>
              <w:rPr>
                <w:noProof/>
              </w:rPr>
            </w:pPr>
            <w:r>
              <w:rPr>
                <w:noProof/>
              </w:rPr>
              <w:t>114.</w:t>
            </w:r>
          </w:p>
        </w:tc>
        <w:tc>
          <w:tcPr>
            <w:tcW w:w="0" w:type="auto"/>
            <w:hideMark/>
          </w:tcPr>
          <w:p w:rsidR="00420938" w:rsidRDefault="00420938">
            <w:pPr>
              <w:pStyle w:val="Bibliography"/>
              <w:rPr>
                <w:noProof/>
              </w:rPr>
            </w:pPr>
            <w:r>
              <w:rPr>
                <w:noProof/>
              </w:rPr>
              <w:t xml:space="preserve">Pelander, A., Ristimaa, J., Ojanpera, I. (2010) Vitreous humor as an alternative matrix for comprehensive drug screening in postmortem toxicology by liquid chromatography-time-of-flight mass spectrometry. </w:t>
            </w:r>
            <w:r>
              <w:rPr>
                <w:i/>
                <w:iCs/>
                <w:noProof/>
              </w:rPr>
              <w:t>J. Anal. Toxicol.</w:t>
            </w:r>
            <w:r>
              <w:rPr>
                <w:noProof/>
              </w:rPr>
              <w:t xml:space="preserve"> </w:t>
            </w:r>
            <w:r>
              <w:rPr>
                <w:b/>
                <w:bCs/>
                <w:noProof/>
              </w:rPr>
              <w:t>34</w:t>
            </w:r>
            <w:r>
              <w:rPr>
                <w:noProof/>
              </w:rPr>
              <w:t>, 312-318.</w:t>
            </w:r>
          </w:p>
          <w:p w:rsidR="007F5CA3" w:rsidRPr="007F5CA3" w:rsidRDefault="007F5CA3" w:rsidP="007F5CA3"/>
        </w:tc>
      </w:tr>
      <w:tr w:rsidR="00420938" w:rsidTr="00420938">
        <w:trPr>
          <w:tblCellSpacing w:w="15" w:type="dxa"/>
        </w:trPr>
        <w:tc>
          <w:tcPr>
            <w:tcW w:w="0" w:type="auto"/>
            <w:hideMark/>
          </w:tcPr>
          <w:p w:rsidR="00420938" w:rsidRDefault="00420938">
            <w:pPr>
              <w:pStyle w:val="Bibliography"/>
              <w:rPr>
                <w:noProof/>
              </w:rPr>
            </w:pPr>
            <w:r>
              <w:rPr>
                <w:noProof/>
              </w:rPr>
              <w:t>115.</w:t>
            </w:r>
          </w:p>
        </w:tc>
        <w:tc>
          <w:tcPr>
            <w:tcW w:w="0" w:type="auto"/>
            <w:hideMark/>
          </w:tcPr>
          <w:p w:rsidR="00420938" w:rsidRDefault="00420938">
            <w:pPr>
              <w:pStyle w:val="Bibliography"/>
              <w:rPr>
                <w:noProof/>
              </w:rPr>
            </w:pPr>
            <w:r>
              <w:rPr>
                <w:noProof/>
              </w:rPr>
              <w:t xml:space="preserve">Bjork, M. K., Nielsen, M. KK., Markussen, L. O., Klinke, H. B., Linnet, K. (2010) Determination of 19 drugs of abuse and metabolites in whole blood by high-performance liquid chromatography-tandem mass spectrometry. </w:t>
            </w:r>
            <w:r>
              <w:rPr>
                <w:i/>
                <w:iCs/>
                <w:noProof/>
              </w:rPr>
              <w:t>Anal. Bioanal. Chem.</w:t>
            </w:r>
            <w:r>
              <w:rPr>
                <w:noProof/>
              </w:rPr>
              <w:t xml:space="preserve"> </w:t>
            </w:r>
            <w:r>
              <w:rPr>
                <w:b/>
                <w:bCs/>
                <w:noProof/>
              </w:rPr>
              <w:t>396</w:t>
            </w:r>
            <w:r>
              <w:rPr>
                <w:noProof/>
              </w:rPr>
              <w:t>, 2393-2401.</w:t>
            </w:r>
          </w:p>
        </w:tc>
      </w:tr>
      <w:tr w:rsidR="00420938" w:rsidTr="00420938">
        <w:trPr>
          <w:tblCellSpacing w:w="15" w:type="dxa"/>
        </w:trPr>
        <w:tc>
          <w:tcPr>
            <w:tcW w:w="0" w:type="auto"/>
            <w:hideMark/>
          </w:tcPr>
          <w:p w:rsidR="00420938" w:rsidRDefault="00420938">
            <w:pPr>
              <w:pStyle w:val="Bibliography"/>
              <w:rPr>
                <w:noProof/>
              </w:rPr>
            </w:pPr>
            <w:r>
              <w:rPr>
                <w:noProof/>
              </w:rPr>
              <w:t>116.</w:t>
            </w:r>
          </w:p>
        </w:tc>
        <w:tc>
          <w:tcPr>
            <w:tcW w:w="0" w:type="auto"/>
            <w:hideMark/>
          </w:tcPr>
          <w:p w:rsidR="00420938" w:rsidRDefault="00420938">
            <w:pPr>
              <w:pStyle w:val="Bibliography"/>
              <w:rPr>
                <w:noProof/>
              </w:rPr>
            </w:pPr>
            <w:r>
              <w:rPr>
                <w:noProof/>
              </w:rPr>
              <w:t xml:space="preserve">Kraemer, T., Paul, L. D. (2007) Bioanalytical procedures for determination of drugs of abuse in blood. </w:t>
            </w:r>
            <w:r>
              <w:rPr>
                <w:i/>
                <w:iCs/>
                <w:noProof/>
              </w:rPr>
              <w:t>Anal. Bioanal. Chem.</w:t>
            </w:r>
            <w:r>
              <w:rPr>
                <w:noProof/>
              </w:rPr>
              <w:t xml:space="preserve"> </w:t>
            </w:r>
            <w:r>
              <w:rPr>
                <w:b/>
                <w:bCs/>
                <w:noProof/>
              </w:rPr>
              <w:t>388</w:t>
            </w:r>
            <w:r>
              <w:rPr>
                <w:noProof/>
              </w:rPr>
              <w:t>, 1415-1435.</w:t>
            </w:r>
          </w:p>
        </w:tc>
      </w:tr>
      <w:tr w:rsidR="00420938" w:rsidTr="00420938">
        <w:trPr>
          <w:tblCellSpacing w:w="15" w:type="dxa"/>
        </w:trPr>
        <w:tc>
          <w:tcPr>
            <w:tcW w:w="0" w:type="auto"/>
            <w:hideMark/>
          </w:tcPr>
          <w:p w:rsidR="00420938" w:rsidRDefault="00420938">
            <w:pPr>
              <w:pStyle w:val="Bibliography"/>
              <w:rPr>
                <w:noProof/>
              </w:rPr>
            </w:pPr>
            <w:r>
              <w:rPr>
                <w:noProof/>
              </w:rPr>
              <w:t>117.</w:t>
            </w:r>
          </w:p>
        </w:tc>
        <w:tc>
          <w:tcPr>
            <w:tcW w:w="0" w:type="auto"/>
            <w:hideMark/>
          </w:tcPr>
          <w:p w:rsidR="00420938" w:rsidRDefault="00420938">
            <w:pPr>
              <w:pStyle w:val="Bibliography"/>
              <w:rPr>
                <w:noProof/>
              </w:rPr>
            </w:pPr>
            <w:r>
              <w:rPr>
                <w:noProof/>
              </w:rPr>
              <w:t xml:space="preserve">Jian, W., Edom, R. W., Xu, Y., Gallagher, J., Weng, N. (2010) Potential bias and mitigations when using stable isotope labeled parent drug as internal standard for LC-MS/MS quantitation of metabolites. </w:t>
            </w:r>
            <w:r>
              <w:rPr>
                <w:i/>
                <w:iCs/>
                <w:noProof/>
              </w:rPr>
              <w:t>J. Chromatogr. B</w:t>
            </w:r>
            <w:r>
              <w:rPr>
                <w:noProof/>
              </w:rPr>
              <w:t xml:space="preserve"> </w:t>
            </w:r>
            <w:r>
              <w:rPr>
                <w:b/>
                <w:bCs/>
                <w:noProof/>
              </w:rPr>
              <w:t>878</w:t>
            </w:r>
            <w:r>
              <w:rPr>
                <w:noProof/>
              </w:rPr>
              <w:t>, 3267-3276.</w:t>
            </w:r>
          </w:p>
        </w:tc>
      </w:tr>
      <w:tr w:rsidR="00420938" w:rsidTr="00420938">
        <w:trPr>
          <w:tblCellSpacing w:w="15" w:type="dxa"/>
        </w:trPr>
        <w:tc>
          <w:tcPr>
            <w:tcW w:w="0" w:type="auto"/>
            <w:hideMark/>
          </w:tcPr>
          <w:p w:rsidR="00420938" w:rsidRDefault="00420938">
            <w:pPr>
              <w:pStyle w:val="Bibliography"/>
              <w:rPr>
                <w:noProof/>
              </w:rPr>
            </w:pPr>
            <w:r>
              <w:rPr>
                <w:noProof/>
              </w:rPr>
              <w:t>118.</w:t>
            </w:r>
          </w:p>
        </w:tc>
        <w:tc>
          <w:tcPr>
            <w:tcW w:w="0" w:type="auto"/>
            <w:hideMark/>
          </w:tcPr>
          <w:p w:rsidR="00420938" w:rsidRDefault="00420938">
            <w:pPr>
              <w:pStyle w:val="Bibliography"/>
              <w:rPr>
                <w:noProof/>
              </w:rPr>
            </w:pPr>
            <w:r>
              <w:rPr>
                <w:noProof/>
              </w:rPr>
              <w:t xml:space="preserve">Brown, S. D., Melton, T. C. (2011) Trends in bioanalytical methods for the determination and quantification of club drugs: 2000-2010. </w:t>
            </w:r>
            <w:r>
              <w:rPr>
                <w:i/>
                <w:iCs/>
                <w:noProof/>
              </w:rPr>
              <w:t>Biomed. Chromatogr.</w:t>
            </w:r>
            <w:r>
              <w:rPr>
                <w:noProof/>
              </w:rPr>
              <w:t xml:space="preserve"> </w:t>
            </w:r>
            <w:r>
              <w:rPr>
                <w:b/>
                <w:bCs/>
                <w:noProof/>
              </w:rPr>
              <w:t>25</w:t>
            </w:r>
            <w:r>
              <w:rPr>
                <w:noProof/>
              </w:rPr>
              <w:t>, 300-321.</w:t>
            </w:r>
          </w:p>
        </w:tc>
      </w:tr>
      <w:tr w:rsidR="00420938" w:rsidTr="00420938">
        <w:trPr>
          <w:tblCellSpacing w:w="15" w:type="dxa"/>
        </w:trPr>
        <w:tc>
          <w:tcPr>
            <w:tcW w:w="0" w:type="auto"/>
            <w:hideMark/>
          </w:tcPr>
          <w:p w:rsidR="00420938" w:rsidRDefault="00420938">
            <w:pPr>
              <w:pStyle w:val="Bibliography"/>
              <w:rPr>
                <w:noProof/>
              </w:rPr>
            </w:pPr>
            <w:r>
              <w:rPr>
                <w:noProof/>
              </w:rPr>
              <w:t>119.</w:t>
            </w:r>
          </w:p>
        </w:tc>
        <w:tc>
          <w:tcPr>
            <w:tcW w:w="0" w:type="auto"/>
            <w:hideMark/>
          </w:tcPr>
          <w:p w:rsidR="00420938" w:rsidRDefault="00420938">
            <w:pPr>
              <w:pStyle w:val="Bibliography"/>
              <w:rPr>
                <w:noProof/>
              </w:rPr>
            </w:pPr>
            <w:r>
              <w:rPr>
                <w:noProof/>
              </w:rPr>
              <w:t xml:space="preserve">del mar Ramirez Fernandez, M., Wille, S. MR., di Fazio, V., Gosselin, M., Samyn, N. (2010) Analysis of amphetamines and metabolites in urine with ultra performance liquid chromatography tandem mass spectrometry. </w:t>
            </w:r>
            <w:r>
              <w:rPr>
                <w:i/>
                <w:iCs/>
                <w:noProof/>
              </w:rPr>
              <w:t>J. Chromatogr. B</w:t>
            </w:r>
            <w:r>
              <w:rPr>
                <w:noProof/>
              </w:rPr>
              <w:t xml:space="preserve"> </w:t>
            </w:r>
            <w:r>
              <w:rPr>
                <w:b/>
                <w:bCs/>
                <w:noProof/>
              </w:rPr>
              <w:t>878</w:t>
            </w:r>
            <w:r>
              <w:rPr>
                <w:noProof/>
              </w:rPr>
              <w:t>, 1616-1622.</w:t>
            </w:r>
          </w:p>
        </w:tc>
      </w:tr>
      <w:tr w:rsidR="00420938" w:rsidTr="00420938">
        <w:trPr>
          <w:tblCellSpacing w:w="15" w:type="dxa"/>
        </w:trPr>
        <w:tc>
          <w:tcPr>
            <w:tcW w:w="0" w:type="auto"/>
            <w:hideMark/>
          </w:tcPr>
          <w:p w:rsidR="00420938" w:rsidRDefault="00420938">
            <w:pPr>
              <w:pStyle w:val="Bibliography"/>
              <w:rPr>
                <w:noProof/>
              </w:rPr>
            </w:pPr>
            <w:r>
              <w:rPr>
                <w:noProof/>
              </w:rPr>
              <w:t>120.</w:t>
            </w:r>
          </w:p>
        </w:tc>
        <w:tc>
          <w:tcPr>
            <w:tcW w:w="0" w:type="auto"/>
            <w:hideMark/>
          </w:tcPr>
          <w:p w:rsidR="00420938" w:rsidRDefault="00420938">
            <w:pPr>
              <w:pStyle w:val="Bibliography"/>
              <w:rPr>
                <w:noProof/>
              </w:rPr>
            </w:pPr>
            <w:r>
              <w:rPr>
                <w:noProof/>
              </w:rPr>
              <w:t xml:space="preserve">Cody, J. T., Schwarzhoff, R. (1993) Fluorescence polarization immunoassay detection of amphetamine, methamphetamine, and illicit amphetamine analogs. </w:t>
            </w:r>
            <w:r>
              <w:rPr>
                <w:i/>
                <w:iCs/>
                <w:noProof/>
              </w:rPr>
              <w:t>J. Anal. Toxicol.</w:t>
            </w:r>
            <w:r>
              <w:rPr>
                <w:noProof/>
              </w:rPr>
              <w:t xml:space="preserve"> </w:t>
            </w:r>
            <w:r>
              <w:rPr>
                <w:b/>
                <w:bCs/>
                <w:noProof/>
              </w:rPr>
              <w:t>17</w:t>
            </w:r>
            <w:r>
              <w:rPr>
                <w:noProof/>
              </w:rPr>
              <w:t>, 26-30.</w:t>
            </w:r>
          </w:p>
        </w:tc>
      </w:tr>
      <w:tr w:rsidR="00420938" w:rsidTr="00420938">
        <w:trPr>
          <w:tblCellSpacing w:w="15" w:type="dxa"/>
        </w:trPr>
        <w:tc>
          <w:tcPr>
            <w:tcW w:w="0" w:type="auto"/>
            <w:hideMark/>
          </w:tcPr>
          <w:p w:rsidR="00420938" w:rsidRDefault="00420938">
            <w:pPr>
              <w:pStyle w:val="Bibliography"/>
              <w:rPr>
                <w:noProof/>
              </w:rPr>
            </w:pPr>
            <w:r>
              <w:rPr>
                <w:noProof/>
              </w:rPr>
              <w:t>121.</w:t>
            </w:r>
          </w:p>
        </w:tc>
        <w:tc>
          <w:tcPr>
            <w:tcW w:w="0" w:type="auto"/>
            <w:hideMark/>
          </w:tcPr>
          <w:p w:rsidR="00420938" w:rsidRDefault="00420938">
            <w:pPr>
              <w:pStyle w:val="Bibliography"/>
              <w:rPr>
                <w:noProof/>
              </w:rPr>
            </w:pPr>
            <w:r>
              <w:rPr>
                <w:noProof/>
              </w:rPr>
              <w:t xml:space="preserve">Kerrigan, S., Mellon, M. B., Banuelos, S., Arndt, C. (2011) Evaluation of commercial enzyme-linked immunosorbent assays to identify psychedelic phenethylamines. </w:t>
            </w:r>
            <w:r>
              <w:rPr>
                <w:i/>
                <w:iCs/>
                <w:noProof/>
              </w:rPr>
              <w:t>J. Anal. Toxicol.</w:t>
            </w:r>
            <w:r>
              <w:rPr>
                <w:noProof/>
              </w:rPr>
              <w:t xml:space="preserve"> </w:t>
            </w:r>
            <w:r>
              <w:rPr>
                <w:b/>
                <w:bCs/>
                <w:noProof/>
              </w:rPr>
              <w:t>35</w:t>
            </w:r>
            <w:r>
              <w:rPr>
                <w:noProof/>
              </w:rPr>
              <w:t>, 444-451.</w:t>
            </w:r>
          </w:p>
        </w:tc>
      </w:tr>
      <w:tr w:rsidR="00420938" w:rsidTr="00420938">
        <w:trPr>
          <w:tblCellSpacing w:w="15" w:type="dxa"/>
        </w:trPr>
        <w:tc>
          <w:tcPr>
            <w:tcW w:w="0" w:type="auto"/>
            <w:hideMark/>
          </w:tcPr>
          <w:p w:rsidR="00420938" w:rsidRDefault="00420938">
            <w:pPr>
              <w:pStyle w:val="Bibliography"/>
              <w:rPr>
                <w:noProof/>
              </w:rPr>
            </w:pPr>
            <w:r>
              <w:rPr>
                <w:noProof/>
              </w:rPr>
              <w:t>122.</w:t>
            </w:r>
          </w:p>
        </w:tc>
        <w:tc>
          <w:tcPr>
            <w:tcW w:w="0" w:type="auto"/>
            <w:hideMark/>
          </w:tcPr>
          <w:p w:rsidR="00420938" w:rsidRDefault="00420938">
            <w:pPr>
              <w:pStyle w:val="Bibliography"/>
              <w:rPr>
                <w:noProof/>
              </w:rPr>
            </w:pPr>
            <w:r>
              <w:rPr>
                <w:noProof/>
              </w:rPr>
              <w:t xml:space="preserve">de Boer, D., Bosman, I. J., Hidvegi, E., Manzoni, C., Benko, A. A., Reys, L. JALd., Maes, R. AA. (2001) Piperazine-like compounds: a new group of designer drugs-of-abuse on the European market. </w:t>
            </w:r>
            <w:r>
              <w:rPr>
                <w:i/>
                <w:iCs/>
                <w:noProof/>
              </w:rPr>
              <w:t xml:space="preserve">Forensic Sci. Int. </w:t>
            </w:r>
            <w:r>
              <w:rPr>
                <w:b/>
                <w:bCs/>
                <w:noProof/>
              </w:rPr>
              <w:t>121</w:t>
            </w:r>
            <w:r>
              <w:rPr>
                <w:noProof/>
              </w:rPr>
              <w:t>, 47-56.</w:t>
            </w:r>
          </w:p>
        </w:tc>
      </w:tr>
      <w:tr w:rsidR="00420938" w:rsidTr="00420938">
        <w:trPr>
          <w:tblCellSpacing w:w="15" w:type="dxa"/>
        </w:trPr>
        <w:tc>
          <w:tcPr>
            <w:tcW w:w="0" w:type="auto"/>
            <w:hideMark/>
          </w:tcPr>
          <w:p w:rsidR="00420938" w:rsidRDefault="00420938">
            <w:pPr>
              <w:pStyle w:val="Bibliography"/>
              <w:rPr>
                <w:noProof/>
              </w:rPr>
            </w:pPr>
            <w:r>
              <w:rPr>
                <w:noProof/>
              </w:rPr>
              <w:t>123.</w:t>
            </w:r>
          </w:p>
        </w:tc>
        <w:tc>
          <w:tcPr>
            <w:tcW w:w="0" w:type="auto"/>
            <w:hideMark/>
          </w:tcPr>
          <w:p w:rsidR="00420938" w:rsidRDefault="00420938">
            <w:pPr>
              <w:pStyle w:val="Bibliography"/>
              <w:rPr>
                <w:noProof/>
              </w:rPr>
            </w:pPr>
            <w:r>
              <w:rPr>
                <w:noProof/>
              </w:rPr>
              <w:t xml:space="preserve">Vorce, S. P., Holler, J. M., Levine, B., Past, M. R. (2008) Detection of 1-benzylpiperazine and 1-(3-trifluoromethylphenyl)-piperazine in urine analysis specimens using GC-MS and LC-ESI-MS. </w:t>
            </w:r>
            <w:r>
              <w:rPr>
                <w:i/>
                <w:iCs/>
                <w:noProof/>
              </w:rPr>
              <w:t>J. Anal. Toxicol.</w:t>
            </w:r>
            <w:r>
              <w:rPr>
                <w:noProof/>
              </w:rPr>
              <w:t xml:space="preserve"> </w:t>
            </w:r>
            <w:r>
              <w:rPr>
                <w:b/>
                <w:bCs/>
                <w:noProof/>
              </w:rPr>
              <w:t>32</w:t>
            </w:r>
            <w:r>
              <w:rPr>
                <w:noProof/>
              </w:rPr>
              <w:t>, 444-450.</w:t>
            </w:r>
          </w:p>
          <w:p w:rsidR="007F5CA3" w:rsidRDefault="007F5CA3" w:rsidP="007F5CA3"/>
          <w:p w:rsidR="007F5CA3" w:rsidRPr="007F5CA3" w:rsidRDefault="007F5CA3" w:rsidP="007F5CA3"/>
        </w:tc>
      </w:tr>
      <w:tr w:rsidR="00420938" w:rsidTr="00420938">
        <w:trPr>
          <w:tblCellSpacing w:w="15" w:type="dxa"/>
        </w:trPr>
        <w:tc>
          <w:tcPr>
            <w:tcW w:w="0" w:type="auto"/>
            <w:hideMark/>
          </w:tcPr>
          <w:p w:rsidR="00420938" w:rsidRDefault="00420938">
            <w:pPr>
              <w:pStyle w:val="Bibliography"/>
              <w:rPr>
                <w:noProof/>
              </w:rPr>
            </w:pPr>
            <w:r>
              <w:rPr>
                <w:noProof/>
              </w:rPr>
              <w:t>124.</w:t>
            </w:r>
          </w:p>
        </w:tc>
        <w:tc>
          <w:tcPr>
            <w:tcW w:w="0" w:type="auto"/>
            <w:hideMark/>
          </w:tcPr>
          <w:p w:rsidR="00420938" w:rsidRDefault="00420938">
            <w:pPr>
              <w:pStyle w:val="Bibliography"/>
              <w:rPr>
                <w:noProof/>
              </w:rPr>
            </w:pPr>
            <w:r>
              <w:rPr>
                <w:noProof/>
              </w:rPr>
              <w:t xml:space="preserve">Logan, B. K., Constantino, A. G., Rieders, E. F., Sanders, D. (2010) Trazodone, meta-chlorophenylpiperazine (an hallucinogenic drug and trazodone metabolite), and the hallucinogenic trifluoromethylphenylpiperazine cross-react with the EMIT(R)II Ecstasy immunoassay in urine. </w:t>
            </w:r>
            <w:r>
              <w:rPr>
                <w:i/>
                <w:iCs/>
                <w:noProof/>
              </w:rPr>
              <w:t>J. Anal. Toxicol.</w:t>
            </w:r>
            <w:r>
              <w:rPr>
                <w:noProof/>
              </w:rPr>
              <w:t xml:space="preserve"> </w:t>
            </w:r>
            <w:r>
              <w:rPr>
                <w:b/>
                <w:bCs/>
                <w:noProof/>
              </w:rPr>
              <w:t>34</w:t>
            </w:r>
            <w:r>
              <w:rPr>
                <w:noProof/>
              </w:rPr>
              <w:t>, 587-589.</w:t>
            </w:r>
          </w:p>
        </w:tc>
      </w:tr>
      <w:tr w:rsidR="00420938" w:rsidTr="00420938">
        <w:trPr>
          <w:tblCellSpacing w:w="15" w:type="dxa"/>
        </w:trPr>
        <w:tc>
          <w:tcPr>
            <w:tcW w:w="0" w:type="auto"/>
            <w:hideMark/>
          </w:tcPr>
          <w:p w:rsidR="00420938" w:rsidRDefault="00420938">
            <w:pPr>
              <w:pStyle w:val="Bibliography"/>
              <w:rPr>
                <w:noProof/>
              </w:rPr>
            </w:pPr>
            <w:r>
              <w:rPr>
                <w:noProof/>
              </w:rPr>
              <w:t>125.</w:t>
            </w:r>
          </w:p>
        </w:tc>
        <w:tc>
          <w:tcPr>
            <w:tcW w:w="0" w:type="auto"/>
            <w:hideMark/>
          </w:tcPr>
          <w:p w:rsidR="00420938" w:rsidRDefault="00420938">
            <w:pPr>
              <w:pStyle w:val="Bibliography"/>
              <w:rPr>
                <w:noProof/>
              </w:rPr>
            </w:pPr>
            <w:r>
              <w:rPr>
                <w:noProof/>
              </w:rPr>
              <w:t xml:space="preserve">Balikova, M. (2005) Nonfatal and fatal DOB (2,5-dimethoxy-4-bromoamphetamine) overdose. </w:t>
            </w:r>
            <w:r>
              <w:rPr>
                <w:i/>
                <w:iCs/>
                <w:noProof/>
              </w:rPr>
              <w:t>Forensic Sci. Int.</w:t>
            </w:r>
            <w:r>
              <w:rPr>
                <w:noProof/>
              </w:rPr>
              <w:t xml:space="preserve"> </w:t>
            </w:r>
            <w:r>
              <w:rPr>
                <w:b/>
                <w:bCs/>
                <w:noProof/>
              </w:rPr>
              <w:t>153</w:t>
            </w:r>
            <w:r>
              <w:rPr>
                <w:noProof/>
              </w:rPr>
              <w:t>, 85-91.</w:t>
            </w:r>
          </w:p>
        </w:tc>
      </w:tr>
      <w:tr w:rsidR="00420938" w:rsidTr="00420938">
        <w:trPr>
          <w:tblCellSpacing w:w="15" w:type="dxa"/>
        </w:trPr>
        <w:tc>
          <w:tcPr>
            <w:tcW w:w="0" w:type="auto"/>
            <w:hideMark/>
          </w:tcPr>
          <w:p w:rsidR="00420938" w:rsidRDefault="00420938">
            <w:pPr>
              <w:pStyle w:val="Bibliography"/>
              <w:rPr>
                <w:noProof/>
              </w:rPr>
            </w:pPr>
            <w:r>
              <w:rPr>
                <w:noProof/>
              </w:rPr>
              <w:t>126.</w:t>
            </w:r>
          </w:p>
        </w:tc>
        <w:tc>
          <w:tcPr>
            <w:tcW w:w="0" w:type="auto"/>
            <w:hideMark/>
          </w:tcPr>
          <w:p w:rsidR="00420938" w:rsidRDefault="00420938">
            <w:pPr>
              <w:pStyle w:val="Bibliography"/>
              <w:rPr>
                <w:noProof/>
              </w:rPr>
            </w:pPr>
            <w:r>
              <w:rPr>
                <w:noProof/>
              </w:rPr>
              <w:t xml:space="preserve">Miyajima, M., Matsumoto, T., Ito, S. (2008) 2C-T-4 intoxication: Acute psychosis caused by a designer drug. </w:t>
            </w:r>
            <w:r>
              <w:rPr>
                <w:i/>
                <w:iCs/>
                <w:noProof/>
              </w:rPr>
              <w:t>Psych. Clin. Neurosci.</w:t>
            </w:r>
            <w:r>
              <w:rPr>
                <w:noProof/>
              </w:rPr>
              <w:t xml:space="preserve"> </w:t>
            </w:r>
            <w:r>
              <w:rPr>
                <w:b/>
                <w:bCs/>
                <w:noProof/>
              </w:rPr>
              <w:t>62</w:t>
            </w:r>
            <w:r>
              <w:rPr>
                <w:noProof/>
              </w:rPr>
              <w:t>, 243.</w:t>
            </w:r>
          </w:p>
        </w:tc>
      </w:tr>
      <w:tr w:rsidR="00420938" w:rsidTr="00420938">
        <w:trPr>
          <w:tblCellSpacing w:w="15" w:type="dxa"/>
        </w:trPr>
        <w:tc>
          <w:tcPr>
            <w:tcW w:w="0" w:type="auto"/>
            <w:hideMark/>
          </w:tcPr>
          <w:p w:rsidR="00420938" w:rsidRDefault="00420938">
            <w:pPr>
              <w:pStyle w:val="Bibliography"/>
              <w:rPr>
                <w:noProof/>
              </w:rPr>
            </w:pPr>
            <w:r>
              <w:rPr>
                <w:noProof/>
              </w:rPr>
              <w:t>127.</w:t>
            </w:r>
          </w:p>
        </w:tc>
        <w:tc>
          <w:tcPr>
            <w:tcW w:w="0" w:type="auto"/>
            <w:hideMark/>
          </w:tcPr>
          <w:p w:rsidR="00420938" w:rsidRDefault="00420938">
            <w:pPr>
              <w:pStyle w:val="Bibliography"/>
              <w:rPr>
                <w:noProof/>
              </w:rPr>
            </w:pPr>
            <w:r>
              <w:rPr>
                <w:noProof/>
              </w:rPr>
              <w:t xml:space="preserve">Dickson, A. J., Vorce, S. P., Levine, B., Past, M. R. (2010) Multiple-drug toxicity caused by coadministration of 4-methylmethcathinone (mephedrone) and heroin. </w:t>
            </w:r>
            <w:r>
              <w:rPr>
                <w:i/>
                <w:iCs/>
                <w:noProof/>
              </w:rPr>
              <w:t>J. Anal. Toxicol.</w:t>
            </w:r>
            <w:r>
              <w:rPr>
                <w:noProof/>
              </w:rPr>
              <w:t xml:space="preserve"> </w:t>
            </w:r>
            <w:r>
              <w:rPr>
                <w:b/>
                <w:bCs/>
                <w:noProof/>
              </w:rPr>
              <w:t>34</w:t>
            </w:r>
            <w:r>
              <w:rPr>
                <w:noProof/>
              </w:rPr>
              <w:t>, 162-168.</w:t>
            </w:r>
          </w:p>
        </w:tc>
      </w:tr>
      <w:tr w:rsidR="00420938" w:rsidTr="00420938">
        <w:trPr>
          <w:tblCellSpacing w:w="15" w:type="dxa"/>
        </w:trPr>
        <w:tc>
          <w:tcPr>
            <w:tcW w:w="0" w:type="auto"/>
            <w:hideMark/>
          </w:tcPr>
          <w:p w:rsidR="00420938" w:rsidRDefault="00420938">
            <w:pPr>
              <w:pStyle w:val="Bibliography"/>
              <w:rPr>
                <w:noProof/>
              </w:rPr>
            </w:pPr>
            <w:r>
              <w:rPr>
                <w:noProof/>
              </w:rPr>
              <w:t>128.</w:t>
            </w:r>
          </w:p>
        </w:tc>
        <w:tc>
          <w:tcPr>
            <w:tcW w:w="0" w:type="auto"/>
            <w:hideMark/>
          </w:tcPr>
          <w:p w:rsidR="00420938" w:rsidRDefault="00420938">
            <w:pPr>
              <w:pStyle w:val="Bibliography"/>
              <w:rPr>
                <w:noProof/>
              </w:rPr>
            </w:pPr>
            <w:r>
              <w:rPr>
                <w:noProof/>
              </w:rPr>
              <w:t xml:space="preserve">Bell, C., George, C., Kicman, A. T., Traynor, A. (2011) Development of a rapid LC-MS/MS method for direct urinalysis of designer drugs. </w:t>
            </w:r>
            <w:r>
              <w:rPr>
                <w:i/>
                <w:iCs/>
                <w:noProof/>
              </w:rPr>
              <w:t>Drug Test. Anal.</w:t>
            </w:r>
            <w:r>
              <w:rPr>
                <w:noProof/>
              </w:rPr>
              <w:t xml:space="preserve"> </w:t>
            </w:r>
            <w:r>
              <w:rPr>
                <w:b/>
                <w:bCs/>
                <w:noProof/>
              </w:rPr>
              <w:t>3</w:t>
            </w:r>
            <w:r>
              <w:rPr>
                <w:noProof/>
              </w:rPr>
              <w:t>, 496.</w:t>
            </w:r>
          </w:p>
        </w:tc>
      </w:tr>
      <w:tr w:rsidR="00420938" w:rsidTr="00420938">
        <w:trPr>
          <w:tblCellSpacing w:w="15" w:type="dxa"/>
        </w:trPr>
        <w:tc>
          <w:tcPr>
            <w:tcW w:w="0" w:type="auto"/>
            <w:hideMark/>
          </w:tcPr>
          <w:p w:rsidR="00420938" w:rsidRDefault="00420938">
            <w:pPr>
              <w:pStyle w:val="Bibliography"/>
              <w:rPr>
                <w:noProof/>
              </w:rPr>
            </w:pPr>
            <w:r>
              <w:rPr>
                <w:noProof/>
              </w:rPr>
              <w:t>129.</w:t>
            </w:r>
          </w:p>
        </w:tc>
        <w:tc>
          <w:tcPr>
            <w:tcW w:w="0" w:type="auto"/>
            <w:hideMark/>
          </w:tcPr>
          <w:p w:rsidR="00420938" w:rsidRDefault="00420938">
            <w:pPr>
              <w:pStyle w:val="Bibliography"/>
              <w:rPr>
                <w:noProof/>
              </w:rPr>
            </w:pPr>
            <w:r>
              <w:rPr>
                <w:noProof/>
              </w:rPr>
              <w:t xml:space="preserve">Macher, A. M., Penders, T. M. (2012) False-positive phencyclidine immunoassay results caused by 3,4-methylenedioxypyrovalerone (MDPV). </w:t>
            </w:r>
            <w:r>
              <w:rPr>
                <w:i/>
                <w:iCs/>
                <w:noProof/>
              </w:rPr>
              <w:t>Drug Test. Anal.</w:t>
            </w:r>
            <w:r>
              <w:rPr>
                <w:noProof/>
              </w:rPr>
              <w:t>, online.</w:t>
            </w:r>
          </w:p>
        </w:tc>
      </w:tr>
      <w:tr w:rsidR="00420938" w:rsidTr="00420938">
        <w:trPr>
          <w:tblCellSpacing w:w="15" w:type="dxa"/>
        </w:trPr>
        <w:tc>
          <w:tcPr>
            <w:tcW w:w="0" w:type="auto"/>
            <w:hideMark/>
          </w:tcPr>
          <w:p w:rsidR="00420938" w:rsidRDefault="00420938">
            <w:pPr>
              <w:pStyle w:val="Bibliography"/>
              <w:rPr>
                <w:noProof/>
              </w:rPr>
            </w:pPr>
            <w:r>
              <w:rPr>
                <w:noProof/>
              </w:rPr>
              <w:t>130.</w:t>
            </w:r>
          </w:p>
        </w:tc>
        <w:tc>
          <w:tcPr>
            <w:tcW w:w="0" w:type="auto"/>
            <w:hideMark/>
          </w:tcPr>
          <w:p w:rsidR="00420938" w:rsidRDefault="00420938">
            <w:pPr>
              <w:pStyle w:val="Bibliography"/>
              <w:rPr>
                <w:noProof/>
              </w:rPr>
            </w:pPr>
            <w:r>
              <w:rPr>
                <w:noProof/>
              </w:rPr>
              <w:t xml:space="preserve">Ammann, D., McClaren, J. M., Gerostamoulos, D., Beyer, J. (2012) Detection and quantification of new designer drugs in human blood: Part 2 - Designer cathinones. </w:t>
            </w:r>
            <w:r>
              <w:rPr>
                <w:i/>
                <w:iCs/>
                <w:noProof/>
              </w:rPr>
              <w:t>J. Anal. Toxicol.</w:t>
            </w:r>
            <w:r>
              <w:rPr>
                <w:noProof/>
              </w:rPr>
              <w:t xml:space="preserve"> </w:t>
            </w:r>
            <w:r>
              <w:rPr>
                <w:b/>
                <w:bCs/>
                <w:noProof/>
              </w:rPr>
              <w:t>36</w:t>
            </w:r>
            <w:r>
              <w:rPr>
                <w:noProof/>
              </w:rPr>
              <w:t>, 381-389.</w:t>
            </w:r>
          </w:p>
        </w:tc>
      </w:tr>
      <w:tr w:rsidR="00420938" w:rsidTr="00420938">
        <w:trPr>
          <w:tblCellSpacing w:w="15" w:type="dxa"/>
        </w:trPr>
        <w:tc>
          <w:tcPr>
            <w:tcW w:w="0" w:type="auto"/>
            <w:hideMark/>
          </w:tcPr>
          <w:p w:rsidR="00420938" w:rsidRDefault="00420938">
            <w:pPr>
              <w:pStyle w:val="Bibliography"/>
              <w:rPr>
                <w:noProof/>
              </w:rPr>
            </w:pPr>
            <w:r>
              <w:rPr>
                <w:noProof/>
              </w:rPr>
              <w:t>131.</w:t>
            </w:r>
          </w:p>
        </w:tc>
        <w:tc>
          <w:tcPr>
            <w:tcW w:w="0" w:type="auto"/>
            <w:hideMark/>
          </w:tcPr>
          <w:p w:rsidR="00420938" w:rsidRDefault="00420938">
            <w:pPr>
              <w:pStyle w:val="Bibliography"/>
              <w:rPr>
                <w:noProof/>
              </w:rPr>
            </w:pPr>
            <w:r>
              <w:rPr>
                <w:noProof/>
              </w:rPr>
              <w:t xml:space="preserve">Kerrigan, S., Banuelos, S., Perrella, L., Hardy, B. (2011) Simultaneous detection of ten psychedelic phenethylamines in urine by gas chromatography-mass spectrometry. </w:t>
            </w:r>
            <w:r>
              <w:rPr>
                <w:i/>
                <w:iCs/>
                <w:noProof/>
              </w:rPr>
              <w:t>J. Anal. Toxicol.</w:t>
            </w:r>
            <w:r>
              <w:rPr>
                <w:noProof/>
              </w:rPr>
              <w:t xml:space="preserve"> </w:t>
            </w:r>
            <w:r>
              <w:rPr>
                <w:b/>
                <w:bCs/>
                <w:noProof/>
              </w:rPr>
              <w:t>35</w:t>
            </w:r>
            <w:r>
              <w:rPr>
                <w:noProof/>
              </w:rPr>
              <w:t>, 459-469.</w:t>
            </w:r>
          </w:p>
        </w:tc>
      </w:tr>
      <w:tr w:rsidR="00420938" w:rsidTr="00420938">
        <w:trPr>
          <w:tblCellSpacing w:w="15" w:type="dxa"/>
        </w:trPr>
        <w:tc>
          <w:tcPr>
            <w:tcW w:w="0" w:type="auto"/>
            <w:hideMark/>
          </w:tcPr>
          <w:p w:rsidR="00420938" w:rsidRDefault="00420938">
            <w:pPr>
              <w:pStyle w:val="Bibliography"/>
              <w:rPr>
                <w:noProof/>
              </w:rPr>
            </w:pPr>
            <w:r>
              <w:rPr>
                <w:noProof/>
              </w:rPr>
              <w:t>132.</w:t>
            </w:r>
          </w:p>
        </w:tc>
        <w:tc>
          <w:tcPr>
            <w:tcW w:w="0" w:type="auto"/>
            <w:hideMark/>
          </w:tcPr>
          <w:p w:rsidR="00420938" w:rsidRDefault="00420938">
            <w:pPr>
              <w:pStyle w:val="Bibliography"/>
              <w:rPr>
                <w:noProof/>
              </w:rPr>
            </w:pPr>
            <w:r>
              <w:rPr>
                <w:noProof/>
              </w:rPr>
              <w:t xml:space="preserve">Sorensen, L. K. (2011) Determination of cathinones and related ephedrines in forensic whole-blood samples by liquid-chromatography-electrospray tandem mass spectrometry. </w:t>
            </w:r>
            <w:r>
              <w:rPr>
                <w:i/>
                <w:iCs/>
                <w:noProof/>
              </w:rPr>
              <w:t>J. Chromatogr. B</w:t>
            </w:r>
            <w:r>
              <w:rPr>
                <w:noProof/>
              </w:rPr>
              <w:t xml:space="preserve"> </w:t>
            </w:r>
            <w:r>
              <w:rPr>
                <w:b/>
                <w:bCs/>
                <w:noProof/>
              </w:rPr>
              <w:t>879</w:t>
            </w:r>
            <w:r>
              <w:rPr>
                <w:noProof/>
              </w:rPr>
              <w:t>, 727-736.</w:t>
            </w:r>
          </w:p>
        </w:tc>
      </w:tr>
      <w:tr w:rsidR="00420938" w:rsidTr="00420938">
        <w:trPr>
          <w:tblCellSpacing w:w="15" w:type="dxa"/>
        </w:trPr>
        <w:tc>
          <w:tcPr>
            <w:tcW w:w="0" w:type="auto"/>
            <w:hideMark/>
          </w:tcPr>
          <w:p w:rsidR="00420938" w:rsidRDefault="00420938">
            <w:pPr>
              <w:pStyle w:val="Bibliography"/>
              <w:rPr>
                <w:noProof/>
              </w:rPr>
            </w:pPr>
            <w:r>
              <w:rPr>
                <w:noProof/>
              </w:rPr>
              <w:t>133.</w:t>
            </w:r>
          </w:p>
        </w:tc>
        <w:tc>
          <w:tcPr>
            <w:tcW w:w="0" w:type="auto"/>
            <w:hideMark/>
          </w:tcPr>
          <w:p w:rsidR="00420938" w:rsidRDefault="00420938">
            <w:pPr>
              <w:pStyle w:val="Bibliography"/>
              <w:rPr>
                <w:noProof/>
              </w:rPr>
            </w:pPr>
            <w:r>
              <w:rPr>
                <w:noProof/>
              </w:rPr>
              <w:t>Peters, F. T., Drummer, O. H., Musshoff, F. (2007) Validation of new methods., 216-224.</w:t>
            </w:r>
          </w:p>
        </w:tc>
      </w:tr>
      <w:tr w:rsidR="00420938" w:rsidTr="00420938">
        <w:trPr>
          <w:tblCellSpacing w:w="15" w:type="dxa"/>
        </w:trPr>
        <w:tc>
          <w:tcPr>
            <w:tcW w:w="0" w:type="auto"/>
            <w:hideMark/>
          </w:tcPr>
          <w:p w:rsidR="00420938" w:rsidRDefault="00420938">
            <w:pPr>
              <w:pStyle w:val="Bibliography"/>
              <w:rPr>
                <w:noProof/>
              </w:rPr>
            </w:pPr>
            <w:r>
              <w:rPr>
                <w:noProof/>
              </w:rPr>
              <w:t>134.</w:t>
            </w:r>
          </w:p>
        </w:tc>
        <w:tc>
          <w:tcPr>
            <w:tcW w:w="0" w:type="auto"/>
            <w:hideMark/>
          </w:tcPr>
          <w:p w:rsidR="00420938" w:rsidRDefault="00420938">
            <w:pPr>
              <w:pStyle w:val="Bibliography"/>
              <w:rPr>
                <w:noProof/>
              </w:rPr>
            </w:pPr>
            <w:r>
              <w:rPr>
                <w:noProof/>
              </w:rPr>
              <w:t xml:space="preserve">Matuszewski, B. K., Constanzer, M. L., Chavez-Eng, C. M. (2003) Strategies for the assessment of matrix effect in quantitative bioanalytical methods based on HPLC-MS/MS. </w:t>
            </w:r>
            <w:r>
              <w:rPr>
                <w:i/>
                <w:iCs/>
                <w:noProof/>
              </w:rPr>
              <w:t>Anal. Chem.</w:t>
            </w:r>
            <w:r>
              <w:rPr>
                <w:noProof/>
              </w:rPr>
              <w:t xml:space="preserve"> </w:t>
            </w:r>
            <w:r>
              <w:rPr>
                <w:b/>
                <w:bCs/>
                <w:noProof/>
              </w:rPr>
              <w:t>75</w:t>
            </w:r>
            <w:r>
              <w:rPr>
                <w:noProof/>
              </w:rPr>
              <w:t>, 3019-3030.</w:t>
            </w:r>
          </w:p>
        </w:tc>
      </w:tr>
      <w:tr w:rsidR="00420938" w:rsidTr="00420938">
        <w:trPr>
          <w:tblCellSpacing w:w="15" w:type="dxa"/>
        </w:trPr>
        <w:tc>
          <w:tcPr>
            <w:tcW w:w="0" w:type="auto"/>
            <w:hideMark/>
          </w:tcPr>
          <w:p w:rsidR="00420938" w:rsidRDefault="00420938">
            <w:pPr>
              <w:pStyle w:val="Bibliography"/>
              <w:rPr>
                <w:noProof/>
              </w:rPr>
            </w:pPr>
            <w:r>
              <w:rPr>
                <w:noProof/>
              </w:rPr>
              <w:t>135.</w:t>
            </w:r>
          </w:p>
        </w:tc>
        <w:tc>
          <w:tcPr>
            <w:tcW w:w="0" w:type="auto"/>
            <w:hideMark/>
          </w:tcPr>
          <w:p w:rsidR="00420938" w:rsidRDefault="00420938">
            <w:pPr>
              <w:pStyle w:val="Bibliography"/>
              <w:rPr>
                <w:noProof/>
              </w:rPr>
            </w:pPr>
            <w:r>
              <w:rPr>
                <w:noProof/>
              </w:rPr>
              <w:t xml:space="preserve">Araujo, P. (2009) Key aspects of analytical method validation and linearity evaluation. </w:t>
            </w:r>
            <w:r>
              <w:rPr>
                <w:i/>
                <w:iCs/>
                <w:noProof/>
              </w:rPr>
              <w:t>J. Chromatogr. B</w:t>
            </w:r>
            <w:r>
              <w:rPr>
                <w:noProof/>
              </w:rPr>
              <w:t xml:space="preserve"> </w:t>
            </w:r>
            <w:r>
              <w:rPr>
                <w:b/>
                <w:bCs/>
                <w:noProof/>
              </w:rPr>
              <w:t>877</w:t>
            </w:r>
            <w:r>
              <w:rPr>
                <w:noProof/>
              </w:rPr>
              <w:t>, 2224-2234.</w:t>
            </w:r>
          </w:p>
        </w:tc>
      </w:tr>
      <w:tr w:rsidR="00420938" w:rsidTr="00420938">
        <w:trPr>
          <w:tblCellSpacing w:w="15" w:type="dxa"/>
        </w:trPr>
        <w:tc>
          <w:tcPr>
            <w:tcW w:w="0" w:type="auto"/>
            <w:hideMark/>
          </w:tcPr>
          <w:p w:rsidR="00420938" w:rsidRDefault="00420938">
            <w:pPr>
              <w:pStyle w:val="Bibliography"/>
              <w:rPr>
                <w:noProof/>
              </w:rPr>
            </w:pPr>
            <w:r>
              <w:rPr>
                <w:noProof/>
              </w:rPr>
              <w:t>136.</w:t>
            </w:r>
          </w:p>
        </w:tc>
        <w:tc>
          <w:tcPr>
            <w:tcW w:w="0" w:type="auto"/>
            <w:hideMark/>
          </w:tcPr>
          <w:p w:rsidR="00420938" w:rsidRDefault="00420938">
            <w:pPr>
              <w:pStyle w:val="Bibliography"/>
              <w:rPr>
                <w:noProof/>
              </w:rPr>
            </w:pPr>
            <w:r>
              <w:rPr>
                <w:noProof/>
              </w:rPr>
              <w:t xml:space="preserve">Peters, F. T., Remane, D. (2012) Aspects of matrix effects in applications of liquid chromatography-mass spectrometry to forensic and clinical toxicology - a review. </w:t>
            </w:r>
            <w:r>
              <w:rPr>
                <w:i/>
                <w:iCs/>
                <w:noProof/>
              </w:rPr>
              <w:t>Anal. Bioanal. Chem.</w:t>
            </w:r>
            <w:r>
              <w:rPr>
                <w:noProof/>
              </w:rPr>
              <w:t xml:space="preserve"> </w:t>
            </w:r>
            <w:r>
              <w:rPr>
                <w:b/>
                <w:bCs/>
                <w:noProof/>
              </w:rPr>
              <w:t>403</w:t>
            </w:r>
            <w:r>
              <w:rPr>
                <w:noProof/>
              </w:rPr>
              <w:t>, 2155-2172.</w:t>
            </w:r>
          </w:p>
        </w:tc>
      </w:tr>
      <w:tr w:rsidR="00420938" w:rsidTr="00420938">
        <w:trPr>
          <w:tblCellSpacing w:w="15" w:type="dxa"/>
        </w:trPr>
        <w:tc>
          <w:tcPr>
            <w:tcW w:w="0" w:type="auto"/>
            <w:hideMark/>
          </w:tcPr>
          <w:p w:rsidR="00420938" w:rsidRDefault="00420938">
            <w:pPr>
              <w:pStyle w:val="Bibliography"/>
              <w:rPr>
                <w:noProof/>
              </w:rPr>
            </w:pPr>
            <w:r>
              <w:rPr>
                <w:noProof/>
              </w:rPr>
              <w:t>137.</w:t>
            </w:r>
          </w:p>
        </w:tc>
        <w:tc>
          <w:tcPr>
            <w:tcW w:w="0" w:type="auto"/>
            <w:hideMark/>
          </w:tcPr>
          <w:p w:rsidR="00420938" w:rsidRDefault="00420938">
            <w:pPr>
              <w:pStyle w:val="Bibliography"/>
              <w:rPr>
                <w:noProof/>
              </w:rPr>
            </w:pPr>
            <w:r>
              <w:rPr>
                <w:noProof/>
              </w:rPr>
              <w:t xml:space="preserve">Wieling, J., Hendriks, G., Tamminga, W. J., Hempenius, J., Mensink, C. K., Oosterhuis, B., Jonkman, J. HG. (1996) Rational experimental design for bioanalytical methods validation illustration using an assay method for total captopril in plasma. </w:t>
            </w:r>
            <w:r>
              <w:rPr>
                <w:i/>
                <w:iCs/>
                <w:noProof/>
              </w:rPr>
              <w:t>J. Chromatogr. A</w:t>
            </w:r>
            <w:r>
              <w:rPr>
                <w:b/>
                <w:bCs/>
                <w:noProof/>
              </w:rPr>
              <w:t>(730)</w:t>
            </w:r>
            <w:r>
              <w:rPr>
                <w:noProof/>
              </w:rPr>
              <w:t>, 381-394.</w:t>
            </w:r>
          </w:p>
        </w:tc>
      </w:tr>
      <w:tr w:rsidR="00420938" w:rsidTr="00420938">
        <w:trPr>
          <w:tblCellSpacing w:w="15" w:type="dxa"/>
        </w:trPr>
        <w:tc>
          <w:tcPr>
            <w:tcW w:w="0" w:type="auto"/>
            <w:hideMark/>
          </w:tcPr>
          <w:p w:rsidR="00420938" w:rsidRDefault="00420938">
            <w:pPr>
              <w:pStyle w:val="Bibliography"/>
              <w:rPr>
                <w:noProof/>
              </w:rPr>
            </w:pPr>
            <w:r>
              <w:rPr>
                <w:noProof/>
              </w:rPr>
              <w:t>138.</w:t>
            </w:r>
          </w:p>
        </w:tc>
        <w:tc>
          <w:tcPr>
            <w:tcW w:w="0" w:type="auto"/>
            <w:hideMark/>
          </w:tcPr>
          <w:p w:rsidR="00420938" w:rsidRDefault="00420938">
            <w:pPr>
              <w:pStyle w:val="Bibliography"/>
              <w:rPr>
                <w:noProof/>
              </w:rPr>
            </w:pPr>
            <w:r>
              <w:rPr>
                <w:noProof/>
              </w:rPr>
              <w:t xml:space="preserve">Cohen, B. MZ., Butler, R. (2011) BZP-party pills: A reivew of reserach on benzylpiperazine as a recreational drug. </w:t>
            </w:r>
            <w:r>
              <w:rPr>
                <w:i/>
                <w:iCs/>
                <w:noProof/>
              </w:rPr>
              <w:t>Int. J. Drug Policy</w:t>
            </w:r>
            <w:r>
              <w:rPr>
                <w:noProof/>
              </w:rPr>
              <w:t xml:space="preserve"> </w:t>
            </w:r>
            <w:r>
              <w:rPr>
                <w:b/>
                <w:bCs/>
                <w:noProof/>
              </w:rPr>
              <w:t>22</w:t>
            </w:r>
            <w:r>
              <w:rPr>
                <w:noProof/>
              </w:rPr>
              <w:t>, 95-101.</w:t>
            </w:r>
          </w:p>
        </w:tc>
      </w:tr>
    </w:tbl>
    <w:p w:rsidR="00420938" w:rsidRDefault="00420938" w:rsidP="00420938">
      <w:pPr>
        <w:pStyle w:val="Bibliography"/>
        <w:rPr>
          <w:noProof/>
          <w:vanish/>
        </w:rPr>
      </w:pPr>
      <w:r>
        <w:rPr>
          <w:noProof/>
          <w:vanish/>
        </w:rPr>
        <w:t>x</w:t>
      </w:r>
    </w:p>
    <w:p w:rsidR="00CE7CB1" w:rsidRPr="00F97B2D" w:rsidRDefault="000E239B" w:rsidP="00420938">
      <w:pPr>
        <w:pStyle w:val="Heading1"/>
        <w:numPr>
          <w:ilvl w:val="0"/>
          <w:numId w:val="0"/>
        </w:numPr>
      </w:pPr>
      <w:r w:rsidRPr="00F97B2D">
        <w:fldChar w:fldCharType="end"/>
      </w:r>
      <w:r w:rsidR="00CE7CB1" w:rsidRPr="00F97B2D">
        <w:br w:type="page"/>
      </w:r>
    </w:p>
    <w:p w:rsidR="00D04C20" w:rsidRPr="00F97B2D" w:rsidRDefault="00D04C20" w:rsidP="00CE7CB1">
      <w:pPr>
        <w:spacing w:after="0" w:line="480" w:lineRule="auto"/>
        <w:jc w:val="center"/>
        <w:outlineLvl w:val="0"/>
        <w:rPr>
          <w:rFonts w:cs="Times New Roman"/>
          <w:b/>
          <w:szCs w:val="24"/>
        </w:rPr>
        <w:sectPr w:rsidR="00D04C20" w:rsidRPr="00F97B2D" w:rsidSect="00005A65">
          <w:pgSz w:w="12240" w:h="15840" w:code="1"/>
          <w:pgMar w:top="1440" w:right="1440" w:bottom="1800" w:left="2160" w:header="720" w:footer="720" w:gutter="0"/>
          <w:cols w:space="720"/>
          <w:docGrid w:linePitch="360"/>
        </w:sectPr>
      </w:pPr>
    </w:p>
    <w:p w:rsidR="00FD78D3" w:rsidRPr="00F97B2D" w:rsidRDefault="00CE7CB1" w:rsidP="00F97B2D">
      <w:pPr>
        <w:pStyle w:val="Heading1"/>
        <w:numPr>
          <w:ilvl w:val="0"/>
          <w:numId w:val="0"/>
        </w:numPr>
      </w:pPr>
      <w:bookmarkStart w:id="295" w:name="_Toc354741005"/>
      <w:bookmarkStart w:id="296" w:name="_Toc354742762"/>
      <w:bookmarkStart w:id="297" w:name="_Toc372536114"/>
      <w:bookmarkStart w:id="298" w:name="_Toc372538777"/>
      <w:r w:rsidRPr="00F97B2D">
        <w:t>APPENDICES</w:t>
      </w:r>
      <w:bookmarkEnd w:id="295"/>
      <w:bookmarkEnd w:id="296"/>
      <w:bookmarkEnd w:id="297"/>
      <w:bookmarkEnd w:id="298"/>
    </w:p>
    <w:p w:rsidR="0028722F" w:rsidRPr="00F97B2D" w:rsidRDefault="0028722F" w:rsidP="00F97B2D">
      <w:pPr>
        <w:pStyle w:val="Caption"/>
      </w:pPr>
      <w:bookmarkStart w:id="299" w:name="_Ref362611954"/>
      <w:bookmarkStart w:id="300" w:name="_Toc372536138"/>
      <w:r w:rsidRPr="00F97B2D">
        <w:t xml:space="preserve">Appendix </w:t>
      </w:r>
      <w:r w:rsidR="000E239B" w:rsidRPr="00F97B2D">
        <w:fldChar w:fldCharType="begin"/>
      </w:r>
      <w:r w:rsidR="00B2107A" w:rsidRPr="00F97B2D">
        <w:instrText xml:space="preserve"> SEQ Appendix \* ARABIC </w:instrText>
      </w:r>
      <w:r w:rsidR="000E239B" w:rsidRPr="00F97B2D">
        <w:fldChar w:fldCharType="separate"/>
      </w:r>
      <w:r w:rsidR="00E37796">
        <w:rPr>
          <w:noProof/>
        </w:rPr>
        <w:t>1</w:t>
      </w:r>
      <w:r w:rsidR="000E239B" w:rsidRPr="00F97B2D">
        <w:rPr>
          <w:noProof/>
        </w:rPr>
        <w:fldChar w:fldCharType="end"/>
      </w:r>
      <w:bookmarkEnd w:id="299"/>
      <w:r w:rsidRPr="00F97B2D">
        <w:t>: Designer Drugs by Class and Sub-class</w:t>
      </w:r>
      <w:bookmarkEnd w:id="3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750"/>
        <w:gridCol w:w="2968"/>
        <w:gridCol w:w="3804"/>
        <w:gridCol w:w="2059"/>
      </w:tblGrid>
      <w:tr w:rsidR="0028722F" w:rsidRPr="0068761A" w:rsidTr="0028722F">
        <w:trPr>
          <w:tblHeader/>
        </w:trPr>
        <w:tc>
          <w:tcPr>
            <w:tcW w:w="0" w:type="auto"/>
            <w:shd w:val="clear" w:color="auto" w:fill="auto"/>
            <w:vAlign w:val="center"/>
          </w:tcPr>
          <w:p w:rsidR="0028722F" w:rsidRPr="0068761A" w:rsidRDefault="0028722F" w:rsidP="0028722F">
            <w:pPr>
              <w:jc w:val="center"/>
              <w:rPr>
                <w:rFonts w:cs="Times New Roman"/>
                <w:b/>
              </w:rPr>
            </w:pPr>
            <w:bookmarkStart w:id="301" w:name="_Ref362526914"/>
            <w:bookmarkStart w:id="302" w:name="_Ref362526843"/>
            <w:r w:rsidRPr="0068761A">
              <w:rPr>
                <w:rFonts w:cs="Times New Roman"/>
                <w:b/>
                <w:sz w:val="22"/>
              </w:rPr>
              <w:t>Class</w:t>
            </w:r>
          </w:p>
        </w:tc>
        <w:tc>
          <w:tcPr>
            <w:tcW w:w="0" w:type="auto"/>
            <w:shd w:val="clear" w:color="auto" w:fill="auto"/>
          </w:tcPr>
          <w:p w:rsidR="0028722F" w:rsidRPr="0068761A" w:rsidRDefault="0028722F" w:rsidP="0028722F">
            <w:pPr>
              <w:jc w:val="center"/>
              <w:rPr>
                <w:rFonts w:cs="Times New Roman"/>
                <w:b/>
              </w:rPr>
            </w:pPr>
            <w:r w:rsidRPr="0068761A">
              <w:rPr>
                <w:rFonts w:cs="Times New Roman"/>
                <w:b/>
                <w:sz w:val="22"/>
              </w:rPr>
              <w:t>Basic Structure</w:t>
            </w:r>
          </w:p>
        </w:tc>
        <w:tc>
          <w:tcPr>
            <w:tcW w:w="0" w:type="auto"/>
            <w:shd w:val="clear" w:color="auto" w:fill="auto"/>
            <w:vAlign w:val="center"/>
          </w:tcPr>
          <w:p w:rsidR="0028722F" w:rsidRPr="0068761A" w:rsidRDefault="0028722F" w:rsidP="0028722F">
            <w:pPr>
              <w:jc w:val="center"/>
              <w:rPr>
                <w:rFonts w:cs="Times New Roman"/>
                <w:b/>
              </w:rPr>
            </w:pPr>
            <w:r w:rsidRPr="0068761A">
              <w:rPr>
                <w:rFonts w:cs="Times New Roman"/>
                <w:b/>
                <w:sz w:val="22"/>
              </w:rPr>
              <w:t>Substituents</w:t>
            </w:r>
          </w:p>
        </w:tc>
        <w:tc>
          <w:tcPr>
            <w:tcW w:w="0" w:type="auto"/>
            <w:shd w:val="clear" w:color="auto" w:fill="auto"/>
            <w:vAlign w:val="center"/>
          </w:tcPr>
          <w:p w:rsidR="0028722F" w:rsidRPr="0068761A" w:rsidRDefault="0028722F" w:rsidP="0028722F">
            <w:pPr>
              <w:jc w:val="center"/>
              <w:rPr>
                <w:rFonts w:cs="Times New Roman"/>
                <w:b/>
              </w:rPr>
            </w:pPr>
            <w:r w:rsidRPr="0068761A">
              <w:rPr>
                <w:rFonts w:cs="Times New Roman"/>
                <w:b/>
                <w:sz w:val="22"/>
              </w:rPr>
              <w:t>Name/Abbreviation</w:t>
            </w:r>
          </w:p>
        </w:tc>
      </w:tr>
      <w:tr w:rsidR="0028722F" w:rsidRPr="0068761A" w:rsidTr="0028722F">
        <w:trPr>
          <w:trHeight w:val="1440"/>
        </w:trPr>
        <w:tc>
          <w:tcPr>
            <w:tcW w:w="0" w:type="auto"/>
            <w:shd w:val="clear" w:color="auto" w:fill="auto"/>
            <w:vAlign w:val="center"/>
          </w:tcPr>
          <w:p w:rsidR="0028722F" w:rsidRPr="0068761A" w:rsidRDefault="0028722F" w:rsidP="0028722F">
            <w:pPr>
              <w:jc w:val="center"/>
              <w:rPr>
                <w:rFonts w:cs="Times New Roman"/>
                <w:b/>
              </w:rPr>
            </w:pPr>
            <w:r w:rsidRPr="0068761A">
              <w:rPr>
                <w:rFonts w:cs="Times New Roman"/>
                <w:b/>
                <w:sz w:val="22"/>
              </w:rPr>
              <w:t>PHENETHYLAMINES</w:t>
            </w:r>
          </w:p>
          <w:p w:rsidR="0028722F" w:rsidRPr="0068761A" w:rsidRDefault="0028722F" w:rsidP="0028722F">
            <w:pPr>
              <w:jc w:val="center"/>
              <w:rPr>
                <w:rFonts w:cs="Times New Roman"/>
              </w:rPr>
            </w:pPr>
            <w:r w:rsidRPr="0068761A">
              <w:rPr>
                <w:rFonts w:cs="Times New Roman"/>
                <w:sz w:val="22"/>
              </w:rPr>
              <w:t>2,5-dimethoxy-amphetamines</w:t>
            </w:r>
          </w:p>
        </w:tc>
        <w:tc>
          <w:tcPr>
            <w:tcW w:w="0" w:type="auto"/>
            <w:shd w:val="clear" w:color="auto" w:fill="auto"/>
            <w:vAlign w:val="center"/>
          </w:tcPr>
          <w:p w:rsidR="0028722F" w:rsidRPr="0068761A" w:rsidRDefault="0028722F" w:rsidP="0028722F">
            <w:pPr>
              <w:jc w:val="center"/>
              <w:rPr>
                <w:rFonts w:cs="Times New Roman"/>
              </w:rPr>
            </w:pPr>
            <w:r w:rsidRPr="0068761A">
              <w:rPr>
                <w:rFonts w:cs="Times New Roman"/>
                <w:sz w:val="22"/>
              </w:rPr>
              <w:object w:dxaOrig="2952" w:dyaOrig="1263">
                <v:shape id="_x0000_i1033" type="#_x0000_t75" style="width:141pt;height:59.25pt" o:ole="">
                  <v:imagedata r:id="rId41" o:title=""/>
                </v:shape>
                <o:OLEObject Type="Embed" ProgID="ACD.ChemSketch.20" ShapeID="_x0000_i1033" DrawAspect="Content" ObjectID="_1448215292" r:id="rId42"/>
              </w:object>
            </w:r>
          </w:p>
        </w:tc>
        <w:tc>
          <w:tcPr>
            <w:tcW w:w="0" w:type="auto"/>
            <w:shd w:val="clear" w:color="auto" w:fill="auto"/>
            <w:vAlign w:val="center"/>
          </w:tcPr>
          <w:p w:rsidR="0028722F" w:rsidRPr="0068761A" w:rsidRDefault="0028722F" w:rsidP="0028722F">
            <w:pPr>
              <w:jc w:val="right"/>
              <w:rPr>
                <w:rFonts w:cs="Times New Roman"/>
              </w:rPr>
            </w:pPr>
            <w:r w:rsidRPr="0068761A">
              <w:rPr>
                <w:rFonts w:cs="Times New Roman"/>
                <w:sz w:val="22"/>
              </w:rPr>
              <w:t>R</w:t>
            </w:r>
            <w:r w:rsidRPr="0068761A">
              <w:rPr>
                <w:rFonts w:cs="Times New Roman"/>
                <w:sz w:val="22"/>
                <w:vertAlign w:val="superscript"/>
              </w:rPr>
              <w:t>1</w:t>
            </w:r>
            <w:r w:rsidRPr="0068761A">
              <w:rPr>
                <w:rFonts w:cs="Times New Roman"/>
                <w:sz w:val="22"/>
              </w:rPr>
              <w:t xml:space="preserve"> = Br, R</w:t>
            </w:r>
            <w:r w:rsidRPr="0068761A">
              <w:rPr>
                <w:rFonts w:cs="Times New Roman"/>
                <w:sz w:val="22"/>
                <w:vertAlign w:val="superscript"/>
              </w:rPr>
              <w:t>2</w:t>
            </w:r>
            <w:r w:rsidRPr="0068761A">
              <w:rPr>
                <w:rFonts w:cs="Times New Roman"/>
                <w:sz w:val="22"/>
              </w:rPr>
              <w:t xml:space="preserve"> = H</w:t>
            </w:r>
          </w:p>
          <w:p w:rsidR="0028722F" w:rsidRPr="0068761A" w:rsidRDefault="0028722F" w:rsidP="0028722F">
            <w:pPr>
              <w:jc w:val="right"/>
              <w:rPr>
                <w:rFonts w:cs="Times New Roman"/>
              </w:rPr>
            </w:pPr>
            <w:r w:rsidRPr="0068761A">
              <w:rPr>
                <w:rFonts w:cs="Times New Roman"/>
                <w:sz w:val="22"/>
              </w:rPr>
              <w:t>R</w:t>
            </w:r>
            <w:r w:rsidRPr="0068761A">
              <w:rPr>
                <w:rFonts w:cs="Times New Roman"/>
                <w:sz w:val="22"/>
                <w:vertAlign w:val="superscript"/>
              </w:rPr>
              <w:t>1</w:t>
            </w:r>
            <w:r w:rsidRPr="0068761A">
              <w:rPr>
                <w:rFonts w:cs="Times New Roman"/>
                <w:sz w:val="22"/>
              </w:rPr>
              <w:t xml:space="preserve"> = C</w:t>
            </w:r>
            <w:r w:rsidRPr="0068761A">
              <w:rPr>
                <w:rFonts w:cs="Times New Roman"/>
                <w:sz w:val="22"/>
                <w:vertAlign w:val="subscript"/>
              </w:rPr>
              <w:t>2</w:t>
            </w:r>
            <w:r w:rsidRPr="0068761A">
              <w:rPr>
                <w:rFonts w:cs="Times New Roman"/>
                <w:sz w:val="22"/>
              </w:rPr>
              <w:t>H</w:t>
            </w:r>
            <w:r w:rsidRPr="0068761A">
              <w:rPr>
                <w:rFonts w:cs="Times New Roman"/>
                <w:sz w:val="22"/>
                <w:vertAlign w:val="subscript"/>
              </w:rPr>
              <w:t>5</w:t>
            </w:r>
            <w:r w:rsidRPr="0068761A">
              <w:rPr>
                <w:rFonts w:cs="Times New Roman"/>
                <w:sz w:val="22"/>
              </w:rPr>
              <w:t>, R</w:t>
            </w:r>
            <w:r w:rsidRPr="0068761A">
              <w:rPr>
                <w:rFonts w:cs="Times New Roman"/>
                <w:sz w:val="22"/>
                <w:vertAlign w:val="superscript"/>
              </w:rPr>
              <w:t>2</w:t>
            </w:r>
            <w:r w:rsidRPr="0068761A">
              <w:rPr>
                <w:rFonts w:cs="Times New Roman"/>
                <w:sz w:val="22"/>
              </w:rPr>
              <w:t xml:space="preserve"> = H</w:t>
            </w:r>
          </w:p>
          <w:p w:rsidR="0028722F" w:rsidRPr="0068761A" w:rsidRDefault="0028722F" w:rsidP="0028722F">
            <w:pPr>
              <w:jc w:val="right"/>
              <w:rPr>
                <w:rFonts w:cs="Times New Roman"/>
              </w:rPr>
            </w:pPr>
            <w:r w:rsidRPr="0068761A">
              <w:rPr>
                <w:rFonts w:cs="Times New Roman"/>
                <w:sz w:val="22"/>
              </w:rPr>
              <w:t>R</w:t>
            </w:r>
            <w:r w:rsidRPr="0068761A">
              <w:rPr>
                <w:rFonts w:cs="Times New Roman"/>
                <w:sz w:val="22"/>
                <w:vertAlign w:val="superscript"/>
              </w:rPr>
              <w:t>1</w:t>
            </w:r>
            <w:r w:rsidRPr="0068761A">
              <w:rPr>
                <w:rFonts w:cs="Times New Roman"/>
                <w:sz w:val="22"/>
              </w:rPr>
              <w:t xml:space="preserve"> = CH</w:t>
            </w:r>
            <w:r w:rsidRPr="0068761A">
              <w:rPr>
                <w:rFonts w:cs="Times New Roman"/>
                <w:sz w:val="22"/>
                <w:vertAlign w:val="subscript"/>
              </w:rPr>
              <w:t>3</w:t>
            </w:r>
            <w:r w:rsidRPr="0068761A">
              <w:rPr>
                <w:rFonts w:cs="Times New Roman"/>
                <w:sz w:val="22"/>
              </w:rPr>
              <w:t>, R</w:t>
            </w:r>
            <w:r w:rsidRPr="0068761A">
              <w:rPr>
                <w:rFonts w:cs="Times New Roman"/>
                <w:sz w:val="22"/>
                <w:vertAlign w:val="superscript"/>
              </w:rPr>
              <w:t>2</w:t>
            </w:r>
            <w:r w:rsidRPr="0068761A">
              <w:rPr>
                <w:rFonts w:cs="Times New Roman"/>
                <w:sz w:val="22"/>
              </w:rPr>
              <w:t xml:space="preserve"> = H</w:t>
            </w:r>
          </w:p>
          <w:p w:rsidR="0028722F" w:rsidRPr="0068761A" w:rsidRDefault="0028722F" w:rsidP="0028722F">
            <w:pPr>
              <w:jc w:val="right"/>
              <w:rPr>
                <w:rFonts w:cs="Times New Roman"/>
              </w:rPr>
            </w:pPr>
            <w:r w:rsidRPr="0068761A">
              <w:rPr>
                <w:rFonts w:cs="Times New Roman"/>
                <w:sz w:val="22"/>
              </w:rPr>
              <w:t>R</w:t>
            </w:r>
            <w:r w:rsidRPr="0068761A">
              <w:rPr>
                <w:rFonts w:cs="Times New Roman"/>
                <w:sz w:val="22"/>
                <w:vertAlign w:val="superscript"/>
              </w:rPr>
              <w:t>1</w:t>
            </w:r>
            <w:r w:rsidRPr="0068761A">
              <w:rPr>
                <w:rFonts w:cs="Times New Roman"/>
                <w:sz w:val="22"/>
              </w:rPr>
              <w:t xml:space="preserve"> = O-CH</w:t>
            </w:r>
            <w:r w:rsidRPr="0068761A">
              <w:rPr>
                <w:rFonts w:cs="Times New Roman"/>
                <w:sz w:val="22"/>
                <w:vertAlign w:val="subscript"/>
              </w:rPr>
              <w:t>3</w:t>
            </w:r>
            <w:r w:rsidRPr="0068761A">
              <w:rPr>
                <w:rFonts w:cs="Times New Roman"/>
                <w:sz w:val="22"/>
              </w:rPr>
              <w:t>, R</w:t>
            </w:r>
            <w:r w:rsidRPr="0068761A">
              <w:rPr>
                <w:rFonts w:cs="Times New Roman"/>
                <w:sz w:val="22"/>
                <w:vertAlign w:val="superscript"/>
              </w:rPr>
              <w:t>2</w:t>
            </w:r>
            <w:r w:rsidRPr="0068761A">
              <w:rPr>
                <w:rFonts w:cs="Times New Roman"/>
                <w:sz w:val="22"/>
              </w:rPr>
              <w:t xml:space="preserve"> = H</w:t>
            </w:r>
          </w:p>
        </w:tc>
        <w:tc>
          <w:tcPr>
            <w:tcW w:w="0" w:type="auto"/>
            <w:shd w:val="clear" w:color="auto" w:fill="auto"/>
            <w:vAlign w:val="center"/>
          </w:tcPr>
          <w:p w:rsidR="0028722F" w:rsidRPr="0068761A" w:rsidRDefault="0028722F" w:rsidP="0028722F">
            <w:pPr>
              <w:rPr>
                <w:rFonts w:cs="Times New Roman"/>
              </w:rPr>
            </w:pPr>
            <w:r w:rsidRPr="0068761A">
              <w:rPr>
                <w:rFonts w:cs="Times New Roman"/>
                <w:sz w:val="22"/>
              </w:rPr>
              <w:t>DOB</w:t>
            </w:r>
          </w:p>
          <w:p w:rsidR="0028722F" w:rsidRPr="0068761A" w:rsidRDefault="0028722F" w:rsidP="0028722F">
            <w:pPr>
              <w:rPr>
                <w:rFonts w:cs="Times New Roman"/>
              </w:rPr>
            </w:pPr>
            <w:r w:rsidRPr="0068761A">
              <w:rPr>
                <w:rFonts w:cs="Times New Roman"/>
                <w:sz w:val="22"/>
              </w:rPr>
              <w:t>DOET</w:t>
            </w:r>
          </w:p>
          <w:p w:rsidR="0028722F" w:rsidRPr="0068761A" w:rsidRDefault="0028722F" w:rsidP="0028722F">
            <w:pPr>
              <w:rPr>
                <w:rFonts w:cs="Times New Roman"/>
              </w:rPr>
            </w:pPr>
            <w:r w:rsidRPr="0068761A">
              <w:rPr>
                <w:rFonts w:cs="Times New Roman"/>
                <w:sz w:val="22"/>
              </w:rPr>
              <w:t>DOM</w:t>
            </w:r>
          </w:p>
          <w:p w:rsidR="0028722F" w:rsidRPr="0068761A" w:rsidRDefault="0028722F" w:rsidP="0028722F">
            <w:pPr>
              <w:rPr>
                <w:rFonts w:cs="Times New Roman"/>
              </w:rPr>
            </w:pPr>
            <w:r w:rsidRPr="0068761A">
              <w:rPr>
                <w:rFonts w:cs="Times New Roman"/>
                <w:sz w:val="22"/>
              </w:rPr>
              <w:t>TMA</w:t>
            </w:r>
          </w:p>
        </w:tc>
      </w:tr>
      <w:tr w:rsidR="0028722F" w:rsidRPr="0068761A" w:rsidTr="0028722F">
        <w:trPr>
          <w:trHeight w:val="1440"/>
        </w:trPr>
        <w:tc>
          <w:tcPr>
            <w:tcW w:w="0" w:type="auto"/>
            <w:shd w:val="clear" w:color="auto" w:fill="auto"/>
            <w:vAlign w:val="center"/>
          </w:tcPr>
          <w:p w:rsidR="0028722F" w:rsidRPr="0068761A" w:rsidRDefault="0028722F" w:rsidP="0028722F">
            <w:pPr>
              <w:jc w:val="center"/>
              <w:rPr>
                <w:rFonts w:cs="Times New Roman"/>
                <w:b/>
              </w:rPr>
            </w:pPr>
            <w:r w:rsidRPr="0068761A">
              <w:rPr>
                <w:rFonts w:cs="Times New Roman"/>
                <w:b/>
                <w:sz w:val="22"/>
              </w:rPr>
              <w:t>PHENETHYLAMINES</w:t>
            </w:r>
          </w:p>
          <w:p w:rsidR="0028722F" w:rsidRPr="0068761A" w:rsidRDefault="0028722F" w:rsidP="0028722F">
            <w:pPr>
              <w:jc w:val="center"/>
              <w:rPr>
                <w:rFonts w:cs="Times New Roman"/>
              </w:rPr>
            </w:pPr>
            <w:r w:rsidRPr="0068761A">
              <w:rPr>
                <w:rFonts w:cs="Times New Roman"/>
                <w:sz w:val="22"/>
              </w:rPr>
              <w:t>2Cs</w:t>
            </w:r>
          </w:p>
        </w:tc>
        <w:tc>
          <w:tcPr>
            <w:tcW w:w="0" w:type="auto"/>
            <w:shd w:val="clear" w:color="auto" w:fill="auto"/>
            <w:vAlign w:val="center"/>
          </w:tcPr>
          <w:p w:rsidR="0028722F" w:rsidRPr="0068761A" w:rsidRDefault="0028722F" w:rsidP="0028722F">
            <w:pPr>
              <w:jc w:val="center"/>
              <w:rPr>
                <w:rFonts w:cs="Times New Roman"/>
              </w:rPr>
            </w:pPr>
            <w:r w:rsidRPr="0068761A">
              <w:rPr>
                <w:rFonts w:cs="Times New Roman"/>
                <w:sz w:val="22"/>
              </w:rPr>
              <w:object w:dxaOrig="2736" w:dyaOrig="1263">
                <v:shape id="_x0000_i1034" type="#_x0000_t75" style="width:140.25pt;height:63.75pt" o:ole="">
                  <v:imagedata r:id="rId43" o:title=""/>
                </v:shape>
                <o:OLEObject Type="Embed" ProgID="ACD.ChemSketch.20" ShapeID="_x0000_i1034" DrawAspect="Content" ObjectID="_1448215293" r:id="rId44"/>
              </w:object>
            </w:r>
          </w:p>
        </w:tc>
        <w:tc>
          <w:tcPr>
            <w:tcW w:w="0" w:type="auto"/>
            <w:shd w:val="clear" w:color="auto" w:fill="auto"/>
            <w:vAlign w:val="center"/>
          </w:tcPr>
          <w:p w:rsidR="0028722F" w:rsidRPr="0068761A" w:rsidRDefault="0028722F" w:rsidP="0028722F">
            <w:pPr>
              <w:jc w:val="right"/>
              <w:rPr>
                <w:rFonts w:cs="Times New Roman"/>
              </w:rPr>
            </w:pPr>
            <w:r w:rsidRPr="0068761A">
              <w:rPr>
                <w:rFonts w:cs="Times New Roman"/>
                <w:sz w:val="22"/>
              </w:rPr>
              <w:t>R = Br</w:t>
            </w:r>
          </w:p>
          <w:p w:rsidR="0028722F" w:rsidRPr="0068761A" w:rsidRDefault="0028722F" w:rsidP="0028722F">
            <w:pPr>
              <w:jc w:val="right"/>
              <w:rPr>
                <w:rFonts w:cs="Times New Roman"/>
              </w:rPr>
            </w:pPr>
            <w:r w:rsidRPr="0068761A">
              <w:rPr>
                <w:rFonts w:cs="Times New Roman"/>
                <w:sz w:val="22"/>
              </w:rPr>
              <w:t>R = C</w:t>
            </w:r>
            <w:r w:rsidRPr="0068761A">
              <w:rPr>
                <w:rFonts w:cs="Times New Roman"/>
                <w:sz w:val="22"/>
                <w:vertAlign w:val="subscript"/>
              </w:rPr>
              <w:t>2</w:t>
            </w:r>
            <w:r w:rsidRPr="0068761A">
              <w:rPr>
                <w:rFonts w:cs="Times New Roman"/>
                <w:sz w:val="22"/>
              </w:rPr>
              <w:t>H</w:t>
            </w:r>
            <w:r w:rsidRPr="0068761A">
              <w:rPr>
                <w:rFonts w:cs="Times New Roman"/>
                <w:sz w:val="22"/>
                <w:vertAlign w:val="subscript"/>
              </w:rPr>
              <w:t>5</w:t>
            </w:r>
          </w:p>
          <w:p w:rsidR="0028722F" w:rsidRPr="0068761A" w:rsidRDefault="0028722F" w:rsidP="0028722F">
            <w:pPr>
              <w:jc w:val="right"/>
              <w:rPr>
                <w:rFonts w:cs="Times New Roman"/>
              </w:rPr>
            </w:pPr>
            <w:r w:rsidRPr="0068761A">
              <w:rPr>
                <w:rFonts w:cs="Times New Roman"/>
                <w:sz w:val="22"/>
              </w:rPr>
              <w:t>R = I</w:t>
            </w:r>
          </w:p>
          <w:p w:rsidR="0028722F" w:rsidRPr="0068761A" w:rsidRDefault="0028722F" w:rsidP="0028722F">
            <w:pPr>
              <w:jc w:val="right"/>
              <w:rPr>
                <w:rFonts w:cs="Times New Roman"/>
              </w:rPr>
            </w:pPr>
            <w:r w:rsidRPr="0068761A">
              <w:rPr>
                <w:rFonts w:cs="Times New Roman"/>
                <w:sz w:val="22"/>
              </w:rPr>
              <w:t>R = S-CH(CH</w:t>
            </w:r>
            <w:r w:rsidRPr="0068761A">
              <w:rPr>
                <w:rFonts w:cs="Times New Roman"/>
                <w:sz w:val="22"/>
                <w:vertAlign w:val="subscript"/>
              </w:rPr>
              <w:t>3</w:t>
            </w:r>
            <w:r w:rsidRPr="0068761A">
              <w:rPr>
                <w:rFonts w:cs="Times New Roman"/>
                <w:sz w:val="22"/>
              </w:rPr>
              <w:t>)</w:t>
            </w:r>
            <w:r w:rsidRPr="0068761A">
              <w:rPr>
                <w:rFonts w:cs="Times New Roman"/>
                <w:sz w:val="22"/>
                <w:vertAlign w:val="subscript"/>
              </w:rPr>
              <w:t>2</w:t>
            </w:r>
          </w:p>
          <w:p w:rsidR="0028722F" w:rsidRPr="0068761A" w:rsidRDefault="0028722F" w:rsidP="0028722F">
            <w:pPr>
              <w:jc w:val="right"/>
              <w:rPr>
                <w:rFonts w:cs="Times New Roman"/>
              </w:rPr>
            </w:pPr>
            <w:r w:rsidRPr="0068761A">
              <w:rPr>
                <w:rFonts w:cs="Times New Roman"/>
                <w:sz w:val="22"/>
              </w:rPr>
              <w:t>R = S-C</w:t>
            </w:r>
            <w:r w:rsidRPr="0068761A">
              <w:rPr>
                <w:rFonts w:cs="Times New Roman"/>
                <w:sz w:val="22"/>
                <w:vertAlign w:val="subscript"/>
              </w:rPr>
              <w:t>3</w:t>
            </w:r>
            <w:r w:rsidRPr="0068761A">
              <w:rPr>
                <w:rFonts w:cs="Times New Roman"/>
                <w:sz w:val="22"/>
              </w:rPr>
              <w:t>H</w:t>
            </w:r>
            <w:r w:rsidRPr="0068761A">
              <w:rPr>
                <w:rFonts w:cs="Times New Roman"/>
                <w:sz w:val="22"/>
                <w:vertAlign w:val="subscript"/>
              </w:rPr>
              <w:t>7</w:t>
            </w:r>
          </w:p>
        </w:tc>
        <w:tc>
          <w:tcPr>
            <w:tcW w:w="0" w:type="auto"/>
            <w:shd w:val="clear" w:color="auto" w:fill="auto"/>
            <w:vAlign w:val="center"/>
          </w:tcPr>
          <w:p w:rsidR="0028722F" w:rsidRPr="0068761A" w:rsidRDefault="0028722F" w:rsidP="0028722F">
            <w:pPr>
              <w:rPr>
                <w:rFonts w:cs="Times New Roman"/>
              </w:rPr>
            </w:pPr>
            <w:r w:rsidRPr="0068761A">
              <w:rPr>
                <w:rFonts w:cs="Times New Roman"/>
                <w:sz w:val="22"/>
              </w:rPr>
              <w:t>2C-B</w:t>
            </w:r>
          </w:p>
          <w:p w:rsidR="0028722F" w:rsidRPr="0068761A" w:rsidRDefault="0028722F" w:rsidP="0028722F">
            <w:pPr>
              <w:rPr>
                <w:rFonts w:cs="Times New Roman"/>
              </w:rPr>
            </w:pPr>
            <w:r w:rsidRPr="0068761A">
              <w:rPr>
                <w:rFonts w:cs="Times New Roman"/>
                <w:sz w:val="22"/>
              </w:rPr>
              <w:t>2C-E</w:t>
            </w:r>
          </w:p>
          <w:p w:rsidR="0028722F" w:rsidRPr="0068761A" w:rsidRDefault="0028722F" w:rsidP="0028722F">
            <w:pPr>
              <w:rPr>
                <w:rFonts w:cs="Times New Roman"/>
              </w:rPr>
            </w:pPr>
            <w:r w:rsidRPr="0068761A">
              <w:rPr>
                <w:rFonts w:cs="Times New Roman"/>
                <w:sz w:val="22"/>
              </w:rPr>
              <w:t>2C-I</w:t>
            </w:r>
          </w:p>
          <w:p w:rsidR="0028722F" w:rsidRPr="0068761A" w:rsidRDefault="0028722F" w:rsidP="0028722F">
            <w:pPr>
              <w:rPr>
                <w:rFonts w:cs="Times New Roman"/>
              </w:rPr>
            </w:pPr>
            <w:r w:rsidRPr="0068761A">
              <w:rPr>
                <w:rFonts w:cs="Times New Roman"/>
                <w:sz w:val="22"/>
              </w:rPr>
              <w:t>2C-T-4</w:t>
            </w:r>
          </w:p>
          <w:p w:rsidR="0028722F" w:rsidRPr="0068761A" w:rsidRDefault="0028722F" w:rsidP="0028722F">
            <w:pPr>
              <w:rPr>
                <w:rFonts w:cs="Times New Roman"/>
              </w:rPr>
            </w:pPr>
            <w:r w:rsidRPr="0068761A">
              <w:rPr>
                <w:rFonts w:cs="Times New Roman"/>
                <w:sz w:val="22"/>
              </w:rPr>
              <w:t>2C-T-7</w:t>
            </w:r>
          </w:p>
        </w:tc>
      </w:tr>
      <w:tr w:rsidR="0028722F" w:rsidRPr="0068761A" w:rsidTr="0028722F">
        <w:trPr>
          <w:trHeight w:val="1440"/>
        </w:trPr>
        <w:tc>
          <w:tcPr>
            <w:tcW w:w="0" w:type="auto"/>
            <w:shd w:val="clear" w:color="auto" w:fill="auto"/>
            <w:vAlign w:val="center"/>
          </w:tcPr>
          <w:p w:rsidR="0028722F" w:rsidRPr="0068761A" w:rsidRDefault="0028722F" w:rsidP="0028722F">
            <w:pPr>
              <w:jc w:val="center"/>
              <w:rPr>
                <w:rFonts w:cs="Times New Roman"/>
                <w:b/>
              </w:rPr>
            </w:pPr>
            <w:r w:rsidRPr="0068761A">
              <w:rPr>
                <w:rFonts w:cs="Times New Roman"/>
                <w:b/>
                <w:sz w:val="22"/>
              </w:rPr>
              <w:t>PHENETHYLAMIMES</w:t>
            </w:r>
          </w:p>
          <w:p w:rsidR="0028722F" w:rsidRPr="0068761A" w:rsidRDefault="0028722F" w:rsidP="0028722F">
            <w:pPr>
              <w:jc w:val="center"/>
              <w:rPr>
                <w:rFonts w:cs="Times New Roman"/>
              </w:rPr>
            </w:pPr>
            <w:r w:rsidRPr="0068761A">
              <w:rPr>
                <w:rFonts w:cs="Times New Roman"/>
                <w:sz w:val="22"/>
              </w:rPr>
              <w:t>3,4-methylene-</w:t>
            </w:r>
          </w:p>
          <w:p w:rsidR="0028722F" w:rsidRPr="0068761A" w:rsidRDefault="0028722F" w:rsidP="0028722F">
            <w:pPr>
              <w:jc w:val="center"/>
              <w:rPr>
                <w:rFonts w:cs="Times New Roman"/>
              </w:rPr>
            </w:pPr>
            <w:r w:rsidRPr="0068761A">
              <w:rPr>
                <w:rFonts w:cs="Times New Roman"/>
                <w:sz w:val="22"/>
              </w:rPr>
              <w:t>dioxyamphetamines</w:t>
            </w:r>
          </w:p>
        </w:tc>
        <w:tc>
          <w:tcPr>
            <w:tcW w:w="0" w:type="auto"/>
            <w:shd w:val="clear" w:color="auto" w:fill="auto"/>
            <w:vAlign w:val="center"/>
          </w:tcPr>
          <w:p w:rsidR="0028722F" w:rsidRPr="0068761A" w:rsidRDefault="0028722F" w:rsidP="0028722F">
            <w:pPr>
              <w:jc w:val="center"/>
              <w:rPr>
                <w:rFonts w:cs="Times New Roman"/>
              </w:rPr>
            </w:pPr>
            <w:r w:rsidRPr="0068761A">
              <w:rPr>
                <w:rFonts w:cs="Times New Roman"/>
                <w:sz w:val="22"/>
              </w:rPr>
              <w:object w:dxaOrig="2760" w:dyaOrig="1013">
                <v:shape id="_x0000_i1035" type="#_x0000_t75" style="width:142.5pt;height:53.25pt" o:ole="">
                  <v:imagedata r:id="rId45" o:title=""/>
                </v:shape>
                <o:OLEObject Type="Embed" ProgID="ACD.ChemSketch.20" ShapeID="_x0000_i1035" DrawAspect="Content" ObjectID="_1448215294" r:id="rId46"/>
              </w:object>
            </w:r>
          </w:p>
        </w:tc>
        <w:tc>
          <w:tcPr>
            <w:tcW w:w="0" w:type="auto"/>
            <w:shd w:val="clear" w:color="auto" w:fill="auto"/>
            <w:vAlign w:val="center"/>
          </w:tcPr>
          <w:p w:rsidR="0028722F" w:rsidRPr="0068761A" w:rsidRDefault="0028722F" w:rsidP="0028722F">
            <w:pPr>
              <w:jc w:val="right"/>
              <w:rPr>
                <w:rFonts w:cs="Times New Roman"/>
              </w:rPr>
            </w:pPr>
            <w:r w:rsidRPr="0068761A">
              <w:rPr>
                <w:rFonts w:cs="Times New Roman"/>
                <w:sz w:val="22"/>
              </w:rPr>
              <w:t>R = H</w:t>
            </w:r>
          </w:p>
          <w:p w:rsidR="0028722F" w:rsidRPr="0068761A" w:rsidRDefault="0028722F" w:rsidP="0028722F">
            <w:pPr>
              <w:jc w:val="right"/>
              <w:rPr>
                <w:rFonts w:cs="Times New Roman"/>
              </w:rPr>
            </w:pPr>
            <w:r w:rsidRPr="0068761A">
              <w:rPr>
                <w:rFonts w:cs="Times New Roman"/>
                <w:sz w:val="22"/>
              </w:rPr>
              <w:t>R = C</w:t>
            </w:r>
            <w:r w:rsidRPr="0068761A">
              <w:rPr>
                <w:rFonts w:cs="Times New Roman"/>
                <w:sz w:val="22"/>
                <w:vertAlign w:val="subscript"/>
              </w:rPr>
              <w:t>2</w:t>
            </w:r>
            <w:r w:rsidRPr="0068761A">
              <w:rPr>
                <w:rFonts w:cs="Times New Roman"/>
                <w:sz w:val="22"/>
              </w:rPr>
              <w:t>H</w:t>
            </w:r>
            <w:r w:rsidRPr="0068761A">
              <w:rPr>
                <w:rFonts w:cs="Times New Roman"/>
                <w:sz w:val="22"/>
                <w:vertAlign w:val="subscript"/>
              </w:rPr>
              <w:t>5</w:t>
            </w:r>
          </w:p>
          <w:p w:rsidR="0028722F" w:rsidRPr="0068761A" w:rsidRDefault="0028722F" w:rsidP="0028722F">
            <w:pPr>
              <w:jc w:val="right"/>
              <w:rPr>
                <w:rFonts w:cs="Times New Roman"/>
              </w:rPr>
            </w:pPr>
            <w:r w:rsidRPr="0068761A">
              <w:rPr>
                <w:rFonts w:cs="Times New Roman"/>
                <w:sz w:val="22"/>
              </w:rPr>
              <w:t>R = CH</w:t>
            </w:r>
            <w:r w:rsidRPr="0068761A">
              <w:rPr>
                <w:rFonts w:cs="Times New Roman"/>
                <w:sz w:val="22"/>
                <w:vertAlign w:val="subscript"/>
              </w:rPr>
              <w:t>3</w:t>
            </w:r>
          </w:p>
        </w:tc>
        <w:tc>
          <w:tcPr>
            <w:tcW w:w="0" w:type="auto"/>
            <w:shd w:val="clear" w:color="auto" w:fill="auto"/>
            <w:vAlign w:val="center"/>
          </w:tcPr>
          <w:p w:rsidR="0028722F" w:rsidRPr="0068761A" w:rsidRDefault="0028722F" w:rsidP="0028722F">
            <w:pPr>
              <w:rPr>
                <w:rFonts w:cs="Times New Roman"/>
              </w:rPr>
            </w:pPr>
            <w:r w:rsidRPr="0068761A">
              <w:rPr>
                <w:rFonts w:cs="Times New Roman"/>
                <w:sz w:val="22"/>
              </w:rPr>
              <w:t>MDA</w:t>
            </w:r>
          </w:p>
          <w:p w:rsidR="0028722F" w:rsidRPr="0068761A" w:rsidRDefault="0028722F" w:rsidP="0028722F">
            <w:pPr>
              <w:rPr>
                <w:rFonts w:cs="Times New Roman"/>
              </w:rPr>
            </w:pPr>
            <w:r w:rsidRPr="0068761A">
              <w:rPr>
                <w:rFonts w:cs="Times New Roman"/>
                <w:sz w:val="22"/>
              </w:rPr>
              <w:t>MDEA</w:t>
            </w:r>
          </w:p>
          <w:p w:rsidR="0028722F" w:rsidRPr="0068761A" w:rsidRDefault="0028722F" w:rsidP="0028722F">
            <w:pPr>
              <w:rPr>
                <w:rFonts w:cs="Times New Roman"/>
              </w:rPr>
            </w:pPr>
            <w:r w:rsidRPr="0068761A">
              <w:rPr>
                <w:rFonts w:cs="Times New Roman"/>
                <w:sz w:val="22"/>
              </w:rPr>
              <w:t>MDMA</w:t>
            </w:r>
          </w:p>
        </w:tc>
      </w:tr>
      <w:tr w:rsidR="0028722F" w:rsidRPr="0068761A" w:rsidTr="0028722F">
        <w:trPr>
          <w:trHeight w:val="1440"/>
        </w:trPr>
        <w:tc>
          <w:tcPr>
            <w:tcW w:w="0" w:type="auto"/>
            <w:shd w:val="clear" w:color="auto" w:fill="auto"/>
            <w:vAlign w:val="center"/>
          </w:tcPr>
          <w:p w:rsidR="0028722F" w:rsidRPr="0068761A" w:rsidRDefault="0028722F" w:rsidP="0028722F">
            <w:pPr>
              <w:jc w:val="center"/>
              <w:rPr>
                <w:rFonts w:cs="Times New Roman"/>
                <w:b/>
              </w:rPr>
            </w:pPr>
            <w:r w:rsidRPr="0068761A">
              <w:rPr>
                <w:rFonts w:cs="Times New Roman"/>
                <w:b/>
                <w:sz w:val="22"/>
              </w:rPr>
              <w:t>PHENETHYLAMINES</w:t>
            </w:r>
          </w:p>
          <w:p w:rsidR="0028722F" w:rsidRPr="0068761A" w:rsidRDefault="0028722F" w:rsidP="0028722F">
            <w:pPr>
              <w:jc w:val="center"/>
              <w:rPr>
                <w:rFonts w:cs="Times New Roman"/>
              </w:rPr>
            </w:pPr>
            <w:r w:rsidRPr="0068761A">
              <w:rPr>
                <w:rFonts w:cs="Times New Roman"/>
                <w:sz w:val="22"/>
              </w:rPr>
              <w:t>Amphetamines</w:t>
            </w:r>
          </w:p>
        </w:tc>
        <w:tc>
          <w:tcPr>
            <w:tcW w:w="0" w:type="auto"/>
            <w:shd w:val="clear" w:color="auto" w:fill="auto"/>
            <w:vAlign w:val="center"/>
          </w:tcPr>
          <w:p w:rsidR="0028722F" w:rsidRPr="0068761A" w:rsidRDefault="0028722F" w:rsidP="0028722F">
            <w:pPr>
              <w:jc w:val="center"/>
              <w:rPr>
                <w:rFonts w:cs="Times New Roman"/>
              </w:rPr>
            </w:pPr>
            <w:r w:rsidRPr="0068761A">
              <w:rPr>
                <w:rFonts w:cs="Times New Roman"/>
                <w:sz w:val="22"/>
              </w:rPr>
              <w:object w:dxaOrig="2246" w:dyaOrig="1013">
                <v:shape id="_x0000_i1036" type="#_x0000_t75" style="width:111pt;height:52.5pt" o:ole="">
                  <v:imagedata r:id="rId47" o:title=""/>
                </v:shape>
                <o:OLEObject Type="Embed" ProgID="ACD.ChemSketch.20" ShapeID="_x0000_i1036" DrawAspect="Content" ObjectID="_1448215295" r:id="rId48"/>
              </w:object>
            </w:r>
          </w:p>
        </w:tc>
        <w:tc>
          <w:tcPr>
            <w:tcW w:w="0" w:type="auto"/>
            <w:shd w:val="clear" w:color="auto" w:fill="auto"/>
            <w:vAlign w:val="center"/>
          </w:tcPr>
          <w:p w:rsidR="0028722F" w:rsidRPr="0068761A" w:rsidRDefault="0028722F" w:rsidP="0028722F">
            <w:pPr>
              <w:jc w:val="right"/>
              <w:rPr>
                <w:rFonts w:cs="Times New Roman"/>
              </w:rPr>
            </w:pPr>
            <w:r w:rsidRPr="0068761A">
              <w:rPr>
                <w:rFonts w:cs="Times New Roman"/>
                <w:sz w:val="22"/>
              </w:rPr>
              <w:t>R = H</w:t>
            </w:r>
          </w:p>
          <w:p w:rsidR="0028722F" w:rsidRPr="0068761A" w:rsidRDefault="0028722F" w:rsidP="0028722F">
            <w:pPr>
              <w:jc w:val="right"/>
              <w:rPr>
                <w:rFonts w:cs="Times New Roman"/>
              </w:rPr>
            </w:pPr>
            <w:r w:rsidRPr="0068761A">
              <w:rPr>
                <w:rFonts w:cs="Times New Roman"/>
                <w:sz w:val="22"/>
              </w:rPr>
              <w:t>R = CH</w:t>
            </w:r>
            <w:r w:rsidRPr="0068761A">
              <w:rPr>
                <w:rFonts w:cs="Times New Roman"/>
                <w:sz w:val="22"/>
                <w:vertAlign w:val="subscript"/>
              </w:rPr>
              <w:t>3</w:t>
            </w:r>
          </w:p>
          <w:p w:rsidR="0028722F" w:rsidRPr="0068761A" w:rsidRDefault="0028722F" w:rsidP="0028722F">
            <w:pPr>
              <w:jc w:val="right"/>
              <w:rPr>
                <w:rFonts w:cs="Times New Roman"/>
              </w:rPr>
            </w:pPr>
            <w:r w:rsidRPr="0068761A">
              <w:rPr>
                <w:rFonts w:cs="Times New Roman"/>
                <w:sz w:val="22"/>
              </w:rPr>
              <w:t>R = C</w:t>
            </w:r>
            <w:r w:rsidRPr="0068761A">
              <w:rPr>
                <w:rFonts w:cs="Times New Roman"/>
                <w:sz w:val="22"/>
                <w:vertAlign w:val="subscript"/>
              </w:rPr>
              <w:t>2</w:t>
            </w:r>
            <w:r w:rsidRPr="0068761A">
              <w:rPr>
                <w:rFonts w:cs="Times New Roman"/>
                <w:sz w:val="22"/>
              </w:rPr>
              <w:t>H</w:t>
            </w:r>
            <w:r w:rsidRPr="0068761A">
              <w:rPr>
                <w:rFonts w:cs="Times New Roman"/>
                <w:sz w:val="22"/>
                <w:vertAlign w:val="subscript"/>
              </w:rPr>
              <w:t>5</w:t>
            </w:r>
          </w:p>
        </w:tc>
        <w:tc>
          <w:tcPr>
            <w:tcW w:w="0" w:type="auto"/>
            <w:shd w:val="clear" w:color="auto" w:fill="auto"/>
            <w:vAlign w:val="center"/>
          </w:tcPr>
          <w:p w:rsidR="0028722F" w:rsidRPr="0068761A" w:rsidRDefault="0028722F" w:rsidP="0028722F">
            <w:pPr>
              <w:rPr>
                <w:rFonts w:cs="Times New Roman"/>
              </w:rPr>
            </w:pPr>
            <w:r w:rsidRPr="0068761A">
              <w:rPr>
                <w:rFonts w:cs="Times New Roman"/>
                <w:sz w:val="22"/>
              </w:rPr>
              <w:t>Amphetamine</w:t>
            </w:r>
          </w:p>
          <w:p w:rsidR="0028722F" w:rsidRPr="0068761A" w:rsidRDefault="0028722F" w:rsidP="0028722F">
            <w:pPr>
              <w:rPr>
                <w:rFonts w:cs="Times New Roman"/>
              </w:rPr>
            </w:pPr>
            <w:r w:rsidRPr="0068761A">
              <w:rPr>
                <w:rFonts w:cs="Times New Roman"/>
                <w:sz w:val="22"/>
              </w:rPr>
              <w:t>Methamphetamine</w:t>
            </w:r>
          </w:p>
          <w:p w:rsidR="0028722F" w:rsidRPr="0068761A" w:rsidRDefault="0028722F" w:rsidP="0028722F">
            <w:pPr>
              <w:rPr>
                <w:rFonts w:cs="Times New Roman"/>
              </w:rPr>
            </w:pPr>
            <w:r w:rsidRPr="0068761A">
              <w:rPr>
                <w:rFonts w:cs="Times New Roman"/>
                <w:sz w:val="22"/>
              </w:rPr>
              <w:t>Ethylamphetamine</w:t>
            </w:r>
          </w:p>
        </w:tc>
      </w:tr>
      <w:tr w:rsidR="0028722F" w:rsidRPr="0068761A" w:rsidTr="0028722F">
        <w:trPr>
          <w:trHeight w:val="1440"/>
        </w:trPr>
        <w:tc>
          <w:tcPr>
            <w:tcW w:w="0" w:type="auto"/>
            <w:shd w:val="clear" w:color="auto" w:fill="auto"/>
            <w:vAlign w:val="center"/>
          </w:tcPr>
          <w:p w:rsidR="0028722F" w:rsidRPr="0068761A" w:rsidRDefault="0028722F" w:rsidP="0028722F">
            <w:pPr>
              <w:jc w:val="center"/>
              <w:rPr>
                <w:rFonts w:cs="Times New Roman"/>
                <w:b/>
              </w:rPr>
            </w:pPr>
            <w:r w:rsidRPr="0068761A">
              <w:rPr>
                <w:rFonts w:cs="Times New Roman"/>
                <w:b/>
                <w:sz w:val="22"/>
              </w:rPr>
              <w:t>PHENETHYLAMINES</w:t>
            </w:r>
          </w:p>
          <w:p w:rsidR="0028722F" w:rsidRPr="0068761A" w:rsidRDefault="0028722F" w:rsidP="0028722F">
            <w:pPr>
              <w:jc w:val="center"/>
              <w:rPr>
                <w:rFonts w:cs="Times New Roman"/>
              </w:rPr>
            </w:pPr>
            <w:r w:rsidRPr="0068761A">
              <w:rPr>
                <w:rFonts w:cs="Times New Roman"/>
                <w:sz w:val="22"/>
              </w:rPr>
              <w:t>Pyrrolidinophenones</w:t>
            </w:r>
          </w:p>
        </w:tc>
        <w:tc>
          <w:tcPr>
            <w:tcW w:w="0" w:type="auto"/>
            <w:shd w:val="clear" w:color="auto" w:fill="auto"/>
            <w:vAlign w:val="center"/>
          </w:tcPr>
          <w:p w:rsidR="0028722F" w:rsidRPr="0068761A" w:rsidRDefault="0028722F" w:rsidP="0028722F">
            <w:pPr>
              <w:jc w:val="center"/>
              <w:rPr>
                <w:rFonts w:cs="Times New Roman"/>
              </w:rPr>
            </w:pPr>
            <w:r w:rsidRPr="0068761A">
              <w:rPr>
                <w:rFonts w:cs="Times New Roman"/>
                <w:sz w:val="22"/>
              </w:rPr>
              <w:object w:dxaOrig="2818" w:dyaOrig="1411">
                <v:shape id="_x0000_i1037" type="#_x0000_t75" style="width:133.5pt;height:67.5pt" o:ole="">
                  <v:imagedata r:id="rId49" o:title=""/>
                </v:shape>
                <o:OLEObject Type="Embed" ProgID="ACD.ChemSketch.20" ShapeID="_x0000_i1037" DrawAspect="Content" ObjectID="_1448215296" r:id="rId50"/>
              </w:object>
            </w:r>
          </w:p>
        </w:tc>
        <w:tc>
          <w:tcPr>
            <w:tcW w:w="0" w:type="auto"/>
            <w:shd w:val="clear" w:color="auto" w:fill="auto"/>
            <w:vAlign w:val="center"/>
          </w:tcPr>
          <w:p w:rsidR="0028722F" w:rsidRPr="0068761A" w:rsidRDefault="0028722F" w:rsidP="0028722F">
            <w:pPr>
              <w:jc w:val="right"/>
              <w:rPr>
                <w:rFonts w:cs="Times New Roman"/>
              </w:rPr>
            </w:pPr>
            <w:r w:rsidRPr="0068761A">
              <w:rPr>
                <w:rFonts w:cs="Times New Roman"/>
                <w:sz w:val="22"/>
              </w:rPr>
              <w:t>R</w:t>
            </w:r>
            <w:r w:rsidRPr="0068761A">
              <w:rPr>
                <w:rFonts w:cs="Times New Roman"/>
                <w:sz w:val="22"/>
                <w:vertAlign w:val="superscript"/>
              </w:rPr>
              <w:t>1</w:t>
            </w:r>
            <w:r w:rsidRPr="0068761A">
              <w:rPr>
                <w:rFonts w:cs="Times New Roman"/>
                <w:sz w:val="22"/>
              </w:rPr>
              <w:t xml:space="preserve"> = R</w:t>
            </w:r>
            <w:r w:rsidRPr="0068761A">
              <w:rPr>
                <w:rFonts w:cs="Times New Roman"/>
                <w:sz w:val="22"/>
                <w:vertAlign w:val="superscript"/>
              </w:rPr>
              <w:t>2</w:t>
            </w:r>
            <w:r w:rsidRPr="0068761A">
              <w:rPr>
                <w:rFonts w:cs="Times New Roman"/>
                <w:sz w:val="22"/>
              </w:rPr>
              <w:t xml:space="preserve"> = O-CH</w:t>
            </w:r>
            <w:r w:rsidRPr="0068761A">
              <w:rPr>
                <w:rFonts w:cs="Times New Roman"/>
                <w:sz w:val="22"/>
                <w:vertAlign w:val="subscript"/>
              </w:rPr>
              <w:t>2</w:t>
            </w:r>
            <w:r w:rsidRPr="0068761A">
              <w:rPr>
                <w:rFonts w:cs="Times New Roman"/>
                <w:sz w:val="22"/>
              </w:rPr>
              <w:t>-O, R</w:t>
            </w:r>
            <w:r w:rsidRPr="0068761A">
              <w:rPr>
                <w:rFonts w:cs="Times New Roman"/>
                <w:sz w:val="22"/>
                <w:vertAlign w:val="superscript"/>
              </w:rPr>
              <w:t>3</w:t>
            </w:r>
            <w:r w:rsidRPr="0068761A">
              <w:rPr>
                <w:rFonts w:cs="Times New Roman"/>
                <w:sz w:val="22"/>
              </w:rPr>
              <w:t xml:space="preserve"> = C</w:t>
            </w:r>
            <w:r w:rsidRPr="0068761A">
              <w:rPr>
                <w:rFonts w:cs="Times New Roman"/>
                <w:sz w:val="22"/>
                <w:vertAlign w:val="subscript"/>
              </w:rPr>
              <w:t>3</w:t>
            </w:r>
            <w:r w:rsidRPr="0068761A">
              <w:rPr>
                <w:rFonts w:cs="Times New Roman"/>
                <w:sz w:val="22"/>
              </w:rPr>
              <w:t>H</w:t>
            </w:r>
            <w:r w:rsidRPr="0068761A">
              <w:rPr>
                <w:rFonts w:cs="Times New Roman"/>
                <w:sz w:val="22"/>
                <w:vertAlign w:val="subscript"/>
              </w:rPr>
              <w:t>7</w:t>
            </w:r>
            <w:r w:rsidRPr="0068761A">
              <w:rPr>
                <w:rFonts w:cs="Times New Roman"/>
                <w:sz w:val="22"/>
              </w:rPr>
              <w:t xml:space="preserve">    </w:t>
            </w:r>
          </w:p>
        </w:tc>
        <w:tc>
          <w:tcPr>
            <w:tcW w:w="0" w:type="auto"/>
            <w:shd w:val="clear" w:color="auto" w:fill="auto"/>
            <w:vAlign w:val="center"/>
          </w:tcPr>
          <w:p w:rsidR="0028722F" w:rsidRPr="0068761A" w:rsidRDefault="0028722F" w:rsidP="0028722F">
            <w:pPr>
              <w:rPr>
                <w:rFonts w:cs="Times New Roman"/>
              </w:rPr>
            </w:pPr>
            <w:r w:rsidRPr="0068761A">
              <w:rPr>
                <w:rFonts w:cs="Times New Roman"/>
                <w:sz w:val="22"/>
              </w:rPr>
              <w:t>MDPV</w:t>
            </w:r>
          </w:p>
        </w:tc>
      </w:tr>
      <w:tr w:rsidR="0028722F" w:rsidRPr="0068761A" w:rsidTr="0028722F">
        <w:trPr>
          <w:trHeight w:val="1440"/>
        </w:trPr>
        <w:tc>
          <w:tcPr>
            <w:tcW w:w="0" w:type="auto"/>
            <w:shd w:val="clear" w:color="auto" w:fill="auto"/>
            <w:vAlign w:val="center"/>
          </w:tcPr>
          <w:p w:rsidR="0028722F" w:rsidRPr="0068761A" w:rsidRDefault="0028722F" w:rsidP="0028722F">
            <w:pPr>
              <w:jc w:val="center"/>
              <w:rPr>
                <w:rFonts w:cs="Times New Roman"/>
                <w:b/>
              </w:rPr>
            </w:pPr>
            <w:r w:rsidRPr="0068761A">
              <w:rPr>
                <w:rFonts w:cs="Times New Roman"/>
                <w:b/>
                <w:sz w:val="22"/>
              </w:rPr>
              <w:t>PHENETHYLAMINES</w:t>
            </w:r>
          </w:p>
          <w:p w:rsidR="0028722F" w:rsidRPr="0068761A" w:rsidRDefault="0028722F" w:rsidP="0028722F">
            <w:pPr>
              <w:jc w:val="center"/>
              <w:rPr>
                <w:rFonts w:cs="Times New Roman"/>
              </w:rPr>
            </w:pPr>
            <w:r w:rsidRPr="0068761A">
              <w:rPr>
                <w:rFonts w:cs="Times New Roman"/>
                <w:sz w:val="22"/>
              </w:rPr>
              <w:t>β-keto-amphetamines</w:t>
            </w:r>
          </w:p>
        </w:tc>
        <w:tc>
          <w:tcPr>
            <w:tcW w:w="0" w:type="auto"/>
            <w:shd w:val="clear" w:color="auto" w:fill="auto"/>
            <w:vAlign w:val="center"/>
          </w:tcPr>
          <w:p w:rsidR="0028722F" w:rsidRPr="0068761A" w:rsidRDefault="0028722F" w:rsidP="0028722F">
            <w:pPr>
              <w:jc w:val="center"/>
              <w:rPr>
                <w:rFonts w:cs="Times New Roman"/>
              </w:rPr>
            </w:pPr>
          </w:p>
          <w:p w:rsidR="0028722F" w:rsidRDefault="0028722F" w:rsidP="0028722F">
            <w:pPr>
              <w:jc w:val="center"/>
              <w:rPr>
                <w:rFonts w:cs="Times New Roman"/>
              </w:rPr>
            </w:pPr>
            <w:r w:rsidRPr="0068761A">
              <w:rPr>
                <w:rFonts w:cs="Times New Roman"/>
                <w:sz w:val="22"/>
              </w:rPr>
              <w:object w:dxaOrig="1632" w:dyaOrig="903">
                <v:shape id="_x0000_i1038" type="#_x0000_t75" style="width:123.75pt;height:67.5pt" o:ole="">
                  <v:imagedata r:id="rId51" o:title=""/>
                </v:shape>
                <o:OLEObject Type="Embed" ProgID="ACD.ChemSketch.20" ShapeID="_x0000_i1038" DrawAspect="Content" ObjectID="_1448215297" r:id="rId52"/>
              </w:object>
            </w:r>
          </w:p>
          <w:p w:rsidR="00F677A2" w:rsidRDefault="00F677A2" w:rsidP="0028722F">
            <w:pPr>
              <w:jc w:val="center"/>
              <w:rPr>
                <w:rFonts w:cs="Times New Roman"/>
              </w:rPr>
            </w:pPr>
          </w:p>
          <w:p w:rsidR="00F677A2" w:rsidRPr="0068761A" w:rsidRDefault="00F677A2" w:rsidP="0028722F">
            <w:pPr>
              <w:jc w:val="center"/>
              <w:rPr>
                <w:rFonts w:cs="Times New Roman"/>
              </w:rPr>
            </w:pPr>
          </w:p>
          <w:p w:rsidR="0028722F" w:rsidRPr="0068761A" w:rsidRDefault="0028722F" w:rsidP="00F677A2">
            <w:pPr>
              <w:jc w:val="center"/>
              <w:rPr>
                <w:rFonts w:cs="Times New Roman"/>
              </w:rPr>
            </w:pPr>
            <w:r w:rsidRPr="0068761A">
              <w:rPr>
                <w:rFonts w:cs="Times New Roman"/>
                <w:sz w:val="22"/>
              </w:rPr>
              <w:object w:dxaOrig="2856" w:dyaOrig="1310">
                <v:shape id="_x0000_i1039" type="#_x0000_t75" style="width:135.75pt;height:61.5pt" o:ole="">
                  <v:imagedata r:id="rId53" o:title=""/>
                </v:shape>
                <o:OLEObject Type="Embed" ProgID="ACD.ChemSketch.20" ShapeID="_x0000_i1039" DrawAspect="Content" ObjectID="_1448215298" r:id="rId54"/>
              </w:object>
            </w:r>
          </w:p>
        </w:tc>
        <w:tc>
          <w:tcPr>
            <w:tcW w:w="0" w:type="auto"/>
            <w:shd w:val="clear" w:color="auto" w:fill="auto"/>
          </w:tcPr>
          <w:p w:rsidR="0028722F" w:rsidRPr="0068761A" w:rsidRDefault="0028722F" w:rsidP="0028722F">
            <w:pPr>
              <w:jc w:val="right"/>
              <w:rPr>
                <w:rFonts w:cs="Times New Roman"/>
              </w:rPr>
            </w:pPr>
            <w:r w:rsidRPr="0068761A">
              <w:rPr>
                <w:rFonts w:cs="Times New Roman"/>
                <w:sz w:val="22"/>
              </w:rPr>
              <w:t>R</w:t>
            </w:r>
            <w:r w:rsidRPr="0068761A">
              <w:rPr>
                <w:rFonts w:cs="Times New Roman"/>
                <w:sz w:val="22"/>
                <w:vertAlign w:val="superscript"/>
              </w:rPr>
              <w:t>1</w:t>
            </w:r>
            <w:r w:rsidRPr="0068761A">
              <w:rPr>
                <w:rFonts w:cs="Times New Roman"/>
                <w:sz w:val="22"/>
              </w:rPr>
              <w:t xml:space="preserve"> = R</w:t>
            </w:r>
            <w:r w:rsidRPr="0068761A">
              <w:rPr>
                <w:rFonts w:cs="Times New Roman"/>
                <w:sz w:val="22"/>
                <w:vertAlign w:val="superscript"/>
              </w:rPr>
              <w:t>2</w:t>
            </w:r>
            <w:r w:rsidRPr="0068761A">
              <w:rPr>
                <w:rFonts w:cs="Times New Roman"/>
                <w:sz w:val="22"/>
              </w:rPr>
              <w:t xml:space="preserve"> = CH</w:t>
            </w:r>
            <w:r w:rsidRPr="0068761A">
              <w:rPr>
                <w:rFonts w:cs="Times New Roman"/>
                <w:sz w:val="22"/>
                <w:vertAlign w:val="subscript"/>
              </w:rPr>
              <w:t>3</w:t>
            </w:r>
          </w:p>
          <w:p w:rsidR="0028722F" w:rsidRPr="0068761A" w:rsidRDefault="0028722F" w:rsidP="0028722F">
            <w:pPr>
              <w:jc w:val="right"/>
              <w:rPr>
                <w:rFonts w:cs="Times New Roman"/>
              </w:rPr>
            </w:pPr>
            <w:r w:rsidRPr="0068761A">
              <w:rPr>
                <w:rFonts w:cs="Times New Roman"/>
                <w:sz w:val="22"/>
              </w:rPr>
              <w:t>R</w:t>
            </w:r>
            <w:r w:rsidRPr="0068761A">
              <w:rPr>
                <w:rFonts w:cs="Times New Roman"/>
                <w:sz w:val="22"/>
                <w:vertAlign w:val="superscript"/>
              </w:rPr>
              <w:t>1</w:t>
            </w:r>
            <w:r w:rsidRPr="0068761A">
              <w:rPr>
                <w:rFonts w:cs="Times New Roman"/>
                <w:sz w:val="22"/>
              </w:rPr>
              <w:t xml:space="preserve"> = R</w:t>
            </w:r>
            <w:r w:rsidRPr="0068761A">
              <w:rPr>
                <w:rFonts w:cs="Times New Roman"/>
                <w:sz w:val="22"/>
                <w:vertAlign w:val="superscript"/>
              </w:rPr>
              <w:t>2</w:t>
            </w:r>
            <w:r w:rsidRPr="0068761A">
              <w:rPr>
                <w:rFonts w:cs="Times New Roman"/>
                <w:sz w:val="22"/>
              </w:rPr>
              <w:t xml:space="preserve"> = H</w:t>
            </w:r>
          </w:p>
          <w:p w:rsidR="0028722F" w:rsidRPr="0068761A" w:rsidRDefault="0028722F" w:rsidP="0028722F">
            <w:pPr>
              <w:jc w:val="right"/>
              <w:rPr>
                <w:rFonts w:cs="Times New Roman"/>
              </w:rPr>
            </w:pPr>
            <w:r w:rsidRPr="0068761A">
              <w:rPr>
                <w:rFonts w:cs="Times New Roman"/>
                <w:sz w:val="22"/>
              </w:rPr>
              <w:t>R</w:t>
            </w:r>
            <w:r w:rsidRPr="0068761A">
              <w:rPr>
                <w:rFonts w:cs="Times New Roman"/>
                <w:sz w:val="22"/>
                <w:vertAlign w:val="superscript"/>
              </w:rPr>
              <w:t>1</w:t>
            </w:r>
            <w:r w:rsidRPr="0068761A">
              <w:rPr>
                <w:rFonts w:cs="Times New Roman"/>
                <w:sz w:val="22"/>
              </w:rPr>
              <w:t xml:space="preserve"> = H, R</w:t>
            </w:r>
            <w:r w:rsidRPr="0068761A">
              <w:rPr>
                <w:rFonts w:cs="Times New Roman"/>
                <w:sz w:val="22"/>
                <w:vertAlign w:val="superscript"/>
              </w:rPr>
              <w:t>2</w:t>
            </w:r>
            <w:r w:rsidRPr="0068761A">
              <w:rPr>
                <w:rFonts w:cs="Times New Roman"/>
                <w:sz w:val="22"/>
              </w:rPr>
              <w:t xml:space="preserve"> = CH</w:t>
            </w:r>
            <w:r w:rsidRPr="0068761A">
              <w:rPr>
                <w:rFonts w:cs="Times New Roman"/>
                <w:sz w:val="22"/>
                <w:vertAlign w:val="subscript"/>
              </w:rPr>
              <w:t>3</w:t>
            </w:r>
          </w:p>
          <w:p w:rsidR="0028722F" w:rsidRPr="0068761A" w:rsidRDefault="0028722F" w:rsidP="0028722F">
            <w:pPr>
              <w:jc w:val="right"/>
              <w:rPr>
                <w:rFonts w:cs="Times New Roman"/>
              </w:rPr>
            </w:pPr>
            <w:r w:rsidRPr="0068761A">
              <w:rPr>
                <w:rFonts w:cs="Times New Roman"/>
                <w:sz w:val="22"/>
              </w:rPr>
              <w:t>R</w:t>
            </w:r>
            <w:r w:rsidRPr="0068761A">
              <w:rPr>
                <w:rFonts w:cs="Times New Roman"/>
                <w:sz w:val="22"/>
                <w:vertAlign w:val="superscript"/>
              </w:rPr>
              <w:t>1</w:t>
            </w:r>
            <w:r w:rsidRPr="0068761A">
              <w:rPr>
                <w:rFonts w:cs="Times New Roman"/>
                <w:sz w:val="22"/>
              </w:rPr>
              <w:t xml:space="preserve"> = O-CH</w:t>
            </w:r>
            <w:r w:rsidRPr="0068761A">
              <w:rPr>
                <w:rFonts w:cs="Times New Roman"/>
                <w:sz w:val="22"/>
                <w:vertAlign w:val="subscript"/>
              </w:rPr>
              <w:t>3</w:t>
            </w:r>
            <w:r w:rsidRPr="0068761A">
              <w:rPr>
                <w:rFonts w:cs="Times New Roman"/>
                <w:sz w:val="22"/>
              </w:rPr>
              <w:t>, R</w:t>
            </w:r>
            <w:r w:rsidRPr="0068761A">
              <w:rPr>
                <w:rFonts w:cs="Times New Roman"/>
                <w:sz w:val="22"/>
                <w:vertAlign w:val="superscript"/>
              </w:rPr>
              <w:t>2</w:t>
            </w:r>
            <w:r w:rsidRPr="0068761A">
              <w:rPr>
                <w:rFonts w:cs="Times New Roman"/>
                <w:sz w:val="22"/>
              </w:rPr>
              <w:t xml:space="preserve"> = CH</w:t>
            </w:r>
            <w:r w:rsidRPr="0068761A">
              <w:rPr>
                <w:rFonts w:cs="Times New Roman"/>
                <w:sz w:val="22"/>
                <w:vertAlign w:val="subscript"/>
              </w:rPr>
              <w:t>3</w:t>
            </w:r>
          </w:p>
          <w:p w:rsidR="0028722F" w:rsidRPr="0068761A" w:rsidRDefault="0028722F" w:rsidP="0028722F">
            <w:pPr>
              <w:jc w:val="right"/>
              <w:rPr>
                <w:rFonts w:cs="Times New Roman"/>
              </w:rPr>
            </w:pPr>
            <w:r w:rsidRPr="0068761A">
              <w:rPr>
                <w:rFonts w:cs="Times New Roman"/>
                <w:sz w:val="22"/>
              </w:rPr>
              <w:t>R</w:t>
            </w:r>
            <w:r w:rsidRPr="0068761A">
              <w:rPr>
                <w:rFonts w:cs="Times New Roman"/>
                <w:sz w:val="22"/>
                <w:vertAlign w:val="superscript"/>
              </w:rPr>
              <w:t>1</w:t>
            </w:r>
            <w:r w:rsidRPr="0068761A">
              <w:rPr>
                <w:rFonts w:cs="Times New Roman"/>
                <w:sz w:val="22"/>
              </w:rPr>
              <w:t xml:space="preserve"> = CH</w:t>
            </w:r>
            <w:r w:rsidRPr="0068761A">
              <w:rPr>
                <w:rFonts w:cs="Times New Roman"/>
                <w:sz w:val="22"/>
                <w:vertAlign w:val="subscript"/>
              </w:rPr>
              <w:t>3</w:t>
            </w:r>
            <w:r w:rsidRPr="0068761A">
              <w:rPr>
                <w:rFonts w:cs="Times New Roman"/>
                <w:sz w:val="22"/>
              </w:rPr>
              <w:t>, R</w:t>
            </w:r>
            <w:r w:rsidRPr="0068761A">
              <w:rPr>
                <w:rFonts w:cs="Times New Roman"/>
                <w:sz w:val="22"/>
                <w:vertAlign w:val="superscript"/>
              </w:rPr>
              <w:t>2</w:t>
            </w:r>
            <w:r w:rsidRPr="0068761A">
              <w:rPr>
                <w:rFonts w:cs="Times New Roman"/>
                <w:sz w:val="22"/>
              </w:rPr>
              <w:t xml:space="preserve"> = C</w:t>
            </w:r>
            <w:r w:rsidRPr="0068761A">
              <w:rPr>
                <w:rFonts w:cs="Times New Roman"/>
                <w:sz w:val="22"/>
                <w:vertAlign w:val="subscript"/>
              </w:rPr>
              <w:t>2</w:t>
            </w:r>
            <w:r w:rsidRPr="0068761A">
              <w:rPr>
                <w:rFonts w:cs="Times New Roman"/>
                <w:sz w:val="22"/>
              </w:rPr>
              <w:t>H</w:t>
            </w:r>
            <w:r w:rsidRPr="0068761A">
              <w:rPr>
                <w:rFonts w:cs="Times New Roman"/>
                <w:sz w:val="22"/>
                <w:vertAlign w:val="subscript"/>
              </w:rPr>
              <w:t>5</w:t>
            </w:r>
          </w:p>
          <w:p w:rsidR="0028722F" w:rsidRPr="0068761A" w:rsidRDefault="0028722F" w:rsidP="0028722F">
            <w:pPr>
              <w:jc w:val="right"/>
              <w:rPr>
                <w:rFonts w:cs="Times New Roman"/>
              </w:rPr>
            </w:pPr>
            <w:r w:rsidRPr="0068761A">
              <w:rPr>
                <w:rFonts w:cs="Times New Roman"/>
                <w:sz w:val="22"/>
              </w:rPr>
              <w:t>R</w:t>
            </w:r>
            <w:r w:rsidRPr="0068761A">
              <w:rPr>
                <w:rFonts w:cs="Times New Roman"/>
                <w:sz w:val="22"/>
                <w:vertAlign w:val="superscript"/>
              </w:rPr>
              <w:t>1</w:t>
            </w:r>
            <w:r w:rsidRPr="0068761A">
              <w:rPr>
                <w:rFonts w:cs="Times New Roman"/>
                <w:sz w:val="22"/>
              </w:rPr>
              <w:t xml:space="preserve"> = F, R</w:t>
            </w:r>
            <w:r w:rsidRPr="0068761A">
              <w:rPr>
                <w:rFonts w:cs="Times New Roman"/>
                <w:sz w:val="22"/>
                <w:vertAlign w:val="superscript"/>
              </w:rPr>
              <w:t>2</w:t>
            </w:r>
            <w:r w:rsidRPr="0068761A">
              <w:rPr>
                <w:rFonts w:cs="Times New Roman"/>
                <w:sz w:val="22"/>
              </w:rPr>
              <w:t xml:space="preserve"> = CH</w:t>
            </w:r>
            <w:r w:rsidRPr="0068761A">
              <w:rPr>
                <w:rFonts w:cs="Times New Roman"/>
                <w:sz w:val="22"/>
                <w:vertAlign w:val="subscript"/>
              </w:rPr>
              <w:t>3</w:t>
            </w:r>
          </w:p>
          <w:p w:rsidR="0028722F" w:rsidRPr="0068761A" w:rsidRDefault="0028722F" w:rsidP="0028722F">
            <w:pPr>
              <w:rPr>
                <w:rFonts w:cs="Times New Roman"/>
              </w:rPr>
            </w:pPr>
          </w:p>
          <w:p w:rsidR="0028722F" w:rsidRPr="0068761A" w:rsidRDefault="0028722F" w:rsidP="0028722F">
            <w:pPr>
              <w:jc w:val="right"/>
              <w:rPr>
                <w:rFonts w:cs="Times New Roman"/>
              </w:rPr>
            </w:pPr>
            <w:r w:rsidRPr="0068761A">
              <w:rPr>
                <w:rFonts w:cs="Times New Roman"/>
                <w:sz w:val="22"/>
              </w:rPr>
              <w:t>R</w:t>
            </w:r>
            <w:r w:rsidRPr="0068761A">
              <w:rPr>
                <w:rFonts w:cs="Times New Roman"/>
                <w:sz w:val="22"/>
                <w:vertAlign w:val="superscript"/>
              </w:rPr>
              <w:t>1</w:t>
            </w:r>
            <w:r w:rsidRPr="0068761A">
              <w:rPr>
                <w:rFonts w:cs="Times New Roman"/>
                <w:sz w:val="22"/>
              </w:rPr>
              <w:t xml:space="preserve"> = R</w:t>
            </w:r>
            <w:r w:rsidRPr="0068761A">
              <w:rPr>
                <w:rFonts w:cs="Times New Roman"/>
                <w:sz w:val="22"/>
                <w:vertAlign w:val="superscript"/>
              </w:rPr>
              <w:t>2</w:t>
            </w:r>
            <w:r w:rsidRPr="0068761A">
              <w:rPr>
                <w:rFonts w:cs="Times New Roman"/>
                <w:sz w:val="22"/>
              </w:rPr>
              <w:t xml:space="preserve"> = CH</w:t>
            </w:r>
            <w:r w:rsidRPr="0068761A">
              <w:rPr>
                <w:rFonts w:cs="Times New Roman"/>
                <w:sz w:val="22"/>
                <w:vertAlign w:val="subscript"/>
              </w:rPr>
              <w:t>3</w:t>
            </w:r>
          </w:p>
          <w:p w:rsidR="0028722F" w:rsidRPr="0068761A" w:rsidRDefault="0028722F" w:rsidP="0028722F">
            <w:pPr>
              <w:jc w:val="right"/>
              <w:rPr>
                <w:rFonts w:cs="Times New Roman"/>
              </w:rPr>
            </w:pPr>
            <w:r w:rsidRPr="0068761A">
              <w:rPr>
                <w:rFonts w:cs="Times New Roman"/>
                <w:sz w:val="22"/>
              </w:rPr>
              <w:t>R</w:t>
            </w:r>
            <w:r w:rsidRPr="0068761A">
              <w:rPr>
                <w:rFonts w:cs="Times New Roman"/>
                <w:sz w:val="22"/>
                <w:vertAlign w:val="superscript"/>
              </w:rPr>
              <w:t>1</w:t>
            </w:r>
            <w:r w:rsidRPr="0068761A">
              <w:rPr>
                <w:rFonts w:cs="Times New Roman"/>
                <w:sz w:val="22"/>
              </w:rPr>
              <w:t xml:space="preserve"> = C</w:t>
            </w:r>
            <w:r w:rsidRPr="0068761A">
              <w:rPr>
                <w:rFonts w:cs="Times New Roman"/>
                <w:sz w:val="22"/>
                <w:vertAlign w:val="subscript"/>
              </w:rPr>
              <w:t>2</w:t>
            </w:r>
            <w:r w:rsidRPr="0068761A">
              <w:rPr>
                <w:rFonts w:cs="Times New Roman"/>
                <w:sz w:val="22"/>
              </w:rPr>
              <w:t>H</w:t>
            </w:r>
            <w:r w:rsidRPr="0068761A">
              <w:rPr>
                <w:rFonts w:cs="Times New Roman"/>
                <w:sz w:val="22"/>
                <w:vertAlign w:val="subscript"/>
              </w:rPr>
              <w:t>5</w:t>
            </w:r>
            <w:r w:rsidRPr="0068761A">
              <w:rPr>
                <w:rFonts w:cs="Times New Roman"/>
                <w:sz w:val="22"/>
              </w:rPr>
              <w:t>, R</w:t>
            </w:r>
            <w:r w:rsidRPr="0068761A">
              <w:rPr>
                <w:rFonts w:cs="Times New Roman"/>
                <w:sz w:val="22"/>
                <w:vertAlign w:val="superscript"/>
              </w:rPr>
              <w:t>2</w:t>
            </w:r>
            <w:r w:rsidRPr="0068761A">
              <w:rPr>
                <w:rFonts w:cs="Times New Roman"/>
                <w:sz w:val="22"/>
              </w:rPr>
              <w:t xml:space="preserve"> = CH</w:t>
            </w:r>
            <w:r w:rsidRPr="0068761A">
              <w:rPr>
                <w:rFonts w:cs="Times New Roman"/>
                <w:sz w:val="22"/>
                <w:vertAlign w:val="subscript"/>
              </w:rPr>
              <w:t>3</w:t>
            </w:r>
          </w:p>
        </w:tc>
        <w:tc>
          <w:tcPr>
            <w:tcW w:w="0" w:type="auto"/>
            <w:shd w:val="clear" w:color="auto" w:fill="auto"/>
          </w:tcPr>
          <w:p w:rsidR="0028722F" w:rsidRPr="0068761A" w:rsidRDefault="0028722F" w:rsidP="0028722F">
            <w:pPr>
              <w:rPr>
                <w:rFonts w:cs="Times New Roman"/>
              </w:rPr>
            </w:pPr>
            <w:r w:rsidRPr="0068761A">
              <w:rPr>
                <w:rFonts w:cs="Times New Roman"/>
                <w:sz w:val="22"/>
              </w:rPr>
              <w:t>Mephedrone</w:t>
            </w:r>
          </w:p>
          <w:p w:rsidR="0028722F" w:rsidRPr="0068761A" w:rsidRDefault="0028722F" w:rsidP="0028722F">
            <w:pPr>
              <w:rPr>
                <w:rFonts w:cs="Times New Roman"/>
              </w:rPr>
            </w:pPr>
            <w:r w:rsidRPr="0068761A">
              <w:rPr>
                <w:rFonts w:cs="Times New Roman"/>
                <w:sz w:val="22"/>
              </w:rPr>
              <w:t>Cathinone</w:t>
            </w:r>
          </w:p>
          <w:p w:rsidR="0028722F" w:rsidRPr="0068761A" w:rsidRDefault="0028722F" w:rsidP="0028722F">
            <w:pPr>
              <w:rPr>
                <w:rFonts w:cs="Times New Roman"/>
              </w:rPr>
            </w:pPr>
            <w:r w:rsidRPr="0068761A">
              <w:rPr>
                <w:rFonts w:cs="Times New Roman"/>
                <w:sz w:val="22"/>
              </w:rPr>
              <w:t>Methcathinone</w:t>
            </w:r>
          </w:p>
          <w:p w:rsidR="0028722F" w:rsidRPr="0068761A" w:rsidRDefault="0028722F" w:rsidP="0028722F">
            <w:pPr>
              <w:rPr>
                <w:rFonts w:cs="Times New Roman"/>
              </w:rPr>
            </w:pPr>
            <w:r w:rsidRPr="0068761A">
              <w:rPr>
                <w:rFonts w:cs="Times New Roman"/>
                <w:sz w:val="22"/>
              </w:rPr>
              <w:t>Methedrone</w:t>
            </w:r>
          </w:p>
          <w:p w:rsidR="0028722F" w:rsidRPr="0068761A" w:rsidRDefault="0028722F" w:rsidP="0028722F">
            <w:pPr>
              <w:rPr>
                <w:rFonts w:cs="Times New Roman"/>
              </w:rPr>
            </w:pPr>
            <w:r w:rsidRPr="0068761A">
              <w:rPr>
                <w:rFonts w:cs="Times New Roman"/>
                <w:sz w:val="22"/>
              </w:rPr>
              <w:t>4-Methylethcathinone</w:t>
            </w:r>
          </w:p>
          <w:p w:rsidR="0028722F" w:rsidRPr="0068761A" w:rsidRDefault="0028722F" w:rsidP="0028722F">
            <w:pPr>
              <w:rPr>
                <w:rFonts w:cs="Times New Roman"/>
              </w:rPr>
            </w:pPr>
            <w:r w:rsidRPr="0068761A">
              <w:rPr>
                <w:rFonts w:cs="Times New Roman"/>
                <w:sz w:val="22"/>
              </w:rPr>
              <w:t>Flephedrone</w:t>
            </w:r>
          </w:p>
          <w:p w:rsidR="0028722F" w:rsidRPr="0068761A" w:rsidRDefault="0028722F" w:rsidP="0028722F">
            <w:pPr>
              <w:rPr>
                <w:rFonts w:cs="Times New Roman"/>
              </w:rPr>
            </w:pPr>
          </w:p>
          <w:p w:rsidR="0028722F" w:rsidRPr="0068761A" w:rsidRDefault="0028722F" w:rsidP="0028722F">
            <w:pPr>
              <w:rPr>
                <w:rFonts w:cs="Times New Roman"/>
              </w:rPr>
            </w:pPr>
            <w:r w:rsidRPr="0068761A">
              <w:rPr>
                <w:rFonts w:cs="Times New Roman"/>
                <w:sz w:val="22"/>
              </w:rPr>
              <w:t>Methylone</w:t>
            </w:r>
          </w:p>
          <w:p w:rsidR="0028722F" w:rsidRPr="0068761A" w:rsidRDefault="0028722F" w:rsidP="0028722F">
            <w:pPr>
              <w:rPr>
                <w:rFonts w:cs="Times New Roman"/>
              </w:rPr>
            </w:pPr>
            <w:r w:rsidRPr="0068761A">
              <w:rPr>
                <w:rFonts w:cs="Times New Roman"/>
                <w:sz w:val="22"/>
              </w:rPr>
              <w:t>Butylone</w:t>
            </w:r>
          </w:p>
          <w:p w:rsidR="0028722F" w:rsidRPr="0068761A" w:rsidRDefault="0028722F" w:rsidP="0028722F">
            <w:pPr>
              <w:rPr>
                <w:rFonts w:cs="Times New Roman"/>
              </w:rPr>
            </w:pPr>
          </w:p>
        </w:tc>
      </w:tr>
      <w:tr w:rsidR="0028722F" w:rsidRPr="0068761A" w:rsidTr="0028722F">
        <w:trPr>
          <w:trHeight w:val="1440"/>
        </w:trPr>
        <w:tc>
          <w:tcPr>
            <w:tcW w:w="0" w:type="auto"/>
            <w:shd w:val="clear" w:color="auto" w:fill="auto"/>
            <w:vAlign w:val="center"/>
          </w:tcPr>
          <w:p w:rsidR="0028722F" w:rsidRPr="0068761A" w:rsidRDefault="0028722F" w:rsidP="0028722F">
            <w:pPr>
              <w:jc w:val="center"/>
              <w:rPr>
                <w:rFonts w:cs="Times New Roman"/>
                <w:b/>
              </w:rPr>
            </w:pPr>
            <w:r w:rsidRPr="0068761A">
              <w:rPr>
                <w:rFonts w:cs="Times New Roman"/>
                <w:b/>
                <w:sz w:val="22"/>
              </w:rPr>
              <w:t>PIPERAZINES</w:t>
            </w:r>
          </w:p>
          <w:p w:rsidR="0028722F" w:rsidRPr="0068761A" w:rsidRDefault="0028722F" w:rsidP="0028722F">
            <w:pPr>
              <w:jc w:val="center"/>
              <w:rPr>
                <w:rFonts w:cs="Times New Roman"/>
              </w:rPr>
            </w:pPr>
            <w:r w:rsidRPr="0068761A">
              <w:rPr>
                <w:rFonts w:cs="Times New Roman"/>
                <w:sz w:val="22"/>
              </w:rPr>
              <w:t>Benzylpiperazines</w:t>
            </w:r>
          </w:p>
        </w:tc>
        <w:tc>
          <w:tcPr>
            <w:tcW w:w="0" w:type="auto"/>
            <w:shd w:val="clear" w:color="auto" w:fill="auto"/>
            <w:vAlign w:val="center"/>
          </w:tcPr>
          <w:p w:rsidR="0028722F" w:rsidRPr="0068761A" w:rsidRDefault="0028722F" w:rsidP="0028722F">
            <w:pPr>
              <w:jc w:val="center"/>
              <w:rPr>
                <w:rFonts w:cs="Times New Roman"/>
              </w:rPr>
            </w:pPr>
            <w:r w:rsidRPr="0068761A">
              <w:rPr>
                <w:rFonts w:cs="Times New Roman"/>
                <w:sz w:val="22"/>
              </w:rPr>
              <w:object w:dxaOrig="2592" w:dyaOrig="1013">
                <v:shape id="_x0000_i1040" type="#_x0000_t75" style="width:128.25pt;height:49.5pt" o:ole="">
                  <v:imagedata r:id="rId55" o:title=""/>
                </v:shape>
                <o:OLEObject Type="Embed" ProgID="ACD.ChemSketch.20" ShapeID="_x0000_i1040" DrawAspect="Content" ObjectID="_1448215299" r:id="rId56"/>
              </w:object>
            </w:r>
          </w:p>
        </w:tc>
        <w:tc>
          <w:tcPr>
            <w:tcW w:w="0" w:type="auto"/>
            <w:shd w:val="clear" w:color="auto" w:fill="auto"/>
            <w:vAlign w:val="center"/>
          </w:tcPr>
          <w:p w:rsidR="0028722F" w:rsidRPr="0068761A" w:rsidRDefault="0028722F" w:rsidP="0028722F">
            <w:pPr>
              <w:jc w:val="right"/>
              <w:rPr>
                <w:rFonts w:cs="Times New Roman"/>
              </w:rPr>
            </w:pPr>
            <w:r w:rsidRPr="0068761A">
              <w:rPr>
                <w:rFonts w:cs="Times New Roman"/>
                <w:sz w:val="22"/>
              </w:rPr>
              <w:t>R = H</w:t>
            </w:r>
          </w:p>
          <w:p w:rsidR="0028722F" w:rsidRPr="0068761A" w:rsidRDefault="0028722F" w:rsidP="0028722F">
            <w:pPr>
              <w:jc w:val="right"/>
              <w:rPr>
                <w:rFonts w:cs="Times New Roman"/>
              </w:rPr>
            </w:pPr>
            <w:r w:rsidRPr="0068761A">
              <w:rPr>
                <w:rFonts w:cs="Times New Roman"/>
                <w:sz w:val="22"/>
              </w:rPr>
              <w:t>R = CH</w:t>
            </w:r>
            <w:r w:rsidRPr="0068761A">
              <w:rPr>
                <w:rFonts w:cs="Times New Roman"/>
                <w:sz w:val="22"/>
                <w:vertAlign w:val="subscript"/>
              </w:rPr>
              <w:t>2</w:t>
            </w:r>
            <w:r w:rsidRPr="0068761A">
              <w:rPr>
                <w:rFonts w:cs="Times New Roman"/>
                <w:sz w:val="22"/>
              </w:rPr>
              <w:t>-C</w:t>
            </w:r>
            <w:r w:rsidRPr="0068761A">
              <w:rPr>
                <w:rFonts w:cs="Times New Roman"/>
                <w:sz w:val="22"/>
                <w:vertAlign w:val="subscript"/>
              </w:rPr>
              <w:t>6</w:t>
            </w:r>
            <w:r w:rsidRPr="0068761A">
              <w:rPr>
                <w:rFonts w:cs="Times New Roman"/>
                <w:sz w:val="22"/>
              </w:rPr>
              <w:t>H</w:t>
            </w:r>
            <w:r w:rsidRPr="0068761A">
              <w:rPr>
                <w:rFonts w:cs="Times New Roman"/>
                <w:sz w:val="22"/>
                <w:vertAlign w:val="subscript"/>
              </w:rPr>
              <w:t>5</w:t>
            </w:r>
          </w:p>
        </w:tc>
        <w:tc>
          <w:tcPr>
            <w:tcW w:w="0" w:type="auto"/>
            <w:shd w:val="clear" w:color="auto" w:fill="auto"/>
            <w:vAlign w:val="center"/>
          </w:tcPr>
          <w:p w:rsidR="0028722F" w:rsidRPr="0068761A" w:rsidRDefault="0028722F" w:rsidP="0028722F">
            <w:pPr>
              <w:rPr>
                <w:rFonts w:cs="Times New Roman"/>
              </w:rPr>
            </w:pPr>
            <w:r w:rsidRPr="0068761A">
              <w:rPr>
                <w:rFonts w:cs="Times New Roman"/>
                <w:sz w:val="22"/>
              </w:rPr>
              <w:t>BZP</w:t>
            </w:r>
          </w:p>
          <w:p w:rsidR="0028722F" w:rsidRPr="0068761A" w:rsidRDefault="0028722F" w:rsidP="0028722F">
            <w:pPr>
              <w:rPr>
                <w:rFonts w:cs="Times New Roman"/>
              </w:rPr>
            </w:pPr>
            <w:r w:rsidRPr="0068761A">
              <w:rPr>
                <w:rFonts w:cs="Times New Roman"/>
                <w:sz w:val="22"/>
              </w:rPr>
              <w:t>DBZP</w:t>
            </w:r>
          </w:p>
        </w:tc>
      </w:tr>
      <w:tr w:rsidR="0028722F" w:rsidRPr="0068761A" w:rsidTr="0028722F">
        <w:trPr>
          <w:trHeight w:val="1440"/>
        </w:trPr>
        <w:tc>
          <w:tcPr>
            <w:tcW w:w="0" w:type="auto"/>
            <w:shd w:val="clear" w:color="auto" w:fill="auto"/>
            <w:vAlign w:val="center"/>
          </w:tcPr>
          <w:p w:rsidR="0028722F" w:rsidRPr="0068761A" w:rsidRDefault="0028722F" w:rsidP="0028722F">
            <w:pPr>
              <w:jc w:val="center"/>
              <w:rPr>
                <w:rFonts w:cs="Times New Roman"/>
                <w:b/>
              </w:rPr>
            </w:pPr>
            <w:r w:rsidRPr="0068761A">
              <w:rPr>
                <w:rFonts w:cs="Times New Roman"/>
                <w:b/>
                <w:sz w:val="22"/>
              </w:rPr>
              <w:t>PIPERAZINES</w:t>
            </w:r>
          </w:p>
          <w:p w:rsidR="0028722F" w:rsidRPr="0068761A" w:rsidRDefault="0028722F" w:rsidP="0028722F">
            <w:pPr>
              <w:jc w:val="center"/>
              <w:rPr>
                <w:rFonts w:cs="Times New Roman"/>
              </w:rPr>
            </w:pPr>
            <w:r w:rsidRPr="0068761A">
              <w:rPr>
                <w:rFonts w:cs="Times New Roman"/>
                <w:sz w:val="22"/>
              </w:rPr>
              <w:t>Phenylpiperazines</w:t>
            </w:r>
          </w:p>
        </w:tc>
        <w:tc>
          <w:tcPr>
            <w:tcW w:w="0" w:type="auto"/>
            <w:shd w:val="clear" w:color="auto" w:fill="auto"/>
            <w:vAlign w:val="center"/>
          </w:tcPr>
          <w:p w:rsidR="0028722F" w:rsidRPr="0068761A" w:rsidRDefault="0028722F" w:rsidP="0028722F">
            <w:pPr>
              <w:jc w:val="center"/>
              <w:rPr>
                <w:rFonts w:cs="Times New Roman"/>
              </w:rPr>
            </w:pPr>
            <w:r w:rsidRPr="0068761A">
              <w:rPr>
                <w:rFonts w:cs="Times New Roman"/>
                <w:sz w:val="22"/>
              </w:rPr>
              <w:object w:dxaOrig="2299" w:dyaOrig="1296">
                <v:shape id="_x0000_i1041" type="#_x0000_t75" style="width:111pt;height:61.5pt" o:ole="">
                  <v:imagedata r:id="rId57" o:title=""/>
                </v:shape>
                <o:OLEObject Type="Embed" ProgID="ACD.ChemSketch.20" ShapeID="_x0000_i1041" DrawAspect="Content" ObjectID="_1448215300" r:id="rId58"/>
              </w:object>
            </w:r>
          </w:p>
        </w:tc>
        <w:tc>
          <w:tcPr>
            <w:tcW w:w="0" w:type="auto"/>
            <w:shd w:val="clear" w:color="auto" w:fill="auto"/>
            <w:vAlign w:val="center"/>
          </w:tcPr>
          <w:p w:rsidR="0028722F" w:rsidRPr="0068761A" w:rsidRDefault="0028722F" w:rsidP="0028722F">
            <w:pPr>
              <w:jc w:val="right"/>
              <w:rPr>
                <w:rFonts w:cs="Times New Roman"/>
              </w:rPr>
            </w:pPr>
            <w:r w:rsidRPr="0068761A">
              <w:rPr>
                <w:rFonts w:cs="Times New Roman"/>
                <w:sz w:val="22"/>
              </w:rPr>
              <w:t>R = Cl</w:t>
            </w:r>
          </w:p>
          <w:p w:rsidR="0028722F" w:rsidRPr="0068761A" w:rsidRDefault="0028722F" w:rsidP="0028722F">
            <w:pPr>
              <w:jc w:val="right"/>
              <w:rPr>
                <w:rFonts w:cs="Times New Roman"/>
              </w:rPr>
            </w:pPr>
            <w:r w:rsidRPr="0068761A">
              <w:rPr>
                <w:rFonts w:cs="Times New Roman"/>
                <w:sz w:val="22"/>
              </w:rPr>
              <w:t>R = CF</w:t>
            </w:r>
            <w:r w:rsidRPr="0068761A">
              <w:rPr>
                <w:rFonts w:cs="Times New Roman"/>
                <w:sz w:val="22"/>
                <w:vertAlign w:val="subscript"/>
              </w:rPr>
              <w:t>3</w:t>
            </w:r>
          </w:p>
        </w:tc>
        <w:tc>
          <w:tcPr>
            <w:tcW w:w="0" w:type="auto"/>
            <w:shd w:val="clear" w:color="auto" w:fill="auto"/>
            <w:vAlign w:val="center"/>
          </w:tcPr>
          <w:p w:rsidR="0028722F" w:rsidRPr="0068761A" w:rsidRDefault="0028722F" w:rsidP="0028722F">
            <w:pPr>
              <w:rPr>
                <w:rFonts w:cs="Times New Roman"/>
              </w:rPr>
            </w:pPr>
            <w:r w:rsidRPr="0068761A">
              <w:rPr>
                <w:rFonts w:cs="Times New Roman"/>
                <w:sz w:val="22"/>
              </w:rPr>
              <w:t>mCPP</w:t>
            </w:r>
          </w:p>
          <w:p w:rsidR="0028722F" w:rsidRPr="0068761A" w:rsidRDefault="0028722F" w:rsidP="0028722F">
            <w:pPr>
              <w:rPr>
                <w:rFonts w:cs="Times New Roman"/>
              </w:rPr>
            </w:pPr>
            <w:r w:rsidRPr="0068761A">
              <w:rPr>
                <w:rFonts w:cs="Times New Roman"/>
                <w:sz w:val="22"/>
              </w:rPr>
              <w:t>TFMPP</w:t>
            </w:r>
          </w:p>
        </w:tc>
      </w:tr>
      <w:tr w:rsidR="0028722F" w:rsidRPr="0068761A" w:rsidTr="0028722F">
        <w:trPr>
          <w:trHeight w:val="2160"/>
        </w:trPr>
        <w:tc>
          <w:tcPr>
            <w:tcW w:w="0" w:type="auto"/>
            <w:shd w:val="clear" w:color="auto" w:fill="auto"/>
            <w:vAlign w:val="center"/>
          </w:tcPr>
          <w:p w:rsidR="0028722F" w:rsidRPr="0068761A" w:rsidRDefault="0028722F" w:rsidP="0028722F">
            <w:pPr>
              <w:jc w:val="center"/>
              <w:rPr>
                <w:rFonts w:cs="Times New Roman"/>
                <w:b/>
              </w:rPr>
            </w:pPr>
            <w:r w:rsidRPr="0068761A">
              <w:rPr>
                <w:rFonts w:cs="Times New Roman"/>
                <w:b/>
                <w:sz w:val="22"/>
              </w:rPr>
              <w:t>TRYPTAMINES</w:t>
            </w:r>
          </w:p>
        </w:tc>
        <w:tc>
          <w:tcPr>
            <w:tcW w:w="0" w:type="auto"/>
            <w:shd w:val="clear" w:color="auto" w:fill="auto"/>
            <w:vAlign w:val="center"/>
          </w:tcPr>
          <w:p w:rsidR="0028722F" w:rsidRPr="0068761A" w:rsidRDefault="0028722F" w:rsidP="0028722F">
            <w:pPr>
              <w:jc w:val="center"/>
              <w:rPr>
                <w:rFonts w:cs="Times New Roman"/>
              </w:rPr>
            </w:pPr>
            <w:r w:rsidRPr="0068761A">
              <w:rPr>
                <w:rFonts w:cs="Times New Roman"/>
                <w:sz w:val="22"/>
              </w:rPr>
              <w:object w:dxaOrig="2678" w:dyaOrig="2337">
                <v:shape id="_x0000_i1042" type="#_x0000_t75" style="width:121.5pt;height:105pt" o:ole="">
                  <v:imagedata r:id="rId59" o:title=""/>
                </v:shape>
                <o:OLEObject Type="Embed" ProgID="ACD.ChemSketch.20" ShapeID="_x0000_i1042" DrawAspect="Content" ObjectID="_1448215301" r:id="rId60"/>
              </w:object>
            </w:r>
          </w:p>
        </w:tc>
        <w:tc>
          <w:tcPr>
            <w:tcW w:w="0" w:type="auto"/>
            <w:shd w:val="clear" w:color="auto" w:fill="auto"/>
            <w:vAlign w:val="center"/>
          </w:tcPr>
          <w:p w:rsidR="0028722F" w:rsidRPr="0068761A" w:rsidRDefault="0028722F" w:rsidP="0028722F">
            <w:pPr>
              <w:jc w:val="right"/>
              <w:rPr>
                <w:rFonts w:cs="Times New Roman"/>
              </w:rPr>
            </w:pPr>
            <w:r w:rsidRPr="0068761A">
              <w:rPr>
                <w:rFonts w:cs="Times New Roman"/>
                <w:sz w:val="22"/>
              </w:rPr>
              <w:t>R</w:t>
            </w:r>
            <w:r w:rsidRPr="0068761A">
              <w:rPr>
                <w:rFonts w:cs="Times New Roman"/>
                <w:sz w:val="22"/>
                <w:vertAlign w:val="superscript"/>
              </w:rPr>
              <w:t>1</w:t>
            </w:r>
            <w:r w:rsidRPr="0068761A">
              <w:rPr>
                <w:rFonts w:cs="Times New Roman"/>
                <w:sz w:val="22"/>
              </w:rPr>
              <w:t xml:space="preserve"> = R</w:t>
            </w:r>
            <w:r w:rsidRPr="0068761A">
              <w:rPr>
                <w:rFonts w:cs="Times New Roman"/>
                <w:sz w:val="22"/>
                <w:vertAlign w:val="superscript"/>
              </w:rPr>
              <w:t>3</w:t>
            </w:r>
            <w:r w:rsidRPr="0068761A">
              <w:rPr>
                <w:rFonts w:cs="Times New Roman"/>
                <w:sz w:val="22"/>
              </w:rPr>
              <w:t xml:space="preserve"> = R</w:t>
            </w:r>
            <w:r w:rsidRPr="0068761A">
              <w:rPr>
                <w:rFonts w:cs="Times New Roman"/>
                <w:sz w:val="22"/>
                <w:vertAlign w:val="superscript"/>
              </w:rPr>
              <w:t>4</w:t>
            </w:r>
            <w:r w:rsidRPr="0068761A">
              <w:rPr>
                <w:rFonts w:cs="Times New Roman"/>
                <w:sz w:val="22"/>
              </w:rPr>
              <w:t xml:space="preserve"> = H, R</w:t>
            </w:r>
            <w:r w:rsidRPr="0068761A">
              <w:rPr>
                <w:rFonts w:cs="Times New Roman"/>
                <w:sz w:val="22"/>
                <w:vertAlign w:val="superscript"/>
              </w:rPr>
              <w:t>2</w:t>
            </w:r>
            <w:r w:rsidRPr="0068761A">
              <w:rPr>
                <w:rFonts w:cs="Times New Roman"/>
                <w:sz w:val="22"/>
              </w:rPr>
              <w:t xml:space="preserve"> = CH</w:t>
            </w:r>
            <w:r w:rsidRPr="0068761A">
              <w:rPr>
                <w:rFonts w:cs="Times New Roman"/>
                <w:sz w:val="22"/>
                <w:vertAlign w:val="subscript"/>
              </w:rPr>
              <w:t>3</w:t>
            </w:r>
          </w:p>
          <w:p w:rsidR="0028722F" w:rsidRPr="0068761A" w:rsidRDefault="0028722F" w:rsidP="0028722F">
            <w:pPr>
              <w:jc w:val="right"/>
              <w:rPr>
                <w:rFonts w:cs="Times New Roman"/>
              </w:rPr>
            </w:pPr>
            <w:r w:rsidRPr="0068761A">
              <w:rPr>
                <w:rFonts w:cs="Times New Roman"/>
                <w:sz w:val="22"/>
              </w:rPr>
              <w:t>R</w:t>
            </w:r>
            <w:r w:rsidRPr="0068761A">
              <w:rPr>
                <w:rFonts w:cs="Times New Roman"/>
                <w:sz w:val="22"/>
                <w:vertAlign w:val="superscript"/>
              </w:rPr>
              <w:t>1</w:t>
            </w:r>
            <w:r w:rsidRPr="0068761A">
              <w:rPr>
                <w:rFonts w:cs="Times New Roman"/>
                <w:sz w:val="22"/>
              </w:rPr>
              <w:t xml:space="preserve"> = R</w:t>
            </w:r>
            <w:r w:rsidRPr="0068761A">
              <w:rPr>
                <w:rFonts w:cs="Times New Roman"/>
                <w:sz w:val="22"/>
                <w:vertAlign w:val="superscript"/>
              </w:rPr>
              <w:t>2</w:t>
            </w:r>
            <w:r w:rsidRPr="0068761A">
              <w:rPr>
                <w:rFonts w:cs="Times New Roman"/>
                <w:sz w:val="22"/>
              </w:rPr>
              <w:t xml:space="preserve"> = H, R</w:t>
            </w:r>
            <w:r w:rsidRPr="0068761A">
              <w:rPr>
                <w:rFonts w:cs="Times New Roman"/>
                <w:sz w:val="22"/>
                <w:vertAlign w:val="superscript"/>
              </w:rPr>
              <w:t>3</w:t>
            </w:r>
            <w:r w:rsidRPr="0068761A">
              <w:rPr>
                <w:rFonts w:cs="Times New Roman"/>
                <w:sz w:val="22"/>
              </w:rPr>
              <w:t xml:space="preserve"> = R</w:t>
            </w:r>
            <w:r w:rsidRPr="0068761A">
              <w:rPr>
                <w:rFonts w:cs="Times New Roman"/>
                <w:sz w:val="22"/>
                <w:vertAlign w:val="superscript"/>
              </w:rPr>
              <w:t>4</w:t>
            </w:r>
            <w:r w:rsidRPr="0068761A">
              <w:rPr>
                <w:rFonts w:cs="Times New Roman"/>
                <w:sz w:val="22"/>
              </w:rPr>
              <w:t xml:space="preserve"> = CH</w:t>
            </w:r>
            <w:r w:rsidRPr="0068761A">
              <w:rPr>
                <w:rFonts w:cs="Times New Roman"/>
                <w:sz w:val="22"/>
                <w:vertAlign w:val="subscript"/>
              </w:rPr>
              <w:t>3</w:t>
            </w:r>
          </w:p>
          <w:p w:rsidR="0028722F" w:rsidRPr="0068761A" w:rsidRDefault="0028722F" w:rsidP="0028722F">
            <w:pPr>
              <w:jc w:val="right"/>
              <w:rPr>
                <w:rFonts w:cs="Times New Roman"/>
              </w:rPr>
            </w:pPr>
            <w:r w:rsidRPr="0068761A">
              <w:rPr>
                <w:rFonts w:cs="Times New Roman"/>
                <w:sz w:val="22"/>
              </w:rPr>
              <w:t>R</w:t>
            </w:r>
            <w:r w:rsidRPr="0068761A">
              <w:rPr>
                <w:rFonts w:cs="Times New Roman"/>
                <w:sz w:val="22"/>
                <w:vertAlign w:val="superscript"/>
              </w:rPr>
              <w:t>1</w:t>
            </w:r>
            <w:r w:rsidRPr="0068761A">
              <w:rPr>
                <w:rFonts w:cs="Times New Roman"/>
                <w:sz w:val="22"/>
              </w:rPr>
              <w:t xml:space="preserve"> = O-CH</w:t>
            </w:r>
            <w:r w:rsidRPr="0068761A">
              <w:rPr>
                <w:rFonts w:cs="Times New Roman"/>
                <w:sz w:val="22"/>
                <w:vertAlign w:val="subscript"/>
              </w:rPr>
              <w:t>3</w:t>
            </w:r>
            <w:r w:rsidRPr="0068761A">
              <w:rPr>
                <w:rFonts w:cs="Times New Roman"/>
                <w:sz w:val="22"/>
              </w:rPr>
              <w:t>, R</w:t>
            </w:r>
            <w:r w:rsidRPr="0068761A">
              <w:rPr>
                <w:rFonts w:cs="Times New Roman"/>
                <w:sz w:val="22"/>
                <w:vertAlign w:val="superscript"/>
              </w:rPr>
              <w:t>2</w:t>
            </w:r>
            <w:r w:rsidRPr="0068761A">
              <w:rPr>
                <w:rFonts w:cs="Times New Roman"/>
                <w:sz w:val="22"/>
              </w:rPr>
              <w:t xml:space="preserve"> = H, R</w:t>
            </w:r>
            <w:r w:rsidRPr="0068761A">
              <w:rPr>
                <w:rFonts w:cs="Times New Roman"/>
                <w:sz w:val="22"/>
                <w:vertAlign w:val="superscript"/>
              </w:rPr>
              <w:t>3</w:t>
            </w:r>
            <w:r w:rsidRPr="0068761A">
              <w:rPr>
                <w:rFonts w:cs="Times New Roman"/>
                <w:sz w:val="22"/>
              </w:rPr>
              <w:t xml:space="preserve"> = R</w:t>
            </w:r>
            <w:r w:rsidRPr="0068761A">
              <w:rPr>
                <w:rFonts w:cs="Times New Roman"/>
                <w:sz w:val="22"/>
                <w:vertAlign w:val="superscript"/>
              </w:rPr>
              <w:t>4</w:t>
            </w:r>
            <w:r w:rsidRPr="0068761A">
              <w:rPr>
                <w:rFonts w:cs="Times New Roman"/>
                <w:sz w:val="22"/>
              </w:rPr>
              <w:t xml:space="preserve"> = CH</w:t>
            </w:r>
            <w:r w:rsidRPr="0068761A">
              <w:rPr>
                <w:rFonts w:cs="Times New Roman"/>
                <w:sz w:val="22"/>
                <w:vertAlign w:val="subscript"/>
              </w:rPr>
              <w:t>3</w:t>
            </w:r>
          </w:p>
          <w:p w:rsidR="0028722F" w:rsidRPr="0068761A" w:rsidRDefault="0028722F" w:rsidP="0028722F">
            <w:pPr>
              <w:jc w:val="right"/>
              <w:rPr>
                <w:rFonts w:cs="Times New Roman"/>
              </w:rPr>
            </w:pPr>
            <w:r w:rsidRPr="0068761A">
              <w:rPr>
                <w:rFonts w:cs="Times New Roman"/>
                <w:sz w:val="22"/>
              </w:rPr>
              <w:t>R</w:t>
            </w:r>
            <w:r w:rsidRPr="0068761A">
              <w:rPr>
                <w:rFonts w:cs="Times New Roman"/>
                <w:sz w:val="22"/>
                <w:vertAlign w:val="superscript"/>
              </w:rPr>
              <w:t>1</w:t>
            </w:r>
            <w:r w:rsidRPr="0068761A">
              <w:rPr>
                <w:rFonts w:cs="Times New Roman"/>
                <w:sz w:val="22"/>
              </w:rPr>
              <w:t xml:space="preserve"> = O-CH</w:t>
            </w:r>
            <w:r w:rsidRPr="0068761A">
              <w:rPr>
                <w:rFonts w:cs="Times New Roman"/>
                <w:sz w:val="22"/>
                <w:vertAlign w:val="subscript"/>
              </w:rPr>
              <w:t>3</w:t>
            </w:r>
            <w:r w:rsidRPr="0068761A">
              <w:rPr>
                <w:rFonts w:cs="Times New Roman"/>
                <w:sz w:val="22"/>
              </w:rPr>
              <w:t>, R</w:t>
            </w:r>
            <w:r w:rsidRPr="0068761A">
              <w:rPr>
                <w:rFonts w:cs="Times New Roman"/>
                <w:sz w:val="22"/>
                <w:vertAlign w:val="superscript"/>
              </w:rPr>
              <w:t>2</w:t>
            </w:r>
            <w:r w:rsidRPr="0068761A">
              <w:rPr>
                <w:rFonts w:cs="Times New Roman"/>
                <w:sz w:val="22"/>
              </w:rPr>
              <w:t xml:space="preserve"> = H, R</w:t>
            </w:r>
            <w:r w:rsidRPr="0068761A">
              <w:rPr>
                <w:rFonts w:cs="Times New Roman"/>
                <w:sz w:val="22"/>
                <w:vertAlign w:val="superscript"/>
              </w:rPr>
              <w:t>3</w:t>
            </w:r>
            <w:r w:rsidRPr="0068761A">
              <w:rPr>
                <w:rFonts w:cs="Times New Roman"/>
                <w:sz w:val="22"/>
              </w:rPr>
              <w:t xml:space="preserve"> = R</w:t>
            </w:r>
            <w:r w:rsidRPr="0068761A">
              <w:rPr>
                <w:rFonts w:cs="Times New Roman"/>
                <w:sz w:val="22"/>
                <w:vertAlign w:val="superscript"/>
              </w:rPr>
              <w:t>4</w:t>
            </w:r>
            <w:r w:rsidRPr="0068761A">
              <w:rPr>
                <w:rFonts w:cs="Times New Roman"/>
                <w:sz w:val="22"/>
              </w:rPr>
              <w:t xml:space="preserve"> = CH(CH</w:t>
            </w:r>
            <w:r w:rsidRPr="0068761A">
              <w:rPr>
                <w:rFonts w:cs="Times New Roman"/>
                <w:sz w:val="22"/>
                <w:vertAlign w:val="subscript"/>
              </w:rPr>
              <w:t>3</w:t>
            </w:r>
            <w:r w:rsidRPr="0068761A">
              <w:rPr>
                <w:rFonts w:cs="Times New Roman"/>
                <w:sz w:val="22"/>
              </w:rPr>
              <w:t>)</w:t>
            </w:r>
            <w:r w:rsidRPr="0068761A">
              <w:rPr>
                <w:rFonts w:cs="Times New Roman"/>
                <w:sz w:val="22"/>
                <w:vertAlign w:val="subscript"/>
              </w:rPr>
              <w:t>2</w:t>
            </w:r>
          </w:p>
        </w:tc>
        <w:tc>
          <w:tcPr>
            <w:tcW w:w="0" w:type="auto"/>
            <w:shd w:val="clear" w:color="auto" w:fill="auto"/>
            <w:vAlign w:val="center"/>
          </w:tcPr>
          <w:p w:rsidR="0028722F" w:rsidRPr="0068761A" w:rsidRDefault="0028722F" w:rsidP="0028722F">
            <w:pPr>
              <w:rPr>
                <w:rFonts w:cs="Times New Roman"/>
              </w:rPr>
            </w:pPr>
            <w:r w:rsidRPr="0068761A">
              <w:rPr>
                <w:rFonts w:cs="Times New Roman"/>
                <w:sz w:val="22"/>
              </w:rPr>
              <w:t>AMT</w:t>
            </w:r>
          </w:p>
          <w:p w:rsidR="0028722F" w:rsidRPr="0068761A" w:rsidRDefault="0028722F" w:rsidP="0028722F">
            <w:pPr>
              <w:rPr>
                <w:rFonts w:cs="Times New Roman"/>
              </w:rPr>
            </w:pPr>
            <w:r w:rsidRPr="0068761A">
              <w:rPr>
                <w:rFonts w:cs="Times New Roman"/>
                <w:sz w:val="22"/>
              </w:rPr>
              <w:t>DMT</w:t>
            </w:r>
          </w:p>
          <w:p w:rsidR="0028722F" w:rsidRPr="0068761A" w:rsidRDefault="0028722F" w:rsidP="0028722F">
            <w:pPr>
              <w:rPr>
                <w:rFonts w:cs="Times New Roman"/>
              </w:rPr>
            </w:pPr>
            <w:r w:rsidRPr="0068761A">
              <w:rPr>
                <w:rFonts w:cs="Times New Roman"/>
                <w:sz w:val="22"/>
              </w:rPr>
              <w:t>5-MeO-DMT</w:t>
            </w:r>
          </w:p>
          <w:p w:rsidR="0028722F" w:rsidRPr="0068761A" w:rsidRDefault="0028722F" w:rsidP="0028722F">
            <w:pPr>
              <w:rPr>
                <w:rFonts w:cs="Times New Roman"/>
              </w:rPr>
            </w:pPr>
            <w:r w:rsidRPr="0068761A">
              <w:rPr>
                <w:rFonts w:cs="Times New Roman"/>
                <w:sz w:val="22"/>
              </w:rPr>
              <w:t>5-MeO-DiPT</w:t>
            </w:r>
          </w:p>
        </w:tc>
      </w:tr>
    </w:tbl>
    <w:p w:rsidR="0028722F" w:rsidRPr="00F97B2D" w:rsidRDefault="0028722F" w:rsidP="00F97B2D">
      <w:pPr>
        <w:pStyle w:val="Caption"/>
        <w:sectPr w:rsidR="0028722F" w:rsidRPr="00F97B2D" w:rsidSect="001B7699">
          <w:pgSz w:w="15840" w:h="12240" w:orient="landscape" w:code="1"/>
          <w:pgMar w:top="2160" w:right="1440" w:bottom="1440" w:left="1800" w:header="720" w:footer="720" w:gutter="0"/>
          <w:cols w:space="720"/>
          <w:docGrid w:linePitch="360"/>
        </w:sectPr>
      </w:pPr>
    </w:p>
    <w:p w:rsidR="00FD78D3" w:rsidRPr="00F97B2D" w:rsidRDefault="00FD78D3" w:rsidP="00155F88">
      <w:pPr>
        <w:pStyle w:val="Caption"/>
        <w:tabs>
          <w:tab w:val="left" w:pos="90"/>
        </w:tabs>
        <w:jc w:val="left"/>
      </w:pPr>
      <w:bookmarkStart w:id="303" w:name="_Ref362870208"/>
      <w:bookmarkStart w:id="304" w:name="_Toc372536139"/>
      <w:r w:rsidRPr="00F97B2D">
        <w:t xml:space="preserve">Appendix </w:t>
      </w:r>
      <w:r w:rsidR="000E239B" w:rsidRPr="00F97B2D">
        <w:fldChar w:fldCharType="begin"/>
      </w:r>
      <w:r w:rsidR="00B2107A" w:rsidRPr="00F97B2D">
        <w:instrText xml:space="preserve"> SEQ Appendix \* ARABIC </w:instrText>
      </w:r>
      <w:r w:rsidR="000E239B" w:rsidRPr="00F97B2D">
        <w:fldChar w:fldCharType="separate"/>
      </w:r>
      <w:r w:rsidR="00E37796">
        <w:rPr>
          <w:noProof/>
        </w:rPr>
        <w:t>2</w:t>
      </w:r>
      <w:r w:rsidR="000E239B" w:rsidRPr="00F97B2D">
        <w:rPr>
          <w:noProof/>
        </w:rPr>
        <w:fldChar w:fldCharType="end"/>
      </w:r>
      <w:bookmarkEnd w:id="301"/>
      <w:bookmarkEnd w:id="303"/>
      <w:r w:rsidRPr="00F97B2D">
        <w:t>: Designer Drugs of Interest by Structure</w:t>
      </w:r>
      <w:bookmarkEnd w:id="302"/>
      <w:bookmarkEnd w:id="304"/>
    </w:p>
    <w:p w:rsidR="00134C77" w:rsidRPr="00F97B2D" w:rsidRDefault="00134C77" w:rsidP="00155F88">
      <w:pPr>
        <w:tabs>
          <w:tab w:val="left" w:pos="90"/>
        </w:tabs>
        <w:spacing w:after="0"/>
        <w:ind w:right="-360"/>
        <w:rPr>
          <w:szCs w:val="24"/>
        </w:rPr>
      </w:pPr>
      <w:r w:rsidRPr="00F97B2D">
        <w:rPr>
          <w:b/>
          <w:bCs/>
          <w:spacing w:val="10"/>
          <w:szCs w:val="24"/>
        </w:rPr>
        <w:t>Phenethylamines</w:t>
      </w:r>
    </w:p>
    <w:p w:rsidR="00AA2498" w:rsidRPr="00F97B2D" w:rsidRDefault="00FD78D3" w:rsidP="00155F88">
      <w:pPr>
        <w:tabs>
          <w:tab w:val="left" w:pos="90"/>
        </w:tabs>
        <w:ind w:right="-360"/>
      </w:pPr>
      <w:r w:rsidRPr="00F97B2D">
        <w:rPr>
          <w:noProof/>
          <w:lang w:bidi="ar-SA"/>
        </w:rPr>
        <w:drawing>
          <wp:inline distT="0" distB="0" distL="0" distR="0">
            <wp:extent cx="4480560" cy="6916905"/>
            <wp:effectExtent l="38100" t="19050" r="15240" b="17295"/>
            <wp:docPr id="7" name="Picture 2" descr="Phenethylam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nethylamines.jpg"/>
                    <pic:cNvPicPr/>
                  </pic:nvPicPr>
                  <pic:blipFill>
                    <a:blip r:embed="rId61"/>
                    <a:stretch>
                      <a:fillRect/>
                    </a:stretch>
                  </pic:blipFill>
                  <pic:spPr>
                    <a:xfrm>
                      <a:off x="0" y="0"/>
                      <a:ext cx="4480560" cy="6916905"/>
                    </a:xfrm>
                    <a:prstGeom prst="rect">
                      <a:avLst/>
                    </a:prstGeom>
                    <a:ln>
                      <a:solidFill>
                        <a:schemeClr val="tx1"/>
                      </a:solidFill>
                    </a:ln>
                  </pic:spPr>
                </pic:pic>
              </a:graphicData>
            </a:graphic>
          </wp:inline>
        </w:drawing>
      </w:r>
      <w:r w:rsidR="00AA2498" w:rsidRPr="00F97B2D">
        <w:t xml:space="preserve"> </w:t>
      </w:r>
    </w:p>
    <w:p w:rsidR="00134C77" w:rsidRPr="00F97B2D" w:rsidRDefault="00134C77" w:rsidP="009F4645">
      <w:pPr>
        <w:spacing w:after="0"/>
        <w:ind w:left="720" w:right="-360"/>
        <w:rPr>
          <w:b/>
          <w:bCs/>
          <w:spacing w:val="10"/>
          <w:szCs w:val="24"/>
        </w:rPr>
      </w:pPr>
    </w:p>
    <w:p w:rsidR="00AA2498" w:rsidRPr="00F97B2D" w:rsidRDefault="00AA2498" w:rsidP="009F4645">
      <w:pPr>
        <w:spacing w:after="0"/>
        <w:ind w:left="720" w:right="-360"/>
        <w:rPr>
          <w:b/>
          <w:bCs/>
          <w:spacing w:val="10"/>
          <w:szCs w:val="24"/>
        </w:rPr>
      </w:pPr>
    </w:p>
    <w:p w:rsidR="00134C77" w:rsidRPr="00F97B2D" w:rsidRDefault="00134C77" w:rsidP="009F4645">
      <w:pPr>
        <w:spacing w:after="0"/>
        <w:ind w:right="-360"/>
        <w:rPr>
          <w:szCs w:val="24"/>
        </w:rPr>
      </w:pPr>
      <w:r w:rsidRPr="00F97B2D">
        <w:rPr>
          <w:b/>
          <w:bCs/>
          <w:spacing w:val="10"/>
          <w:szCs w:val="24"/>
        </w:rPr>
        <w:t>Piperazines and Tryptamines</w:t>
      </w:r>
    </w:p>
    <w:p w:rsidR="00FD78D3" w:rsidRPr="00F97B2D" w:rsidRDefault="00FD78D3" w:rsidP="009F4645">
      <w:pPr>
        <w:rPr>
          <w:szCs w:val="24"/>
        </w:rPr>
      </w:pPr>
      <w:r w:rsidRPr="00F97B2D">
        <w:rPr>
          <w:noProof/>
          <w:szCs w:val="24"/>
          <w:lang w:bidi="ar-SA"/>
        </w:rPr>
        <w:drawing>
          <wp:inline distT="0" distB="0" distL="0" distR="0">
            <wp:extent cx="4480560" cy="2694423"/>
            <wp:effectExtent l="19050" t="19050" r="15240" b="10677"/>
            <wp:docPr id="8" name="Picture 3" descr="Tryptamines and Piperaz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yptamines and Piperazines.jpg"/>
                    <pic:cNvPicPr/>
                  </pic:nvPicPr>
                  <pic:blipFill>
                    <a:blip r:embed="rId62"/>
                    <a:stretch>
                      <a:fillRect/>
                    </a:stretch>
                  </pic:blipFill>
                  <pic:spPr>
                    <a:xfrm>
                      <a:off x="0" y="0"/>
                      <a:ext cx="4480560" cy="2694423"/>
                    </a:xfrm>
                    <a:prstGeom prst="rect">
                      <a:avLst/>
                    </a:prstGeom>
                    <a:ln>
                      <a:solidFill>
                        <a:schemeClr val="tx1"/>
                      </a:solidFill>
                    </a:ln>
                  </pic:spPr>
                </pic:pic>
              </a:graphicData>
            </a:graphic>
          </wp:inline>
        </w:drawing>
      </w:r>
    </w:p>
    <w:p w:rsidR="00FD78D3" w:rsidRPr="00F97B2D" w:rsidRDefault="00FD78D3" w:rsidP="009F4645">
      <w:pPr>
        <w:pStyle w:val="Caption"/>
        <w:ind w:right="-360"/>
      </w:pPr>
      <w:bookmarkStart w:id="305" w:name="_Ref362526426"/>
    </w:p>
    <w:p w:rsidR="00134C77" w:rsidRPr="00F97B2D" w:rsidRDefault="00134C77" w:rsidP="009F4645">
      <w:pPr>
        <w:ind w:left="720" w:right="-360"/>
        <w:rPr>
          <w:szCs w:val="24"/>
        </w:rPr>
      </w:pPr>
    </w:p>
    <w:p w:rsidR="00134C77" w:rsidRPr="00F97B2D" w:rsidRDefault="00134C77" w:rsidP="009F4645">
      <w:pPr>
        <w:ind w:left="720" w:right="-360"/>
        <w:rPr>
          <w:szCs w:val="24"/>
        </w:rPr>
      </w:pPr>
    </w:p>
    <w:p w:rsidR="00134C77" w:rsidRPr="00F97B2D" w:rsidRDefault="00134C77" w:rsidP="009F4645">
      <w:pPr>
        <w:ind w:left="720" w:right="-360"/>
        <w:rPr>
          <w:szCs w:val="24"/>
        </w:rPr>
      </w:pPr>
    </w:p>
    <w:p w:rsidR="00134C77" w:rsidRPr="00F97B2D" w:rsidRDefault="00134C77" w:rsidP="009F4645">
      <w:pPr>
        <w:ind w:left="720" w:right="-360"/>
        <w:rPr>
          <w:szCs w:val="24"/>
        </w:rPr>
      </w:pPr>
    </w:p>
    <w:p w:rsidR="00134C77" w:rsidRPr="00F97B2D" w:rsidRDefault="00134C77" w:rsidP="009F4645">
      <w:pPr>
        <w:ind w:left="720" w:right="-360"/>
        <w:rPr>
          <w:szCs w:val="24"/>
        </w:rPr>
      </w:pPr>
    </w:p>
    <w:p w:rsidR="00134C77" w:rsidRPr="00F97B2D" w:rsidRDefault="00134C77" w:rsidP="009F4645">
      <w:pPr>
        <w:ind w:left="720" w:right="-360"/>
        <w:rPr>
          <w:szCs w:val="24"/>
        </w:rPr>
      </w:pPr>
    </w:p>
    <w:p w:rsidR="00134C77" w:rsidRPr="00F97B2D" w:rsidRDefault="00134C77" w:rsidP="009F4645">
      <w:pPr>
        <w:ind w:left="720" w:right="-360"/>
        <w:rPr>
          <w:szCs w:val="24"/>
        </w:rPr>
      </w:pPr>
    </w:p>
    <w:p w:rsidR="00134C77" w:rsidRPr="00F97B2D" w:rsidRDefault="00134C77" w:rsidP="009F4645">
      <w:pPr>
        <w:ind w:left="720" w:right="-360"/>
        <w:rPr>
          <w:szCs w:val="24"/>
        </w:rPr>
      </w:pPr>
    </w:p>
    <w:p w:rsidR="00134C77" w:rsidRPr="00F97B2D" w:rsidRDefault="00134C77" w:rsidP="009F4645">
      <w:pPr>
        <w:ind w:left="720" w:right="-360"/>
        <w:rPr>
          <w:szCs w:val="24"/>
        </w:rPr>
      </w:pPr>
    </w:p>
    <w:p w:rsidR="00134C77" w:rsidRPr="00F97B2D" w:rsidRDefault="00134C77" w:rsidP="009F4645">
      <w:pPr>
        <w:ind w:left="720" w:right="-360"/>
        <w:rPr>
          <w:szCs w:val="24"/>
        </w:rPr>
      </w:pPr>
    </w:p>
    <w:p w:rsidR="00134C77" w:rsidRPr="00F97B2D" w:rsidRDefault="00134C77" w:rsidP="009F4645">
      <w:pPr>
        <w:ind w:left="720" w:right="-360"/>
        <w:rPr>
          <w:szCs w:val="24"/>
        </w:rPr>
      </w:pPr>
    </w:p>
    <w:p w:rsidR="00134C77" w:rsidRPr="00F97B2D" w:rsidRDefault="00134C77" w:rsidP="009F4645">
      <w:pPr>
        <w:ind w:left="720" w:right="-360"/>
        <w:rPr>
          <w:szCs w:val="24"/>
        </w:rPr>
      </w:pPr>
    </w:p>
    <w:p w:rsidR="00134C77" w:rsidRPr="00F97B2D" w:rsidRDefault="00134C77" w:rsidP="009F4645">
      <w:pPr>
        <w:ind w:left="720" w:right="-360"/>
        <w:rPr>
          <w:szCs w:val="24"/>
        </w:rPr>
      </w:pPr>
    </w:p>
    <w:p w:rsidR="00134C77" w:rsidRPr="00F97B2D" w:rsidRDefault="00134C77" w:rsidP="0068761A">
      <w:pPr>
        <w:pStyle w:val="Caption"/>
        <w:jc w:val="left"/>
        <w:sectPr w:rsidR="00134C77" w:rsidRPr="00F97B2D" w:rsidSect="00F677A2">
          <w:pgSz w:w="12240" w:h="15840" w:code="1"/>
          <w:pgMar w:top="1440" w:right="1440" w:bottom="1800" w:left="2160" w:header="720" w:footer="720" w:gutter="0"/>
          <w:cols w:space="720"/>
          <w:docGrid w:linePitch="360"/>
        </w:sectPr>
      </w:pPr>
    </w:p>
    <w:p w:rsidR="00FD78D3" w:rsidRPr="00F97B2D" w:rsidRDefault="00FD78D3" w:rsidP="00155F88">
      <w:pPr>
        <w:pStyle w:val="Caption"/>
        <w:jc w:val="left"/>
      </w:pPr>
      <w:bookmarkStart w:id="306" w:name="_Ref362534652"/>
      <w:bookmarkStart w:id="307" w:name="_Toc372536140"/>
      <w:r w:rsidRPr="00F97B2D">
        <w:t xml:space="preserve">Appendix </w:t>
      </w:r>
      <w:r w:rsidR="000E239B" w:rsidRPr="00F97B2D">
        <w:fldChar w:fldCharType="begin"/>
      </w:r>
      <w:r w:rsidR="00B2107A" w:rsidRPr="00F97B2D">
        <w:instrText xml:space="preserve"> SEQ Appendix \* ARABIC </w:instrText>
      </w:r>
      <w:r w:rsidR="000E239B" w:rsidRPr="00F97B2D">
        <w:fldChar w:fldCharType="separate"/>
      </w:r>
      <w:r w:rsidR="00E37796">
        <w:rPr>
          <w:noProof/>
        </w:rPr>
        <w:t>3</w:t>
      </w:r>
      <w:r w:rsidR="000E239B" w:rsidRPr="00F97B2D">
        <w:rPr>
          <w:noProof/>
        </w:rPr>
        <w:fldChar w:fldCharType="end"/>
      </w:r>
      <w:bookmarkEnd w:id="305"/>
      <w:bookmarkEnd w:id="306"/>
      <w:r w:rsidRPr="00F97B2D">
        <w:t>: Test Procedures for ELISA Analysis</w:t>
      </w:r>
      <w:bookmarkEnd w:id="307"/>
    </w:p>
    <w:tbl>
      <w:tblPr>
        <w:tblStyle w:val="TableGrid"/>
        <w:tblW w:w="0" w:type="auto"/>
        <w:tblCellMar>
          <w:top w:w="29" w:type="dxa"/>
          <w:left w:w="29" w:type="dxa"/>
          <w:bottom w:w="29" w:type="dxa"/>
          <w:right w:w="29" w:type="dxa"/>
        </w:tblCellMar>
        <w:tblLook w:val="04A0" w:firstRow="1" w:lastRow="0" w:firstColumn="1" w:lastColumn="0" w:noHBand="0" w:noVBand="1"/>
      </w:tblPr>
      <w:tblGrid>
        <w:gridCol w:w="1148"/>
        <w:gridCol w:w="2098"/>
        <w:gridCol w:w="792"/>
        <w:gridCol w:w="1214"/>
        <w:gridCol w:w="1213"/>
        <w:gridCol w:w="899"/>
        <w:gridCol w:w="959"/>
        <w:gridCol w:w="787"/>
        <w:gridCol w:w="1155"/>
        <w:gridCol w:w="1213"/>
        <w:gridCol w:w="1180"/>
      </w:tblGrid>
      <w:tr w:rsidR="00FD78D3" w:rsidRPr="00F677A2" w:rsidTr="00C67A58">
        <w:trPr>
          <w:tblHeader/>
        </w:trPr>
        <w:tc>
          <w:tcPr>
            <w:tcW w:w="0" w:type="auto"/>
            <w:vAlign w:val="center"/>
          </w:tcPr>
          <w:p w:rsidR="00FD78D3" w:rsidRPr="00F677A2" w:rsidRDefault="00FD78D3" w:rsidP="00155F88">
            <w:pPr>
              <w:widowControl w:val="0"/>
              <w:jc w:val="center"/>
              <w:rPr>
                <w:rFonts w:eastAsia="Times New Roman" w:cs="Times New Roman"/>
                <w:b/>
                <w:sz w:val="18"/>
                <w:szCs w:val="20"/>
              </w:rPr>
            </w:pPr>
            <w:r w:rsidRPr="00F677A2">
              <w:rPr>
                <w:rFonts w:eastAsia="Times New Roman" w:cs="Times New Roman"/>
                <w:b/>
                <w:sz w:val="18"/>
                <w:szCs w:val="20"/>
              </w:rPr>
              <w:t>Manufacturer</w:t>
            </w:r>
          </w:p>
        </w:tc>
        <w:tc>
          <w:tcPr>
            <w:tcW w:w="0" w:type="auto"/>
            <w:vAlign w:val="center"/>
          </w:tcPr>
          <w:p w:rsidR="00FD78D3" w:rsidRPr="00F677A2" w:rsidRDefault="00932348" w:rsidP="00155F88">
            <w:pPr>
              <w:widowControl w:val="0"/>
              <w:jc w:val="center"/>
              <w:rPr>
                <w:rFonts w:eastAsiaTheme="majorEastAsia" w:cs="Times New Roman"/>
                <w:b/>
                <w:bCs/>
                <w:color w:val="365F91" w:themeColor="accent1" w:themeShade="BF"/>
                <w:sz w:val="18"/>
                <w:szCs w:val="20"/>
              </w:rPr>
            </w:pPr>
            <w:r>
              <w:rPr>
                <w:rFonts w:eastAsia="Times New Roman" w:cs="Times New Roman"/>
                <w:b/>
                <w:sz w:val="18"/>
                <w:szCs w:val="20"/>
              </w:rPr>
              <w:t>Assay</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b/>
                <w:sz w:val="18"/>
                <w:szCs w:val="20"/>
              </w:rPr>
              <w:t>Sample</w:t>
            </w:r>
          </w:p>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b/>
                <w:sz w:val="18"/>
                <w:szCs w:val="20"/>
              </w:rPr>
              <w:t>Volume (µL)</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b/>
                <w:sz w:val="18"/>
                <w:szCs w:val="20"/>
              </w:rPr>
              <w:t>Conjugate Volume (µL)</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b/>
                <w:sz w:val="18"/>
                <w:szCs w:val="20"/>
              </w:rPr>
              <w:t>Incubation Time (min)</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b/>
                <w:sz w:val="18"/>
                <w:szCs w:val="20"/>
              </w:rPr>
              <w:t>No. of Wash Cycles</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b/>
                <w:sz w:val="18"/>
                <w:szCs w:val="20"/>
              </w:rPr>
              <w:t>Wash Volume (µL)</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b/>
                <w:sz w:val="18"/>
                <w:szCs w:val="20"/>
              </w:rPr>
              <w:t>Wash</w:t>
            </w:r>
          </w:p>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b/>
                <w:sz w:val="18"/>
                <w:szCs w:val="20"/>
              </w:rPr>
              <w:t>Solution</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b/>
                <w:sz w:val="18"/>
                <w:szCs w:val="20"/>
              </w:rPr>
              <w:t>Substrate Volume (µL)</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b/>
                <w:sz w:val="18"/>
                <w:szCs w:val="20"/>
              </w:rPr>
              <w:t>Incubation Time (min)</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b/>
                <w:sz w:val="18"/>
                <w:szCs w:val="20"/>
              </w:rPr>
              <w:t>Stop Reagent Volume (µL)</w:t>
            </w:r>
          </w:p>
        </w:tc>
      </w:tr>
      <w:tr w:rsidR="00FD78D3" w:rsidRPr="00F677A2" w:rsidTr="00FD78D3">
        <w:tc>
          <w:tcPr>
            <w:tcW w:w="0" w:type="auto"/>
            <w:vMerge w:val="restart"/>
            <w:vAlign w:val="center"/>
          </w:tcPr>
          <w:p w:rsidR="00FD78D3" w:rsidRPr="00F677A2" w:rsidRDefault="00FD78D3" w:rsidP="00155F88">
            <w:pPr>
              <w:widowControl w:val="0"/>
              <w:rPr>
                <w:rFonts w:eastAsia="Times New Roman" w:cs="Times New Roman"/>
                <w:sz w:val="18"/>
                <w:szCs w:val="20"/>
              </w:rPr>
            </w:pPr>
            <w:r w:rsidRPr="00F677A2">
              <w:rPr>
                <w:rFonts w:eastAsia="Times New Roman" w:cs="Times New Roman"/>
                <w:sz w:val="18"/>
                <w:szCs w:val="20"/>
              </w:rPr>
              <w:t>Immunalysis</w:t>
            </w:r>
          </w:p>
        </w:tc>
        <w:tc>
          <w:tcPr>
            <w:tcW w:w="0" w:type="auto"/>
            <w:vAlign w:val="center"/>
          </w:tcPr>
          <w:p w:rsidR="00FD78D3" w:rsidRPr="00F677A2" w:rsidRDefault="00FD78D3" w:rsidP="00155F88">
            <w:pPr>
              <w:widowControl w:val="0"/>
              <w:rPr>
                <w:rFonts w:eastAsia="Times New Roman" w:cs="Times New Roman"/>
                <w:sz w:val="18"/>
                <w:szCs w:val="20"/>
              </w:rPr>
            </w:pPr>
            <w:r w:rsidRPr="00F677A2">
              <w:rPr>
                <w:rFonts w:eastAsia="Times New Roman" w:cs="Times New Roman"/>
                <w:sz w:val="18"/>
                <w:szCs w:val="20"/>
              </w:rPr>
              <w:t>Amphetamine</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60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6</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350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DI water</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r>
      <w:tr w:rsidR="00FD78D3" w:rsidRPr="00F677A2" w:rsidTr="00FD78D3">
        <w:tc>
          <w:tcPr>
            <w:tcW w:w="0" w:type="auto"/>
            <w:vMerge/>
            <w:vAlign w:val="center"/>
          </w:tcPr>
          <w:p w:rsidR="00FD78D3" w:rsidRPr="00F677A2" w:rsidRDefault="00FD78D3" w:rsidP="00155F88">
            <w:pPr>
              <w:widowControl w:val="0"/>
              <w:rPr>
                <w:rFonts w:eastAsia="Times New Roman" w:cs="Times New Roman"/>
                <w:sz w:val="18"/>
                <w:szCs w:val="20"/>
              </w:rPr>
            </w:pPr>
          </w:p>
        </w:tc>
        <w:tc>
          <w:tcPr>
            <w:tcW w:w="0" w:type="auto"/>
            <w:vAlign w:val="center"/>
          </w:tcPr>
          <w:p w:rsidR="00FD78D3" w:rsidRPr="00F677A2" w:rsidRDefault="00FD78D3" w:rsidP="00155F88">
            <w:pPr>
              <w:widowControl w:val="0"/>
              <w:rPr>
                <w:rFonts w:eastAsia="Times New Roman" w:cs="Times New Roman"/>
                <w:sz w:val="18"/>
                <w:szCs w:val="20"/>
              </w:rPr>
            </w:pPr>
            <w:r w:rsidRPr="00F677A2">
              <w:rPr>
                <w:rFonts w:eastAsia="Times New Roman" w:cs="Times New Roman"/>
                <w:sz w:val="18"/>
                <w:szCs w:val="20"/>
              </w:rPr>
              <w:t>Methamphetamine</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60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6</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350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DI water</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r>
      <w:tr w:rsidR="00FD78D3" w:rsidRPr="00F677A2" w:rsidTr="00FD78D3">
        <w:tc>
          <w:tcPr>
            <w:tcW w:w="0" w:type="auto"/>
            <w:vMerge w:val="restart"/>
            <w:vAlign w:val="center"/>
          </w:tcPr>
          <w:p w:rsidR="00FD78D3" w:rsidRPr="00F677A2" w:rsidRDefault="00FD78D3" w:rsidP="00155F88">
            <w:pPr>
              <w:widowControl w:val="0"/>
              <w:rPr>
                <w:rFonts w:eastAsia="Times New Roman" w:cs="Times New Roman"/>
                <w:sz w:val="18"/>
                <w:szCs w:val="20"/>
              </w:rPr>
            </w:pPr>
            <w:r w:rsidRPr="00F677A2">
              <w:rPr>
                <w:rFonts w:eastAsia="Times New Roman" w:cs="Times New Roman"/>
                <w:sz w:val="18"/>
                <w:szCs w:val="20"/>
              </w:rPr>
              <w:t xml:space="preserve">Neogen </w:t>
            </w:r>
          </w:p>
        </w:tc>
        <w:tc>
          <w:tcPr>
            <w:tcW w:w="0" w:type="auto"/>
            <w:vAlign w:val="center"/>
          </w:tcPr>
          <w:p w:rsidR="00FD78D3" w:rsidRPr="00F677A2" w:rsidRDefault="00FD78D3" w:rsidP="00155F88">
            <w:pPr>
              <w:widowControl w:val="0"/>
              <w:rPr>
                <w:rFonts w:eastAsia="Times New Roman" w:cs="Times New Roman"/>
                <w:sz w:val="18"/>
                <w:szCs w:val="20"/>
              </w:rPr>
            </w:pPr>
            <w:r w:rsidRPr="00F677A2">
              <w:rPr>
                <w:rFonts w:eastAsia="Times New Roman" w:cs="Times New Roman"/>
                <w:sz w:val="18"/>
                <w:szCs w:val="20"/>
              </w:rPr>
              <w:t>Amphetamine</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20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180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45</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5</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Wash buffer</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150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50</w:t>
            </w:r>
          </w:p>
        </w:tc>
      </w:tr>
      <w:tr w:rsidR="00FD78D3" w:rsidRPr="00F677A2" w:rsidTr="00FD78D3">
        <w:tc>
          <w:tcPr>
            <w:tcW w:w="0" w:type="auto"/>
            <w:vMerge/>
            <w:vAlign w:val="center"/>
          </w:tcPr>
          <w:p w:rsidR="00FD78D3" w:rsidRPr="00F677A2" w:rsidRDefault="00FD78D3" w:rsidP="00155F88">
            <w:pPr>
              <w:widowControl w:val="0"/>
              <w:rPr>
                <w:rFonts w:eastAsia="Times New Roman" w:cs="Times New Roman"/>
                <w:sz w:val="18"/>
                <w:szCs w:val="20"/>
              </w:rPr>
            </w:pPr>
          </w:p>
        </w:tc>
        <w:tc>
          <w:tcPr>
            <w:tcW w:w="0" w:type="auto"/>
            <w:vAlign w:val="center"/>
          </w:tcPr>
          <w:p w:rsidR="00FD78D3" w:rsidRPr="00F677A2" w:rsidRDefault="00FD78D3" w:rsidP="00155F88">
            <w:pPr>
              <w:widowControl w:val="0"/>
              <w:rPr>
                <w:rFonts w:eastAsia="Times New Roman" w:cs="Times New Roman"/>
                <w:sz w:val="18"/>
                <w:szCs w:val="20"/>
              </w:rPr>
            </w:pPr>
            <w:r w:rsidRPr="00F677A2">
              <w:rPr>
                <w:rFonts w:eastAsia="Times New Roman" w:cs="Times New Roman"/>
                <w:sz w:val="18"/>
                <w:szCs w:val="20"/>
              </w:rPr>
              <w:t>Amphetamine Specific</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45</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5</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Wash buffer</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r>
      <w:tr w:rsidR="00FD78D3" w:rsidRPr="00F677A2" w:rsidTr="00FD78D3">
        <w:tc>
          <w:tcPr>
            <w:tcW w:w="0" w:type="auto"/>
            <w:vMerge/>
            <w:vAlign w:val="center"/>
          </w:tcPr>
          <w:p w:rsidR="00FD78D3" w:rsidRPr="00F677A2" w:rsidRDefault="00FD78D3" w:rsidP="00155F88">
            <w:pPr>
              <w:widowControl w:val="0"/>
              <w:rPr>
                <w:rFonts w:eastAsia="Times New Roman" w:cs="Times New Roman"/>
                <w:sz w:val="18"/>
                <w:szCs w:val="20"/>
              </w:rPr>
            </w:pPr>
          </w:p>
        </w:tc>
        <w:tc>
          <w:tcPr>
            <w:tcW w:w="0" w:type="auto"/>
            <w:vAlign w:val="center"/>
          </w:tcPr>
          <w:p w:rsidR="00FD78D3" w:rsidRPr="00F677A2" w:rsidRDefault="00FD78D3" w:rsidP="00155F88">
            <w:pPr>
              <w:widowControl w:val="0"/>
              <w:rPr>
                <w:rFonts w:eastAsia="Times New Roman" w:cs="Times New Roman"/>
                <w:sz w:val="18"/>
                <w:szCs w:val="20"/>
              </w:rPr>
            </w:pPr>
            <w:r w:rsidRPr="00F677A2">
              <w:rPr>
                <w:rFonts w:eastAsia="Times New Roman" w:cs="Times New Roman"/>
                <w:sz w:val="18"/>
                <w:szCs w:val="20"/>
              </w:rPr>
              <w:t>Amphetamine Ultra</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45</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5</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Wash buffer</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r>
      <w:tr w:rsidR="00FD78D3" w:rsidRPr="00F677A2" w:rsidTr="00FD78D3">
        <w:tc>
          <w:tcPr>
            <w:tcW w:w="0" w:type="auto"/>
            <w:vMerge/>
            <w:vAlign w:val="center"/>
          </w:tcPr>
          <w:p w:rsidR="00FD78D3" w:rsidRPr="00F677A2" w:rsidRDefault="00FD78D3" w:rsidP="00155F88">
            <w:pPr>
              <w:widowControl w:val="0"/>
              <w:rPr>
                <w:rFonts w:eastAsia="Times New Roman" w:cs="Times New Roman"/>
                <w:sz w:val="18"/>
                <w:szCs w:val="20"/>
              </w:rPr>
            </w:pPr>
          </w:p>
        </w:tc>
        <w:tc>
          <w:tcPr>
            <w:tcW w:w="0" w:type="auto"/>
            <w:vAlign w:val="center"/>
          </w:tcPr>
          <w:p w:rsidR="00FD78D3" w:rsidRPr="00F677A2" w:rsidRDefault="00FD78D3" w:rsidP="00155F88">
            <w:pPr>
              <w:widowControl w:val="0"/>
              <w:rPr>
                <w:rFonts w:eastAsia="Times New Roman" w:cs="Times New Roman"/>
                <w:sz w:val="18"/>
                <w:szCs w:val="20"/>
              </w:rPr>
            </w:pPr>
            <w:r w:rsidRPr="00F677A2">
              <w:rPr>
                <w:rFonts w:eastAsia="Times New Roman" w:cs="Times New Roman"/>
                <w:sz w:val="18"/>
                <w:szCs w:val="20"/>
              </w:rPr>
              <w:t>Benzylpiperazine</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20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50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45</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5</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Wash buffer</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150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50</w:t>
            </w:r>
          </w:p>
        </w:tc>
      </w:tr>
      <w:tr w:rsidR="00FD78D3" w:rsidRPr="00F677A2" w:rsidTr="00FD78D3">
        <w:tc>
          <w:tcPr>
            <w:tcW w:w="0" w:type="auto"/>
            <w:vMerge/>
            <w:vAlign w:val="center"/>
          </w:tcPr>
          <w:p w:rsidR="00FD78D3" w:rsidRPr="00F677A2" w:rsidRDefault="00FD78D3" w:rsidP="00155F88">
            <w:pPr>
              <w:widowControl w:val="0"/>
              <w:rPr>
                <w:rFonts w:eastAsia="Times New Roman" w:cs="Times New Roman"/>
                <w:sz w:val="18"/>
                <w:szCs w:val="20"/>
              </w:rPr>
            </w:pPr>
          </w:p>
        </w:tc>
        <w:tc>
          <w:tcPr>
            <w:tcW w:w="0" w:type="auto"/>
            <w:vAlign w:val="center"/>
          </w:tcPr>
          <w:p w:rsidR="00FD78D3" w:rsidRPr="00F677A2" w:rsidRDefault="00FD78D3" w:rsidP="00155F88">
            <w:pPr>
              <w:widowControl w:val="0"/>
              <w:rPr>
                <w:rFonts w:eastAsia="Times New Roman" w:cs="Times New Roman"/>
                <w:sz w:val="18"/>
                <w:szCs w:val="20"/>
              </w:rPr>
            </w:pPr>
            <w:r w:rsidRPr="00F677A2">
              <w:rPr>
                <w:rFonts w:eastAsia="Times New Roman" w:cs="Times New Roman"/>
                <w:sz w:val="18"/>
                <w:szCs w:val="20"/>
              </w:rPr>
              <w:t>Ketamine</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20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45</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5</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Wash buffer</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r>
      <w:tr w:rsidR="00FD78D3" w:rsidRPr="00F677A2" w:rsidTr="00FD78D3">
        <w:tc>
          <w:tcPr>
            <w:tcW w:w="0" w:type="auto"/>
            <w:vMerge/>
            <w:vAlign w:val="center"/>
          </w:tcPr>
          <w:p w:rsidR="00FD78D3" w:rsidRPr="00F677A2" w:rsidRDefault="00FD78D3" w:rsidP="00155F88">
            <w:pPr>
              <w:widowControl w:val="0"/>
              <w:rPr>
                <w:rFonts w:eastAsia="Times New Roman" w:cs="Times New Roman"/>
                <w:sz w:val="18"/>
                <w:szCs w:val="20"/>
              </w:rPr>
            </w:pPr>
          </w:p>
        </w:tc>
        <w:tc>
          <w:tcPr>
            <w:tcW w:w="0" w:type="auto"/>
            <w:vAlign w:val="center"/>
          </w:tcPr>
          <w:p w:rsidR="00FD78D3" w:rsidRPr="00F677A2" w:rsidRDefault="00FD78D3" w:rsidP="00155F88">
            <w:pPr>
              <w:widowControl w:val="0"/>
              <w:rPr>
                <w:rFonts w:eastAsia="Times New Roman" w:cs="Times New Roman"/>
                <w:sz w:val="18"/>
                <w:szCs w:val="20"/>
              </w:rPr>
            </w:pPr>
            <w:r w:rsidRPr="00F677A2">
              <w:rPr>
                <w:rFonts w:eastAsia="Times New Roman" w:cs="Times New Roman"/>
                <w:sz w:val="18"/>
                <w:szCs w:val="20"/>
              </w:rPr>
              <w:t>Methylphenidate</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20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45</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5</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Wash buffer</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r>
      <w:tr w:rsidR="00FD78D3" w:rsidRPr="00F677A2" w:rsidTr="00FD78D3">
        <w:tc>
          <w:tcPr>
            <w:tcW w:w="0" w:type="auto"/>
            <w:vMerge/>
            <w:vAlign w:val="center"/>
          </w:tcPr>
          <w:p w:rsidR="00FD78D3" w:rsidRPr="00F677A2" w:rsidRDefault="00FD78D3" w:rsidP="00155F88">
            <w:pPr>
              <w:widowControl w:val="0"/>
              <w:rPr>
                <w:rFonts w:eastAsia="Times New Roman" w:cs="Times New Roman"/>
                <w:sz w:val="18"/>
                <w:szCs w:val="20"/>
              </w:rPr>
            </w:pPr>
          </w:p>
        </w:tc>
        <w:tc>
          <w:tcPr>
            <w:tcW w:w="0" w:type="auto"/>
            <w:vAlign w:val="center"/>
          </w:tcPr>
          <w:p w:rsidR="00FD78D3" w:rsidRPr="00F677A2" w:rsidRDefault="00FD78D3" w:rsidP="00155F88">
            <w:pPr>
              <w:widowControl w:val="0"/>
              <w:rPr>
                <w:rFonts w:eastAsia="Times New Roman" w:cs="Times New Roman"/>
                <w:sz w:val="18"/>
                <w:szCs w:val="20"/>
              </w:rPr>
            </w:pPr>
            <w:r w:rsidRPr="00F677A2">
              <w:rPr>
                <w:rFonts w:eastAsia="Times New Roman" w:cs="Times New Roman"/>
                <w:sz w:val="18"/>
                <w:szCs w:val="20"/>
              </w:rPr>
              <w:t>Methamphetamine/MDMA</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20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45</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5</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Wash buffer</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r>
      <w:tr w:rsidR="00FD78D3" w:rsidRPr="00F677A2" w:rsidTr="00FD78D3">
        <w:tc>
          <w:tcPr>
            <w:tcW w:w="0" w:type="auto"/>
            <w:vMerge/>
            <w:vAlign w:val="center"/>
          </w:tcPr>
          <w:p w:rsidR="00FD78D3" w:rsidRPr="00F677A2" w:rsidRDefault="00FD78D3" w:rsidP="00155F88">
            <w:pPr>
              <w:widowControl w:val="0"/>
              <w:rPr>
                <w:rFonts w:eastAsia="Times New Roman" w:cs="Times New Roman"/>
                <w:sz w:val="18"/>
                <w:szCs w:val="20"/>
              </w:rPr>
            </w:pPr>
          </w:p>
        </w:tc>
        <w:tc>
          <w:tcPr>
            <w:tcW w:w="0" w:type="auto"/>
            <w:vAlign w:val="center"/>
          </w:tcPr>
          <w:p w:rsidR="00FD78D3" w:rsidRPr="00F677A2" w:rsidRDefault="00FD78D3" w:rsidP="00155F88">
            <w:pPr>
              <w:widowControl w:val="0"/>
              <w:rPr>
                <w:rFonts w:eastAsia="Times New Roman" w:cs="Times New Roman"/>
                <w:sz w:val="18"/>
                <w:szCs w:val="20"/>
              </w:rPr>
            </w:pPr>
            <w:r w:rsidRPr="00F677A2">
              <w:rPr>
                <w:rFonts w:eastAsia="Times New Roman" w:cs="Times New Roman"/>
                <w:sz w:val="18"/>
                <w:szCs w:val="20"/>
              </w:rPr>
              <w:t>Mephentermine</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20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180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45</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5</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Wash buffer</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150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50</w:t>
            </w:r>
          </w:p>
        </w:tc>
      </w:tr>
      <w:tr w:rsidR="00FD78D3" w:rsidRPr="00F677A2" w:rsidTr="00FD78D3">
        <w:tc>
          <w:tcPr>
            <w:tcW w:w="0" w:type="auto"/>
            <w:vMerge w:val="restart"/>
            <w:vAlign w:val="center"/>
          </w:tcPr>
          <w:p w:rsidR="00FD78D3" w:rsidRPr="00F677A2" w:rsidRDefault="00FD78D3" w:rsidP="00155F88">
            <w:pPr>
              <w:widowControl w:val="0"/>
              <w:rPr>
                <w:rFonts w:eastAsia="Times New Roman" w:cs="Times New Roman"/>
                <w:sz w:val="18"/>
                <w:szCs w:val="20"/>
              </w:rPr>
            </w:pPr>
            <w:r w:rsidRPr="00F677A2">
              <w:rPr>
                <w:rFonts w:eastAsia="Times New Roman" w:cs="Times New Roman"/>
                <w:sz w:val="18"/>
                <w:szCs w:val="20"/>
              </w:rPr>
              <w:t xml:space="preserve">Randox </w:t>
            </w:r>
          </w:p>
        </w:tc>
        <w:tc>
          <w:tcPr>
            <w:tcW w:w="0" w:type="auto"/>
            <w:vAlign w:val="center"/>
          </w:tcPr>
          <w:p w:rsidR="00FD78D3" w:rsidRPr="00F677A2" w:rsidRDefault="00FD78D3" w:rsidP="00155F88">
            <w:pPr>
              <w:widowControl w:val="0"/>
              <w:rPr>
                <w:rFonts w:eastAsia="Times New Roman" w:cs="Times New Roman"/>
                <w:sz w:val="18"/>
                <w:szCs w:val="20"/>
              </w:rPr>
            </w:pPr>
            <w:r w:rsidRPr="00F677A2">
              <w:rPr>
                <w:rFonts w:eastAsia="Times New Roman" w:cs="Times New Roman"/>
                <w:sz w:val="18"/>
                <w:szCs w:val="20"/>
              </w:rPr>
              <w:t>MDPV</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50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75</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60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6</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Wash buffer</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125</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20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r>
      <w:tr w:rsidR="00FD78D3" w:rsidRPr="00F677A2" w:rsidTr="00FD78D3">
        <w:tc>
          <w:tcPr>
            <w:tcW w:w="0" w:type="auto"/>
            <w:vMerge/>
            <w:vAlign w:val="center"/>
          </w:tcPr>
          <w:p w:rsidR="00FD78D3" w:rsidRPr="00F677A2" w:rsidRDefault="00FD78D3" w:rsidP="00155F88">
            <w:pPr>
              <w:widowControl w:val="0"/>
              <w:rPr>
                <w:rFonts w:eastAsia="Times New Roman" w:cs="Times New Roman"/>
                <w:sz w:val="18"/>
                <w:szCs w:val="20"/>
              </w:rPr>
            </w:pPr>
          </w:p>
        </w:tc>
        <w:tc>
          <w:tcPr>
            <w:tcW w:w="0" w:type="auto"/>
            <w:vAlign w:val="center"/>
          </w:tcPr>
          <w:p w:rsidR="00FD78D3" w:rsidRPr="00F677A2" w:rsidRDefault="00FD78D3" w:rsidP="00155F88">
            <w:pPr>
              <w:widowControl w:val="0"/>
              <w:rPr>
                <w:rFonts w:eastAsia="Times New Roman" w:cs="Times New Roman"/>
                <w:sz w:val="18"/>
                <w:szCs w:val="20"/>
              </w:rPr>
            </w:pPr>
            <w:r w:rsidRPr="00F677A2">
              <w:rPr>
                <w:rFonts w:eastAsia="Times New Roman" w:cs="Times New Roman"/>
                <w:sz w:val="18"/>
                <w:szCs w:val="20"/>
              </w:rPr>
              <w:t>Mephedrone/Methcathinone</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25</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60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6</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Wash buffer</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125</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20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r>
      <w:tr w:rsidR="00FD78D3" w:rsidRPr="00F677A2" w:rsidTr="00FD78D3">
        <w:tc>
          <w:tcPr>
            <w:tcW w:w="0" w:type="auto"/>
            <w:vMerge w:val="restart"/>
            <w:vAlign w:val="center"/>
          </w:tcPr>
          <w:p w:rsidR="00FD78D3" w:rsidRPr="00F677A2" w:rsidRDefault="00FD78D3" w:rsidP="00155F88">
            <w:pPr>
              <w:widowControl w:val="0"/>
              <w:rPr>
                <w:rFonts w:eastAsia="Times New Roman" w:cs="Times New Roman"/>
                <w:sz w:val="18"/>
                <w:szCs w:val="20"/>
              </w:rPr>
            </w:pPr>
            <w:r w:rsidRPr="00F677A2">
              <w:rPr>
                <w:rFonts w:eastAsia="Times New Roman" w:cs="Times New Roman"/>
                <w:sz w:val="18"/>
                <w:szCs w:val="20"/>
              </w:rPr>
              <w:t xml:space="preserve">OraSure </w:t>
            </w:r>
          </w:p>
        </w:tc>
        <w:tc>
          <w:tcPr>
            <w:tcW w:w="0" w:type="auto"/>
            <w:vAlign w:val="center"/>
          </w:tcPr>
          <w:p w:rsidR="00FD78D3" w:rsidRPr="00F677A2" w:rsidRDefault="00FD78D3" w:rsidP="00155F88">
            <w:pPr>
              <w:widowControl w:val="0"/>
              <w:rPr>
                <w:rFonts w:eastAsia="Times New Roman" w:cs="Times New Roman"/>
                <w:sz w:val="18"/>
                <w:szCs w:val="20"/>
              </w:rPr>
            </w:pPr>
            <w:r w:rsidRPr="00F677A2">
              <w:rPr>
                <w:rFonts w:eastAsia="Times New Roman" w:cs="Times New Roman"/>
                <w:sz w:val="18"/>
                <w:szCs w:val="20"/>
              </w:rPr>
              <w:t>PCP</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50</w:t>
            </w:r>
            <w:r w:rsidRPr="00F677A2">
              <w:rPr>
                <w:rFonts w:eastAsia="Times New Roman" w:cs="Times New Roman"/>
                <w:sz w:val="18"/>
                <w:szCs w:val="20"/>
                <w:vertAlign w:val="superscript"/>
              </w:rPr>
              <w:t>a</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50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6</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DI water</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r>
      <w:tr w:rsidR="00FD78D3" w:rsidRPr="00F677A2" w:rsidTr="00FD78D3">
        <w:tc>
          <w:tcPr>
            <w:tcW w:w="0" w:type="auto"/>
            <w:vMerge/>
            <w:vAlign w:val="center"/>
          </w:tcPr>
          <w:p w:rsidR="00FD78D3" w:rsidRPr="00F677A2" w:rsidRDefault="00FD78D3" w:rsidP="00155F88">
            <w:pPr>
              <w:widowControl w:val="0"/>
              <w:rPr>
                <w:rFonts w:eastAsia="Times New Roman" w:cs="Times New Roman"/>
                <w:sz w:val="18"/>
                <w:szCs w:val="20"/>
              </w:rPr>
            </w:pPr>
          </w:p>
        </w:tc>
        <w:tc>
          <w:tcPr>
            <w:tcW w:w="0" w:type="auto"/>
            <w:vAlign w:val="center"/>
          </w:tcPr>
          <w:p w:rsidR="00FD78D3" w:rsidRPr="00F677A2" w:rsidRDefault="00FD78D3" w:rsidP="00155F88">
            <w:pPr>
              <w:widowControl w:val="0"/>
              <w:rPr>
                <w:rFonts w:eastAsia="Times New Roman" w:cs="Times New Roman"/>
                <w:sz w:val="18"/>
                <w:szCs w:val="20"/>
              </w:rPr>
            </w:pPr>
            <w:r w:rsidRPr="00F677A2">
              <w:rPr>
                <w:rFonts w:eastAsia="Times New Roman" w:cs="Times New Roman"/>
                <w:sz w:val="18"/>
                <w:szCs w:val="20"/>
              </w:rPr>
              <w:t>Cotinine</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6</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DI water</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r>
      <w:tr w:rsidR="00FD78D3" w:rsidRPr="00F677A2" w:rsidTr="00FD78D3">
        <w:tc>
          <w:tcPr>
            <w:tcW w:w="0" w:type="auto"/>
            <w:vMerge/>
            <w:vAlign w:val="center"/>
          </w:tcPr>
          <w:p w:rsidR="00FD78D3" w:rsidRPr="00F677A2" w:rsidRDefault="00FD78D3" w:rsidP="00155F88">
            <w:pPr>
              <w:widowControl w:val="0"/>
              <w:rPr>
                <w:rFonts w:eastAsia="Times New Roman" w:cs="Times New Roman"/>
                <w:sz w:val="18"/>
                <w:szCs w:val="20"/>
              </w:rPr>
            </w:pPr>
          </w:p>
        </w:tc>
        <w:tc>
          <w:tcPr>
            <w:tcW w:w="0" w:type="auto"/>
            <w:vAlign w:val="center"/>
          </w:tcPr>
          <w:p w:rsidR="00FD78D3" w:rsidRPr="00F677A2" w:rsidRDefault="00FD78D3" w:rsidP="00155F88">
            <w:pPr>
              <w:widowControl w:val="0"/>
              <w:rPr>
                <w:rFonts w:eastAsia="Times New Roman" w:cs="Times New Roman"/>
                <w:sz w:val="18"/>
                <w:szCs w:val="20"/>
              </w:rPr>
            </w:pPr>
            <w:r w:rsidRPr="00F677A2">
              <w:rPr>
                <w:rFonts w:eastAsia="Times New Roman" w:cs="Times New Roman"/>
                <w:sz w:val="18"/>
                <w:szCs w:val="20"/>
              </w:rPr>
              <w:t>Amphetamine Specific</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25</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6</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DI water</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r>
      <w:tr w:rsidR="00FD78D3" w:rsidRPr="00F677A2" w:rsidTr="00FD78D3">
        <w:trPr>
          <w:trHeight w:val="85"/>
        </w:trPr>
        <w:tc>
          <w:tcPr>
            <w:tcW w:w="0" w:type="auto"/>
            <w:vMerge/>
            <w:vAlign w:val="center"/>
          </w:tcPr>
          <w:p w:rsidR="00FD78D3" w:rsidRPr="00F677A2" w:rsidRDefault="00FD78D3" w:rsidP="00155F88">
            <w:pPr>
              <w:widowControl w:val="0"/>
              <w:rPr>
                <w:rFonts w:eastAsia="Times New Roman" w:cs="Times New Roman"/>
                <w:sz w:val="18"/>
                <w:szCs w:val="20"/>
              </w:rPr>
            </w:pPr>
          </w:p>
        </w:tc>
        <w:tc>
          <w:tcPr>
            <w:tcW w:w="0" w:type="auto"/>
            <w:vAlign w:val="center"/>
          </w:tcPr>
          <w:p w:rsidR="00FD78D3" w:rsidRPr="00F677A2" w:rsidRDefault="00FD78D3" w:rsidP="00155F88">
            <w:pPr>
              <w:widowControl w:val="0"/>
              <w:rPr>
                <w:rFonts w:eastAsia="Times New Roman" w:cs="Times New Roman"/>
                <w:sz w:val="18"/>
                <w:szCs w:val="20"/>
              </w:rPr>
            </w:pPr>
            <w:r w:rsidRPr="00F677A2">
              <w:rPr>
                <w:rFonts w:eastAsia="Times New Roman" w:cs="Times New Roman"/>
                <w:sz w:val="18"/>
                <w:szCs w:val="20"/>
              </w:rPr>
              <w:t>Methamphetamine</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25</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6</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Di water</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30</w:t>
            </w:r>
          </w:p>
        </w:tc>
        <w:tc>
          <w:tcPr>
            <w:tcW w:w="0" w:type="auto"/>
            <w:vAlign w:val="center"/>
          </w:tcPr>
          <w:p w:rsidR="00FD78D3" w:rsidRPr="00F677A2" w:rsidRDefault="00FD78D3" w:rsidP="00155F88">
            <w:pPr>
              <w:widowControl w:val="0"/>
              <w:jc w:val="center"/>
              <w:rPr>
                <w:rFonts w:eastAsiaTheme="majorEastAsia" w:cs="Times New Roman"/>
                <w:b/>
                <w:bCs/>
                <w:color w:val="365F91" w:themeColor="accent1" w:themeShade="BF"/>
                <w:sz w:val="18"/>
                <w:szCs w:val="20"/>
              </w:rPr>
            </w:pPr>
            <w:r w:rsidRPr="00F677A2">
              <w:rPr>
                <w:rFonts w:eastAsia="Times New Roman" w:cs="Times New Roman"/>
                <w:sz w:val="18"/>
                <w:szCs w:val="20"/>
              </w:rPr>
              <w:t>100</w:t>
            </w:r>
          </w:p>
        </w:tc>
      </w:tr>
    </w:tbl>
    <w:p w:rsidR="00F75598" w:rsidRPr="0068761A" w:rsidRDefault="00FD78D3" w:rsidP="00155F88">
      <w:pPr>
        <w:widowControl w:val="0"/>
        <w:spacing w:line="360" w:lineRule="auto"/>
        <w:rPr>
          <w:szCs w:val="24"/>
        </w:rPr>
      </w:pPr>
      <w:proofErr w:type="gramStart"/>
      <w:r w:rsidRPr="00F97B2D">
        <w:rPr>
          <w:b/>
          <w:szCs w:val="24"/>
          <w:vertAlign w:val="superscript"/>
        </w:rPr>
        <w:t>a</w:t>
      </w:r>
      <w:proofErr w:type="gramEnd"/>
      <w:r w:rsidRPr="00F97B2D">
        <w:rPr>
          <w:szCs w:val="24"/>
        </w:rPr>
        <w:t xml:space="preserve"> 50 µL OraSure Pre-Buffer added to wells after samples were dispensed.</w:t>
      </w:r>
    </w:p>
    <w:p w:rsidR="00F75598" w:rsidRPr="00F97B2D" w:rsidRDefault="00F75598" w:rsidP="00155F88">
      <w:pPr>
        <w:pStyle w:val="Caption"/>
        <w:sectPr w:rsidR="00F75598" w:rsidRPr="00F97B2D" w:rsidSect="00F677A2">
          <w:pgSz w:w="15840" w:h="12240" w:orient="landscape" w:code="1"/>
          <w:pgMar w:top="2160" w:right="1440" w:bottom="1440" w:left="1800" w:header="720" w:footer="720" w:gutter="0"/>
          <w:cols w:space="720"/>
          <w:docGrid w:linePitch="360"/>
        </w:sectPr>
      </w:pPr>
    </w:p>
    <w:p w:rsidR="00F75598" w:rsidRPr="00F97B2D" w:rsidRDefault="00F75598" w:rsidP="00155F88">
      <w:pPr>
        <w:pStyle w:val="Caption"/>
        <w:jc w:val="left"/>
      </w:pPr>
      <w:bookmarkStart w:id="308" w:name="_Ref362529456"/>
      <w:bookmarkStart w:id="309" w:name="_Ref362528729"/>
      <w:bookmarkStart w:id="310" w:name="_Toc372536141"/>
      <w:r w:rsidRPr="00F97B2D">
        <w:t xml:space="preserve">Appendix </w:t>
      </w:r>
      <w:r w:rsidR="000E239B" w:rsidRPr="00F97B2D">
        <w:fldChar w:fldCharType="begin"/>
      </w:r>
      <w:r w:rsidR="00B2107A" w:rsidRPr="00F97B2D">
        <w:instrText xml:space="preserve"> SEQ Appendix \* ARABIC </w:instrText>
      </w:r>
      <w:r w:rsidR="000E239B" w:rsidRPr="00F97B2D">
        <w:fldChar w:fldCharType="separate"/>
      </w:r>
      <w:r w:rsidR="00E37796">
        <w:rPr>
          <w:noProof/>
        </w:rPr>
        <w:t>4</w:t>
      </w:r>
      <w:r w:rsidR="000E239B" w:rsidRPr="00F97B2D">
        <w:rPr>
          <w:noProof/>
        </w:rPr>
        <w:fldChar w:fldCharType="end"/>
      </w:r>
      <w:bookmarkEnd w:id="308"/>
      <w:r w:rsidRPr="00F97B2D">
        <w:t>: Cross-Reactivity Data for ELISAs</w:t>
      </w:r>
      <w:bookmarkEnd w:id="309"/>
      <w:bookmarkEnd w:id="310"/>
    </w:p>
    <w:p w:rsidR="00F75598" w:rsidRPr="00F97B2D" w:rsidRDefault="00F75598" w:rsidP="00155F88">
      <w:pPr>
        <w:pStyle w:val="Caption"/>
        <w:jc w:val="left"/>
      </w:pPr>
      <w:r w:rsidRPr="00F97B2D">
        <w:t>Cross-Reactivity Data for Immunoassays Targeting Amphetamine</w:t>
      </w:r>
    </w:p>
    <w:tbl>
      <w:tblPr>
        <w:tblStyle w:val="TableGrid"/>
        <w:tblW w:w="12240" w:type="dxa"/>
        <w:tblCellMar>
          <w:left w:w="43" w:type="dxa"/>
          <w:right w:w="43" w:type="dxa"/>
        </w:tblCellMar>
        <w:tblLook w:val="04A0" w:firstRow="1" w:lastRow="0" w:firstColumn="1" w:lastColumn="0" w:noHBand="0" w:noVBand="1"/>
      </w:tblPr>
      <w:tblGrid>
        <w:gridCol w:w="2271"/>
        <w:gridCol w:w="909"/>
        <w:gridCol w:w="1503"/>
        <w:gridCol w:w="909"/>
        <w:gridCol w:w="910"/>
        <w:gridCol w:w="1504"/>
        <w:gridCol w:w="910"/>
        <w:gridCol w:w="910"/>
        <w:gridCol w:w="1504"/>
        <w:gridCol w:w="910"/>
      </w:tblGrid>
      <w:tr w:rsidR="00F75598" w:rsidRPr="00155F88" w:rsidTr="00F677A2">
        <w:trPr>
          <w:trHeight w:val="144"/>
          <w:tblHeader/>
        </w:trPr>
        <w:tc>
          <w:tcPr>
            <w:tcW w:w="0" w:type="auto"/>
            <w:vMerge w:val="restart"/>
            <w:vAlign w:val="center"/>
          </w:tcPr>
          <w:p w:rsidR="00F75598" w:rsidRPr="00155F88" w:rsidRDefault="00F75598" w:rsidP="00155F88">
            <w:pPr>
              <w:widowControl w:val="0"/>
              <w:jc w:val="center"/>
              <w:rPr>
                <w:rFonts w:eastAsiaTheme="majorEastAsia" w:cs="Times New Roman"/>
                <w:b/>
                <w:bCs/>
                <w:color w:val="365F91" w:themeColor="accent1" w:themeShade="BF"/>
                <w:sz w:val="16"/>
                <w:szCs w:val="16"/>
              </w:rPr>
            </w:pPr>
          </w:p>
        </w:tc>
        <w:tc>
          <w:tcPr>
            <w:tcW w:w="0" w:type="auto"/>
            <w:gridSpan w:val="9"/>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 xml:space="preserve">Neogen </w:t>
            </w:r>
          </w:p>
        </w:tc>
      </w:tr>
      <w:tr w:rsidR="00F75598" w:rsidRPr="00155F88" w:rsidTr="00F677A2">
        <w:trPr>
          <w:trHeight w:val="144"/>
          <w:tblHeader/>
        </w:trPr>
        <w:tc>
          <w:tcPr>
            <w:tcW w:w="0" w:type="auto"/>
            <w:vMerge/>
            <w:vAlign w:val="center"/>
          </w:tcPr>
          <w:p w:rsidR="00F75598" w:rsidRPr="00155F88" w:rsidRDefault="00F75598" w:rsidP="00155F88">
            <w:pPr>
              <w:widowControl w:val="0"/>
              <w:jc w:val="center"/>
              <w:rPr>
                <w:rFonts w:cs="Times New Roman"/>
                <w:b/>
                <w:sz w:val="16"/>
                <w:szCs w:val="16"/>
              </w:rPr>
            </w:pPr>
          </w:p>
        </w:tc>
        <w:tc>
          <w:tcPr>
            <w:tcW w:w="0" w:type="auto"/>
            <w:gridSpan w:val="3"/>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Amphetamine</w:t>
            </w:r>
          </w:p>
        </w:tc>
        <w:tc>
          <w:tcPr>
            <w:tcW w:w="0" w:type="auto"/>
            <w:gridSpan w:val="3"/>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Amphetamine Specific</w:t>
            </w:r>
          </w:p>
        </w:tc>
        <w:tc>
          <w:tcPr>
            <w:tcW w:w="0" w:type="auto"/>
            <w:gridSpan w:val="3"/>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Amphetamine Ultra</w:t>
            </w:r>
          </w:p>
        </w:tc>
      </w:tr>
      <w:tr w:rsidR="00155F88" w:rsidRPr="00155F88" w:rsidTr="00F677A2">
        <w:trPr>
          <w:trHeight w:val="144"/>
          <w:tblHeader/>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Drug</w:t>
            </w:r>
          </w:p>
        </w:tc>
        <w:tc>
          <w:tcPr>
            <w:tcW w:w="0" w:type="auto"/>
            <w:vAlign w:val="center"/>
          </w:tcPr>
          <w:p w:rsidR="00F75598" w:rsidRPr="00155F88" w:rsidRDefault="00F75598" w:rsidP="00155F88">
            <w:pPr>
              <w:widowControl w:val="0"/>
              <w:jc w:val="center"/>
              <w:rPr>
                <w:rFonts w:cs="Times New Roman"/>
                <w:b/>
                <w:sz w:val="16"/>
                <w:szCs w:val="16"/>
                <w:vertAlign w:val="superscript"/>
              </w:rPr>
            </w:pPr>
            <w:r w:rsidRPr="00155F88">
              <w:rPr>
                <w:rFonts w:cs="Times New Roman"/>
                <w:b/>
                <w:sz w:val="16"/>
                <w:szCs w:val="16"/>
              </w:rPr>
              <w:t>C</w:t>
            </w:r>
            <w:r w:rsidRPr="00155F88">
              <w:rPr>
                <w:rFonts w:cs="Times New Roman"/>
                <w:b/>
                <w:sz w:val="16"/>
                <w:szCs w:val="16"/>
                <w:vertAlign w:val="subscript"/>
              </w:rPr>
              <w:t>50</w:t>
            </w:r>
            <w:r w:rsidRPr="00155F88">
              <w:rPr>
                <w:rFonts w:cs="Times New Roman"/>
                <w:b/>
                <w:sz w:val="16"/>
                <w:szCs w:val="16"/>
                <w:vertAlign w:val="superscript"/>
              </w:rPr>
              <w:t>b</w:t>
            </w:r>
          </w:p>
          <w:p w:rsidR="00F75598" w:rsidRPr="00155F88" w:rsidRDefault="00F75598" w:rsidP="00155F88">
            <w:pPr>
              <w:widowControl w:val="0"/>
              <w:jc w:val="center"/>
              <w:rPr>
                <w:rFonts w:cs="Times New Roman"/>
                <w:b/>
                <w:sz w:val="16"/>
                <w:szCs w:val="16"/>
              </w:rPr>
            </w:pPr>
            <w:r w:rsidRPr="00155F88">
              <w:rPr>
                <w:rFonts w:cs="Times New Roman"/>
                <w:b/>
                <w:sz w:val="16"/>
                <w:szCs w:val="16"/>
              </w:rPr>
              <w:t>(ng/mL)</w:t>
            </w:r>
          </w:p>
        </w:tc>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Cross-</w:t>
            </w:r>
          </w:p>
          <w:p w:rsidR="00F75598" w:rsidRPr="00155F88" w:rsidRDefault="00F75598" w:rsidP="00155F88">
            <w:pPr>
              <w:widowControl w:val="0"/>
              <w:jc w:val="center"/>
              <w:rPr>
                <w:rFonts w:cs="Times New Roman"/>
                <w:b/>
                <w:sz w:val="16"/>
                <w:szCs w:val="16"/>
              </w:rPr>
            </w:pPr>
            <w:r w:rsidRPr="00155F88">
              <w:rPr>
                <w:rFonts w:cs="Times New Roman"/>
                <w:b/>
                <w:sz w:val="16"/>
                <w:szCs w:val="16"/>
              </w:rPr>
              <w:t>Reactivity (%)</w:t>
            </w:r>
          </w:p>
        </w:tc>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EC</w:t>
            </w:r>
            <w:r w:rsidRPr="00155F88">
              <w:rPr>
                <w:rFonts w:cs="Times New Roman"/>
                <w:b/>
                <w:sz w:val="16"/>
                <w:szCs w:val="16"/>
                <w:vertAlign w:val="subscript"/>
              </w:rPr>
              <w:t>50</w:t>
            </w:r>
          </w:p>
          <w:p w:rsidR="00F75598" w:rsidRPr="00155F88" w:rsidRDefault="00F75598" w:rsidP="00155F88">
            <w:pPr>
              <w:widowControl w:val="0"/>
              <w:jc w:val="center"/>
              <w:rPr>
                <w:rFonts w:cs="Times New Roman"/>
                <w:b/>
                <w:sz w:val="16"/>
                <w:szCs w:val="16"/>
              </w:rPr>
            </w:pPr>
            <w:r w:rsidRPr="00155F88">
              <w:rPr>
                <w:rFonts w:cs="Times New Roman"/>
                <w:b/>
                <w:sz w:val="16"/>
                <w:szCs w:val="16"/>
              </w:rPr>
              <w:t>(ng/mL)</w:t>
            </w:r>
          </w:p>
        </w:tc>
        <w:tc>
          <w:tcPr>
            <w:tcW w:w="0" w:type="auto"/>
            <w:vAlign w:val="center"/>
          </w:tcPr>
          <w:p w:rsidR="00F75598" w:rsidRPr="00155F88" w:rsidRDefault="00F75598" w:rsidP="00155F88">
            <w:pPr>
              <w:widowControl w:val="0"/>
              <w:jc w:val="center"/>
              <w:rPr>
                <w:rFonts w:cs="Times New Roman"/>
                <w:b/>
                <w:sz w:val="16"/>
                <w:szCs w:val="16"/>
                <w:vertAlign w:val="superscript"/>
              </w:rPr>
            </w:pPr>
            <w:r w:rsidRPr="00155F88">
              <w:rPr>
                <w:rFonts w:cs="Times New Roman"/>
                <w:b/>
                <w:sz w:val="16"/>
                <w:szCs w:val="16"/>
              </w:rPr>
              <w:t>C</w:t>
            </w:r>
            <w:r w:rsidRPr="00155F88">
              <w:rPr>
                <w:rFonts w:cs="Times New Roman"/>
                <w:b/>
                <w:sz w:val="16"/>
                <w:szCs w:val="16"/>
                <w:vertAlign w:val="subscript"/>
              </w:rPr>
              <w:t>50</w:t>
            </w:r>
            <w:r w:rsidRPr="00155F88">
              <w:rPr>
                <w:rFonts w:cs="Times New Roman"/>
                <w:b/>
                <w:sz w:val="16"/>
                <w:szCs w:val="16"/>
                <w:vertAlign w:val="superscript"/>
              </w:rPr>
              <w:t>b</w:t>
            </w:r>
          </w:p>
          <w:p w:rsidR="00F75598" w:rsidRPr="00155F88" w:rsidRDefault="00F75598" w:rsidP="00155F88">
            <w:pPr>
              <w:widowControl w:val="0"/>
              <w:jc w:val="center"/>
              <w:rPr>
                <w:rFonts w:cs="Times New Roman"/>
                <w:b/>
                <w:sz w:val="16"/>
                <w:szCs w:val="16"/>
              </w:rPr>
            </w:pPr>
            <w:r w:rsidRPr="00155F88">
              <w:rPr>
                <w:rFonts w:cs="Times New Roman"/>
                <w:b/>
                <w:sz w:val="16"/>
                <w:szCs w:val="16"/>
              </w:rPr>
              <w:t>(ng/mL)</w:t>
            </w:r>
          </w:p>
        </w:tc>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Cross-</w:t>
            </w:r>
          </w:p>
          <w:p w:rsidR="00F75598" w:rsidRPr="00155F88" w:rsidRDefault="00F75598" w:rsidP="00155F88">
            <w:pPr>
              <w:widowControl w:val="0"/>
              <w:jc w:val="center"/>
              <w:rPr>
                <w:rFonts w:cs="Times New Roman"/>
                <w:b/>
                <w:sz w:val="16"/>
                <w:szCs w:val="16"/>
              </w:rPr>
            </w:pPr>
            <w:r w:rsidRPr="00155F88">
              <w:rPr>
                <w:rFonts w:cs="Times New Roman"/>
                <w:b/>
                <w:sz w:val="16"/>
                <w:szCs w:val="16"/>
              </w:rPr>
              <w:t>Reactivity (%)</w:t>
            </w:r>
          </w:p>
        </w:tc>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EC</w:t>
            </w:r>
            <w:r w:rsidRPr="00155F88">
              <w:rPr>
                <w:rFonts w:cs="Times New Roman"/>
                <w:b/>
                <w:sz w:val="16"/>
                <w:szCs w:val="16"/>
                <w:vertAlign w:val="subscript"/>
              </w:rPr>
              <w:t>50</w:t>
            </w:r>
          </w:p>
          <w:p w:rsidR="00F75598" w:rsidRPr="00155F88" w:rsidRDefault="00F75598" w:rsidP="00155F88">
            <w:pPr>
              <w:widowControl w:val="0"/>
              <w:jc w:val="center"/>
              <w:rPr>
                <w:rFonts w:cs="Times New Roman"/>
                <w:b/>
                <w:sz w:val="16"/>
                <w:szCs w:val="16"/>
              </w:rPr>
            </w:pPr>
            <w:r w:rsidRPr="00155F88">
              <w:rPr>
                <w:rFonts w:cs="Times New Roman"/>
                <w:b/>
                <w:sz w:val="16"/>
                <w:szCs w:val="16"/>
              </w:rPr>
              <w:t>(ng/mL)</w:t>
            </w:r>
          </w:p>
        </w:tc>
        <w:tc>
          <w:tcPr>
            <w:tcW w:w="0" w:type="auto"/>
            <w:vAlign w:val="center"/>
          </w:tcPr>
          <w:p w:rsidR="00F75598" w:rsidRPr="00155F88" w:rsidRDefault="00F75598" w:rsidP="00155F88">
            <w:pPr>
              <w:widowControl w:val="0"/>
              <w:jc w:val="center"/>
              <w:rPr>
                <w:rFonts w:cs="Times New Roman"/>
                <w:b/>
                <w:sz w:val="16"/>
                <w:szCs w:val="16"/>
                <w:vertAlign w:val="superscript"/>
              </w:rPr>
            </w:pPr>
            <w:r w:rsidRPr="00155F88">
              <w:rPr>
                <w:rFonts w:cs="Times New Roman"/>
                <w:b/>
                <w:sz w:val="16"/>
                <w:szCs w:val="16"/>
              </w:rPr>
              <w:t>C</w:t>
            </w:r>
            <w:r w:rsidRPr="00155F88">
              <w:rPr>
                <w:rFonts w:cs="Times New Roman"/>
                <w:b/>
                <w:sz w:val="16"/>
                <w:szCs w:val="16"/>
                <w:vertAlign w:val="subscript"/>
              </w:rPr>
              <w:t>50</w:t>
            </w:r>
            <w:r w:rsidRPr="00155F88">
              <w:rPr>
                <w:rFonts w:cs="Times New Roman"/>
                <w:b/>
                <w:sz w:val="16"/>
                <w:szCs w:val="16"/>
                <w:vertAlign w:val="superscript"/>
              </w:rPr>
              <w:t>b</w:t>
            </w:r>
          </w:p>
          <w:p w:rsidR="00F75598" w:rsidRPr="00155F88" w:rsidRDefault="00F75598" w:rsidP="00155F88">
            <w:pPr>
              <w:widowControl w:val="0"/>
              <w:jc w:val="center"/>
              <w:rPr>
                <w:rFonts w:cs="Times New Roman"/>
                <w:b/>
                <w:sz w:val="16"/>
                <w:szCs w:val="16"/>
              </w:rPr>
            </w:pPr>
            <w:r w:rsidRPr="00155F88">
              <w:rPr>
                <w:rFonts w:cs="Times New Roman"/>
                <w:b/>
                <w:sz w:val="16"/>
                <w:szCs w:val="16"/>
              </w:rPr>
              <w:t>(ng/mL)</w:t>
            </w:r>
          </w:p>
        </w:tc>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Cross-</w:t>
            </w:r>
          </w:p>
          <w:p w:rsidR="00F75598" w:rsidRPr="00155F88" w:rsidRDefault="00F75598" w:rsidP="00155F88">
            <w:pPr>
              <w:widowControl w:val="0"/>
              <w:jc w:val="center"/>
              <w:rPr>
                <w:rFonts w:cs="Times New Roman"/>
                <w:b/>
                <w:sz w:val="16"/>
                <w:szCs w:val="16"/>
              </w:rPr>
            </w:pPr>
            <w:r w:rsidRPr="00155F88">
              <w:rPr>
                <w:rFonts w:cs="Times New Roman"/>
                <w:b/>
                <w:sz w:val="16"/>
                <w:szCs w:val="16"/>
              </w:rPr>
              <w:t>Reactivity (%)</w:t>
            </w:r>
          </w:p>
        </w:tc>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EC</w:t>
            </w:r>
            <w:r w:rsidRPr="00155F88">
              <w:rPr>
                <w:rFonts w:cs="Times New Roman"/>
                <w:b/>
                <w:sz w:val="16"/>
                <w:szCs w:val="16"/>
                <w:vertAlign w:val="subscript"/>
              </w:rPr>
              <w:t>50</w:t>
            </w:r>
          </w:p>
          <w:p w:rsidR="00F75598" w:rsidRPr="00155F88" w:rsidRDefault="00F75598" w:rsidP="00155F88">
            <w:pPr>
              <w:widowControl w:val="0"/>
              <w:jc w:val="center"/>
              <w:rPr>
                <w:rFonts w:cs="Times New Roman"/>
                <w:b/>
                <w:sz w:val="16"/>
                <w:szCs w:val="16"/>
              </w:rPr>
            </w:pPr>
            <w:r w:rsidRPr="00155F88">
              <w:rPr>
                <w:rFonts w:cs="Times New Roman"/>
                <w:b/>
                <w:sz w:val="16"/>
                <w:szCs w:val="16"/>
              </w:rPr>
              <w:t>(ng/mL)</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i/>
                <w:sz w:val="16"/>
                <w:szCs w:val="16"/>
              </w:rPr>
            </w:pPr>
            <w:r w:rsidRPr="00155F88">
              <w:rPr>
                <w:rFonts w:cs="Times New Roman"/>
                <w:b/>
                <w:i/>
                <w:sz w:val="16"/>
                <w:szCs w:val="16"/>
              </w:rPr>
              <w:t>(+)-Amphetamine</w:t>
            </w:r>
          </w:p>
        </w:tc>
        <w:tc>
          <w:tcPr>
            <w:tcW w:w="0" w:type="auto"/>
            <w:vAlign w:val="center"/>
          </w:tcPr>
          <w:p w:rsidR="00F75598" w:rsidRPr="00155F88" w:rsidRDefault="00F75598" w:rsidP="00155F88">
            <w:pPr>
              <w:widowControl w:val="0"/>
              <w:jc w:val="right"/>
              <w:rPr>
                <w:rFonts w:cs="Times New Roman"/>
                <w:b/>
                <w:i/>
                <w:sz w:val="16"/>
                <w:szCs w:val="16"/>
              </w:rPr>
            </w:pPr>
            <w:r w:rsidRPr="00155F88">
              <w:rPr>
                <w:rFonts w:cs="Times New Roman"/>
                <w:b/>
                <w:i/>
                <w:sz w:val="16"/>
                <w:szCs w:val="16"/>
              </w:rPr>
              <w:t>50</w:t>
            </w:r>
          </w:p>
        </w:tc>
        <w:tc>
          <w:tcPr>
            <w:tcW w:w="0" w:type="auto"/>
            <w:vAlign w:val="center"/>
          </w:tcPr>
          <w:p w:rsidR="00F75598" w:rsidRPr="00155F88" w:rsidRDefault="00F75598" w:rsidP="00155F88">
            <w:pPr>
              <w:widowControl w:val="0"/>
              <w:jc w:val="right"/>
              <w:rPr>
                <w:rFonts w:cs="Times New Roman"/>
                <w:b/>
                <w:i/>
                <w:sz w:val="16"/>
                <w:szCs w:val="16"/>
              </w:rPr>
            </w:pPr>
            <w:r w:rsidRPr="00155F88">
              <w:rPr>
                <w:rFonts w:cs="Times New Roman"/>
                <w:b/>
                <w:i/>
                <w:sz w:val="16"/>
                <w:szCs w:val="16"/>
              </w:rPr>
              <w:t>100</w:t>
            </w:r>
          </w:p>
        </w:tc>
        <w:tc>
          <w:tcPr>
            <w:tcW w:w="0" w:type="auto"/>
            <w:vAlign w:val="center"/>
          </w:tcPr>
          <w:p w:rsidR="00F75598" w:rsidRPr="00155F88" w:rsidRDefault="00F75598" w:rsidP="00155F88">
            <w:pPr>
              <w:widowControl w:val="0"/>
              <w:jc w:val="right"/>
              <w:rPr>
                <w:rFonts w:cs="Times New Roman"/>
                <w:b/>
                <w:i/>
                <w:sz w:val="16"/>
                <w:szCs w:val="16"/>
              </w:rPr>
            </w:pPr>
            <w:r w:rsidRPr="00155F88">
              <w:rPr>
                <w:rFonts w:cs="Times New Roman"/>
                <w:b/>
                <w:i/>
                <w:sz w:val="16"/>
                <w:szCs w:val="16"/>
              </w:rPr>
              <w:t>200</w:t>
            </w:r>
          </w:p>
        </w:tc>
        <w:tc>
          <w:tcPr>
            <w:tcW w:w="0" w:type="auto"/>
            <w:vAlign w:val="center"/>
          </w:tcPr>
          <w:p w:rsidR="00F75598" w:rsidRPr="00155F88" w:rsidRDefault="00F75598" w:rsidP="00155F88">
            <w:pPr>
              <w:widowControl w:val="0"/>
              <w:jc w:val="right"/>
              <w:rPr>
                <w:rFonts w:cs="Times New Roman"/>
                <w:b/>
                <w:i/>
                <w:sz w:val="16"/>
                <w:szCs w:val="16"/>
              </w:rPr>
            </w:pPr>
            <w:r w:rsidRPr="00155F88">
              <w:rPr>
                <w:rFonts w:cs="Times New Roman"/>
                <w:b/>
                <w:i/>
                <w:sz w:val="16"/>
                <w:szCs w:val="16"/>
              </w:rPr>
              <w:t>50</w:t>
            </w:r>
          </w:p>
        </w:tc>
        <w:tc>
          <w:tcPr>
            <w:tcW w:w="0" w:type="auto"/>
            <w:vAlign w:val="center"/>
          </w:tcPr>
          <w:p w:rsidR="00F75598" w:rsidRPr="00155F88" w:rsidRDefault="00F75598" w:rsidP="00155F88">
            <w:pPr>
              <w:widowControl w:val="0"/>
              <w:jc w:val="right"/>
              <w:rPr>
                <w:rFonts w:cs="Times New Roman"/>
                <w:b/>
                <w:i/>
                <w:sz w:val="16"/>
                <w:szCs w:val="16"/>
              </w:rPr>
            </w:pPr>
            <w:r w:rsidRPr="00155F88">
              <w:rPr>
                <w:rFonts w:cs="Times New Roman"/>
                <w:b/>
                <w:i/>
                <w:sz w:val="16"/>
                <w:szCs w:val="16"/>
              </w:rPr>
              <w:t>100</w:t>
            </w:r>
          </w:p>
        </w:tc>
        <w:tc>
          <w:tcPr>
            <w:tcW w:w="0" w:type="auto"/>
            <w:vAlign w:val="center"/>
          </w:tcPr>
          <w:p w:rsidR="00F75598" w:rsidRPr="00155F88" w:rsidRDefault="00F75598" w:rsidP="00155F88">
            <w:pPr>
              <w:widowControl w:val="0"/>
              <w:jc w:val="right"/>
              <w:rPr>
                <w:rFonts w:cs="Times New Roman"/>
                <w:b/>
                <w:i/>
                <w:sz w:val="16"/>
                <w:szCs w:val="16"/>
              </w:rPr>
            </w:pPr>
            <w:r w:rsidRPr="00155F88">
              <w:rPr>
                <w:rFonts w:cs="Times New Roman"/>
                <w:b/>
                <w:i/>
                <w:sz w:val="16"/>
                <w:szCs w:val="16"/>
              </w:rPr>
              <w:t>100</w:t>
            </w:r>
          </w:p>
        </w:tc>
        <w:tc>
          <w:tcPr>
            <w:tcW w:w="0" w:type="auto"/>
            <w:vAlign w:val="center"/>
          </w:tcPr>
          <w:p w:rsidR="00F75598" w:rsidRPr="00155F88" w:rsidRDefault="00F75598" w:rsidP="00155F88">
            <w:pPr>
              <w:widowControl w:val="0"/>
              <w:jc w:val="right"/>
              <w:rPr>
                <w:rFonts w:cs="Times New Roman"/>
                <w:b/>
                <w:i/>
                <w:sz w:val="16"/>
                <w:szCs w:val="16"/>
              </w:rPr>
            </w:pPr>
            <w:r w:rsidRPr="00155F88">
              <w:rPr>
                <w:rFonts w:cs="Times New Roman"/>
                <w:b/>
                <w:i/>
                <w:sz w:val="16"/>
                <w:szCs w:val="16"/>
              </w:rPr>
              <w:t>50</w:t>
            </w:r>
          </w:p>
        </w:tc>
        <w:tc>
          <w:tcPr>
            <w:tcW w:w="0" w:type="auto"/>
            <w:vAlign w:val="center"/>
          </w:tcPr>
          <w:p w:rsidR="00F75598" w:rsidRPr="00155F88" w:rsidRDefault="00F75598" w:rsidP="00155F88">
            <w:pPr>
              <w:widowControl w:val="0"/>
              <w:jc w:val="right"/>
              <w:rPr>
                <w:rFonts w:cs="Times New Roman"/>
                <w:b/>
                <w:i/>
                <w:sz w:val="16"/>
                <w:szCs w:val="16"/>
              </w:rPr>
            </w:pPr>
            <w:r w:rsidRPr="00155F88">
              <w:rPr>
                <w:rFonts w:cs="Times New Roman"/>
                <w:b/>
                <w:i/>
                <w:sz w:val="16"/>
                <w:szCs w:val="16"/>
              </w:rPr>
              <w:t>100</w:t>
            </w:r>
          </w:p>
        </w:tc>
        <w:tc>
          <w:tcPr>
            <w:tcW w:w="0" w:type="auto"/>
            <w:vAlign w:val="center"/>
          </w:tcPr>
          <w:p w:rsidR="00F75598" w:rsidRPr="00155F88" w:rsidRDefault="00F75598" w:rsidP="00155F88">
            <w:pPr>
              <w:widowControl w:val="0"/>
              <w:jc w:val="right"/>
              <w:rPr>
                <w:rFonts w:cs="Times New Roman"/>
                <w:b/>
                <w:i/>
                <w:sz w:val="16"/>
                <w:szCs w:val="16"/>
              </w:rPr>
            </w:pPr>
            <w:r w:rsidRPr="00155F88">
              <w:rPr>
                <w:rFonts w:cs="Times New Roman"/>
                <w:b/>
                <w:i/>
                <w:sz w:val="16"/>
                <w:szCs w:val="16"/>
              </w:rPr>
              <w:t>10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(±)-Methamphetamine</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&lt; 10</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&gt; 500</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10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&lt; 10</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&gt; 500</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15</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2C-E</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(±)-DOET</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5,000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1</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(±)-DOM</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5,000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1</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(±)-TMA</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2,500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2</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(±)-MDA</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1,250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4</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5,000</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78</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64</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100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2,500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2</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7,000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(±)-MDEA</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156</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32</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625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313</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16</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1,000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(±)-MDMA</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156</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32</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1,250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625</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8</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2,500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(±)-Ethylamphetamine</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&lt; 10</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&gt; 500</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&lt; 10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&lt; 10</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&gt; 500</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19</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(±)-MDPV</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(±)-Mephedrone</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(±)-Cathinone</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2,500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2</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 xml:space="preserve">10,000  </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 xml:space="preserve">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(±)-Methcathinone</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1,250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4</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5,000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4,250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1</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4,500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(±)-Methylone</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(±)-4-MEC</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(±)-Flephedrone</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1,250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4</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 xml:space="preserve">10,000  </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 xml:space="preserve">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(±)-Butylone</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mCPP</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156</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32</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625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156</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32</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1,000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(±)-Methedrone</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5-MeO-DiPT</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(±)-DOB</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2C-B</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DMT</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5,000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1</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5,000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1</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BZP</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5,000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1</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3,000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1.67</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10,000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AMT</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625</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8</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4,000</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&lt; 156</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&gt; 32</w:t>
            </w:r>
          </w:p>
        </w:tc>
        <w:tc>
          <w:tcPr>
            <w:tcW w:w="0" w:type="auto"/>
            <w:shd w:val="clear" w:color="auto" w:fill="D9D9D9" w:themeFill="background1" w:themeFillShade="D9"/>
            <w:vAlign w:val="center"/>
          </w:tcPr>
          <w:p w:rsidR="00F75598" w:rsidRPr="00155F88" w:rsidRDefault="00F75598" w:rsidP="00155F88">
            <w:pPr>
              <w:widowControl w:val="0"/>
              <w:jc w:val="right"/>
              <w:rPr>
                <w:rFonts w:cs="Times New Roman"/>
                <w:b/>
                <w:sz w:val="16"/>
                <w:szCs w:val="16"/>
              </w:rPr>
            </w:pPr>
            <w:r w:rsidRPr="00155F88">
              <w:rPr>
                <w:rFonts w:cs="Times New Roman"/>
                <w:b/>
                <w:sz w:val="16"/>
                <w:szCs w:val="16"/>
              </w:rPr>
              <w:t>156</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1,250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4</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4,500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2C-I</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2C-T-7</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TFMPP</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2,500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2</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2,500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2</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F75598" w:rsidRPr="00155F88" w:rsidRDefault="00F75598" w:rsidP="00155F88">
            <w:pPr>
              <w:widowControl w:val="0"/>
              <w:jc w:val="center"/>
              <w:rPr>
                <w:rFonts w:cs="Times New Roman"/>
                <w:b/>
                <w:sz w:val="16"/>
                <w:szCs w:val="16"/>
              </w:rPr>
            </w:pPr>
            <w:r w:rsidRPr="00155F88">
              <w:rPr>
                <w:rFonts w:cs="Times New Roman"/>
                <w:b/>
                <w:sz w:val="16"/>
                <w:szCs w:val="16"/>
              </w:rPr>
              <w:t>2C-T-4</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&lt; 0.5</w:t>
            </w:r>
          </w:p>
        </w:tc>
        <w:tc>
          <w:tcPr>
            <w:tcW w:w="0" w:type="auto"/>
            <w:vAlign w:val="center"/>
          </w:tcPr>
          <w:p w:rsidR="00F75598" w:rsidRPr="00155F88" w:rsidRDefault="00F75598" w:rsidP="00155F88">
            <w:pPr>
              <w:widowControl w:val="0"/>
              <w:jc w:val="right"/>
              <w:rPr>
                <w:rFonts w:cs="Times New Roman"/>
                <w:sz w:val="16"/>
                <w:szCs w:val="16"/>
              </w:rPr>
            </w:pPr>
            <w:r w:rsidRPr="00155F88">
              <w:rPr>
                <w:rFonts w:cs="Times New Roman"/>
                <w:sz w:val="16"/>
                <w:szCs w:val="16"/>
              </w:rPr>
              <w:t>&gt; 10,000</w:t>
            </w:r>
          </w:p>
        </w:tc>
      </w:tr>
    </w:tbl>
    <w:p w:rsidR="00F75598" w:rsidRPr="00947051" w:rsidRDefault="00F75598" w:rsidP="00155F88">
      <w:pPr>
        <w:widowControl w:val="0"/>
        <w:spacing w:after="0"/>
        <w:rPr>
          <w:rFonts w:cs="Times New Roman"/>
          <w:sz w:val="18"/>
          <w:szCs w:val="24"/>
        </w:rPr>
      </w:pPr>
      <w:proofErr w:type="gramStart"/>
      <w:r w:rsidRPr="00947051">
        <w:rPr>
          <w:rFonts w:cs="Times New Roman"/>
          <w:b/>
          <w:sz w:val="18"/>
          <w:szCs w:val="24"/>
          <w:vertAlign w:val="superscript"/>
        </w:rPr>
        <w:t>a</w:t>
      </w:r>
      <w:proofErr w:type="gramEnd"/>
      <w:r w:rsidRPr="00947051">
        <w:rPr>
          <w:rFonts w:cs="Times New Roman"/>
          <w:sz w:val="18"/>
          <w:szCs w:val="24"/>
        </w:rPr>
        <w:t xml:space="preserve"> Concentration of the drug that produces an absorbance reading equivalent to the 25 ng/mL cut-off of the targeted analyte.</w:t>
      </w:r>
    </w:p>
    <w:p w:rsidR="00F75598" w:rsidRPr="00947051" w:rsidRDefault="00F75598" w:rsidP="00155F88">
      <w:pPr>
        <w:widowControl w:val="0"/>
        <w:spacing w:after="0"/>
        <w:rPr>
          <w:rFonts w:cs="Times New Roman"/>
          <w:sz w:val="18"/>
          <w:szCs w:val="24"/>
        </w:rPr>
      </w:pPr>
      <w:proofErr w:type="gramStart"/>
      <w:r w:rsidRPr="00947051">
        <w:rPr>
          <w:rFonts w:cs="Times New Roman"/>
          <w:b/>
          <w:sz w:val="18"/>
          <w:szCs w:val="24"/>
          <w:vertAlign w:val="superscript"/>
        </w:rPr>
        <w:t>b</w:t>
      </w:r>
      <w:proofErr w:type="gramEnd"/>
      <w:r w:rsidRPr="00947051">
        <w:rPr>
          <w:rFonts w:cs="Times New Roman"/>
          <w:sz w:val="18"/>
          <w:szCs w:val="24"/>
        </w:rPr>
        <w:t xml:space="preserve"> Concentration of the drug that produces an absorbance reading equivalent to the 50 ng/mL cut-off of the targeted analyte.</w:t>
      </w:r>
    </w:p>
    <w:p w:rsidR="00F75598" w:rsidRPr="00947051" w:rsidRDefault="00F75598" w:rsidP="00155F88">
      <w:pPr>
        <w:widowControl w:val="0"/>
        <w:spacing w:after="0"/>
        <w:rPr>
          <w:rFonts w:cs="Times New Roman"/>
          <w:sz w:val="18"/>
          <w:szCs w:val="24"/>
        </w:rPr>
      </w:pPr>
      <w:r w:rsidRPr="00947051">
        <w:rPr>
          <w:rFonts w:cs="Times New Roman"/>
          <w:sz w:val="18"/>
          <w:szCs w:val="24"/>
        </w:rPr>
        <w:t xml:space="preserve">Analytes demonstrating high cross-reactivity </w:t>
      </w:r>
      <w:proofErr w:type="gramStart"/>
      <w:r w:rsidRPr="00947051">
        <w:rPr>
          <w:rFonts w:cs="Times New Roman"/>
          <w:sz w:val="18"/>
          <w:szCs w:val="24"/>
        </w:rPr>
        <w:t>are</w:t>
      </w:r>
      <w:proofErr w:type="gramEnd"/>
      <w:r w:rsidRPr="00947051">
        <w:rPr>
          <w:rFonts w:cs="Times New Roman"/>
          <w:sz w:val="18"/>
          <w:szCs w:val="24"/>
        </w:rPr>
        <w:t xml:space="preserve"> </w:t>
      </w:r>
      <w:r w:rsidRPr="00947051">
        <w:rPr>
          <w:rFonts w:cs="Times New Roman"/>
          <w:b/>
          <w:sz w:val="18"/>
          <w:szCs w:val="24"/>
          <w:shd w:val="clear" w:color="auto" w:fill="D9D9D9" w:themeFill="background1" w:themeFillShade="D9"/>
        </w:rPr>
        <w:t>highlighted and bolded</w:t>
      </w:r>
      <w:r w:rsidRPr="00947051">
        <w:rPr>
          <w:rFonts w:cs="Times New Roman"/>
          <w:sz w:val="18"/>
          <w:szCs w:val="24"/>
        </w:rPr>
        <w:t>.</w:t>
      </w:r>
    </w:p>
    <w:p w:rsidR="00F75598" w:rsidRPr="00947051" w:rsidRDefault="00F75598" w:rsidP="00155F88">
      <w:pPr>
        <w:widowControl w:val="0"/>
        <w:spacing w:after="0"/>
        <w:rPr>
          <w:rFonts w:cs="Times New Roman"/>
          <w:sz w:val="18"/>
          <w:szCs w:val="24"/>
        </w:rPr>
      </w:pPr>
      <w:r w:rsidRPr="00947051">
        <w:rPr>
          <w:rFonts w:cs="Times New Roman"/>
          <w:sz w:val="18"/>
          <w:szCs w:val="24"/>
        </w:rPr>
        <w:t xml:space="preserve">The target analytes for each </w:t>
      </w:r>
      <w:r w:rsidR="00F066F5">
        <w:rPr>
          <w:rFonts w:cs="Times New Roman"/>
          <w:sz w:val="18"/>
          <w:szCs w:val="24"/>
        </w:rPr>
        <w:t>assay</w:t>
      </w:r>
      <w:r w:rsidRPr="00947051">
        <w:rPr>
          <w:rFonts w:cs="Times New Roman"/>
          <w:sz w:val="18"/>
          <w:szCs w:val="24"/>
        </w:rPr>
        <w:t xml:space="preserve"> are </w:t>
      </w:r>
      <w:r w:rsidRPr="00947051">
        <w:rPr>
          <w:rFonts w:cs="Times New Roman"/>
          <w:b/>
          <w:i/>
          <w:sz w:val="18"/>
          <w:szCs w:val="24"/>
        </w:rPr>
        <w:t>italicized and bolded</w:t>
      </w:r>
      <w:r w:rsidRPr="00947051">
        <w:rPr>
          <w:rFonts w:cs="Times New Roman"/>
          <w:sz w:val="18"/>
          <w:szCs w:val="24"/>
        </w:rPr>
        <w:t>.</w:t>
      </w:r>
    </w:p>
    <w:p w:rsidR="00155F88" w:rsidRDefault="00155F88" w:rsidP="00F677A2">
      <w:pPr>
        <w:rPr>
          <w:szCs w:val="24"/>
        </w:rPr>
        <w:sectPr w:rsidR="00155F88" w:rsidSect="00F677A2">
          <w:pgSz w:w="15840" w:h="12240" w:orient="landscape" w:code="1"/>
          <w:pgMar w:top="2160" w:right="1440" w:bottom="1440" w:left="1800" w:header="720" w:footer="720" w:gutter="0"/>
          <w:cols w:space="720"/>
          <w:docGrid w:linePitch="360"/>
        </w:sectPr>
      </w:pPr>
    </w:p>
    <w:p w:rsidR="00F75598" w:rsidRPr="00F97B2D" w:rsidRDefault="002E77C7" w:rsidP="00F677A2">
      <w:pPr>
        <w:pStyle w:val="Caption"/>
        <w:tabs>
          <w:tab w:val="left" w:pos="90"/>
        </w:tabs>
        <w:jc w:val="left"/>
      </w:pPr>
      <w:r>
        <w:fldChar w:fldCharType="begin"/>
      </w:r>
      <w:r>
        <w:instrText xml:space="preserve"> REF _Ref362528729 \h  \* MERGEFORMAT </w:instrText>
      </w:r>
      <w:r>
        <w:fldChar w:fldCharType="separate"/>
      </w:r>
      <w:r w:rsidR="00E37796" w:rsidRPr="00F97B2D">
        <w:t xml:space="preserve">Appendix </w:t>
      </w:r>
      <w:r w:rsidR="00E37796">
        <w:rPr>
          <w:noProof/>
        </w:rPr>
        <w:t>4</w:t>
      </w:r>
      <w:r w:rsidR="00E37796" w:rsidRPr="00F97B2D">
        <w:t>: Cross-Reactivity Data for ELISAs</w:t>
      </w:r>
      <w:r>
        <w:fldChar w:fldCharType="end"/>
      </w:r>
    </w:p>
    <w:p w:rsidR="00F75598" w:rsidRPr="00F97B2D" w:rsidRDefault="00F75598" w:rsidP="00F677A2">
      <w:pPr>
        <w:pStyle w:val="Caption"/>
        <w:tabs>
          <w:tab w:val="left" w:pos="90"/>
        </w:tabs>
        <w:jc w:val="left"/>
      </w:pPr>
      <w:r w:rsidRPr="00F97B2D">
        <w:t>Cross-Reactivity Data for Immunoassays Targeting Amphetamine</w:t>
      </w:r>
    </w:p>
    <w:tbl>
      <w:tblPr>
        <w:tblStyle w:val="TableGrid"/>
        <w:tblW w:w="0" w:type="auto"/>
        <w:tblCellMar>
          <w:left w:w="43" w:type="dxa"/>
          <w:right w:w="43" w:type="dxa"/>
        </w:tblCellMar>
        <w:tblLook w:val="04A0" w:firstRow="1" w:lastRow="0" w:firstColumn="1" w:lastColumn="0" w:noHBand="0" w:noVBand="1"/>
      </w:tblPr>
      <w:tblGrid>
        <w:gridCol w:w="2029"/>
        <w:gridCol w:w="799"/>
        <w:gridCol w:w="1336"/>
        <w:gridCol w:w="799"/>
        <w:gridCol w:w="799"/>
        <w:gridCol w:w="1336"/>
        <w:gridCol w:w="799"/>
      </w:tblGrid>
      <w:tr w:rsidR="00F75598" w:rsidRPr="00F677A2" w:rsidTr="00947051">
        <w:trPr>
          <w:trHeight w:val="288"/>
          <w:tblHeader/>
        </w:trPr>
        <w:tc>
          <w:tcPr>
            <w:tcW w:w="0" w:type="auto"/>
            <w:vMerge w:val="restart"/>
            <w:vAlign w:val="center"/>
          </w:tcPr>
          <w:p w:rsidR="00F75598" w:rsidRPr="00F677A2" w:rsidRDefault="00F75598" w:rsidP="00F677A2">
            <w:pPr>
              <w:widowControl w:val="0"/>
              <w:tabs>
                <w:tab w:val="left" w:pos="90"/>
              </w:tabs>
              <w:jc w:val="center"/>
              <w:rPr>
                <w:rFonts w:eastAsiaTheme="majorEastAsia" w:cs="Times New Roman"/>
                <w:b/>
                <w:bCs/>
                <w:color w:val="365F91" w:themeColor="accent1" w:themeShade="BF"/>
                <w:sz w:val="20"/>
                <w:szCs w:val="20"/>
              </w:rPr>
            </w:pPr>
          </w:p>
        </w:tc>
        <w:tc>
          <w:tcPr>
            <w:tcW w:w="0" w:type="auto"/>
            <w:gridSpan w:val="3"/>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Immunalysis</w:t>
            </w:r>
          </w:p>
        </w:tc>
        <w:tc>
          <w:tcPr>
            <w:tcW w:w="0" w:type="auto"/>
            <w:gridSpan w:val="3"/>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 xml:space="preserve">OraSure </w:t>
            </w:r>
          </w:p>
        </w:tc>
      </w:tr>
      <w:tr w:rsidR="00F75598" w:rsidRPr="00F677A2" w:rsidTr="00947051">
        <w:trPr>
          <w:trHeight w:val="288"/>
          <w:tblHeader/>
        </w:trPr>
        <w:tc>
          <w:tcPr>
            <w:tcW w:w="0" w:type="auto"/>
            <w:vMerge/>
            <w:vAlign w:val="center"/>
          </w:tcPr>
          <w:p w:rsidR="00F75598" w:rsidRPr="00F677A2" w:rsidRDefault="00F75598" w:rsidP="00F677A2">
            <w:pPr>
              <w:widowControl w:val="0"/>
              <w:tabs>
                <w:tab w:val="left" w:pos="90"/>
              </w:tabs>
              <w:jc w:val="center"/>
              <w:rPr>
                <w:rFonts w:cs="Times New Roman"/>
                <w:b/>
                <w:sz w:val="20"/>
                <w:szCs w:val="20"/>
              </w:rPr>
            </w:pPr>
          </w:p>
        </w:tc>
        <w:tc>
          <w:tcPr>
            <w:tcW w:w="0" w:type="auto"/>
            <w:gridSpan w:val="3"/>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Amphetamine</w:t>
            </w:r>
          </w:p>
        </w:tc>
        <w:tc>
          <w:tcPr>
            <w:tcW w:w="0" w:type="auto"/>
            <w:gridSpan w:val="3"/>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Amphetamine Specific</w:t>
            </w:r>
          </w:p>
        </w:tc>
      </w:tr>
      <w:tr w:rsidR="00F75598" w:rsidRPr="00F677A2" w:rsidTr="00947051">
        <w:trPr>
          <w:trHeight w:val="288"/>
          <w:tblHeader/>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Drug</w:t>
            </w:r>
          </w:p>
        </w:tc>
        <w:tc>
          <w:tcPr>
            <w:tcW w:w="0" w:type="auto"/>
            <w:vAlign w:val="center"/>
          </w:tcPr>
          <w:p w:rsidR="00F75598" w:rsidRPr="00F677A2" w:rsidRDefault="00F75598" w:rsidP="00F677A2">
            <w:pPr>
              <w:widowControl w:val="0"/>
              <w:tabs>
                <w:tab w:val="left" w:pos="90"/>
              </w:tabs>
              <w:jc w:val="center"/>
              <w:rPr>
                <w:rFonts w:cs="Times New Roman"/>
                <w:b/>
                <w:sz w:val="20"/>
                <w:szCs w:val="20"/>
                <w:vertAlign w:val="superscript"/>
              </w:rPr>
            </w:pPr>
            <w:r w:rsidRPr="00F677A2">
              <w:rPr>
                <w:rFonts w:cs="Times New Roman"/>
                <w:b/>
                <w:sz w:val="20"/>
                <w:szCs w:val="20"/>
              </w:rPr>
              <w:t>C</w:t>
            </w:r>
            <w:r w:rsidRPr="00F677A2">
              <w:rPr>
                <w:rFonts w:cs="Times New Roman"/>
                <w:b/>
                <w:sz w:val="20"/>
                <w:szCs w:val="20"/>
                <w:vertAlign w:val="subscript"/>
              </w:rPr>
              <w:t>25</w:t>
            </w:r>
            <w:r w:rsidRPr="00F677A2">
              <w:rPr>
                <w:rFonts w:cs="Times New Roman"/>
                <w:b/>
                <w:sz w:val="20"/>
                <w:szCs w:val="20"/>
                <w:vertAlign w:val="superscript"/>
              </w:rPr>
              <w:t>a</w:t>
            </w:r>
          </w:p>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(ng/mL)</w:t>
            </w:r>
          </w:p>
        </w:tc>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Cross-</w:t>
            </w:r>
          </w:p>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Reactivity (%)</w:t>
            </w:r>
          </w:p>
        </w:tc>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EC</w:t>
            </w:r>
            <w:r w:rsidRPr="00F677A2">
              <w:rPr>
                <w:rFonts w:cs="Times New Roman"/>
                <w:b/>
                <w:sz w:val="20"/>
                <w:szCs w:val="20"/>
                <w:vertAlign w:val="subscript"/>
              </w:rPr>
              <w:t>50</w:t>
            </w:r>
          </w:p>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(ng/mL)</w:t>
            </w:r>
          </w:p>
        </w:tc>
        <w:tc>
          <w:tcPr>
            <w:tcW w:w="0" w:type="auto"/>
            <w:vAlign w:val="center"/>
          </w:tcPr>
          <w:p w:rsidR="00F75598" w:rsidRPr="00F677A2" w:rsidRDefault="00F75598" w:rsidP="00F677A2">
            <w:pPr>
              <w:widowControl w:val="0"/>
              <w:tabs>
                <w:tab w:val="left" w:pos="90"/>
              </w:tabs>
              <w:jc w:val="center"/>
              <w:rPr>
                <w:rFonts w:cs="Times New Roman"/>
                <w:b/>
                <w:sz w:val="20"/>
                <w:szCs w:val="20"/>
                <w:vertAlign w:val="superscript"/>
              </w:rPr>
            </w:pPr>
            <w:r w:rsidRPr="00F677A2">
              <w:rPr>
                <w:rFonts w:cs="Times New Roman"/>
                <w:b/>
                <w:sz w:val="20"/>
                <w:szCs w:val="20"/>
              </w:rPr>
              <w:t>C</w:t>
            </w:r>
            <w:r w:rsidRPr="00F677A2">
              <w:rPr>
                <w:rFonts w:cs="Times New Roman"/>
                <w:b/>
                <w:sz w:val="20"/>
                <w:szCs w:val="20"/>
                <w:vertAlign w:val="subscript"/>
              </w:rPr>
              <w:t>50</w:t>
            </w:r>
            <w:r w:rsidRPr="00F677A2">
              <w:rPr>
                <w:rFonts w:cs="Times New Roman"/>
                <w:b/>
                <w:sz w:val="20"/>
                <w:szCs w:val="20"/>
                <w:vertAlign w:val="superscript"/>
              </w:rPr>
              <w:t>b</w:t>
            </w:r>
          </w:p>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(ng/mL)</w:t>
            </w:r>
          </w:p>
        </w:tc>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Cross-</w:t>
            </w:r>
          </w:p>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Reactivity (%)</w:t>
            </w:r>
          </w:p>
        </w:tc>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EC</w:t>
            </w:r>
            <w:r w:rsidRPr="00F677A2">
              <w:rPr>
                <w:rFonts w:cs="Times New Roman"/>
                <w:b/>
                <w:sz w:val="20"/>
                <w:szCs w:val="20"/>
                <w:vertAlign w:val="subscript"/>
              </w:rPr>
              <w:t>50</w:t>
            </w:r>
          </w:p>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(ng/mL)</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i/>
                <w:sz w:val="20"/>
                <w:szCs w:val="20"/>
              </w:rPr>
            </w:pPr>
            <w:r w:rsidRPr="00F677A2">
              <w:rPr>
                <w:rFonts w:cs="Times New Roman"/>
                <w:b/>
                <w:i/>
                <w:sz w:val="20"/>
                <w:szCs w:val="20"/>
              </w:rPr>
              <w:t>(+)-Amphetamine</w:t>
            </w:r>
          </w:p>
        </w:tc>
        <w:tc>
          <w:tcPr>
            <w:tcW w:w="0" w:type="auto"/>
            <w:vAlign w:val="center"/>
          </w:tcPr>
          <w:p w:rsidR="00F75598" w:rsidRPr="00F677A2" w:rsidRDefault="00F75598" w:rsidP="00F677A2">
            <w:pPr>
              <w:widowControl w:val="0"/>
              <w:tabs>
                <w:tab w:val="left" w:pos="90"/>
              </w:tabs>
              <w:jc w:val="right"/>
              <w:rPr>
                <w:rFonts w:cs="Times New Roman"/>
                <w:b/>
                <w:i/>
                <w:sz w:val="20"/>
                <w:szCs w:val="20"/>
              </w:rPr>
            </w:pPr>
            <w:r w:rsidRPr="00F677A2">
              <w:rPr>
                <w:rFonts w:cs="Times New Roman"/>
                <w:b/>
                <w:i/>
                <w:sz w:val="20"/>
                <w:szCs w:val="20"/>
              </w:rPr>
              <w:t>25</w:t>
            </w:r>
          </w:p>
        </w:tc>
        <w:tc>
          <w:tcPr>
            <w:tcW w:w="0" w:type="auto"/>
            <w:vAlign w:val="center"/>
          </w:tcPr>
          <w:p w:rsidR="00F75598" w:rsidRPr="00F677A2" w:rsidRDefault="00F75598" w:rsidP="00F677A2">
            <w:pPr>
              <w:widowControl w:val="0"/>
              <w:tabs>
                <w:tab w:val="left" w:pos="90"/>
              </w:tabs>
              <w:jc w:val="right"/>
              <w:rPr>
                <w:rFonts w:cs="Times New Roman"/>
                <w:b/>
                <w:i/>
                <w:sz w:val="20"/>
                <w:szCs w:val="20"/>
              </w:rPr>
            </w:pPr>
            <w:r w:rsidRPr="00F677A2">
              <w:rPr>
                <w:rFonts w:cs="Times New Roman"/>
                <w:b/>
                <w:i/>
                <w:sz w:val="20"/>
                <w:szCs w:val="20"/>
              </w:rPr>
              <w:t>100</w:t>
            </w:r>
          </w:p>
        </w:tc>
        <w:tc>
          <w:tcPr>
            <w:tcW w:w="0" w:type="auto"/>
            <w:vAlign w:val="center"/>
          </w:tcPr>
          <w:p w:rsidR="00F75598" w:rsidRPr="00F677A2" w:rsidRDefault="00F75598" w:rsidP="00F677A2">
            <w:pPr>
              <w:widowControl w:val="0"/>
              <w:tabs>
                <w:tab w:val="left" w:pos="90"/>
              </w:tabs>
              <w:jc w:val="right"/>
              <w:rPr>
                <w:rFonts w:cs="Times New Roman"/>
                <w:b/>
                <w:i/>
                <w:sz w:val="20"/>
                <w:szCs w:val="20"/>
              </w:rPr>
            </w:pPr>
            <w:r w:rsidRPr="00F677A2">
              <w:rPr>
                <w:rFonts w:cs="Times New Roman"/>
                <w:b/>
                <w:i/>
                <w:sz w:val="20"/>
                <w:szCs w:val="20"/>
              </w:rPr>
              <w:t>18</w:t>
            </w:r>
          </w:p>
        </w:tc>
        <w:tc>
          <w:tcPr>
            <w:tcW w:w="0" w:type="auto"/>
            <w:vAlign w:val="center"/>
          </w:tcPr>
          <w:p w:rsidR="00F75598" w:rsidRPr="00F677A2" w:rsidRDefault="00F75598" w:rsidP="00F677A2">
            <w:pPr>
              <w:widowControl w:val="0"/>
              <w:tabs>
                <w:tab w:val="left" w:pos="90"/>
              </w:tabs>
              <w:jc w:val="right"/>
              <w:rPr>
                <w:rFonts w:cs="Times New Roman"/>
                <w:b/>
                <w:i/>
                <w:sz w:val="20"/>
                <w:szCs w:val="20"/>
              </w:rPr>
            </w:pPr>
            <w:r w:rsidRPr="00F677A2">
              <w:rPr>
                <w:rFonts w:cs="Times New Roman"/>
                <w:b/>
                <w:i/>
                <w:sz w:val="20"/>
                <w:szCs w:val="20"/>
              </w:rPr>
              <w:t>50</w:t>
            </w:r>
          </w:p>
        </w:tc>
        <w:tc>
          <w:tcPr>
            <w:tcW w:w="0" w:type="auto"/>
            <w:vAlign w:val="center"/>
          </w:tcPr>
          <w:p w:rsidR="00F75598" w:rsidRPr="00F677A2" w:rsidRDefault="00F75598" w:rsidP="00F677A2">
            <w:pPr>
              <w:widowControl w:val="0"/>
              <w:tabs>
                <w:tab w:val="left" w:pos="90"/>
              </w:tabs>
              <w:jc w:val="right"/>
              <w:rPr>
                <w:rFonts w:cs="Times New Roman"/>
                <w:b/>
                <w:i/>
                <w:sz w:val="20"/>
                <w:szCs w:val="20"/>
              </w:rPr>
            </w:pPr>
            <w:r w:rsidRPr="00F677A2">
              <w:rPr>
                <w:rFonts w:cs="Times New Roman"/>
                <w:b/>
                <w:i/>
                <w:sz w:val="20"/>
                <w:szCs w:val="20"/>
              </w:rPr>
              <w:t>100</w:t>
            </w:r>
          </w:p>
        </w:tc>
        <w:tc>
          <w:tcPr>
            <w:tcW w:w="0" w:type="auto"/>
            <w:vAlign w:val="center"/>
          </w:tcPr>
          <w:p w:rsidR="00F75598" w:rsidRPr="00F677A2" w:rsidRDefault="00F75598" w:rsidP="00F677A2">
            <w:pPr>
              <w:widowControl w:val="0"/>
              <w:tabs>
                <w:tab w:val="left" w:pos="90"/>
              </w:tabs>
              <w:jc w:val="right"/>
              <w:rPr>
                <w:rFonts w:cs="Times New Roman"/>
                <w:b/>
                <w:i/>
                <w:sz w:val="20"/>
                <w:szCs w:val="20"/>
              </w:rPr>
            </w:pPr>
            <w:r w:rsidRPr="00F677A2">
              <w:rPr>
                <w:rFonts w:cs="Times New Roman"/>
                <w:b/>
                <w:i/>
                <w:sz w:val="20"/>
                <w:szCs w:val="20"/>
              </w:rPr>
              <w:t>70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(±)-Methamphetamine</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 xml:space="preserve">&gt; 10,000  </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0.25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2C-E</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 xml:space="preserve">&gt; 10,000  </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0.25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(±)-DOET</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 xml:space="preserve">&gt; 10,000  </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0.25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(±)-DOM</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 xml:space="preserve">10,000  </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0.25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6,750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(±)-TMA</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5,000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6,750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(±)-MDA</w:t>
            </w:r>
          </w:p>
        </w:tc>
        <w:tc>
          <w:tcPr>
            <w:tcW w:w="0" w:type="auto"/>
            <w:shd w:val="clear" w:color="auto" w:fill="D9D9D9" w:themeFill="background1" w:themeFillShade="D9"/>
            <w:vAlign w:val="center"/>
          </w:tcPr>
          <w:p w:rsidR="00F75598" w:rsidRPr="00F677A2" w:rsidRDefault="00F75598" w:rsidP="00F677A2">
            <w:pPr>
              <w:widowControl w:val="0"/>
              <w:tabs>
                <w:tab w:val="left" w:pos="90"/>
              </w:tabs>
              <w:jc w:val="right"/>
              <w:rPr>
                <w:rFonts w:cs="Times New Roman"/>
                <w:b/>
                <w:sz w:val="20"/>
                <w:szCs w:val="20"/>
              </w:rPr>
            </w:pPr>
            <w:r w:rsidRPr="00F677A2">
              <w:rPr>
                <w:rFonts w:cs="Times New Roman"/>
                <w:b/>
                <w:sz w:val="20"/>
                <w:szCs w:val="20"/>
              </w:rPr>
              <w:t>&lt; 10</w:t>
            </w:r>
          </w:p>
        </w:tc>
        <w:tc>
          <w:tcPr>
            <w:tcW w:w="0" w:type="auto"/>
            <w:shd w:val="clear" w:color="auto" w:fill="D9D9D9" w:themeFill="background1" w:themeFillShade="D9"/>
            <w:vAlign w:val="center"/>
          </w:tcPr>
          <w:p w:rsidR="00F75598" w:rsidRPr="00F677A2" w:rsidRDefault="00F75598" w:rsidP="00F677A2">
            <w:pPr>
              <w:widowControl w:val="0"/>
              <w:tabs>
                <w:tab w:val="left" w:pos="90"/>
              </w:tabs>
              <w:jc w:val="right"/>
              <w:rPr>
                <w:rFonts w:cs="Times New Roman"/>
                <w:b/>
                <w:sz w:val="20"/>
                <w:szCs w:val="20"/>
              </w:rPr>
            </w:pPr>
            <w:r w:rsidRPr="00F677A2">
              <w:rPr>
                <w:rFonts w:cs="Times New Roman"/>
                <w:b/>
                <w:sz w:val="20"/>
                <w:szCs w:val="20"/>
              </w:rPr>
              <w:t>&gt; 250</w:t>
            </w:r>
          </w:p>
        </w:tc>
        <w:tc>
          <w:tcPr>
            <w:tcW w:w="0" w:type="auto"/>
            <w:shd w:val="clear" w:color="auto" w:fill="D9D9D9" w:themeFill="background1" w:themeFillShade="D9"/>
            <w:vAlign w:val="center"/>
          </w:tcPr>
          <w:p w:rsidR="00F75598" w:rsidRPr="00F677A2" w:rsidRDefault="00F75598" w:rsidP="00F677A2">
            <w:pPr>
              <w:widowControl w:val="0"/>
              <w:tabs>
                <w:tab w:val="left" w:pos="90"/>
              </w:tabs>
              <w:jc w:val="right"/>
              <w:rPr>
                <w:rFonts w:cs="Times New Roman"/>
                <w:b/>
                <w:sz w:val="20"/>
                <w:szCs w:val="20"/>
              </w:rPr>
            </w:pPr>
            <w:r w:rsidRPr="00F677A2">
              <w:rPr>
                <w:rFonts w:cs="Times New Roman"/>
                <w:b/>
                <w:sz w:val="20"/>
                <w:szCs w:val="20"/>
              </w:rPr>
              <w:t>&lt; 10</w:t>
            </w:r>
          </w:p>
        </w:tc>
        <w:tc>
          <w:tcPr>
            <w:tcW w:w="0" w:type="auto"/>
            <w:shd w:val="clear" w:color="auto" w:fill="D9D9D9" w:themeFill="background1" w:themeFillShade="D9"/>
            <w:vAlign w:val="center"/>
          </w:tcPr>
          <w:p w:rsidR="00F75598" w:rsidRPr="00F677A2" w:rsidRDefault="00F75598" w:rsidP="00F677A2">
            <w:pPr>
              <w:widowControl w:val="0"/>
              <w:tabs>
                <w:tab w:val="left" w:pos="90"/>
              </w:tabs>
              <w:jc w:val="right"/>
              <w:rPr>
                <w:rFonts w:cs="Times New Roman"/>
                <w:b/>
                <w:sz w:val="20"/>
                <w:szCs w:val="20"/>
              </w:rPr>
            </w:pPr>
            <w:r w:rsidRPr="00F677A2">
              <w:rPr>
                <w:rFonts w:cs="Times New Roman"/>
                <w:b/>
                <w:sz w:val="20"/>
                <w:szCs w:val="20"/>
              </w:rPr>
              <w:t>56</w:t>
            </w:r>
          </w:p>
        </w:tc>
        <w:tc>
          <w:tcPr>
            <w:tcW w:w="0" w:type="auto"/>
            <w:shd w:val="clear" w:color="auto" w:fill="D9D9D9" w:themeFill="background1" w:themeFillShade="D9"/>
            <w:vAlign w:val="center"/>
          </w:tcPr>
          <w:p w:rsidR="00F75598" w:rsidRPr="00F677A2" w:rsidRDefault="00F75598" w:rsidP="00F677A2">
            <w:pPr>
              <w:widowControl w:val="0"/>
              <w:tabs>
                <w:tab w:val="left" w:pos="90"/>
              </w:tabs>
              <w:jc w:val="right"/>
              <w:rPr>
                <w:rFonts w:cs="Times New Roman"/>
                <w:b/>
                <w:sz w:val="20"/>
                <w:szCs w:val="20"/>
              </w:rPr>
            </w:pPr>
            <w:r w:rsidRPr="00F677A2">
              <w:rPr>
                <w:rFonts w:cs="Times New Roman"/>
                <w:b/>
                <w:sz w:val="20"/>
                <w:szCs w:val="20"/>
              </w:rPr>
              <w:t>89</w:t>
            </w:r>
          </w:p>
        </w:tc>
        <w:tc>
          <w:tcPr>
            <w:tcW w:w="0" w:type="auto"/>
            <w:shd w:val="clear" w:color="auto" w:fill="D9D9D9" w:themeFill="background1" w:themeFillShade="D9"/>
            <w:vAlign w:val="center"/>
          </w:tcPr>
          <w:p w:rsidR="00F75598" w:rsidRPr="00F677A2" w:rsidRDefault="00F75598" w:rsidP="00F677A2">
            <w:pPr>
              <w:widowControl w:val="0"/>
              <w:tabs>
                <w:tab w:val="left" w:pos="90"/>
              </w:tabs>
              <w:jc w:val="right"/>
              <w:rPr>
                <w:rFonts w:cs="Times New Roman"/>
                <w:b/>
                <w:sz w:val="20"/>
                <w:szCs w:val="20"/>
              </w:rPr>
            </w:pPr>
            <w:r w:rsidRPr="00F677A2">
              <w:rPr>
                <w:rFonts w:cs="Times New Roman"/>
                <w:b/>
                <w:sz w:val="20"/>
                <w:szCs w:val="20"/>
              </w:rPr>
              <w:t>64</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(±)-MDEA</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7,000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0.36</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6,500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(±)-MDMA</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5,000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4,250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(±)-Ethylamphetamine</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 xml:space="preserve">&gt; 10,000  </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0.25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(±)-MDPV</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 xml:space="preserve">&gt; 10,000  </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0.25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(±)-Mephedrone</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 xml:space="preserve">&gt; 10,000  </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0.25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(±)-Cathinone</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 xml:space="preserve">&gt; 10,000  </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0.25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(±)-Methcathinone</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 xml:space="preserve">&gt; 10,000  </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0.25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(±)-Methylone</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 xml:space="preserve">&gt; 10,000  </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0.25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(±)-4-MEC</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 xml:space="preserve">&gt; 10,000  </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0.25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(±)-Flephedrone</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 xml:space="preserve">&gt; 10,000  </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0.25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(±)-Butylone</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 xml:space="preserve">&gt; 10,000  </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0.25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mCPP</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 xml:space="preserve">&gt; 10,000  </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0.25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(±)-Methedrone</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 xml:space="preserve">&gt; 10,000  </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0.25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5-MeO-DiPT</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 xml:space="preserve">&gt; 10,000  </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0.25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(±)-DOB</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 xml:space="preserve">&gt; 10,000  </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0.25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2C-B</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 xml:space="preserve">&gt; 10,000  </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0.25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DMT</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 xml:space="preserve">&gt; 10,000  </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0.25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BZP</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 xml:space="preserve">&gt; 10,000  </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0.25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AMT</w:t>
            </w:r>
          </w:p>
        </w:tc>
        <w:tc>
          <w:tcPr>
            <w:tcW w:w="0" w:type="auto"/>
            <w:shd w:val="clear" w:color="auto" w:fill="D9D9D9" w:themeFill="background1" w:themeFillShade="D9"/>
            <w:vAlign w:val="center"/>
          </w:tcPr>
          <w:p w:rsidR="00F75598" w:rsidRPr="00F677A2" w:rsidRDefault="00F75598" w:rsidP="00F677A2">
            <w:pPr>
              <w:widowControl w:val="0"/>
              <w:tabs>
                <w:tab w:val="left" w:pos="90"/>
              </w:tabs>
              <w:jc w:val="right"/>
              <w:rPr>
                <w:rFonts w:cs="Times New Roman"/>
                <w:b/>
                <w:sz w:val="20"/>
                <w:szCs w:val="20"/>
              </w:rPr>
            </w:pPr>
            <w:r w:rsidRPr="00F677A2">
              <w:rPr>
                <w:rFonts w:cs="Times New Roman"/>
                <w:b/>
                <w:sz w:val="20"/>
                <w:szCs w:val="20"/>
              </w:rPr>
              <w:t>30</w:t>
            </w:r>
          </w:p>
        </w:tc>
        <w:tc>
          <w:tcPr>
            <w:tcW w:w="0" w:type="auto"/>
            <w:shd w:val="clear" w:color="auto" w:fill="D9D9D9" w:themeFill="background1" w:themeFillShade="D9"/>
            <w:vAlign w:val="center"/>
          </w:tcPr>
          <w:p w:rsidR="00F75598" w:rsidRPr="00F677A2" w:rsidRDefault="00F75598" w:rsidP="00F677A2">
            <w:pPr>
              <w:widowControl w:val="0"/>
              <w:tabs>
                <w:tab w:val="left" w:pos="90"/>
              </w:tabs>
              <w:jc w:val="right"/>
              <w:rPr>
                <w:rFonts w:cs="Times New Roman"/>
                <w:b/>
                <w:sz w:val="20"/>
                <w:szCs w:val="20"/>
              </w:rPr>
            </w:pPr>
            <w:r w:rsidRPr="00F677A2">
              <w:rPr>
                <w:rFonts w:cs="Times New Roman"/>
                <w:b/>
                <w:sz w:val="20"/>
                <w:szCs w:val="20"/>
              </w:rPr>
              <w:t>83</w:t>
            </w:r>
          </w:p>
        </w:tc>
        <w:tc>
          <w:tcPr>
            <w:tcW w:w="0" w:type="auto"/>
            <w:shd w:val="clear" w:color="auto" w:fill="D9D9D9" w:themeFill="background1" w:themeFillShade="D9"/>
            <w:vAlign w:val="center"/>
          </w:tcPr>
          <w:p w:rsidR="00F75598" w:rsidRPr="00F677A2" w:rsidRDefault="00F75598" w:rsidP="00F677A2">
            <w:pPr>
              <w:widowControl w:val="0"/>
              <w:tabs>
                <w:tab w:val="left" w:pos="90"/>
              </w:tabs>
              <w:jc w:val="right"/>
              <w:rPr>
                <w:rFonts w:cs="Times New Roman"/>
                <w:b/>
                <w:sz w:val="20"/>
                <w:szCs w:val="20"/>
              </w:rPr>
            </w:pPr>
            <w:r w:rsidRPr="00F677A2">
              <w:rPr>
                <w:rFonts w:cs="Times New Roman"/>
                <w:b/>
                <w:sz w:val="20"/>
                <w:szCs w:val="20"/>
              </w:rPr>
              <w:t>20</w:t>
            </w:r>
          </w:p>
        </w:tc>
        <w:tc>
          <w:tcPr>
            <w:tcW w:w="0" w:type="auto"/>
            <w:shd w:val="clear" w:color="auto" w:fill="D9D9D9" w:themeFill="background1" w:themeFillShade="D9"/>
            <w:vAlign w:val="center"/>
          </w:tcPr>
          <w:p w:rsidR="00F75598" w:rsidRPr="00F677A2" w:rsidRDefault="00F75598" w:rsidP="00F677A2">
            <w:pPr>
              <w:widowControl w:val="0"/>
              <w:tabs>
                <w:tab w:val="left" w:pos="90"/>
              </w:tabs>
              <w:jc w:val="right"/>
              <w:rPr>
                <w:rFonts w:cs="Times New Roman"/>
                <w:b/>
                <w:sz w:val="20"/>
                <w:szCs w:val="20"/>
              </w:rPr>
            </w:pPr>
            <w:r w:rsidRPr="00F677A2">
              <w:rPr>
                <w:rFonts w:cs="Times New Roman"/>
                <w:b/>
                <w:sz w:val="20"/>
                <w:szCs w:val="20"/>
              </w:rPr>
              <w:t>43</w:t>
            </w:r>
          </w:p>
        </w:tc>
        <w:tc>
          <w:tcPr>
            <w:tcW w:w="0" w:type="auto"/>
            <w:shd w:val="clear" w:color="auto" w:fill="D9D9D9" w:themeFill="background1" w:themeFillShade="D9"/>
            <w:vAlign w:val="center"/>
          </w:tcPr>
          <w:p w:rsidR="00F75598" w:rsidRPr="00F677A2" w:rsidRDefault="00F75598" w:rsidP="00F677A2">
            <w:pPr>
              <w:widowControl w:val="0"/>
              <w:tabs>
                <w:tab w:val="left" w:pos="90"/>
              </w:tabs>
              <w:jc w:val="right"/>
              <w:rPr>
                <w:rFonts w:cs="Times New Roman"/>
                <w:b/>
                <w:sz w:val="20"/>
                <w:szCs w:val="20"/>
              </w:rPr>
            </w:pPr>
            <w:r w:rsidRPr="00F677A2">
              <w:rPr>
                <w:rFonts w:cs="Times New Roman"/>
                <w:b/>
                <w:sz w:val="20"/>
                <w:szCs w:val="20"/>
              </w:rPr>
              <w:t>116</w:t>
            </w:r>
          </w:p>
        </w:tc>
        <w:tc>
          <w:tcPr>
            <w:tcW w:w="0" w:type="auto"/>
            <w:shd w:val="clear" w:color="auto" w:fill="D9D9D9" w:themeFill="background1" w:themeFillShade="D9"/>
            <w:vAlign w:val="center"/>
          </w:tcPr>
          <w:p w:rsidR="00F75598" w:rsidRPr="00F677A2" w:rsidRDefault="00F75598" w:rsidP="00F677A2">
            <w:pPr>
              <w:widowControl w:val="0"/>
              <w:tabs>
                <w:tab w:val="left" w:pos="90"/>
              </w:tabs>
              <w:jc w:val="right"/>
              <w:rPr>
                <w:rFonts w:cs="Times New Roman"/>
                <w:b/>
                <w:sz w:val="20"/>
                <w:szCs w:val="20"/>
              </w:rPr>
            </w:pPr>
            <w:r w:rsidRPr="00F677A2">
              <w:rPr>
                <w:rFonts w:cs="Times New Roman"/>
                <w:b/>
                <w:sz w:val="20"/>
                <w:szCs w:val="20"/>
              </w:rPr>
              <w:t>48</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2C-I</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 xml:space="preserve">&gt; 10,000  </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0.25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2C-T-7</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 xml:space="preserve">&gt; 10,000  </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0.25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TFMPP</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 xml:space="preserve">&gt; 10,000  </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0.25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r w:rsidR="00F75598" w:rsidRPr="00F677A2" w:rsidTr="00947051">
        <w:trPr>
          <w:trHeight w:val="288"/>
        </w:trPr>
        <w:tc>
          <w:tcPr>
            <w:tcW w:w="0" w:type="auto"/>
            <w:vAlign w:val="center"/>
          </w:tcPr>
          <w:p w:rsidR="00F75598" w:rsidRPr="00F677A2" w:rsidRDefault="00F75598" w:rsidP="00F677A2">
            <w:pPr>
              <w:widowControl w:val="0"/>
              <w:tabs>
                <w:tab w:val="left" w:pos="90"/>
              </w:tabs>
              <w:jc w:val="center"/>
              <w:rPr>
                <w:rFonts w:cs="Times New Roman"/>
                <w:b/>
                <w:sz w:val="20"/>
                <w:szCs w:val="20"/>
              </w:rPr>
            </w:pPr>
            <w:r w:rsidRPr="00F677A2">
              <w:rPr>
                <w:rFonts w:cs="Times New Roman"/>
                <w:b/>
                <w:sz w:val="20"/>
                <w:szCs w:val="20"/>
              </w:rPr>
              <w:t>2C-T-4</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 xml:space="preserve">&gt; 10,000  </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0.25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&lt; 0.5</w:t>
            </w:r>
          </w:p>
        </w:tc>
        <w:tc>
          <w:tcPr>
            <w:tcW w:w="0" w:type="auto"/>
            <w:vAlign w:val="center"/>
          </w:tcPr>
          <w:p w:rsidR="00F75598" w:rsidRPr="00F677A2" w:rsidRDefault="00F75598" w:rsidP="00F677A2">
            <w:pPr>
              <w:widowControl w:val="0"/>
              <w:tabs>
                <w:tab w:val="left" w:pos="90"/>
              </w:tabs>
              <w:jc w:val="right"/>
              <w:rPr>
                <w:rFonts w:cs="Times New Roman"/>
                <w:sz w:val="20"/>
                <w:szCs w:val="20"/>
              </w:rPr>
            </w:pPr>
            <w:r w:rsidRPr="00F677A2">
              <w:rPr>
                <w:rFonts w:cs="Times New Roman"/>
                <w:sz w:val="20"/>
                <w:szCs w:val="20"/>
              </w:rPr>
              <w:t>&gt; 10,000</w:t>
            </w:r>
          </w:p>
        </w:tc>
      </w:tr>
    </w:tbl>
    <w:p w:rsidR="00F75598" w:rsidRPr="00947051" w:rsidRDefault="00F75598" w:rsidP="00F677A2">
      <w:pPr>
        <w:widowControl w:val="0"/>
        <w:tabs>
          <w:tab w:val="left" w:pos="90"/>
        </w:tabs>
        <w:spacing w:after="0"/>
        <w:rPr>
          <w:rFonts w:cs="Times New Roman"/>
          <w:sz w:val="18"/>
          <w:szCs w:val="24"/>
        </w:rPr>
      </w:pPr>
      <w:proofErr w:type="gramStart"/>
      <w:r w:rsidRPr="00947051">
        <w:rPr>
          <w:rFonts w:cs="Times New Roman"/>
          <w:b/>
          <w:sz w:val="18"/>
          <w:szCs w:val="24"/>
          <w:vertAlign w:val="superscript"/>
        </w:rPr>
        <w:t>a</w:t>
      </w:r>
      <w:proofErr w:type="gramEnd"/>
      <w:r w:rsidRPr="00947051">
        <w:rPr>
          <w:rFonts w:cs="Times New Roman"/>
          <w:sz w:val="18"/>
          <w:szCs w:val="24"/>
        </w:rPr>
        <w:t xml:space="preserve"> Concentration of the drug that produces an absorbance reading equivalen</w:t>
      </w:r>
      <w:r w:rsidR="00F677A2">
        <w:rPr>
          <w:rFonts w:cs="Times New Roman"/>
          <w:sz w:val="18"/>
          <w:szCs w:val="24"/>
        </w:rPr>
        <w:t>t to the 25 ng/mL cut-off of</w:t>
      </w:r>
      <w:r w:rsidRPr="00947051">
        <w:rPr>
          <w:rFonts w:cs="Times New Roman"/>
          <w:sz w:val="18"/>
          <w:szCs w:val="24"/>
        </w:rPr>
        <w:t xml:space="preserve"> targeted analyte.</w:t>
      </w:r>
    </w:p>
    <w:p w:rsidR="00F75598" w:rsidRPr="00947051" w:rsidRDefault="00F75598" w:rsidP="00F677A2">
      <w:pPr>
        <w:widowControl w:val="0"/>
        <w:tabs>
          <w:tab w:val="left" w:pos="90"/>
        </w:tabs>
        <w:spacing w:after="0"/>
        <w:rPr>
          <w:rFonts w:cs="Times New Roman"/>
          <w:sz w:val="18"/>
          <w:szCs w:val="24"/>
        </w:rPr>
      </w:pPr>
      <w:proofErr w:type="gramStart"/>
      <w:r w:rsidRPr="00947051">
        <w:rPr>
          <w:rFonts w:cs="Times New Roman"/>
          <w:b/>
          <w:sz w:val="18"/>
          <w:szCs w:val="24"/>
          <w:vertAlign w:val="superscript"/>
        </w:rPr>
        <w:t>b</w:t>
      </w:r>
      <w:proofErr w:type="gramEnd"/>
      <w:r w:rsidRPr="00947051">
        <w:rPr>
          <w:rFonts w:cs="Times New Roman"/>
          <w:sz w:val="18"/>
          <w:szCs w:val="24"/>
        </w:rPr>
        <w:t xml:space="preserve"> Concentration of the drug that produces an absorbance reading equivalent</w:t>
      </w:r>
      <w:r w:rsidR="00F677A2">
        <w:rPr>
          <w:rFonts w:cs="Times New Roman"/>
          <w:sz w:val="18"/>
          <w:szCs w:val="24"/>
        </w:rPr>
        <w:t xml:space="preserve"> to the 50 ng/mL cut-off of </w:t>
      </w:r>
      <w:r w:rsidRPr="00947051">
        <w:rPr>
          <w:rFonts w:cs="Times New Roman"/>
          <w:sz w:val="18"/>
          <w:szCs w:val="24"/>
        </w:rPr>
        <w:t>targeted analyte.</w:t>
      </w:r>
    </w:p>
    <w:p w:rsidR="00F75598" w:rsidRPr="00947051" w:rsidRDefault="00F75598" w:rsidP="00F677A2">
      <w:pPr>
        <w:widowControl w:val="0"/>
        <w:tabs>
          <w:tab w:val="left" w:pos="90"/>
        </w:tabs>
        <w:spacing w:after="0"/>
        <w:rPr>
          <w:rFonts w:cs="Times New Roman"/>
          <w:sz w:val="18"/>
          <w:szCs w:val="24"/>
        </w:rPr>
      </w:pPr>
      <w:r w:rsidRPr="00947051">
        <w:rPr>
          <w:rFonts w:cs="Times New Roman"/>
          <w:sz w:val="18"/>
          <w:szCs w:val="24"/>
        </w:rPr>
        <w:t xml:space="preserve">Analytes demonstrating high cross-reactivity </w:t>
      </w:r>
      <w:proofErr w:type="gramStart"/>
      <w:r w:rsidRPr="00947051">
        <w:rPr>
          <w:rFonts w:cs="Times New Roman"/>
          <w:sz w:val="18"/>
          <w:szCs w:val="24"/>
        </w:rPr>
        <w:t>are</w:t>
      </w:r>
      <w:proofErr w:type="gramEnd"/>
      <w:r w:rsidRPr="00947051">
        <w:rPr>
          <w:rFonts w:cs="Times New Roman"/>
          <w:sz w:val="18"/>
          <w:szCs w:val="24"/>
        </w:rPr>
        <w:t xml:space="preserve"> </w:t>
      </w:r>
      <w:r w:rsidRPr="00947051">
        <w:rPr>
          <w:rFonts w:cs="Times New Roman"/>
          <w:b/>
          <w:sz w:val="18"/>
          <w:szCs w:val="24"/>
          <w:shd w:val="clear" w:color="auto" w:fill="D9D9D9" w:themeFill="background1" w:themeFillShade="D9"/>
        </w:rPr>
        <w:t>highlighted and bolded</w:t>
      </w:r>
      <w:r w:rsidRPr="00947051">
        <w:rPr>
          <w:rFonts w:cs="Times New Roman"/>
          <w:sz w:val="18"/>
          <w:szCs w:val="24"/>
        </w:rPr>
        <w:t>.</w:t>
      </w:r>
    </w:p>
    <w:p w:rsidR="00F75598" w:rsidRPr="00947051" w:rsidRDefault="00F75598" w:rsidP="00F677A2">
      <w:pPr>
        <w:widowControl w:val="0"/>
        <w:tabs>
          <w:tab w:val="left" w:pos="90"/>
        </w:tabs>
        <w:spacing w:after="0"/>
        <w:rPr>
          <w:rFonts w:cs="Times New Roman"/>
          <w:sz w:val="18"/>
          <w:szCs w:val="24"/>
        </w:rPr>
      </w:pPr>
      <w:r w:rsidRPr="00947051">
        <w:rPr>
          <w:rFonts w:cs="Times New Roman"/>
          <w:sz w:val="18"/>
          <w:szCs w:val="24"/>
        </w:rPr>
        <w:t xml:space="preserve">The target analytes for each </w:t>
      </w:r>
      <w:r w:rsidR="00F066F5">
        <w:rPr>
          <w:rFonts w:cs="Times New Roman"/>
          <w:sz w:val="18"/>
          <w:szCs w:val="24"/>
        </w:rPr>
        <w:t>assay</w:t>
      </w:r>
      <w:r w:rsidR="00F066F5" w:rsidRPr="00947051">
        <w:rPr>
          <w:rFonts w:cs="Times New Roman"/>
          <w:sz w:val="18"/>
          <w:szCs w:val="24"/>
        </w:rPr>
        <w:t xml:space="preserve"> </w:t>
      </w:r>
      <w:r w:rsidRPr="00947051">
        <w:rPr>
          <w:rFonts w:cs="Times New Roman"/>
          <w:sz w:val="18"/>
          <w:szCs w:val="24"/>
        </w:rPr>
        <w:t xml:space="preserve">are </w:t>
      </w:r>
      <w:r w:rsidRPr="00947051">
        <w:rPr>
          <w:rFonts w:cs="Times New Roman"/>
          <w:b/>
          <w:i/>
          <w:sz w:val="18"/>
          <w:szCs w:val="24"/>
        </w:rPr>
        <w:t>italicized and bolded</w:t>
      </w:r>
      <w:r w:rsidRPr="00947051">
        <w:rPr>
          <w:rFonts w:cs="Times New Roman"/>
          <w:sz w:val="18"/>
          <w:szCs w:val="24"/>
        </w:rPr>
        <w:t>.</w:t>
      </w:r>
    </w:p>
    <w:p w:rsidR="00F75598" w:rsidRPr="00F97B2D" w:rsidRDefault="00F75598" w:rsidP="00155F88">
      <w:pPr>
        <w:rPr>
          <w:szCs w:val="24"/>
        </w:rPr>
        <w:sectPr w:rsidR="00F75598" w:rsidRPr="00F97B2D" w:rsidSect="00F677A2">
          <w:pgSz w:w="12240" w:h="15840" w:code="1"/>
          <w:pgMar w:top="1440" w:right="1440" w:bottom="1800" w:left="2160" w:header="720" w:footer="720" w:gutter="0"/>
          <w:cols w:space="720"/>
          <w:docGrid w:linePitch="360"/>
        </w:sectPr>
      </w:pPr>
    </w:p>
    <w:bookmarkStart w:id="311" w:name="_Toc354741510"/>
    <w:bookmarkStart w:id="312" w:name="_Toc354743267"/>
    <w:p w:rsidR="00AF21C9" w:rsidRPr="00F97B2D" w:rsidRDefault="000E239B" w:rsidP="009F4645">
      <w:pPr>
        <w:pStyle w:val="Caption"/>
        <w:ind w:left="180"/>
        <w:jc w:val="left"/>
      </w:pPr>
      <w:r>
        <w:fldChar w:fldCharType="begin"/>
      </w:r>
      <w:r w:rsidR="00EC09CD">
        <w:instrText xml:space="preserve"> REF _Ref362528729 \h  \* MERGEFORMAT </w:instrText>
      </w:r>
      <w:r>
        <w:fldChar w:fldCharType="separate"/>
      </w:r>
      <w:r w:rsidR="00E37796" w:rsidRPr="00F97B2D">
        <w:t xml:space="preserve">Appendix </w:t>
      </w:r>
      <w:r w:rsidR="00E37796">
        <w:rPr>
          <w:noProof/>
        </w:rPr>
        <w:t>4</w:t>
      </w:r>
      <w:r w:rsidR="00E37796" w:rsidRPr="00F97B2D">
        <w:t>: Cross-Reactivity Data for ELISAs</w:t>
      </w:r>
      <w:r>
        <w:fldChar w:fldCharType="end"/>
      </w:r>
    </w:p>
    <w:p w:rsidR="00AF21C9" w:rsidRPr="00F97B2D" w:rsidRDefault="00AF21C9" w:rsidP="009F4645">
      <w:pPr>
        <w:pStyle w:val="Caption"/>
        <w:ind w:left="180"/>
        <w:jc w:val="left"/>
      </w:pPr>
      <w:r w:rsidRPr="00F97B2D">
        <w:t>Cross-Reactivity Data for Immunoassays Targeting Methamphetamine</w:t>
      </w:r>
    </w:p>
    <w:tbl>
      <w:tblPr>
        <w:tblStyle w:val="TableGrid"/>
        <w:tblW w:w="0" w:type="auto"/>
        <w:tblCellMar>
          <w:left w:w="43" w:type="dxa"/>
          <w:right w:w="43" w:type="dxa"/>
        </w:tblCellMar>
        <w:tblLook w:val="04A0" w:firstRow="1" w:lastRow="0" w:firstColumn="1" w:lastColumn="0" w:noHBand="0" w:noVBand="1"/>
      </w:tblPr>
      <w:tblGrid>
        <w:gridCol w:w="1821"/>
        <w:gridCol w:w="837"/>
        <w:gridCol w:w="1266"/>
        <w:gridCol w:w="837"/>
        <w:gridCol w:w="837"/>
        <w:gridCol w:w="1266"/>
        <w:gridCol w:w="837"/>
        <w:gridCol w:w="837"/>
        <w:gridCol w:w="1266"/>
        <w:gridCol w:w="837"/>
      </w:tblGrid>
      <w:tr w:rsidR="00AF21C9" w:rsidRPr="00155F88" w:rsidTr="00F677A2">
        <w:trPr>
          <w:trHeight w:val="144"/>
          <w:tblHeader/>
        </w:trPr>
        <w:tc>
          <w:tcPr>
            <w:tcW w:w="0" w:type="auto"/>
            <w:vMerge w:val="restart"/>
            <w:vAlign w:val="center"/>
          </w:tcPr>
          <w:p w:rsidR="00AF21C9" w:rsidRPr="00155F88" w:rsidRDefault="00AF21C9" w:rsidP="009F4645">
            <w:pPr>
              <w:widowControl w:val="0"/>
              <w:ind w:left="180"/>
              <w:jc w:val="center"/>
              <w:rPr>
                <w:rFonts w:eastAsiaTheme="majorEastAsia" w:cs="Times New Roman"/>
                <w:b/>
                <w:bCs/>
                <w:color w:val="365F91" w:themeColor="accent1" w:themeShade="BF"/>
                <w:sz w:val="16"/>
                <w:szCs w:val="16"/>
              </w:rPr>
            </w:pPr>
          </w:p>
        </w:tc>
        <w:tc>
          <w:tcPr>
            <w:tcW w:w="0" w:type="auto"/>
            <w:gridSpan w:val="3"/>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Immunalysis</w:t>
            </w:r>
          </w:p>
        </w:tc>
        <w:tc>
          <w:tcPr>
            <w:tcW w:w="0" w:type="auto"/>
            <w:gridSpan w:val="3"/>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Neogen</w:t>
            </w:r>
          </w:p>
        </w:tc>
        <w:tc>
          <w:tcPr>
            <w:tcW w:w="0" w:type="auto"/>
            <w:gridSpan w:val="3"/>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OraSure</w:t>
            </w:r>
          </w:p>
        </w:tc>
      </w:tr>
      <w:tr w:rsidR="00AF21C9" w:rsidRPr="00155F88" w:rsidTr="00F677A2">
        <w:trPr>
          <w:trHeight w:val="144"/>
          <w:tblHeader/>
        </w:trPr>
        <w:tc>
          <w:tcPr>
            <w:tcW w:w="0" w:type="auto"/>
            <w:vMerge/>
            <w:vAlign w:val="center"/>
          </w:tcPr>
          <w:p w:rsidR="00AF21C9" w:rsidRPr="00155F88" w:rsidRDefault="00AF21C9" w:rsidP="009F4645">
            <w:pPr>
              <w:widowControl w:val="0"/>
              <w:ind w:left="180"/>
              <w:jc w:val="center"/>
              <w:rPr>
                <w:rFonts w:cs="Times New Roman"/>
                <w:b/>
                <w:sz w:val="16"/>
                <w:szCs w:val="16"/>
              </w:rPr>
            </w:pPr>
          </w:p>
        </w:tc>
        <w:tc>
          <w:tcPr>
            <w:tcW w:w="0" w:type="auto"/>
            <w:gridSpan w:val="3"/>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Methamphetamine</w:t>
            </w:r>
          </w:p>
        </w:tc>
        <w:tc>
          <w:tcPr>
            <w:tcW w:w="0" w:type="auto"/>
            <w:gridSpan w:val="3"/>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Methamphetamine/MDMA</w:t>
            </w:r>
          </w:p>
        </w:tc>
        <w:tc>
          <w:tcPr>
            <w:tcW w:w="0" w:type="auto"/>
            <w:gridSpan w:val="3"/>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Methamphetamine</w:t>
            </w:r>
          </w:p>
        </w:tc>
      </w:tr>
      <w:tr w:rsidR="00AF21C9" w:rsidRPr="00155F88" w:rsidTr="00F677A2">
        <w:trPr>
          <w:trHeight w:val="144"/>
          <w:tblHeader/>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Drug</w:t>
            </w:r>
          </w:p>
        </w:tc>
        <w:tc>
          <w:tcPr>
            <w:tcW w:w="0" w:type="auto"/>
            <w:vAlign w:val="center"/>
          </w:tcPr>
          <w:p w:rsidR="00AF21C9" w:rsidRPr="00155F88" w:rsidRDefault="00AF21C9" w:rsidP="009F4645">
            <w:pPr>
              <w:widowControl w:val="0"/>
              <w:ind w:left="180"/>
              <w:jc w:val="center"/>
              <w:rPr>
                <w:rFonts w:cs="Times New Roman"/>
                <w:b/>
                <w:sz w:val="16"/>
                <w:szCs w:val="16"/>
                <w:vertAlign w:val="superscript"/>
              </w:rPr>
            </w:pPr>
            <w:r w:rsidRPr="00155F88">
              <w:rPr>
                <w:rFonts w:cs="Times New Roman"/>
                <w:b/>
                <w:sz w:val="16"/>
                <w:szCs w:val="16"/>
              </w:rPr>
              <w:t>C</w:t>
            </w:r>
            <w:r w:rsidRPr="00155F88">
              <w:rPr>
                <w:rFonts w:cs="Times New Roman"/>
                <w:b/>
                <w:sz w:val="16"/>
                <w:szCs w:val="16"/>
                <w:vertAlign w:val="subscript"/>
              </w:rPr>
              <w:t>25</w:t>
            </w:r>
            <w:r w:rsidRPr="00155F88">
              <w:rPr>
                <w:rFonts w:cs="Times New Roman"/>
                <w:b/>
                <w:sz w:val="16"/>
                <w:szCs w:val="16"/>
                <w:vertAlign w:val="superscript"/>
              </w:rPr>
              <w:t>a</w:t>
            </w:r>
          </w:p>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(ng/mL)</w:t>
            </w:r>
          </w:p>
        </w:tc>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Cross-</w:t>
            </w:r>
          </w:p>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Reactivity (%)</w:t>
            </w:r>
          </w:p>
        </w:tc>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EC</w:t>
            </w:r>
            <w:r w:rsidRPr="00155F88">
              <w:rPr>
                <w:rFonts w:cs="Times New Roman"/>
                <w:b/>
                <w:sz w:val="16"/>
                <w:szCs w:val="16"/>
                <w:vertAlign w:val="subscript"/>
              </w:rPr>
              <w:t>50</w:t>
            </w:r>
          </w:p>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(ng/mL)</w:t>
            </w:r>
          </w:p>
        </w:tc>
        <w:tc>
          <w:tcPr>
            <w:tcW w:w="0" w:type="auto"/>
            <w:vAlign w:val="center"/>
          </w:tcPr>
          <w:p w:rsidR="00AF21C9" w:rsidRPr="00155F88" w:rsidRDefault="00AF21C9" w:rsidP="009F4645">
            <w:pPr>
              <w:widowControl w:val="0"/>
              <w:ind w:left="180"/>
              <w:jc w:val="center"/>
              <w:rPr>
                <w:rFonts w:cs="Times New Roman"/>
                <w:b/>
                <w:sz w:val="16"/>
                <w:szCs w:val="16"/>
                <w:vertAlign w:val="superscript"/>
              </w:rPr>
            </w:pPr>
            <w:r w:rsidRPr="00155F88">
              <w:rPr>
                <w:rFonts w:cs="Times New Roman"/>
                <w:b/>
                <w:sz w:val="16"/>
                <w:szCs w:val="16"/>
              </w:rPr>
              <w:t>C</w:t>
            </w:r>
            <w:r w:rsidRPr="00155F88">
              <w:rPr>
                <w:rFonts w:cs="Times New Roman"/>
                <w:b/>
                <w:sz w:val="16"/>
                <w:szCs w:val="16"/>
                <w:vertAlign w:val="subscript"/>
              </w:rPr>
              <w:t>25</w:t>
            </w:r>
            <w:r w:rsidRPr="00155F88">
              <w:rPr>
                <w:rFonts w:cs="Times New Roman"/>
                <w:b/>
                <w:sz w:val="16"/>
                <w:szCs w:val="16"/>
                <w:vertAlign w:val="superscript"/>
              </w:rPr>
              <w:t>a</w:t>
            </w:r>
          </w:p>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(ng/mL)</w:t>
            </w:r>
          </w:p>
        </w:tc>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Cross-</w:t>
            </w:r>
          </w:p>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Reactivity (%)</w:t>
            </w:r>
          </w:p>
        </w:tc>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EC</w:t>
            </w:r>
            <w:r w:rsidRPr="00155F88">
              <w:rPr>
                <w:rFonts w:cs="Times New Roman"/>
                <w:b/>
                <w:sz w:val="16"/>
                <w:szCs w:val="16"/>
                <w:vertAlign w:val="subscript"/>
              </w:rPr>
              <w:t>50</w:t>
            </w:r>
          </w:p>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(ng/mL)</w:t>
            </w:r>
          </w:p>
        </w:tc>
        <w:tc>
          <w:tcPr>
            <w:tcW w:w="0" w:type="auto"/>
            <w:vAlign w:val="center"/>
          </w:tcPr>
          <w:p w:rsidR="00AF21C9" w:rsidRPr="00155F88" w:rsidRDefault="00AF21C9" w:rsidP="009F4645">
            <w:pPr>
              <w:widowControl w:val="0"/>
              <w:ind w:left="180"/>
              <w:jc w:val="center"/>
              <w:rPr>
                <w:rFonts w:cs="Times New Roman"/>
                <w:b/>
                <w:sz w:val="16"/>
                <w:szCs w:val="16"/>
                <w:vertAlign w:val="superscript"/>
              </w:rPr>
            </w:pPr>
            <w:r w:rsidRPr="00155F88">
              <w:rPr>
                <w:rFonts w:cs="Times New Roman"/>
                <w:b/>
                <w:sz w:val="16"/>
                <w:szCs w:val="16"/>
              </w:rPr>
              <w:t>C</w:t>
            </w:r>
            <w:r w:rsidRPr="00155F88">
              <w:rPr>
                <w:rFonts w:cs="Times New Roman"/>
                <w:b/>
                <w:sz w:val="16"/>
                <w:szCs w:val="16"/>
                <w:vertAlign w:val="subscript"/>
              </w:rPr>
              <w:t>10</w:t>
            </w:r>
            <w:r w:rsidRPr="00155F88">
              <w:rPr>
                <w:rFonts w:cs="Times New Roman"/>
                <w:b/>
                <w:sz w:val="16"/>
                <w:szCs w:val="16"/>
                <w:vertAlign w:val="superscript"/>
              </w:rPr>
              <w:t>b</w:t>
            </w:r>
          </w:p>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(ng/mL)</w:t>
            </w:r>
          </w:p>
        </w:tc>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Cross-</w:t>
            </w:r>
          </w:p>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Reactivity (%)</w:t>
            </w:r>
          </w:p>
        </w:tc>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EC</w:t>
            </w:r>
            <w:r w:rsidRPr="00155F88">
              <w:rPr>
                <w:rFonts w:cs="Times New Roman"/>
                <w:b/>
                <w:sz w:val="16"/>
                <w:szCs w:val="16"/>
                <w:vertAlign w:val="subscript"/>
              </w:rPr>
              <w:t>50</w:t>
            </w:r>
          </w:p>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(ng/mL)</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i/>
                <w:sz w:val="16"/>
                <w:szCs w:val="16"/>
              </w:rPr>
            </w:pPr>
            <w:r w:rsidRPr="00155F88">
              <w:rPr>
                <w:rFonts w:cs="Times New Roman"/>
                <w:b/>
                <w:i/>
                <w:sz w:val="16"/>
                <w:szCs w:val="16"/>
              </w:rPr>
              <w:t>(+)-Methamphetamine</w:t>
            </w:r>
          </w:p>
        </w:tc>
        <w:tc>
          <w:tcPr>
            <w:tcW w:w="0" w:type="auto"/>
            <w:vAlign w:val="center"/>
          </w:tcPr>
          <w:p w:rsidR="00AF21C9" w:rsidRPr="00155F88" w:rsidRDefault="00AF21C9" w:rsidP="009F4645">
            <w:pPr>
              <w:widowControl w:val="0"/>
              <w:ind w:left="180"/>
              <w:jc w:val="right"/>
              <w:rPr>
                <w:rFonts w:cs="Times New Roman"/>
                <w:b/>
                <w:i/>
                <w:sz w:val="16"/>
                <w:szCs w:val="16"/>
              </w:rPr>
            </w:pPr>
            <w:r w:rsidRPr="00155F88">
              <w:rPr>
                <w:rFonts w:cs="Times New Roman"/>
                <w:b/>
                <w:i/>
                <w:sz w:val="16"/>
                <w:szCs w:val="16"/>
              </w:rPr>
              <w:t>25</w:t>
            </w:r>
          </w:p>
        </w:tc>
        <w:tc>
          <w:tcPr>
            <w:tcW w:w="0" w:type="auto"/>
            <w:vAlign w:val="center"/>
          </w:tcPr>
          <w:p w:rsidR="00AF21C9" w:rsidRPr="00155F88" w:rsidRDefault="00AF21C9" w:rsidP="009F4645">
            <w:pPr>
              <w:widowControl w:val="0"/>
              <w:ind w:left="180"/>
              <w:jc w:val="right"/>
              <w:rPr>
                <w:rFonts w:cs="Times New Roman"/>
                <w:b/>
                <w:i/>
                <w:sz w:val="16"/>
                <w:szCs w:val="16"/>
              </w:rPr>
            </w:pPr>
            <w:r w:rsidRPr="00155F88">
              <w:rPr>
                <w:rFonts w:cs="Times New Roman"/>
                <w:b/>
                <w:i/>
                <w:sz w:val="16"/>
                <w:szCs w:val="16"/>
              </w:rPr>
              <w:t>100</w:t>
            </w:r>
          </w:p>
        </w:tc>
        <w:tc>
          <w:tcPr>
            <w:tcW w:w="0" w:type="auto"/>
            <w:vAlign w:val="center"/>
          </w:tcPr>
          <w:p w:rsidR="00AF21C9" w:rsidRPr="00155F88" w:rsidRDefault="00AF21C9" w:rsidP="009F4645">
            <w:pPr>
              <w:widowControl w:val="0"/>
              <w:ind w:left="180"/>
              <w:jc w:val="right"/>
              <w:rPr>
                <w:rFonts w:cs="Times New Roman"/>
                <w:b/>
                <w:i/>
                <w:sz w:val="16"/>
                <w:szCs w:val="16"/>
              </w:rPr>
            </w:pPr>
            <w:r w:rsidRPr="00155F88">
              <w:rPr>
                <w:rFonts w:cs="Times New Roman"/>
                <w:b/>
                <w:i/>
                <w:sz w:val="16"/>
                <w:szCs w:val="16"/>
              </w:rPr>
              <w:t>35</w:t>
            </w:r>
          </w:p>
        </w:tc>
        <w:tc>
          <w:tcPr>
            <w:tcW w:w="0" w:type="auto"/>
            <w:vAlign w:val="center"/>
          </w:tcPr>
          <w:p w:rsidR="00AF21C9" w:rsidRPr="00155F88" w:rsidRDefault="00AF21C9" w:rsidP="009F4645">
            <w:pPr>
              <w:widowControl w:val="0"/>
              <w:ind w:left="180"/>
              <w:jc w:val="right"/>
              <w:rPr>
                <w:rFonts w:cs="Times New Roman"/>
                <w:b/>
                <w:i/>
                <w:sz w:val="16"/>
                <w:szCs w:val="16"/>
              </w:rPr>
            </w:pPr>
            <w:r w:rsidRPr="00155F88">
              <w:rPr>
                <w:rFonts w:cs="Times New Roman"/>
                <w:b/>
                <w:i/>
                <w:sz w:val="16"/>
                <w:szCs w:val="16"/>
              </w:rPr>
              <w:t>25</w:t>
            </w:r>
          </w:p>
        </w:tc>
        <w:tc>
          <w:tcPr>
            <w:tcW w:w="0" w:type="auto"/>
            <w:vAlign w:val="center"/>
          </w:tcPr>
          <w:p w:rsidR="00AF21C9" w:rsidRPr="00155F88" w:rsidRDefault="00AF21C9" w:rsidP="009F4645">
            <w:pPr>
              <w:widowControl w:val="0"/>
              <w:ind w:left="180"/>
              <w:jc w:val="right"/>
              <w:rPr>
                <w:rFonts w:cs="Times New Roman"/>
                <w:b/>
                <w:i/>
                <w:sz w:val="16"/>
                <w:szCs w:val="16"/>
              </w:rPr>
            </w:pPr>
            <w:r w:rsidRPr="00155F88">
              <w:rPr>
                <w:rFonts w:cs="Times New Roman"/>
                <w:b/>
                <w:i/>
                <w:sz w:val="16"/>
                <w:szCs w:val="16"/>
              </w:rPr>
              <w:t>100</w:t>
            </w:r>
          </w:p>
        </w:tc>
        <w:tc>
          <w:tcPr>
            <w:tcW w:w="0" w:type="auto"/>
            <w:vAlign w:val="center"/>
          </w:tcPr>
          <w:p w:rsidR="00AF21C9" w:rsidRPr="00155F88" w:rsidRDefault="00AF21C9" w:rsidP="009F4645">
            <w:pPr>
              <w:widowControl w:val="0"/>
              <w:ind w:left="180"/>
              <w:jc w:val="right"/>
              <w:rPr>
                <w:rFonts w:cs="Times New Roman"/>
                <w:b/>
                <w:i/>
                <w:sz w:val="16"/>
                <w:szCs w:val="16"/>
              </w:rPr>
            </w:pPr>
            <w:r w:rsidRPr="00155F88">
              <w:rPr>
                <w:rFonts w:cs="Times New Roman"/>
                <w:b/>
                <w:i/>
                <w:sz w:val="16"/>
                <w:szCs w:val="16"/>
              </w:rPr>
              <w:t>50</w:t>
            </w:r>
          </w:p>
        </w:tc>
        <w:tc>
          <w:tcPr>
            <w:tcW w:w="0" w:type="auto"/>
            <w:vAlign w:val="center"/>
          </w:tcPr>
          <w:p w:rsidR="00AF21C9" w:rsidRPr="00155F88" w:rsidRDefault="00AF21C9" w:rsidP="009F4645">
            <w:pPr>
              <w:widowControl w:val="0"/>
              <w:ind w:left="180"/>
              <w:jc w:val="right"/>
              <w:rPr>
                <w:rFonts w:cs="Times New Roman"/>
                <w:b/>
                <w:i/>
                <w:sz w:val="16"/>
                <w:szCs w:val="16"/>
              </w:rPr>
            </w:pPr>
            <w:r w:rsidRPr="00155F88">
              <w:rPr>
                <w:rFonts w:cs="Times New Roman"/>
                <w:b/>
                <w:i/>
                <w:sz w:val="16"/>
                <w:szCs w:val="16"/>
              </w:rPr>
              <w:t>10</w:t>
            </w:r>
          </w:p>
        </w:tc>
        <w:tc>
          <w:tcPr>
            <w:tcW w:w="0" w:type="auto"/>
            <w:vAlign w:val="center"/>
          </w:tcPr>
          <w:p w:rsidR="00AF21C9" w:rsidRPr="00155F88" w:rsidRDefault="00AF21C9" w:rsidP="009F4645">
            <w:pPr>
              <w:widowControl w:val="0"/>
              <w:ind w:left="180"/>
              <w:jc w:val="right"/>
              <w:rPr>
                <w:rFonts w:cs="Times New Roman"/>
                <w:b/>
                <w:i/>
                <w:sz w:val="16"/>
                <w:szCs w:val="16"/>
              </w:rPr>
            </w:pPr>
            <w:r w:rsidRPr="00155F88">
              <w:rPr>
                <w:rFonts w:cs="Times New Roman"/>
                <w:b/>
                <w:i/>
                <w:sz w:val="16"/>
                <w:szCs w:val="16"/>
              </w:rPr>
              <w:t>100</w:t>
            </w:r>
          </w:p>
        </w:tc>
        <w:tc>
          <w:tcPr>
            <w:tcW w:w="0" w:type="auto"/>
            <w:vAlign w:val="center"/>
          </w:tcPr>
          <w:p w:rsidR="00AF21C9" w:rsidRPr="00155F88" w:rsidRDefault="00AF21C9" w:rsidP="009F4645">
            <w:pPr>
              <w:widowControl w:val="0"/>
              <w:ind w:left="180"/>
              <w:jc w:val="right"/>
              <w:rPr>
                <w:rFonts w:cs="Times New Roman"/>
                <w:b/>
                <w:i/>
                <w:sz w:val="16"/>
                <w:szCs w:val="16"/>
              </w:rPr>
            </w:pPr>
            <w:r w:rsidRPr="00155F88">
              <w:rPr>
                <w:rFonts w:cs="Times New Roman"/>
                <w:b/>
                <w:i/>
                <w:sz w:val="16"/>
                <w:szCs w:val="16"/>
              </w:rPr>
              <w:t>10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(±)-Amphetamine</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4,000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0.63</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6,750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2,500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0.4</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1,250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2C-E</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(±)-DOET</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(±)-DOM</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(±)-TMA</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(±)-MDA</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5,000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0.5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6,000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1,250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2</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2,000</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625</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2</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500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(±)-MDEA</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35</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71</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40</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156</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16</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313</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10</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100</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&lt; 10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(±)-MDMA</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&lt; 10</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&gt; 250</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10</w:t>
            </w:r>
          </w:p>
        </w:tc>
        <w:tc>
          <w:tcPr>
            <w:tcW w:w="0" w:type="auto"/>
            <w:vAlign w:val="center"/>
          </w:tcPr>
          <w:p w:rsidR="00AF21C9" w:rsidRPr="00155F88" w:rsidRDefault="00AF21C9" w:rsidP="009F4645">
            <w:pPr>
              <w:widowControl w:val="0"/>
              <w:ind w:left="180"/>
              <w:jc w:val="right"/>
              <w:rPr>
                <w:rFonts w:cs="Times New Roman"/>
                <w:b/>
                <w:i/>
                <w:sz w:val="16"/>
                <w:szCs w:val="16"/>
              </w:rPr>
            </w:pPr>
            <w:r w:rsidRPr="00155F88">
              <w:rPr>
                <w:rFonts w:cs="Times New Roman"/>
                <w:b/>
                <w:i/>
                <w:sz w:val="16"/>
                <w:szCs w:val="16"/>
              </w:rPr>
              <w:t>15</w:t>
            </w:r>
          </w:p>
        </w:tc>
        <w:tc>
          <w:tcPr>
            <w:tcW w:w="0" w:type="auto"/>
            <w:vAlign w:val="center"/>
          </w:tcPr>
          <w:p w:rsidR="00AF21C9" w:rsidRPr="00155F88" w:rsidRDefault="00AF21C9" w:rsidP="009F4645">
            <w:pPr>
              <w:widowControl w:val="0"/>
              <w:ind w:left="180"/>
              <w:jc w:val="right"/>
              <w:rPr>
                <w:rFonts w:cs="Times New Roman"/>
                <w:b/>
                <w:i/>
                <w:sz w:val="16"/>
                <w:szCs w:val="16"/>
              </w:rPr>
            </w:pPr>
            <w:r w:rsidRPr="00155F88">
              <w:rPr>
                <w:rFonts w:cs="Times New Roman"/>
                <w:b/>
                <w:i/>
                <w:sz w:val="16"/>
                <w:szCs w:val="16"/>
              </w:rPr>
              <w:t>167</w:t>
            </w:r>
          </w:p>
        </w:tc>
        <w:tc>
          <w:tcPr>
            <w:tcW w:w="0" w:type="auto"/>
            <w:vAlign w:val="center"/>
          </w:tcPr>
          <w:p w:rsidR="00AF21C9" w:rsidRPr="00155F88" w:rsidRDefault="00AF21C9" w:rsidP="009F4645">
            <w:pPr>
              <w:widowControl w:val="0"/>
              <w:ind w:left="180"/>
              <w:jc w:val="right"/>
              <w:rPr>
                <w:rFonts w:cs="Times New Roman"/>
                <w:b/>
                <w:i/>
                <w:sz w:val="16"/>
                <w:szCs w:val="16"/>
              </w:rPr>
            </w:pPr>
            <w:r w:rsidRPr="00155F88">
              <w:rPr>
                <w:rFonts w:cs="Times New Roman"/>
                <w:b/>
                <w:i/>
                <w:sz w:val="16"/>
                <w:szCs w:val="16"/>
              </w:rPr>
              <w:t>25</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&lt; 10</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&gt; 100</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&lt; 10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(±)-Ethylamphetamine</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 xml:space="preserve">80  </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31</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100</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156</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16</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600</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15</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67</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&lt; 10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(±)-MDPV</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(±)-Mephedrone</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1,250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2</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2,500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2,500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1</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9,000</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40</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25</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20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(±)-Cathinone</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(±)-Methcathinone</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5,000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0.5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5,000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5,000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0.5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300</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3.33</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150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(±)-Methylone</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2,500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1</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4,000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5,000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0.5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150</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6.67</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&lt; 150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(±)-4-MEC</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1,250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2</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1,250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2,500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1</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40</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25</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20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(±)-Flephedrone</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2,500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1</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450</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2.22</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250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(±)-Butylone</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5,000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0.5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300</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3</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175</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mCPP</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(±)-Methedrone</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3,500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0.71</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3,500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1,250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2</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7,000</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150</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6.67</w:t>
            </w:r>
          </w:p>
        </w:tc>
        <w:tc>
          <w:tcPr>
            <w:tcW w:w="0" w:type="auto"/>
            <w:shd w:val="clear" w:color="auto" w:fill="D9D9D9" w:themeFill="background1" w:themeFillShade="D9"/>
            <w:vAlign w:val="center"/>
          </w:tcPr>
          <w:p w:rsidR="00AF21C9" w:rsidRPr="00155F88" w:rsidRDefault="00AF21C9" w:rsidP="009F4645">
            <w:pPr>
              <w:widowControl w:val="0"/>
              <w:ind w:left="180"/>
              <w:jc w:val="right"/>
              <w:rPr>
                <w:rFonts w:cs="Times New Roman"/>
                <w:b/>
                <w:sz w:val="16"/>
                <w:szCs w:val="16"/>
              </w:rPr>
            </w:pPr>
            <w:r w:rsidRPr="00155F88">
              <w:rPr>
                <w:rFonts w:cs="Times New Roman"/>
                <w:b/>
                <w:sz w:val="16"/>
                <w:szCs w:val="16"/>
              </w:rPr>
              <w:t>60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5-MeO-DiPT</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(±)-DOB</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2C-B</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DMT</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BZP</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AMT</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5,000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0.5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2,500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0.4</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2,000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2C-I</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2C-T-7</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TFMPP</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r>
      <w:tr w:rsidR="00AF21C9" w:rsidRPr="00155F88" w:rsidTr="00F677A2">
        <w:trPr>
          <w:trHeight w:val="144"/>
        </w:trPr>
        <w:tc>
          <w:tcPr>
            <w:tcW w:w="0" w:type="auto"/>
            <w:vAlign w:val="center"/>
          </w:tcPr>
          <w:p w:rsidR="00AF21C9" w:rsidRPr="00155F88" w:rsidRDefault="00AF21C9" w:rsidP="009F4645">
            <w:pPr>
              <w:widowControl w:val="0"/>
              <w:ind w:left="180"/>
              <w:jc w:val="center"/>
              <w:rPr>
                <w:rFonts w:cs="Times New Roman"/>
                <w:b/>
                <w:sz w:val="16"/>
                <w:szCs w:val="16"/>
              </w:rPr>
            </w:pPr>
            <w:r w:rsidRPr="00155F88">
              <w:rPr>
                <w:rFonts w:cs="Times New Roman"/>
                <w:b/>
                <w:sz w:val="16"/>
                <w:szCs w:val="16"/>
              </w:rPr>
              <w:t>2C-T-4</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9F4645">
            <w:pPr>
              <w:widowControl w:val="0"/>
              <w:ind w:left="180"/>
              <w:jc w:val="right"/>
              <w:rPr>
                <w:rFonts w:cs="Times New Roman"/>
                <w:sz w:val="16"/>
                <w:szCs w:val="16"/>
              </w:rPr>
            </w:pPr>
            <w:r w:rsidRPr="00155F88">
              <w:rPr>
                <w:rFonts w:cs="Times New Roman"/>
                <w:sz w:val="16"/>
                <w:szCs w:val="16"/>
              </w:rPr>
              <w:t>&gt; 10,000</w:t>
            </w:r>
          </w:p>
        </w:tc>
      </w:tr>
    </w:tbl>
    <w:p w:rsidR="00AF21C9" w:rsidRPr="008469CD" w:rsidRDefault="00AF21C9" w:rsidP="009F4645">
      <w:pPr>
        <w:widowControl w:val="0"/>
        <w:spacing w:after="0"/>
        <w:ind w:left="180"/>
        <w:rPr>
          <w:rFonts w:cs="Times New Roman"/>
          <w:sz w:val="18"/>
          <w:szCs w:val="18"/>
        </w:rPr>
      </w:pPr>
      <w:proofErr w:type="gramStart"/>
      <w:r w:rsidRPr="008469CD">
        <w:rPr>
          <w:rFonts w:cs="Times New Roman"/>
          <w:b/>
          <w:sz w:val="18"/>
          <w:szCs w:val="18"/>
          <w:vertAlign w:val="superscript"/>
        </w:rPr>
        <w:t>a</w:t>
      </w:r>
      <w:proofErr w:type="gramEnd"/>
      <w:r w:rsidRPr="008469CD">
        <w:rPr>
          <w:rFonts w:cs="Times New Roman"/>
          <w:sz w:val="18"/>
          <w:szCs w:val="18"/>
        </w:rPr>
        <w:t xml:space="preserve"> Concentration of the drug that produces an absorbance reading equivalent to the 25 ng/mL cut-off of the targeted analyte.</w:t>
      </w:r>
    </w:p>
    <w:p w:rsidR="00AF21C9" w:rsidRPr="008469CD" w:rsidRDefault="00AF21C9" w:rsidP="009F4645">
      <w:pPr>
        <w:widowControl w:val="0"/>
        <w:spacing w:after="0"/>
        <w:ind w:left="180"/>
        <w:rPr>
          <w:rFonts w:cs="Times New Roman"/>
          <w:sz w:val="18"/>
          <w:szCs w:val="18"/>
        </w:rPr>
      </w:pPr>
      <w:proofErr w:type="gramStart"/>
      <w:r w:rsidRPr="008469CD">
        <w:rPr>
          <w:rFonts w:cs="Times New Roman"/>
          <w:b/>
          <w:sz w:val="18"/>
          <w:szCs w:val="18"/>
          <w:vertAlign w:val="superscript"/>
        </w:rPr>
        <w:t>b</w:t>
      </w:r>
      <w:proofErr w:type="gramEnd"/>
      <w:r w:rsidRPr="008469CD">
        <w:rPr>
          <w:rFonts w:cs="Times New Roman"/>
          <w:sz w:val="18"/>
          <w:szCs w:val="18"/>
        </w:rPr>
        <w:t xml:space="preserve"> Concentration of the drug that produces an absorbance reading equivalent to the 10 ng/mL cut-off of the targeted analyte.</w:t>
      </w:r>
    </w:p>
    <w:p w:rsidR="00AF21C9" w:rsidRPr="008469CD" w:rsidRDefault="00AF21C9" w:rsidP="009F4645">
      <w:pPr>
        <w:widowControl w:val="0"/>
        <w:spacing w:after="0"/>
        <w:ind w:left="180"/>
        <w:rPr>
          <w:rFonts w:cs="Times New Roman"/>
          <w:sz w:val="18"/>
          <w:szCs w:val="18"/>
        </w:rPr>
      </w:pPr>
      <w:r w:rsidRPr="008469CD">
        <w:rPr>
          <w:rFonts w:cs="Times New Roman"/>
          <w:sz w:val="18"/>
          <w:szCs w:val="18"/>
        </w:rPr>
        <w:t xml:space="preserve">Analytes demonstrating high cross-reactivity </w:t>
      </w:r>
      <w:proofErr w:type="gramStart"/>
      <w:r w:rsidRPr="008469CD">
        <w:rPr>
          <w:rFonts w:cs="Times New Roman"/>
          <w:sz w:val="18"/>
          <w:szCs w:val="18"/>
        </w:rPr>
        <w:t>are</w:t>
      </w:r>
      <w:proofErr w:type="gramEnd"/>
      <w:r w:rsidRPr="008469CD">
        <w:rPr>
          <w:rFonts w:cs="Times New Roman"/>
          <w:sz w:val="18"/>
          <w:szCs w:val="18"/>
        </w:rPr>
        <w:t xml:space="preserve"> </w:t>
      </w:r>
      <w:r w:rsidRPr="008469CD">
        <w:rPr>
          <w:rFonts w:cs="Times New Roman"/>
          <w:b/>
          <w:sz w:val="18"/>
          <w:szCs w:val="18"/>
          <w:shd w:val="clear" w:color="auto" w:fill="D9D9D9" w:themeFill="background1" w:themeFillShade="D9"/>
        </w:rPr>
        <w:t>highlighted and bolded</w:t>
      </w:r>
      <w:r w:rsidRPr="008469CD">
        <w:rPr>
          <w:rFonts w:cs="Times New Roman"/>
          <w:sz w:val="18"/>
          <w:szCs w:val="18"/>
        </w:rPr>
        <w:t>.</w:t>
      </w:r>
    </w:p>
    <w:p w:rsidR="00AF21C9" w:rsidRPr="008469CD" w:rsidRDefault="00AF21C9" w:rsidP="009F4645">
      <w:pPr>
        <w:widowControl w:val="0"/>
        <w:spacing w:after="0"/>
        <w:ind w:left="180"/>
        <w:rPr>
          <w:rFonts w:cs="Times New Roman"/>
          <w:sz w:val="18"/>
          <w:szCs w:val="18"/>
        </w:rPr>
      </w:pPr>
      <w:r w:rsidRPr="008469CD">
        <w:rPr>
          <w:rFonts w:cs="Times New Roman"/>
          <w:sz w:val="18"/>
          <w:szCs w:val="18"/>
        </w:rPr>
        <w:t xml:space="preserve">The target analytes for each </w:t>
      </w:r>
      <w:r w:rsidR="00F066F5">
        <w:rPr>
          <w:rFonts w:cs="Times New Roman"/>
          <w:sz w:val="18"/>
          <w:szCs w:val="18"/>
        </w:rPr>
        <w:t>assay</w:t>
      </w:r>
      <w:r w:rsidRPr="008469CD">
        <w:rPr>
          <w:rFonts w:cs="Times New Roman"/>
          <w:sz w:val="18"/>
          <w:szCs w:val="18"/>
        </w:rPr>
        <w:t xml:space="preserve"> are </w:t>
      </w:r>
      <w:r w:rsidRPr="008469CD">
        <w:rPr>
          <w:rFonts w:cs="Times New Roman"/>
          <w:b/>
          <w:i/>
          <w:sz w:val="18"/>
          <w:szCs w:val="18"/>
        </w:rPr>
        <w:t>italicized and bolded</w:t>
      </w:r>
      <w:r w:rsidRPr="008469CD">
        <w:rPr>
          <w:rFonts w:cs="Times New Roman"/>
          <w:sz w:val="18"/>
          <w:szCs w:val="18"/>
        </w:rPr>
        <w:t>.</w:t>
      </w:r>
    </w:p>
    <w:p w:rsidR="00AF21C9" w:rsidRPr="00F97B2D" w:rsidRDefault="00AF21C9" w:rsidP="009F4645">
      <w:pPr>
        <w:pStyle w:val="Heading1"/>
        <w:numPr>
          <w:ilvl w:val="0"/>
          <w:numId w:val="0"/>
        </w:numPr>
        <w:ind w:left="180"/>
      </w:pPr>
    </w:p>
    <w:p w:rsidR="00AF21C9" w:rsidRPr="00F97B2D" w:rsidRDefault="00AF21C9" w:rsidP="00947051">
      <w:pPr>
        <w:pStyle w:val="Caption"/>
        <w:jc w:val="left"/>
        <w:sectPr w:rsidR="00AF21C9" w:rsidRPr="00F97B2D" w:rsidSect="001B7699">
          <w:pgSz w:w="15840" w:h="12240" w:orient="landscape" w:code="1"/>
          <w:pgMar w:top="2160" w:right="1440" w:bottom="1440" w:left="1800" w:header="720" w:footer="431" w:gutter="0"/>
          <w:cols w:space="720"/>
          <w:titlePg/>
          <w:docGrid w:linePitch="360"/>
        </w:sectPr>
      </w:pPr>
    </w:p>
    <w:p w:rsidR="00AF21C9" w:rsidRPr="00F97B2D" w:rsidRDefault="002E77C7" w:rsidP="00947051">
      <w:pPr>
        <w:pStyle w:val="Caption"/>
        <w:jc w:val="left"/>
      </w:pPr>
      <w:r>
        <w:fldChar w:fldCharType="begin"/>
      </w:r>
      <w:r>
        <w:instrText xml:space="preserve"> REF _Ref362528729 \h  \* MERGEFORMAT </w:instrText>
      </w:r>
      <w:r>
        <w:fldChar w:fldCharType="separate"/>
      </w:r>
      <w:r w:rsidR="00E37796" w:rsidRPr="00F97B2D">
        <w:t xml:space="preserve">Appendix </w:t>
      </w:r>
      <w:r w:rsidR="00E37796">
        <w:rPr>
          <w:noProof/>
        </w:rPr>
        <w:t>4</w:t>
      </w:r>
      <w:r w:rsidR="00E37796" w:rsidRPr="00F97B2D">
        <w:t>: Cross-Reactivity Data for ELISAs</w:t>
      </w:r>
      <w:r>
        <w:fldChar w:fldCharType="end"/>
      </w:r>
    </w:p>
    <w:p w:rsidR="00AF21C9" w:rsidRPr="00F97B2D" w:rsidRDefault="00AF21C9" w:rsidP="00947051">
      <w:pPr>
        <w:pStyle w:val="Caption"/>
        <w:jc w:val="left"/>
      </w:pPr>
      <w:r w:rsidRPr="00F97B2D">
        <w:t>Cross-Reactivity Data for Additional Neogen Assays</w:t>
      </w:r>
    </w:p>
    <w:tbl>
      <w:tblPr>
        <w:tblStyle w:val="TableGrid"/>
        <w:tblW w:w="0" w:type="auto"/>
        <w:tblCellMar>
          <w:left w:w="43" w:type="dxa"/>
          <w:right w:w="43" w:type="dxa"/>
        </w:tblCellMar>
        <w:tblLook w:val="04A0" w:firstRow="1" w:lastRow="0" w:firstColumn="1" w:lastColumn="0" w:noHBand="0" w:noVBand="1"/>
      </w:tblPr>
      <w:tblGrid>
        <w:gridCol w:w="1641"/>
        <w:gridCol w:w="657"/>
        <w:gridCol w:w="1086"/>
        <w:gridCol w:w="657"/>
        <w:gridCol w:w="657"/>
        <w:gridCol w:w="1086"/>
        <w:gridCol w:w="657"/>
        <w:gridCol w:w="657"/>
        <w:gridCol w:w="1086"/>
        <w:gridCol w:w="657"/>
        <w:gridCol w:w="657"/>
        <w:gridCol w:w="1086"/>
        <w:gridCol w:w="657"/>
      </w:tblGrid>
      <w:tr w:rsidR="00AF21C9" w:rsidRPr="00155F88" w:rsidTr="00F677A2">
        <w:trPr>
          <w:trHeight w:val="144"/>
          <w:tblHeader/>
        </w:trPr>
        <w:tc>
          <w:tcPr>
            <w:tcW w:w="0" w:type="auto"/>
            <w:vAlign w:val="center"/>
          </w:tcPr>
          <w:p w:rsidR="00AF21C9" w:rsidRPr="00155F88" w:rsidRDefault="00AF21C9" w:rsidP="00AF21C9">
            <w:pPr>
              <w:widowControl w:val="0"/>
              <w:jc w:val="center"/>
              <w:rPr>
                <w:rFonts w:eastAsiaTheme="majorEastAsia" w:cs="Times New Roman"/>
                <w:b/>
                <w:bCs/>
                <w:color w:val="365F91" w:themeColor="accent1" w:themeShade="BF"/>
                <w:sz w:val="16"/>
                <w:szCs w:val="16"/>
              </w:rPr>
            </w:pPr>
          </w:p>
        </w:tc>
        <w:tc>
          <w:tcPr>
            <w:tcW w:w="0" w:type="auto"/>
            <w:gridSpan w:val="12"/>
            <w:vAlign w:val="center"/>
          </w:tcPr>
          <w:p w:rsidR="00AF21C9" w:rsidRPr="00155F88" w:rsidRDefault="00AF21C9" w:rsidP="00AF21C9">
            <w:pPr>
              <w:widowControl w:val="0"/>
              <w:jc w:val="center"/>
              <w:rPr>
                <w:rFonts w:cs="Times New Roman"/>
                <w:b/>
                <w:sz w:val="16"/>
                <w:szCs w:val="16"/>
              </w:rPr>
            </w:pPr>
            <w:r w:rsidRPr="00155F88">
              <w:rPr>
                <w:rFonts w:cs="Times New Roman"/>
                <w:b/>
                <w:sz w:val="16"/>
                <w:szCs w:val="16"/>
              </w:rPr>
              <w:t>Neogen</w:t>
            </w:r>
          </w:p>
        </w:tc>
      </w:tr>
      <w:tr w:rsidR="00AF21C9" w:rsidRPr="00155F88" w:rsidTr="00F677A2">
        <w:trPr>
          <w:trHeight w:val="144"/>
          <w:tblHeader/>
        </w:trPr>
        <w:tc>
          <w:tcPr>
            <w:tcW w:w="0" w:type="auto"/>
            <w:vAlign w:val="center"/>
          </w:tcPr>
          <w:p w:rsidR="00AF21C9" w:rsidRPr="00155F88" w:rsidRDefault="00AF21C9" w:rsidP="00AF21C9">
            <w:pPr>
              <w:widowControl w:val="0"/>
              <w:jc w:val="center"/>
              <w:rPr>
                <w:rFonts w:cs="Times New Roman"/>
                <w:b/>
                <w:sz w:val="16"/>
                <w:szCs w:val="16"/>
              </w:rPr>
            </w:pPr>
          </w:p>
        </w:tc>
        <w:tc>
          <w:tcPr>
            <w:tcW w:w="0" w:type="auto"/>
            <w:gridSpan w:val="3"/>
            <w:vAlign w:val="center"/>
          </w:tcPr>
          <w:p w:rsidR="00AF21C9" w:rsidRPr="00155F88" w:rsidRDefault="00AF21C9" w:rsidP="00AF21C9">
            <w:pPr>
              <w:widowControl w:val="0"/>
              <w:jc w:val="center"/>
              <w:rPr>
                <w:rFonts w:cs="Times New Roman"/>
                <w:b/>
                <w:sz w:val="16"/>
                <w:szCs w:val="16"/>
              </w:rPr>
            </w:pPr>
            <w:r w:rsidRPr="00155F88">
              <w:rPr>
                <w:rFonts w:cs="Times New Roman"/>
                <w:b/>
                <w:sz w:val="16"/>
                <w:szCs w:val="16"/>
              </w:rPr>
              <w:t>Benzylpiperazine</w:t>
            </w:r>
          </w:p>
        </w:tc>
        <w:tc>
          <w:tcPr>
            <w:tcW w:w="0" w:type="auto"/>
            <w:gridSpan w:val="3"/>
            <w:vAlign w:val="center"/>
          </w:tcPr>
          <w:p w:rsidR="00AF21C9" w:rsidRPr="00155F88" w:rsidRDefault="00AF21C9" w:rsidP="00AF21C9">
            <w:pPr>
              <w:widowControl w:val="0"/>
              <w:jc w:val="center"/>
              <w:rPr>
                <w:rFonts w:cs="Times New Roman"/>
                <w:b/>
                <w:sz w:val="16"/>
                <w:szCs w:val="16"/>
              </w:rPr>
            </w:pPr>
            <w:r w:rsidRPr="00155F88">
              <w:rPr>
                <w:rFonts w:cs="Times New Roman"/>
                <w:b/>
                <w:sz w:val="16"/>
                <w:szCs w:val="16"/>
              </w:rPr>
              <w:t>Ketamine</w:t>
            </w:r>
          </w:p>
        </w:tc>
        <w:tc>
          <w:tcPr>
            <w:tcW w:w="0" w:type="auto"/>
            <w:gridSpan w:val="3"/>
            <w:vAlign w:val="center"/>
          </w:tcPr>
          <w:p w:rsidR="00AF21C9" w:rsidRPr="00155F88" w:rsidRDefault="00AF21C9" w:rsidP="00AF21C9">
            <w:pPr>
              <w:widowControl w:val="0"/>
              <w:jc w:val="center"/>
              <w:rPr>
                <w:rFonts w:cs="Times New Roman"/>
                <w:b/>
                <w:sz w:val="16"/>
                <w:szCs w:val="16"/>
              </w:rPr>
            </w:pPr>
            <w:r w:rsidRPr="00155F88">
              <w:rPr>
                <w:rFonts w:cs="Times New Roman"/>
                <w:b/>
                <w:sz w:val="16"/>
                <w:szCs w:val="16"/>
              </w:rPr>
              <w:t>Methylphenidate</w:t>
            </w:r>
          </w:p>
        </w:tc>
        <w:tc>
          <w:tcPr>
            <w:tcW w:w="0" w:type="auto"/>
            <w:gridSpan w:val="3"/>
            <w:vAlign w:val="center"/>
          </w:tcPr>
          <w:p w:rsidR="00AF21C9" w:rsidRPr="00155F88" w:rsidRDefault="00AF21C9" w:rsidP="00AF21C9">
            <w:pPr>
              <w:widowControl w:val="0"/>
              <w:jc w:val="center"/>
              <w:rPr>
                <w:rFonts w:cs="Times New Roman"/>
                <w:b/>
                <w:sz w:val="16"/>
                <w:szCs w:val="16"/>
              </w:rPr>
            </w:pPr>
            <w:r w:rsidRPr="00155F88">
              <w:rPr>
                <w:rFonts w:cs="Times New Roman"/>
                <w:b/>
                <w:sz w:val="16"/>
                <w:szCs w:val="16"/>
              </w:rPr>
              <w:t>Mephentermine</w:t>
            </w:r>
          </w:p>
        </w:tc>
      </w:tr>
      <w:tr w:rsidR="00155F88" w:rsidRPr="00155F88" w:rsidTr="00F677A2">
        <w:trPr>
          <w:trHeight w:val="144"/>
          <w:tblHeader/>
        </w:trPr>
        <w:tc>
          <w:tcPr>
            <w:tcW w:w="0" w:type="auto"/>
            <w:vAlign w:val="center"/>
          </w:tcPr>
          <w:p w:rsidR="00AF21C9" w:rsidRPr="00155F88" w:rsidRDefault="00AF21C9" w:rsidP="00AF21C9">
            <w:pPr>
              <w:widowControl w:val="0"/>
              <w:jc w:val="center"/>
              <w:rPr>
                <w:rFonts w:cs="Times New Roman"/>
                <w:b/>
                <w:sz w:val="16"/>
                <w:szCs w:val="16"/>
              </w:rPr>
            </w:pPr>
            <w:r w:rsidRPr="00155F88">
              <w:rPr>
                <w:rFonts w:cs="Times New Roman"/>
                <w:b/>
                <w:sz w:val="16"/>
                <w:szCs w:val="16"/>
              </w:rPr>
              <w:t>Drug</w:t>
            </w:r>
          </w:p>
        </w:tc>
        <w:tc>
          <w:tcPr>
            <w:tcW w:w="0" w:type="auto"/>
            <w:vAlign w:val="center"/>
          </w:tcPr>
          <w:p w:rsidR="00AF21C9" w:rsidRPr="00155F88" w:rsidRDefault="00AF21C9" w:rsidP="00AF21C9">
            <w:pPr>
              <w:widowControl w:val="0"/>
              <w:jc w:val="center"/>
              <w:rPr>
                <w:rFonts w:cs="Times New Roman"/>
                <w:b/>
                <w:sz w:val="16"/>
                <w:szCs w:val="16"/>
                <w:vertAlign w:val="superscript"/>
              </w:rPr>
            </w:pPr>
            <w:r w:rsidRPr="00155F88">
              <w:rPr>
                <w:rFonts w:cs="Times New Roman"/>
                <w:b/>
                <w:sz w:val="16"/>
                <w:szCs w:val="16"/>
              </w:rPr>
              <w:t>C</w:t>
            </w:r>
            <w:r w:rsidRPr="00155F88">
              <w:rPr>
                <w:rFonts w:cs="Times New Roman"/>
                <w:b/>
                <w:sz w:val="16"/>
                <w:szCs w:val="16"/>
                <w:vertAlign w:val="subscript"/>
              </w:rPr>
              <w:t>25</w:t>
            </w:r>
            <w:r w:rsidRPr="00155F88">
              <w:rPr>
                <w:rFonts w:cs="Times New Roman"/>
                <w:b/>
                <w:sz w:val="16"/>
                <w:szCs w:val="16"/>
                <w:vertAlign w:val="superscript"/>
              </w:rPr>
              <w:t>a</w:t>
            </w:r>
          </w:p>
          <w:p w:rsidR="00AF21C9" w:rsidRPr="00155F88" w:rsidRDefault="00AF21C9" w:rsidP="00AF21C9">
            <w:pPr>
              <w:widowControl w:val="0"/>
              <w:jc w:val="center"/>
              <w:rPr>
                <w:rFonts w:cs="Times New Roman"/>
                <w:b/>
                <w:sz w:val="16"/>
                <w:szCs w:val="16"/>
              </w:rPr>
            </w:pPr>
            <w:r w:rsidRPr="00155F88">
              <w:rPr>
                <w:rFonts w:cs="Times New Roman"/>
                <w:b/>
                <w:sz w:val="16"/>
                <w:szCs w:val="16"/>
              </w:rPr>
              <w:t>(ng/mL)</w:t>
            </w:r>
          </w:p>
        </w:tc>
        <w:tc>
          <w:tcPr>
            <w:tcW w:w="0" w:type="auto"/>
            <w:vAlign w:val="center"/>
          </w:tcPr>
          <w:p w:rsidR="00AF21C9" w:rsidRPr="00155F88" w:rsidRDefault="00AF21C9" w:rsidP="00AF21C9">
            <w:pPr>
              <w:widowControl w:val="0"/>
              <w:jc w:val="center"/>
              <w:rPr>
                <w:rFonts w:cs="Times New Roman"/>
                <w:b/>
                <w:sz w:val="16"/>
                <w:szCs w:val="16"/>
              </w:rPr>
            </w:pPr>
            <w:r w:rsidRPr="00155F88">
              <w:rPr>
                <w:rFonts w:cs="Times New Roman"/>
                <w:b/>
                <w:sz w:val="16"/>
                <w:szCs w:val="16"/>
              </w:rPr>
              <w:t>Cross-</w:t>
            </w:r>
          </w:p>
          <w:p w:rsidR="00AF21C9" w:rsidRPr="00155F88" w:rsidRDefault="00AF21C9" w:rsidP="00AF21C9">
            <w:pPr>
              <w:widowControl w:val="0"/>
              <w:jc w:val="center"/>
              <w:rPr>
                <w:rFonts w:cs="Times New Roman"/>
                <w:b/>
                <w:sz w:val="16"/>
                <w:szCs w:val="16"/>
              </w:rPr>
            </w:pPr>
            <w:r w:rsidRPr="00155F88">
              <w:rPr>
                <w:rFonts w:cs="Times New Roman"/>
                <w:b/>
                <w:sz w:val="16"/>
                <w:szCs w:val="16"/>
              </w:rPr>
              <w:t>Reactivity (%)</w:t>
            </w:r>
          </w:p>
        </w:tc>
        <w:tc>
          <w:tcPr>
            <w:tcW w:w="0" w:type="auto"/>
            <w:vAlign w:val="center"/>
          </w:tcPr>
          <w:p w:rsidR="00AF21C9" w:rsidRPr="00155F88" w:rsidRDefault="00AF21C9" w:rsidP="00AF21C9">
            <w:pPr>
              <w:widowControl w:val="0"/>
              <w:jc w:val="center"/>
              <w:rPr>
                <w:rFonts w:cs="Times New Roman"/>
                <w:b/>
                <w:sz w:val="16"/>
                <w:szCs w:val="16"/>
              </w:rPr>
            </w:pPr>
            <w:r w:rsidRPr="00155F88">
              <w:rPr>
                <w:rFonts w:cs="Times New Roman"/>
                <w:b/>
                <w:sz w:val="16"/>
                <w:szCs w:val="16"/>
              </w:rPr>
              <w:t>EC</w:t>
            </w:r>
            <w:r w:rsidRPr="00155F88">
              <w:rPr>
                <w:rFonts w:cs="Times New Roman"/>
                <w:b/>
                <w:sz w:val="16"/>
                <w:szCs w:val="16"/>
                <w:vertAlign w:val="subscript"/>
              </w:rPr>
              <w:t>50</w:t>
            </w:r>
          </w:p>
          <w:p w:rsidR="00AF21C9" w:rsidRPr="00155F88" w:rsidRDefault="00AF21C9" w:rsidP="00AF21C9">
            <w:pPr>
              <w:widowControl w:val="0"/>
              <w:jc w:val="center"/>
              <w:rPr>
                <w:rFonts w:cs="Times New Roman"/>
                <w:b/>
                <w:sz w:val="16"/>
                <w:szCs w:val="16"/>
              </w:rPr>
            </w:pPr>
            <w:r w:rsidRPr="00155F88">
              <w:rPr>
                <w:rFonts w:cs="Times New Roman"/>
                <w:b/>
                <w:sz w:val="16"/>
                <w:szCs w:val="16"/>
              </w:rPr>
              <w:t>(ng/mL)</w:t>
            </w:r>
          </w:p>
        </w:tc>
        <w:tc>
          <w:tcPr>
            <w:tcW w:w="0" w:type="auto"/>
            <w:vAlign w:val="center"/>
          </w:tcPr>
          <w:p w:rsidR="00AF21C9" w:rsidRPr="00155F88" w:rsidRDefault="00AF21C9" w:rsidP="00AF21C9">
            <w:pPr>
              <w:widowControl w:val="0"/>
              <w:jc w:val="center"/>
              <w:rPr>
                <w:rFonts w:cs="Times New Roman"/>
                <w:b/>
                <w:sz w:val="16"/>
                <w:szCs w:val="16"/>
                <w:vertAlign w:val="superscript"/>
              </w:rPr>
            </w:pPr>
            <w:r w:rsidRPr="00155F88">
              <w:rPr>
                <w:rFonts w:cs="Times New Roman"/>
                <w:b/>
                <w:sz w:val="16"/>
                <w:szCs w:val="16"/>
              </w:rPr>
              <w:t>C</w:t>
            </w:r>
            <w:r w:rsidRPr="00155F88">
              <w:rPr>
                <w:rFonts w:cs="Times New Roman"/>
                <w:b/>
                <w:sz w:val="16"/>
                <w:szCs w:val="16"/>
                <w:vertAlign w:val="subscript"/>
              </w:rPr>
              <w:t>50</w:t>
            </w:r>
            <w:r w:rsidRPr="00155F88">
              <w:rPr>
                <w:rFonts w:cs="Times New Roman"/>
                <w:b/>
                <w:sz w:val="16"/>
                <w:szCs w:val="16"/>
                <w:vertAlign w:val="superscript"/>
              </w:rPr>
              <w:t>b</w:t>
            </w:r>
          </w:p>
          <w:p w:rsidR="00AF21C9" w:rsidRPr="00155F88" w:rsidRDefault="00AF21C9" w:rsidP="00AF21C9">
            <w:pPr>
              <w:widowControl w:val="0"/>
              <w:jc w:val="center"/>
              <w:rPr>
                <w:rFonts w:cs="Times New Roman"/>
                <w:b/>
                <w:sz w:val="16"/>
                <w:szCs w:val="16"/>
              </w:rPr>
            </w:pPr>
            <w:r w:rsidRPr="00155F88">
              <w:rPr>
                <w:rFonts w:cs="Times New Roman"/>
                <w:b/>
                <w:sz w:val="16"/>
                <w:szCs w:val="16"/>
              </w:rPr>
              <w:t>(ng/mL)</w:t>
            </w:r>
          </w:p>
        </w:tc>
        <w:tc>
          <w:tcPr>
            <w:tcW w:w="0" w:type="auto"/>
            <w:vAlign w:val="center"/>
          </w:tcPr>
          <w:p w:rsidR="00AF21C9" w:rsidRPr="00155F88" w:rsidRDefault="00AF21C9" w:rsidP="00AF21C9">
            <w:pPr>
              <w:widowControl w:val="0"/>
              <w:jc w:val="center"/>
              <w:rPr>
                <w:rFonts w:cs="Times New Roman"/>
                <w:b/>
                <w:sz w:val="16"/>
                <w:szCs w:val="16"/>
              </w:rPr>
            </w:pPr>
            <w:r w:rsidRPr="00155F88">
              <w:rPr>
                <w:rFonts w:cs="Times New Roman"/>
                <w:b/>
                <w:sz w:val="16"/>
                <w:szCs w:val="16"/>
              </w:rPr>
              <w:t>Cross-</w:t>
            </w:r>
          </w:p>
          <w:p w:rsidR="00AF21C9" w:rsidRPr="00155F88" w:rsidRDefault="00AF21C9" w:rsidP="00AF21C9">
            <w:pPr>
              <w:widowControl w:val="0"/>
              <w:jc w:val="center"/>
              <w:rPr>
                <w:rFonts w:cs="Times New Roman"/>
                <w:b/>
                <w:sz w:val="16"/>
                <w:szCs w:val="16"/>
              </w:rPr>
            </w:pPr>
            <w:r w:rsidRPr="00155F88">
              <w:rPr>
                <w:rFonts w:cs="Times New Roman"/>
                <w:b/>
                <w:sz w:val="16"/>
                <w:szCs w:val="16"/>
              </w:rPr>
              <w:t>Reactivity (%)</w:t>
            </w:r>
          </w:p>
        </w:tc>
        <w:tc>
          <w:tcPr>
            <w:tcW w:w="0" w:type="auto"/>
            <w:vAlign w:val="center"/>
          </w:tcPr>
          <w:p w:rsidR="00AF21C9" w:rsidRPr="00155F88" w:rsidRDefault="00AF21C9" w:rsidP="00AF21C9">
            <w:pPr>
              <w:widowControl w:val="0"/>
              <w:jc w:val="center"/>
              <w:rPr>
                <w:rFonts w:cs="Times New Roman"/>
                <w:b/>
                <w:sz w:val="16"/>
                <w:szCs w:val="16"/>
              </w:rPr>
            </w:pPr>
            <w:r w:rsidRPr="00155F88">
              <w:rPr>
                <w:rFonts w:cs="Times New Roman"/>
                <w:b/>
                <w:sz w:val="16"/>
                <w:szCs w:val="16"/>
              </w:rPr>
              <w:t>EC</w:t>
            </w:r>
            <w:r w:rsidRPr="00155F88">
              <w:rPr>
                <w:rFonts w:cs="Times New Roman"/>
                <w:b/>
                <w:sz w:val="16"/>
                <w:szCs w:val="16"/>
                <w:vertAlign w:val="subscript"/>
              </w:rPr>
              <w:t>50</w:t>
            </w:r>
          </w:p>
          <w:p w:rsidR="00AF21C9" w:rsidRPr="00155F88" w:rsidRDefault="00AF21C9" w:rsidP="00AF21C9">
            <w:pPr>
              <w:widowControl w:val="0"/>
              <w:jc w:val="center"/>
              <w:rPr>
                <w:rFonts w:cs="Times New Roman"/>
                <w:b/>
                <w:sz w:val="16"/>
                <w:szCs w:val="16"/>
              </w:rPr>
            </w:pPr>
            <w:r w:rsidRPr="00155F88">
              <w:rPr>
                <w:rFonts w:cs="Times New Roman"/>
                <w:b/>
                <w:sz w:val="16"/>
                <w:szCs w:val="16"/>
              </w:rPr>
              <w:t>(ng/mL)</w:t>
            </w:r>
          </w:p>
        </w:tc>
        <w:tc>
          <w:tcPr>
            <w:tcW w:w="0" w:type="auto"/>
            <w:vAlign w:val="center"/>
          </w:tcPr>
          <w:p w:rsidR="00AF21C9" w:rsidRPr="00155F88" w:rsidRDefault="00AF21C9" w:rsidP="00AF21C9">
            <w:pPr>
              <w:widowControl w:val="0"/>
              <w:jc w:val="center"/>
              <w:rPr>
                <w:rFonts w:cs="Times New Roman"/>
                <w:b/>
                <w:sz w:val="16"/>
                <w:szCs w:val="16"/>
                <w:vertAlign w:val="superscript"/>
              </w:rPr>
            </w:pPr>
            <w:r w:rsidRPr="00155F88">
              <w:rPr>
                <w:rFonts w:cs="Times New Roman"/>
                <w:b/>
                <w:sz w:val="16"/>
                <w:szCs w:val="16"/>
              </w:rPr>
              <w:t>C</w:t>
            </w:r>
            <w:r w:rsidRPr="00155F88">
              <w:rPr>
                <w:rFonts w:cs="Times New Roman"/>
                <w:b/>
                <w:sz w:val="16"/>
                <w:szCs w:val="16"/>
                <w:vertAlign w:val="subscript"/>
              </w:rPr>
              <w:t>10</w:t>
            </w:r>
            <w:r w:rsidRPr="00155F88">
              <w:rPr>
                <w:rFonts w:cs="Times New Roman"/>
                <w:b/>
                <w:sz w:val="16"/>
                <w:szCs w:val="16"/>
                <w:vertAlign w:val="superscript"/>
              </w:rPr>
              <w:t>c</w:t>
            </w:r>
          </w:p>
          <w:p w:rsidR="00AF21C9" w:rsidRPr="00155F88" w:rsidRDefault="00AF21C9" w:rsidP="00AF21C9">
            <w:pPr>
              <w:widowControl w:val="0"/>
              <w:jc w:val="center"/>
              <w:rPr>
                <w:rFonts w:cs="Times New Roman"/>
                <w:b/>
                <w:sz w:val="16"/>
                <w:szCs w:val="16"/>
              </w:rPr>
            </w:pPr>
            <w:r w:rsidRPr="00155F88">
              <w:rPr>
                <w:rFonts w:cs="Times New Roman"/>
                <w:b/>
                <w:sz w:val="16"/>
                <w:szCs w:val="16"/>
              </w:rPr>
              <w:t>(ng/mL)</w:t>
            </w:r>
          </w:p>
        </w:tc>
        <w:tc>
          <w:tcPr>
            <w:tcW w:w="0" w:type="auto"/>
            <w:vAlign w:val="center"/>
          </w:tcPr>
          <w:p w:rsidR="00AF21C9" w:rsidRPr="00155F88" w:rsidRDefault="00AF21C9" w:rsidP="00AF21C9">
            <w:pPr>
              <w:widowControl w:val="0"/>
              <w:jc w:val="center"/>
              <w:rPr>
                <w:rFonts w:cs="Times New Roman"/>
                <w:b/>
                <w:sz w:val="16"/>
                <w:szCs w:val="16"/>
              </w:rPr>
            </w:pPr>
            <w:r w:rsidRPr="00155F88">
              <w:rPr>
                <w:rFonts w:cs="Times New Roman"/>
                <w:b/>
                <w:sz w:val="16"/>
                <w:szCs w:val="16"/>
              </w:rPr>
              <w:t>Cross-</w:t>
            </w:r>
          </w:p>
          <w:p w:rsidR="00AF21C9" w:rsidRPr="00155F88" w:rsidRDefault="00AF21C9" w:rsidP="00AF21C9">
            <w:pPr>
              <w:widowControl w:val="0"/>
              <w:jc w:val="center"/>
              <w:rPr>
                <w:rFonts w:cs="Times New Roman"/>
                <w:b/>
                <w:sz w:val="16"/>
                <w:szCs w:val="16"/>
              </w:rPr>
            </w:pPr>
            <w:r w:rsidRPr="00155F88">
              <w:rPr>
                <w:rFonts w:cs="Times New Roman"/>
                <w:b/>
                <w:sz w:val="16"/>
                <w:szCs w:val="16"/>
              </w:rPr>
              <w:t>Reactivity (%)</w:t>
            </w:r>
          </w:p>
        </w:tc>
        <w:tc>
          <w:tcPr>
            <w:tcW w:w="0" w:type="auto"/>
            <w:vAlign w:val="center"/>
          </w:tcPr>
          <w:p w:rsidR="00AF21C9" w:rsidRPr="00155F88" w:rsidRDefault="00AF21C9" w:rsidP="00AF21C9">
            <w:pPr>
              <w:widowControl w:val="0"/>
              <w:jc w:val="center"/>
              <w:rPr>
                <w:rFonts w:cs="Times New Roman"/>
                <w:b/>
                <w:sz w:val="16"/>
                <w:szCs w:val="16"/>
              </w:rPr>
            </w:pPr>
            <w:r w:rsidRPr="00155F88">
              <w:rPr>
                <w:rFonts w:cs="Times New Roman"/>
                <w:b/>
                <w:sz w:val="16"/>
                <w:szCs w:val="16"/>
              </w:rPr>
              <w:t>EC</w:t>
            </w:r>
            <w:r w:rsidRPr="00155F88">
              <w:rPr>
                <w:rFonts w:cs="Times New Roman"/>
                <w:b/>
                <w:sz w:val="16"/>
                <w:szCs w:val="16"/>
                <w:vertAlign w:val="subscript"/>
              </w:rPr>
              <w:t>50</w:t>
            </w:r>
          </w:p>
          <w:p w:rsidR="00AF21C9" w:rsidRPr="00155F88" w:rsidRDefault="00AF21C9" w:rsidP="00AF21C9">
            <w:pPr>
              <w:widowControl w:val="0"/>
              <w:jc w:val="center"/>
              <w:rPr>
                <w:rFonts w:cs="Times New Roman"/>
                <w:b/>
                <w:sz w:val="16"/>
                <w:szCs w:val="16"/>
              </w:rPr>
            </w:pPr>
            <w:r w:rsidRPr="00155F88">
              <w:rPr>
                <w:rFonts w:cs="Times New Roman"/>
                <w:b/>
                <w:sz w:val="16"/>
                <w:szCs w:val="16"/>
              </w:rPr>
              <w:t>(ng/mL)</w:t>
            </w:r>
          </w:p>
        </w:tc>
        <w:tc>
          <w:tcPr>
            <w:tcW w:w="0" w:type="auto"/>
            <w:vAlign w:val="center"/>
          </w:tcPr>
          <w:p w:rsidR="00AF21C9" w:rsidRPr="00155F88" w:rsidRDefault="00AF21C9" w:rsidP="00AF21C9">
            <w:pPr>
              <w:widowControl w:val="0"/>
              <w:jc w:val="center"/>
              <w:rPr>
                <w:rFonts w:cs="Times New Roman"/>
                <w:b/>
                <w:sz w:val="16"/>
                <w:szCs w:val="16"/>
                <w:vertAlign w:val="superscript"/>
              </w:rPr>
            </w:pPr>
            <w:r w:rsidRPr="00155F88">
              <w:rPr>
                <w:rFonts w:cs="Times New Roman"/>
                <w:b/>
                <w:sz w:val="16"/>
                <w:szCs w:val="16"/>
              </w:rPr>
              <w:t>C</w:t>
            </w:r>
            <w:r w:rsidRPr="00155F88">
              <w:rPr>
                <w:rFonts w:cs="Times New Roman"/>
                <w:b/>
                <w:sz w:val="16"/>
                <w:szCs w:val="16"/>
                <w:vertAlign w:val="subscript"/>
              </w:rPr>
              <w:t>10</w:t>
            </w:r>
            <w:r w:rsidRPr="00155F88">
              <w:rPr>
                <w:rFonts w:cs="Times New Roman"/>
                <w:b/>
                <w:sz w:val="16"/>
                <w:szCs w:val="16"/>
                <w:vertAlign w:val="superscript"/>
              </w:rPr>
              <w:t>c</w:t>
            </w:r>
          </w:p>
          <w:p w:rsidR="00AF21C9" w:rsidRPr="00155F88" w:rsidRDefault="00AF21C9" w:rsidP="00AF21C9">
            <w:pPr>
              <w:widowControl w:val="0"/>
              <w:jc w:val="center"/>
              <w:rPr>
                <w:rFonts w:cs="Times New Roman"/>
                <w:b/>
                <w:sz w:val="16"/>
                <w:szCs w:val="16"/>
              </w:rPr>
            </w:pPr>
            <w:r w:rsidRPr="00155F88">
              <w:rPr>
                <w:rFonts w:cs="Times New Roman"/>
                <w:b/>
                <w:sz w:val="16"/>
                <w:szCs w:val="16"/>
              </w:rPr>
              <w:t>(ng/mL)</w:t>
            </w:r>
          </w:p>
        </w:tc>
        <w:tc>
          <w:tcPr>
            <w:tcW w:w="0" w:type="auto"/>
            <w:vAlign w:val="center"/>
          </w:tcPr>
          <w:p w:rsidR="00AF21C9" w:rsidRPr="00155F88" w:rsidRDefault="00AF21C9" w:rsidP="00AF21C9">
            <w:pPr>
              <w:widowControl w:val="0"/>
              <w:jc w:val="center"/>
              <w:rPr>
                <w:rFonts w:cs="Times New Roman"/>
                <w:b/>
                <w:sz w:val="16"/>
                <w:szCs w:val="16"/>
              </w:rPr>
            </w:pPr>
            <w:r w:rsidRPr="00155F88">
              <w:rPr>
                <w:rFonts w:cs="Times New Roman"/>
                <w:b/>
                <w:sz w:val="16"/>
                <w:szCs w:val="16"/>
              </w:rPr>
              <w:t>Cross-</w:t>
            </w:r>
          </w:p>
          <w:p w:rsidR="00AF21C9" w:rsidRPr="00155F88" w:rsidRDefault="00AF21C9" w:rsidP="00AF21C9">
            <w:pPr>
              <w:widowControl w:val="0"/>
              <w:jc w:val="center"/>
              <w:rPr>
                <w:rFonts w:cs="Times New Roman"/>
                <w:b/>
                <w:sz w:val="16"/>
                <w:szCs w:val="16"/>
              </w:rPr>
            </w:pPr>
            <w:r w:rsidRPr="00155F88">
              <w:rPr>
                <w:rFonts w:cs="Times New Roman"/>
                <w:b/>
                <w:sz w:val="16"/>
                <w:szCs w:val="16"/>
              </w:rPr>
              <w:t>Reactivity (%)</w:t>
            </w:r>
          </w:p>
        </w:tc>
        <w:tc>
          <w:tcPr>
            <w:tcW w:w="0" w:type="auto"/>
            <w:vAlign w:val="center"/>
          </w:tcPr>
          <w:p w:rsidR="00AF21C9" w:rsidRPr="00155F88" w:rsidRDefault="00AF21C9" w:rsidP="00AF21C9">
            <w:pPr>
              <w:widowControl w:val="0"/>
              <w:jc w:val="center"/>
              <w:rPr>
                <w:rFonts w:cs="Times New Roman"/>
                <w:b/>
                <w:sz w:val="16"/>
                <w:szCs w:val="16"/>
              </w:rPr>
            </w:pPr>
            <w:r w:rsidRPr="00155F88">
              <w:rPr>
                <w:rFonts w:cs="Times New Roman"/>
                <w:b/>
                <w:sz w:val="16"/>
                <w:szCs w:val="16"/>
              </w:rPr>
              <w:t>EC</w:t>
            </w:r>
            <w:r w:rsidRPr="00155F88">
              <w:rPr>
                <w:rFonts w:cs="Times New Roman"/>
                <w:b/>
                <w:sz w:val="16"/>
                <w:szCs w:val="16"/>
                <w:vertAlign w:val="subscript"/>
              </w:rPr>
              <w:t>50</w:t>
            </w:r>
          </w:p>
          <w:p w:rsidR="00AF21C9" w:rsidRPr="00155F88" w:rsidRDefault="00AF21C9" w:rsidP="00AF21C9">
            <w:pPr>
              <w:widowControl w:val="0"/>
              <w:jc w:val="center"/>
              <w:rPr>
                <w:rFonts w:cs="Times New Roman"/>
                <w:b/>
                <w:sz w:val="16"/>
                <w:szCs w:val="16"/>
              </w:rPr>
            </w:pPr>
            <w:r w:rsidRPr="00155F88">
              <w:rPr>
                <w:rFonts w:cs="Times New Roman"/>
                <w:b/>
                <w:sz w:val="16"/>
                <w:szCs w:val="16"/>
              </w:rPr>
              <w:t>(ng/mL)</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(±)-Amphetamine</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(±)-Methamphetamine</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shd w:val="clear" w:color="auto" w:fill="D9D9D9" w:themeFill="background1" w:themeFillShade="D9"/>
            <w:vAlign w:val="center"/>
          </w:tcPr>
          <w:p w:rsidR="00AF21C9" w:rsidRPr="00155F88" w:rsidRDefault="00AF21C9" w:rsidP="00AF21C9">
            <w:pPr>
              <w:widowControl w:val="0"/>
              <w:jc w:val="right"/>
              <w:rPr>
                <w:rFonts w:cs="Times New Roman"/>
                <w:b/>
                <w:sz w:val="16"/>
                <w:szCs w:val="16"/>
              </w:rPr>
            </w:pPr>
            <w:r w:rsidRPr="00155F88">
              <w:rPr>
                <w:rFonts w:cs="Times New Roman"/>
                <w:b/>
                <w:sz w:val="16"/>
                <w:szCs w:val="16"/>
              </w:rPr>
              <w:t>250</w:t>
            </w:r>
          </w:p>
        </w:tc>
        <w:tc>
          <w:tcPr>
            <w:tcW w:w="0" w:type="auto"/>
            <w:shd w:val="clear" w:color="auto" w:fill="D9D9D9" w:themeFill="background1" w:themeFillShade="D9"/>
            <w:vAlign w:val="center"/>
          </w:tcPr>
          <w:p w:rsidR="00AF21C9" w:rsidRPr="00155F88" w:rsidRDefault="00AF21C9" w:rsidP="00AF21C9">
            <w:pPr>
              <w:widowControl w:val="0"/>
              <w:jc w:val="right"/>
              <w:rPr>
                <w:rFonts w:cs="Times New Roman"/>
                <w:b/>
                <w:sz w:val="16"/>
                <w:szCs w:val="16"/>
              </w:rPr>
            </w:pPr>
            <w:r w:rsidRPr="00155F88">
              <w:rPr>
                <w:rFonts w:cs="Times New Roman"/>
                <w:b/>
                <w:sz w:val="16"/>
                <w:szCs w:val="16"/>
              </w:rPr>
              <w:t>4</w:t>
            </w:r>
          </w:p>
        </w:tc>
        <w:tc>
          <w:tcPr>
            <w:tcW w:w="0" w:type="auto"/>
            <w:shd w:val="clear" w:color="auto" w:fill="D9D9D9" w:themeFill="background1" w:themeFillShade="D9"/>
            <w:vAlign w:val="center"/>
          </w:tcPr>
          <w:p w:rsidR="00AF21C9" w:rsidRPr="00155F88" w:rsidRDefault="00AF21C9" w:rsidP="00AF21C9">
            <w:pPr>
              <w:widowControl w:val="0"/>
              <w:jc w:val="right"/>
              <w:rPr>
                <w:rFonts w:cs="Times New Roman"/>
                <w:b/>
                <w:sz w:val="16"/>
                <w:szCs w:val="16"/>
              </w:rPr>
            </w:pPr>
            <w:r w:rsidRPr="00155F88">
              <w:rPr>
                <w:rFonts w:cs="Times New Roman"/>
                <w:b/>
                <w:sz w:val="16"/>
                <w:szCs w:val="16"/>
              </w:rPr>
              <w:t>400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2C-E</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(±)-DOET</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(±)-DOM</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(±)-TMA</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(±)-MDA</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(±)-MDEA</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9,000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1,250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0.80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7,000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(±)-MDMA</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shd w:val="clear" w:color="auto" w:fill="D9D9D9" w:themeFill="background1" w:themeFillShade="D9"/>
            <w:vAlign w:val="center"/>
          </w:tcPr>
          <w:p w:rsidR="00AF21C9" w:rsidRPr="00155F88" w:rsidRDefault="00AF21C9" w:rsidP="00AF21C9">
            <w:pPr>
              <w:widowControl w:val="0"/>
              <w:jc w:val="right"/>
              <w:rPr>
                <w:rFonts w:cs="Times New Roman"/>
                <w:b/>
                <w:sz w:val="16"/>
                <w:szCs w:val="16"/>
              </w:rPr>
            </w:pPr>
            <w:r w:rsidRPr="00155F88">
              <w:rPr>
                <w:rFonts w:cs="Times New Roman"/>
                <w:b/>
                <w:sz w:val="16"/>
                <w:szCs w:val="16"/>
              </w:rPr>
              <w:t>200</w:t>
            </w:r>
          </w:p>
        </w:tc>
        <w:tc>
          <w:tcPr>
            <w:tcW w:w="0" w:type="auto"/>
            <w:shd w:val="clear" w:color="auto" w:fill="D9D9D9" w:themeFill="background1" w:themeFillShade="D9"/>
            <w:vAlign w:val="center"/>
          </w:tcPr>
          <w:p w:rsidR="00AF21C9" w:rsidRPr="00155F88" w:rsidRDefault="00AF21C9" w:rsidP="00AF21C9">
            <w:pPr>
              <w:widowControl w:val="0"/>
              <w:jc w:val="right"/>
              <w:rPr>
                <w:rFonts w:cs="Times New Roman"/>
                <w:b/>
                <w:sz w:val="16"/>
                <w:szCs w:val="16"/>
              </w:rPr>
            </w:pPr>
            <w:r w:rsidRPr="00155F88">
              <w:rPr>
                <w:rFonts w:cs="Times New Roman"/>
                <w:b/>
                <w:sz w:val="16"/>
                <w:szCs w:val="16"/>
              </w:rPr>
              <w:t>5</w:t>
            </w:r>
          </w:p>
        </w:tc>
        <w:tc>
          <w:tcPr>
            <w:tcW w:w="0" w:type="auto"/>
            <w:shd w:val="clear" w:color="auto" w:fill="D9D9D9" w:themeFill="background1" w:themeFillShade="D9"/>
            <w:vAlign w:val="center"/>
          </w:tcPr>
          <w:p w:rsidR="00AF21C9" w:rsidRPr="00155F88" w:rsidRDefault="00AF21C9" w:rsidP="00AF21C9">
            <w:pPr>
              <w:widowControl w:val="0"/>
              <w:jc w:val="right"/>
              <w:rPr>
                <w:rFonts w:cs="Times New Roman"/>
                <w:b/>
                <w:sz w:val="16"/>
                <w:szCs w:val="16"/>
              </w:rPr>
            </w:pPr>
            <w:r w:rsidRPr="00155F88">
              <w:rPr>
                <w:rFonts w:cs="Times New Roman"/>
                <w:b/>
                <w:sz w:val="16"/>
                <w:szCs w:val="16"/>
              </w:rPr>
              <w:t>750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(±)-Ethylamphetamine</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1,750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0.60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3,000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(±)-MDPV</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(±)-Mephedrone</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(±)-Cathinone</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(±)-Methcathinone</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(±)-Methylone</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(±)-4-MEC</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(±)-Flephedrone</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(±)-Butylone</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mCPP</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(±)-Methedrone</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5-MeO-DiPT</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(±)-DOB</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2C-B</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DMT</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5,000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0.50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5,000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BZP</w:t>
            </w:r>
          </w:p>
        </w:tc>
        <w:tc>
          <w:tcPr>
            <w:tcW w:w="0" w:type="auto"/>
            <w:vAlign w:val="center"/>
          </w:tcPr>
          <w:p w:rsidR="00AF21C9" w:rsidRPr="00155F88" w:rsidRDefault="00AF21C9" w:rsidP="00AF21C9">
            <w:pPr>
              <w:widowControl w:val="0"/>
              <w:jc w:val="right"/>
              <w:rPr>
                <w:rFonts w:cs="Times New Roman"/>
                <w:b/>
                <w:i/>
                <w:sz w:val="16"/>
                <w:szCs w:val="16"/>
              </w:rPr>
            </w:pPr>
            <w:r w:rsidRPr="00155F88">
              <w:rPr>
                <w:rFonts w:cs="Times New Roman"/>
                <w:b/>
                <w:i/>
                <w:sz w:val="16"/>
                <w:szCs w:val="16"/>
              </w:rPr>
              <w:t xml:space="preserve">25  </w:t>
            </w:r>
          </w:p>
        </w:tc>
        <w:tc>
          <w:tcPr>
            <w:tcW w:w="0" w:type="auto"/>
            <w:vAlign w:val="center"/>
          </w:tcPr>
          <w:p w:rsidR="00AF21C9" w:rsidRPr="00155F88" w:rsidRDefault="00AF21C9" w:rsidP="00AF21C9">
            <w:pPr>
              <w:widowControl w:val="0"/>
              <w:jc w:val="right"/>
              <w:rPr>
                <w:rFonts w:cs="Times New Roman"/>
                <w:b/>
                <w:i/>
                <w:sz w:val="16"/>
                <w:szCs w:val="16"/>
              </w:rPr>
            </w:pPr>
            <w:r w:rsidRPr="00155F88">
              <w:rPr>
                <w:rFonts w:cs="Times New Roman"/>
                <w:b/>
                <w:i/>
                <w:sz w:val="16"/>
                <w:szCs w:val="16"/>
              </w:rPr>
              <w:t>100</w:t>
            </w:r>
          </w:p>
        </w:tc>
        <w:tc>
          <w:tcPr>
            <w:tcW w:w="0" w:type="auto"/>
            <w:vAlign w:val="center"/>
          </w:tcPr>
          <w:p w:rsidR="00AF21C9" w:rsidRPr="00155F88" w:rsidRDefault="00AF21C9" w:rsidP="00AF21C9">
            <w:pPr>
              <w:widowControl w:val="0"/>
              <w:jc w:val="right"/>
              <w:rPr>
                <w:rFonts w:cs="Times New Roman"/>
                <w:b/>
                <w:i/>
                <w:sz w:val="16"/>
                <w:szCs w:val="16"/>
              </w:rPr>
            </w:pPr>
            <w:r w:rsidRPr="00155F88">
              <w:rPr>
                <w:rFonts w:cs="Times New Roman"/>
                <w:b/>
                <w:i/>
                <w:sz w:val="16"/>
                <w:szCs w:val="16"/>
              </w:rPr>
              <w:t>35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AMT</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2C-I</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2C-T-7</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TFMPP</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r w:rsidR="00155F88" w:rsidRPr="00155F88" w:rsidTr="00F677A2">
        <w:trPr>
          <w:trHeight w:val="144"/>
        </w:trPr>
        <w:tc>
          <w:tcPr>
            <w:tcW w:w="0" w:type="auto"/>
            <w:vAlign w:val="center"/>
          </w:tcPr>
          <w:p w:rsidR="00AF21C9" w:rsidRPr="00155F88" w:rsidRDefault="00AF21C9" w:rsidP="00AF21C9">
            <w:pPr>
              <w:widowControl w:val="0"/>
              <w:rPr>
                <w:rFonts w:cs="Times New Roman"/>
                <w:b/>
                <w:sz w:val="16"/>
                <w:szCs w:val="16"/>
              </w:rPr>
            </w:pPr>
            <w:r w:rsidRPr="00155F88">
              <w:rPr>
                <w:rFonts w:cs="Times New Roman"/>
                <w:b/>
                <w:sz w:val="16"/>
                <w:szCs w:val="16"/>
              </w:rPr>
              <w:t>2C-T-4</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 xml:space="preserve">&gt; 10,000  </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0.25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0.5</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&lt; 0.1</w:t>
            </w:r>
          </w:p>
        </w:tc>
        <w:tc>
          <w:tcPr>
            <w:tcW w:w="0" w:type="auto"/>
            <w:vAlign w:val="center"/>
          </w:tcPr>
          <w:p w:rsidR="00AF21C9" w:rsidRPr="00155F88" w:rsidRDefault="00AF21C9" w:rsidP="00AF21C9">
            <w:pPr>
              <w:widowControl w:val="0"/>
              <w:jc w:val="right"/>
              <w:rPr>
                <w:rFonts w:cs="Times New Roman"/>
                <w:sz w:val="16"/>
                <w:szCs w:val="16"/>
              </w:rPr>
            </w:pPr>
            <w:r w:rsidRPr="00155F88">
              <w:rPr>
                <w:rFonts w:cs="Times New Roman"/>
                <w:sz w:val="16"/>
                <w:szCs w:val="16"/>
              </w:rPr>
              <w:t>&gt; 10,000</w:t>
            </w:r>
          </w:p>
        </w:tc>
      </w:tr>
    </w:tbl>
    <w:p w:rsidR="00AF21C9" w:rsidRPr="008469CD" w:rsidRDefault="00AF21C9" w:rsidP="00AF21C9">
      <w:pPr>
        <w:widowControl w:val="0"/>
        <w:spacing w:after="0"/>
        <w:rPr>
          <w:rFonts w:cs="Times New Roman"/>
          <w:sz w:val="18"/>
          <w:szCs w:val="18"/>
        </w:rPr>
      </w:pPr>
      <w:proofErr w:type="gramStart"/>
      <w:r w:rsidRPr="008469CD">
        <w:rPr>
          <w:rFonts w:cs="Times New Roman"/>
          <w:b/>
          <w:sz w:val="18"/>
          <w:szCs w:val="18"/>
          <w:vertAlign w:val="superscript"/>
        </w:rPr>
        <w:t>a</w:t>
      </w:r>
      <w:proofErr w:type="gramEnd"/>
      <w:r w:rsidRPr="008469CD">
        <w:rPr>
          <w:rFonts w:cs="Times New Roman"/>
          <w:sz w:val="18"/>
          <w:szCs w:val="18"/>
        </w:rPr>
        <w:t xml:space="preserve"> Concentration of the drug that produces an absorbance reading equivalent to the 25 ng/mL cut-off of the targeted analyte.</w:t>
      </w:r>
    </w:p>
    <w:p w:rsidR="00AF21C9" w:rsidRPr="008469CD" w:rsidRDefault="00AF21C9" w:rsidP="00AF21C9">
      <w:pPr>
        <w:widowControl w:val="0"/>
        <w:spacing w:after="0"/>
        <w:rPr>
          <w:rFonts w:cs="Times New Roman"/>
          <w:sz w:val="18"/>
          <w:szCs w:val="18"/>
        </w:rPr>
      </w:pPr>
      <w:proofErr w:type="gramStart"/>
      <w:r w:rsidRPr="008469CD">
        <w:rPr>
          <w:rFonts w:cs="Times New Roman"/>
          <w:b/>
          <w:sz w:val="18"/>
          <w:szCs w:val="18"/>
          <w:vertAlign w:val="superscript"/>
        </w:rPr>
        <w:t>b</w:t>
      </w:r>
      <w:proofErr w:type="gramEnd"/>
      <w:r w:rsidRPr="008469CD">
        <w:rPr>
          <w:rFonts w:cs="Times New Roman"/>
          <w:sz w:val="18"/>
          <w:szCs w:val="18"/>
        </w:rPr>
        <w:t xml:space="preserve"> Concentration of the drug that produces an absorbance reading equivalent to the 50 ng/mL cut-off of the targeted analyte.</w:t>
      </w:r>
    </w:p>
    <w:p w:rsidR="00AF21C9" w:rsidRPr="008469CD" w:rsidRDefault="00AF21C9" w:rsidP="00AF21C9">
      <w:pPr>
        <w:widowControl w:val="0"/>
        <w:spacing w:after="0"/>
        <w:rPr>
          <w:rFonts w:cs="Times New Roman"/>
          <w:sz w:val="18"/>
          <w:szCs w:val="18"/>
        </w:rPr>
      </w:pPr>
      <w:proofErr w:type="gramStart"/>
      <w:r w:rsidRPr="008469CD">
        <w:rPr>
          <w:rFonts w:cs="Times New Roman"/>
          <w:b/>
          <w:sz w:val="18"/>
          <w:szCs w:val="18"/>
          <w:vertAlign w:val="superscript"/>
        </w:rPr>
        <w:t>c</w:t>
      </w:r>
      <w:proofErr w:type="gramEnd"/>
      <w:r w:rsidRPr="008469CD">
        <w:rPr>
          <w:rFonts w:cs="Times New Roman"/>
          <w:sz w:val="18"/>
          <w:szCs w:val="18"/>
        </w:rPr>
        <w:t xml:space="preserve"> Concentration of the drug that produces an absorbance reading equivalent to the 10 ng/mL cut-off of the targeted analyte.</w:t>
      </w:r>
    </w:p>
    <w:p w:rsidR="00AF21C9" w:rsidRPr="008469CD" w:rsidRDefault="00AF21C9" w:rsidP="00AF21C9">
      <w:pPr>
        <w:widowControl w:val="0"/>
        <w:spacing w:after="0"/>
        <w:rPr>
          <w:rFonts w:cs="Times New Roman"/>
          <w:sz w:val="18"/>
          <w:szCs w:val="18"/>
        </w:rPr>
      </w:pPr>
      <w:r w:rsidRPr="008469CD">
        <w:rPr>
          <w:rFonts w:cs="Times New Roman"/>
          <w:sz w:val="18"/>
          <w:szCs w:val="18"/>
        </w:rPr>
        <w:t xml:space="preserve">Analytes demonstrating high cross-reactivity </w:t>
      </w:r>
      <w:proofErr w:type="gramStart"/>
      <w:r w:rsidRPr="008469CD">
        <w:rPr>
          <w:rFonts w:cs="Times New Roman"/>
          <w:sz w:val="18"/>
          <w:szCs w:val="18"/>
        </w:rPr>
        <w:t>are</w:t>
      </w:r>
      <w:proofErr w:type="gramEnd"/>
      <w:r w:rsidRPr="008469CD">
        <w:rPr>
          <w:rFonts w:cs="Times New Roman"/>
          <w:sz w:val="18"/>
          <w:szCs w:val="18"/>
        </w:rPr>
        <w:t xml:space="preserve"> </w:t>
      </w:r>
      <w:r w:rsidRPr="008469CD">
        <w:rPr>
          <w:rFonts w:cs="Times New Roman"/>
          <w:b/>
          <w:sz w:val="18"/>
          <w:szCs w:val="18"/>
          <w:shd w:val="clear" w:color="auto" w:fill="D9D9D9" w:themeFill="background1" w:themeFillShade="D9"/>
        </w:rPr>
        <w:t>highlighted and bolded</w:t>
      </w:r>
      <w:r w:rsidRPr="008469CD">
        <w:rPr>
          <w:rFonts w:cs="Times New Roman"/>
          <w:sz w:val="18"/>
          <w:szCs w:val="18"/>
        </w:rPr>
        <w:t>.</w:t>
      </w:r>
    </w:p>
    <w:p w:rsidR="00AF21C9" w:rsidRPr="008469CD" w:rsidRDefault="00AF21C9" w:rsidP="00AF21C9">
      <w:pPr>
        <w:widowControl w:val="0"/>
        <w:spacing w:after="0"/>
        <w:rPr>
          <w:rFonts w:cs="Times New Roman"/>
          <w:sz w:val="18"/>
          <w:szCs w:val="18"/>
        </w:rPr>
      </w:pPr>
      <w:r w:rsidRPr="008469CD">
        <w:rPr>
          <w:rFonts w:cs="Times New Roman"/>
          <w:sz w:val="18"/>
          <w:szCs w:val="18"/>
        </w:rPr>
        <w:t xml:space="preserve">The target analytes for each </w:t>
      </w:r>
      <w:r w:rsidR="00F066F5">
        <w:rPr>
          <w:rFonts w:cs="Times New Roman"/>
          <w:sz w:val="18"/>
          <w:szCs w:val="18"/>
        </w:rPr>
        <w:t>assay</w:t>
      </w:r>
      <w:r w:rsidRPr="008469CD">
        <w:rPr>
          <w:rFonts w:cs="Times New Roman"/>
          <w:sz w:val="18"/>
          <w:szCs w:val="18"/>
        </w:rPr>
        <w:t xml:space="preserve"> are </w:t>
      </w:r>
      <w:r w:rsidRPr="008469CD">
        <w:rPr>
          <w:rFonts w:cs="Times New Roman"/>
          <w:b/>
          <w:i/>
          <w:sz w:val="18"/>
          <w:szCs w:val="18"/>
        </w:rPr>
        <w:t>italicized and bolded</w:t>
      </w:r>
      <w:r w:rsidRPr="008469CD">
        <w:rPr>
          <w:rFonts w:cs="Times New Roman"/>
          <w:sz w:val="18"/>
          <w:szCs w:val="18"/>
        </w:rPr>
        <w:t>.</w:t>
      </w:r>
    </w:p>
    <w:p w:rsidR="00AF21C9" w:rsidRPr="00F97B2D" w:rsidRDefault="002E77C7" w:rsidP="00947051">
      <w:pPr>
        <w:pStyle w:val="Caption"/>
        <w:jc w:val="left"/>
      </w:pPr>
      <w:r>
        <w:fldChar w:fldCharType="begin"/>
      </w:r>
      <w:r>
        <w:instrText xml:space="preserve"> REF _Ref362528729 \h  \* MERGEFORMAT </w:instrText>
      </w:r>
      <w:r>
        <w:fldChar w:fldCharType="separate"/>
      </w:r>
      <w:r w:rsidR="00E37796" w:rsidRPr="00F97B2D">
        <w:t xml:space="preserve">Appendix </w:t>
      </w:r>
      <w:r w:rsidR="00E37796">
        <w:rPr>
          <w:noProof/>
        </w:rPr>
        <w:t>4</w:t>
      </w:r>
      <w:r w:rsidR="00E37796" w:rsidRPr="00F97B2D">
        <w:t>: Cross-Reactivity Data for ELISAs</w:t>
      </w:r>
      <w:r>
        <w:fldChar w:fldCharType="end"/>
      </w:r>
    </w:p>
    <w:p w:rsidR="00AF21C9" w:rsidRPr="00F97B2D" w:rsidRDefault="00AF21C9" w:rsidP="00947051">
      <w:pPr>
        <w:pStyle w:val="Caption"/>
        <w:jc w:val="left"/>
      </w:pPr>
      <w:r w:rsidRPr="00F97B2D">
        <w:t>Cross-Reactivity Data for Additional Randox and OraSure Assays</w:t>
      </w:r>
    </w:p>
    <w:tbl>
      <w:tblPr>
        <w:tblStyle w:val="TableGrid"/>
        <w:tblW w:w="0" w:type="auto"/>
        <w:tblCellMar>
          <w:left w:w="43" w:type="dxa"/>
          <w:right w:w="43" w:type="dxa"/>
        </w:tblCellMar>
        <w:tblLook w:val="04A0" w:firstRow="1" w:lastRow="0" w:firstColumn="1" w:lastColumn="0" w:noHBand="0" w:noVBand="1"/>
      </w:tblPr>
      <w:tblGrid>
        <w:gridCol w:w="1641"/>
        <w:gridCol w:w="657"/>
        <w:gridCol w:w="1086"/>
        <w:gridCol w:w="657"/>
        <w:gridCol w:w="657"/>
        <w:gridCol w:w="1086"/>
        <w:gridCol w:w="657"/>
        <w:gridCol w:w="657"/>
        <w:gridCol w:w="1086"/>
        <w:gridCol w:w="657"/>
        <w:gridCol w:w="657"/>
        <w:gridCol w:w="1086"/>
        <w:gridCol w:w="657"/>
      </w:tblGrid>
      <w:tr w:rsidR="00AF21C9" w:rsidRPr="00947051" w:rsidTr="00C67A58">
        <w:trPr>
          <w:tblHeader/>
        </w:trPr>
        <w:tc>
          <w:tcPr>
            <w:tcW w:w="0" w:type="auto"/>
            <w:vAlign w:val="center"/>
          </w:tcPr>
          <w:p w:rsidR="00AF21C9" w:rsidRPr="00947051" w:rsidRDefault="00AF21C9" w:rsidP="00AF21C9">
            <w:pPr>
              <w:widowControl w:val="0"/>
              <w:jc w:val="center"/>
              <w:rPr>
                <w:rFonts w:cs="Times New Roman"/>
                <w:b/>
                <w:sz w:val="16"/>
                <w:szCs w:val="16"/>
              </w:rPr>
            </w:pPr>
          </w:p>
        </w:tc>
        <w:tc>
          <w:tcPr>
            <w:tcW w:w="0" w:type="auto"/>
            <w:gridSpan w:val="6"/>
            <w:vAlign w:val="center"/>
          </w:tcPr>
          <w:p w:rsidR="00AF21C9" w:rsidRPr="00947051" w:rsidRDefault="00AF21C9" w:rsidP="00AF21C9">
            <w:pPr>
              <w:widowControl w:val="0"/>
              <w:jc w:val="center"/>
              <w:rPr>
                <w:rFonts w:cs="Times New Roman"/>
                <w:b/>
                <w:sz w:val="16"/>
                <w:szCs w:val="16"/>
              </w:rPr>
            </w:pPr>
            <w:r w:rsidRPr="00947051">
              <w:rPr>
                <w:rFonts w:cs="Times New Roman"/>
                <w:b/>
                <w:sz w:val="16"/>
                <w:szCs w:val="16"/>
              </w:rPr>
              <w:t>Randox</w:t>
            </w:r>
          </w:p>
        </w:tc>
        <w:tc>
          <w:tcPr>
            <w:tcW w:w="0" w:type="auto"/>
            <w:gridSpan w:val="6"/>
            <w:vAlign w:val="center"/>
          </w:tcPr>
          <w:p w:rsidR="00AF21C9" w:rsidRPr="00947051" w:rsidRDefault="00AF21C9" w:rsidP="00AF21C9">
            <w:pPr>
              <w:widowControl w:val="0"/>
              <w:jc w:val="center"/>
              <w:rPr>
                <w:rFonts w:cs="Times New Roman"/>
                <w:b/>
                <w:sz w:val="16"/>
                <w:szCs w:val="16"/>
              </w:rPr>
            </w:pPr>
            <w:r w:rsidRPr="00947051">
              <w:rPr>
                <w:rFonts w:cs="Times New Roman"/>
                <w:b/>
                <w:sz w:val="16"/>
                <w:szCs w:val="16"/>
              </w:rPr>
              <w:t>OraSure</w:t>
            </w:r>
          </w:p>
        </w:tc>
      </w:tr>
      <w:tr w:rsidR="00AF21C9" w:rsidRPr="00947051" w:rsidTr="00C67A58">
        <w:trPr>
          <w:tblHeader/>
        </w:trPr>
        <w:tc>
          <w:tcPr>
            <w:tcW w:w="0" w:type="auto"/>
            <w:vAlign w:val="center"/>
          </w:tcPr>
          <w:p w:rsidR="00AF21C9" w:rsidRPr="00947051" w:rsidRDefault="00AF21C9" w:rsidP="00AF21C9">
            <w:pPr>
              <w:widowControl w:val="0"/>
              <w:jc w:val="center"/>
              <w:rPr>
                <w:rFonts w:cs="Times New Roman"/>
                <w:b/>
                <w:sz w:val="16"/>
                <w:szCs w:val="16"/>
              </w:rPr>
            </w:pPr>
          </w:p>
        </w:tc>
        <w:tc>
          <w:tcPr>
            <w:tcW w:w="0" w:type="auto"/>
            <w:gridSpan w:val="3"/>
            <w:vAlign w:val="center"/>
          </w:tcPr>
          <w:p w:rsidR="00AF21C9" w:rsidRPr="00947051" w:rsidRDefault="00AF21C9" w:rsidP="00AF21C9">
            <w:pPr>
              <w:widowControl w:val="0"/>
              <w:jc w:val="center"/>
              <w:rPr>
                <w:rFonts w:cs="Times New Roman"/>
                <w:b/>
                <w:sz w:val="16"/>
                <w:szCs w:val="16"/>
              </w:rPr>
            </w:pPr>
            <w:r w:rsidRPr="00947051">
              <w:rPr>
                <w:rFonts w:cs="Times New Roman"/>
                <w:b/>
                <w:sz w:val="16"/>
                <w:szCs w:val="16"/>
              </w:rPr>
              <w:t>MDPV</w:t>
            </w:r>
          </w:p>
        </w:tc>
        <w:tc>
          <w:tcPr>
            <w:tcW w:w="0" w:type="auto"/>
            <w:gridSpan w:val="3"/>
            <w:vAlign w:val="center"/>
          </w:tcPr>
          <w:p w:rsidR="00AF21C9" w:rsidRPr="00947051" w:rsidRDefault="00AF21C9" w:rsidP="00AF21C9">
            <w:pPr>
              <w:widowControl w:val="0"/>
              <w:jc w:val="center"/>
              <w:rPr>
                <w:rFonts w:cs="Times New Roman"/>
                <w:b/>
                <w:sz w:val="16"/>
                <w:szCs w:val="16"/>
              </w:rPr>
            </w:pPr>
            <w:r w:rsidRPr="00947051">
              <w:rPr>
                <w:rFonts w:cs="Times New Roman"/>
                <w:b/>
                <w:sz w:val="16"/>
                <w:szCs w:val="16"/>
              </w:rPr>
              <w:t>Mephedrone/Methcathinone</w:t>
            </w:r>
          </w:p>
        </w:tc>
        <w:tc>
          <w:tcPr>
            <w:tcW w:w="0" w:type="auto"/>
            <w:gridSpan w:val="3"/>
            <w:vAlign w:val="center"/>
          </w:tcPr>
          <w:p w:rsidR="00AF21C9" w:rsidRPr="00947051" w:rsidRDefault="00AF21C9" w:rsidP="00AF21C9">
            <w:pPr>
              <w:widowControl w:val="0"/>
              <w:jc w:val="center"/>
              <w:rPr>
                <w:rFonts w:cs="Times New Roman"/>
                <w:b/>
                <w:sz w:val="16"/>
                <w:szCs w:val="16"/>
              </w:rPr>
            </w:pPr>
            <w:r w:rsidRPr="00947051">
              <w:rPr>
                <w:rFonts w:cs="Times New Roman"/>
                <w:b/>
                <w:sz w:val="16"/>
                <w:szCs w:val="16"/>
              </w:rPr>
              <w:t>PCP</w:t>
            </w:r>
          </w:p>
        </w:tc>
        <w:tc>
          <w:tcPr>
            <w:tcW w:w="0" w:type="auto"/>
            <w:gridSpan w:val="3"/>
            <w:vAlign w:val="center"/>
          </w:tcPr>
          <w:p w:rsidR="00AF21C9" w:rsidRPr="00947051" w:rsidRDefault="00AF21C9" w:rsidP="00AF21C9">
            <w:pPr>
              <w:widowControl w:val="0"/>
              <w:jc w:val="center"/>
              <w:rPr>
                <w:rFonts w:cs="Times New Roman"/>
                <w:b/>
                <w:sz w:val="16"/>
                <w:szCs w:val="16"/>
              </w:rPr>
            </w:pPr>
            <w:r w:rsidRPr="00947051">
              <w:rPr>
                <w:rFonts w:cs="Times New Roman"/>
                <w:b/>
                <w:sz w:val="16"/>
                <w:szCs w:val="16"/>
              </w:rPr>
              <w:t>Cotinine</w:t>
            </w:r>
          </w:p>
        </w:tc>
      </w:tr>
      <w:tr w:rsidR="00AF21C9" w:rsidRPr="00947051" w:rsidTr="00C67A58">
        <w:trPr>
          <w:tblHeader/>
        </w:trPr>
        <w:tc>
          <w:tcPr>
            <w:tcW w:w="0" w:type="auto"/>
            <w:vAlign w:val="center"/>
          </w:tcPr>
          <w:p w:rsidR="00AF21C9" w:rsidRPr="00947051" w:rsidRDefault="00AF21C9" w:rsidP="00AF21C9">
            <w:pPr>
              <w:widowControl w:val="0"/>
              <w:jc w:val="center"/>
              <w:rPr>
                <w:rFonts w:eastAsiaTheme="majorEastAsia" w:cs="Times New Roman"/>
                <w:b/>
                <w:bCs/>
                <w:color w:val="365F91" w:themeColor="accent1" w:themeShade="BF"/>
                <w:sz w:val="16"/>
                <w:szCs w:val="16"/>
              </w:rPr>
            </w:pPr>
            <w:r w:rsidRPr="00947051">
              <w:rPr>
                <w:rFonts w:cs="Times New Roman"/>
                <w:b/>
                <w:sz w:val="16"/>
                <w:szCs w:val="16"/>
              </w:rPr>
              <w:t>Drug</w:t>
            </w:r>
          </w:p>
        </w:tc>
        <w:tc>
          <w:tcPr>
            <w:tcW w:w="0" w:type="auto"/>
            <w:vAlign w:val="center"/>
          </w:tcPr>
          <w:p w:rsidR="00AF21C9" w:rsidRPr="00947051" w:rsidRDefault="00AF21C9" w:rsidP="00AF21C9">
            <w:pPr>
              <w:widowControl w:val="0"/>
              <w:jc w:val="center"/>
              <w:rPr>
                <w:rFonts w:eastAsiaTheme="majorEastAsia" w:cs="Times New Roman"/>
                <w:b/>
                <w:bCs/>
                <w:color w:val="365F91" w:themeColor="accent1" w:themeShade="BF"/>
                <w:sz w:val="16"/>
                <w:szCs w:val="16"/>
                <w:vertAlign w:val="superscript"/>
              </w:rPr>
            </w:pPr>
            <w:r w:rsidRPr="00947051">
              <w:rPr>
                <w:rFonts w:cs="Times New Roman"/>
                <w:b/>
                <w:sz w:val="16"/>
                <w:szCs w:val="16"/>
              </w:rPr>
              <w:t>C</w:t>
            </w:r>
            <w:r w:rsidRPr="00947051">
              <w:rPr>
                <w:rFonts w:cs="Times New Roman"/>
                <w:b/>
                <w:sz w:val="16"/>
                <w:szCs w:val="16"/>
                <w:vertAlign w:val="subscript"/>
              </w:rPr>
              <w:t>10</w:t>
            </w:r>
            <w:r w:rsidRPr="00947051">
              <w:rPr>
                <w:rFonts w:cs="Times New Roman"/>
                <w:b/>
                <w:sz w:val="16"/>
                <w:szCs w:val="16"/>
                <w:vertAlign w:val="superscript"/>
              </w:rPr>
              <w:t>a</w:t>
            </w:r>
          </w:p>
          <w:p w:rsidR="00AF21C9" w:rsidRPr="00947051" w:rsidRDefault="00AF21C9" w:rsidP="00AF21C9">
            <w:pPr>
              <w:widowControl w:val="0"/>
              <w:jc w:val="center"/>
              <w:rPr>
                <w:rFonts w:eastAsiaTheme="majorEastAsia" w:cs="Times New Roman"/>
                <w:b/>
                <w:bCs/>
                <w:color w:val="365F91" w:themeColor="accent1" w:themeShade="BF"/>
                <w:sz w:val="16"/>
                <w:szCs w:val="16"/>
              </w:rPr>
            </w:pPr>
            <w:r w:rsidRPr="00947051">
              <w:rPr>
                <w:rFonts w:cs="Times New Roman"/>
                <w:b/>
                <w:sz w:val="16"/>
                <w:szCs w:val="16"/>
              </w:rPr>
              <w:t>(ng/mL)</w:t>
            </w:r>
          </w:p>
        </w:tc>
        <w:tc>
          <w:tcPr>
            <w:tcW w:w="0" w:type="auto"/>
            <w:vAlign w:val="center"/>
          </w:tcPr>
          <w:p w:rsidR="00AF21C9" w:rsidRPr="00947051" w:rsidRDefault="00AF21C9" w:rsidP="00AF21C9">
            <w:pPr>
              <w:widowControl w:val="0"/>
              <w:jc w:val="center"/>
              <w:rPr>
                <w:rFonts w:eastAsiaTheme="majorEastAsia" w:cs="Times New Roman"/>
                <w:b/>
                <w:bCs/>
                <w:color w:val="365F91" w:themeColor="accent1" w:themeShade="BF"/>
                <w:sz w:val="16"/>
                <w:szCs w:val="16"/>
              </w:rPr>
            </w:pPr>
            <w:r w:rsidRPr="00947051">
              <w:rPr>
                <w:rFonts w:cs="Times New Roman"/>
                <w:b/>
                <w:sz w:val="16"/>
                <w:szCs w:val="16"/>
              </w:rPr>
              <w:t>Cross-</w:t>
            </w:r>
          </w:p>
          <w:p w:rsidR="00AF21C9" w:rsidRPr="00947051" w:rsidRDefault="00AF21C9" w:rsidP="00AF21C9">
            <w:pPr>
              <w:widowControl w:val="0"/>
              <w:jc w:val="center"/>
              <w:rPr>
                <w:rFonts w:eastAsiaTheme="majorEastAsia" w:cs="Times New Roman"/>
                <w:b/>
                <w:bCs/>
                <w:color w:val="365F91" w:themeColor="accent1" w:themeShade="BF"/>
                <w:sz w:val="16"/>
                <w:szCs w:val="16"/>
              </w:rPr>
            </w:pPr>
            <w:r w:rsidRPr="00947051">
              <w:rPr>
                <w:rFonts w:cs="Times New Roman"/>
                <w:b/>
                <w:sz w:val="16"/>
                <w:szCs w:val="16"/>
              </w:rPr>
              <w:t>Reactivity (%)</w:t>
            </w:r>
          </w:p>
        </w:tc>
        <w:tc>
          <w:tcPr>
            <w:tcW w:w="0" w:type="auto"/>
            <w:vAlign w:val="center"/>
          </w:tcPr>
          <w:p w:rsidR="00AF21C9" w:rsidRPr="00947051" w:rsidRDefault="00AF21C9" w:rsidP="00AF21C9">
            <w:pPr>
              <w:widowControl w:val="0"/>
              <w:jc w:val="center"/>
              <w:rPr>
                <w:rFonts w:eastAsiaTheme="majorEastAsia" w:cs="Times New Roman"/>
                <w:b/>
                <w:bCs/>
                <w:color w:val="365F91" w:themeColor="accent1" w:themeShade="BF"/>
                <w:sz w:val="16"/>
                <w:szCs w:val="16"/>
              </w:rPr>
            </w:pPr>
            <w:r w:rsidRPr="00947051">
              <w:rPr>
                <w:rFonts w:cs="Times New Roman"/>
                <w:b/>
                <w:sz w:val="16"/>
                <w:szCs w:val="16"/>
              </w:rPr>
              <w:t>EC</w:t>
            </w:r>
            <w:r w:rsidRPr="00947051">
              <w:rPr>
                <w:rFonts w:cs="Times New Roman"/>
                <w:b/>
                <w:sz w:val="16"/>
                <w:szCs w:val="16"/>
                <w:vertAlign w:val="subscript"/>
              </w:rPr>
              <w:t>50</w:t>
            </w:r>
          </w:p>
          <w:p w:rsidR="00AF21C9" w:rsidRPr="00947051" w:rsidRDefault="00AF21C9" w:rsidP="00AF21C9">
            <w:pPr>
              <w:widowControl w:val="0"/>
              <w:jc w:val="center"/>
              <w:rPr>
                <w:rFonts w:eastAsiaTheme="majorEastAsia" w:cs="Times New Roman"/>
                <w:b/>
                <w:bCs/>
                <w:color w:val="365F91" w:themeColor="accent1" w:themeShade="BF"/>
                <w:sz w:val="16"/>
                <w:szCs w:val="16"/>
              </w:rPr>
            </w:pPr>
            <w:r w:rsidRPr="00947051">
              <w:rPr>
                <w:rFonts w:cs="Times New Roman"/>
                <w:b/>
                <w:sz w:val="16"/>
                <w:szCs w:val="16"/>
              </w:rPr>
              <w:t>(ng/mL)</w:t>
            </w:r>
          </w:p>
        </w:tc>
        <w:tc>
          <w:tcPr>
            <w:tcW w:w="0" w:type="auto"/>
            <w:vAlign w:val="center"/>
          </w:tcPr>
          <w:p w:rsidR="00AF21C9" w:rsidRPr="00947051" w:rsidRDefault="00AF21C9" w:rsidP="00AF21C9">
            <w:pPr>
              <w:widowControl w:val="0"/>
              <w:jc w:val="center"/>
              <w:rPr>
                <w:rFonts w:eastAsiaTheme="majorEastAsia" w:cs="Times New Roman"/>
                <w:b/>
                <w:bCs/>
                <w:color w:val="365F91" w:themeColor="accent1" w:themeShade="BF"/>
                <w:sz w:val="16"/>
                <w:szCs w:val="16"/>
                <w:vertAlign w:val="superscript"/>
              </w:rPr>
            </w:pPr>
            <w:r w:rsidRPr="00947051">
              <w:rPr>
                <w:rFonts w:cs="Times New Roman"/>
                <w:b/>
                <w:sz w:val="16"/>
                <w:szCs w:val="16"/>
              </w:rPr>
              <w:t>C</w:t>
            </w:r>
            <w:r w:rsidRPr="00947051">
              <w:rPr>
                <w:rFonts w:cs="Times New Roman"/>
                <w:b/>
                <w:sz w:val="16"/>
                <w:szCs w:val="16"/>
                <w:vertAlign w:val="subscript"/>
              </w:rPr>
              <w:t>1.25</w:t>
            </w:r>
            <w:r w:rsidRPr="00947051">
              <w:rPr>
                <w:rFonts w:cs="Times New Roman"/>
                <w:b/>
                <w:sz w:val="16"/>
                <w:szCs w:val="16"/>
                <w:vertAlign w:val="superscript"/>
              </w:rPr>
              <w:t>b</w:t>
            </w:r>
          </w:p>
          <w:p w:rsidR="00AF21C9" w:rsidRPr="00947051" w:rsidRDefault="00AF21C9" w:rsidP="00AF21C9">
            <w:pPr>
              <w:widowControl w:val="0"/>
              <w:jc w:val="center"/>
              <w:rPr>
                <w:rFonts w:eastAsiaTheme="majorEastAsia" w:cs="Times New Roman"/>
                <w:b/>
                <w:bCs/>
                <w:color w:val="365F91" w:themeColor="accent1" w:themeShade="BF"/>
                <w:sz w:val="16"/>
                <w:szCs w:val="16"/>
              </w:rPr>
            </w:pPr>
            <w:r w:rsidRPr="00947051">
              <w:rPr>
                <w:rFonts w:cs="Times New Roman"/>
                <w:b/>
                <w:sz w:val="16"/>
                <w:szCs w:val="16"/>
              </w:rPr>
              <w:t>(ng/mL)</w:t>
            </w:r>
          </w:p>
        </w:tc>
        <w:tc>
          <w:tcPr>
            <w:tcW w:w="0" w:type="auto"/>
            <w:vAlign w:val="center"/>
          </w:tcPr>
          <w:p w:rsidR="00AF21C9" w:rsidRPr="00947051" w:rsidRDefault="00AF21C9" w:rsidP="00AF21C9">
            <w:pPr>
              <w:widowControl w:val="0"/>
              <w:jc w:val="center"/>
              <w:rPr>
                <w:rFonts w:eastAsiaTheme="majorEastAsia" w:cs="Times New Roman"/>
                <w:b/>
                <w:bCs/>
                <w:color w:val="365F91" w:themeColor="accent1" w:themeShade="BF"/>
                <w:sz w:val="16"/>
                <w:szCs w:val="16"/>
              </w:rPr>
            </w:pPr>
            <w:r w:rsidRPr="00947051">
              <w:rPr>
                <w:rFonts w:cs="Times New Roman"/>
                <w:b/>
                <w:sz w:val="16"/>
                <w:szCs w:val="16"/>
              </w:rPr>
              <w:t>Cross-</w:t>
            </w:r>
          </w:p>
          <w:p w:rsidR="00AF21C9" w:rsidRPr="00947051" w:rsidRDefault="00AF21C9" w:rsidP="00AF21C9">
            <w:pPr>
              <w:widowControl w:val="0"/>
              <w:jc w:val="center"/>
              <w:rPr>
                <w:rFonts w:eastAsiaTheme="majorEastAsia" w:cs="Times New Roman"/>
                <w:b/>
                <w:bCs/>
                <w:color w:val="365F91" w:themeColor="accent1" w:themeShade="BF"/>
                <w:sz w:val="16"/>
                <w:szCs w:val="16"/>
              </w:rPr>
            </w:pPr>
            <w:r w:rsidRPr="00947051">
              <w:rPr>
                <w:rFonts w:cs="Times New Roman"/>
                <w:b/>
                <w:sz w:val="16"/>
                <w:szCs w:val="16"/>
              </w:rPr>
              <w:t>Reactivity (%)</w:t>
            </w:r>
          </w:p>
        </w:tc>
        <w:tc>
          <w:tcPr>
            <w:tcW w:w="0" w:type="auto"/>
            <w:vAlign w:val="center"/>
          </w:tcPr>
          <w:p w:rsidR="00AF21C9" w:rsidRPr="00947051" w:rsidRDefault="00AF21C9" w:rsidP="00AF21C9">
            <w:pPr>
              <w:widowControl w:val="0"/>
              <w:jc w:val="center"/>
              <w:rPr>
                <w:rFonts w:eastAsiaTheme="majorEastAsia" w:cs="Times New Roman"/>
                <w:b/>
                <w:bCs/>
                <w:color w:val="365F91" w:themeColor="accent1" w:themeShade="BF"/>
                <w:sz w:val="16"/>
                <w:szCs w:val="16"/>
              </w:rPr>
            </w:pPr>
            <w:r w:rsidRPr="00947051">
              <w:rPr>
                <w:rFonts w:cs="Times New Roman"/>
                <w:b/>
                <w:sz w:val="16"/>
                <w:szCs w:val="16"/>
              </w:rPr>
              <w:t>EC</w:t>
            </w:r>
            <w:r w:rsidRPr="00947051">
              <w:rPr>
                <w:rFonts w:cs="Times New Roman"/>
                <w:b/>
                <w:sz w:val="16"/>
                <w:szCs w:val="16"/>
                <w:vertAlign w:val="subscript"/>
              </w:rPr>
              <w:t>50</w:t>
            </w:r>
          </w:p>
          <w:p w:rsidR="00AF21C9" w:rsidRPr="00947051" w:rsidRDefault="00AF21C9" w:rsidP="00AF21C9">
            <w:pPr>
              <w:widowControl w:val="0"/>
              <w:jc w:val="center"/>
              <w:rPr>
                <w:rFonts w:eastAsiaTheme="majorEastAsia" w:cs="Times New Roman"/>
                <w:b/>
                <w:bCs/>
                <w:color w:val="365F91" w:themeColor="accent1" w:themeShade="BF"/>
                <w:sz w:val="16"/>
                <w:szCs w:val="16"/>
              </w:rPr>
            </w:pPr>
            <w:r w:rsidRPr="00947051">
              <w:rPr>
                <w:rFonts w:cs="Times New Roman"/>
                <w:b/>
                <w:sz w:val="16"/>
                <w:szCs w:val="16"/>
              </w:rPr>
              <w:t>(ng/mL)</w:t>
            </w:r>
          </w:p>
        </w:tc>
        <w:tc>
          <w:tcPr>
            <w:tcW w:w="0" w:type="auto"/>
            <w:vAlign w:val="center"/>
          </w:tcPr>
          <w:p w:rsidR="00AF21C9" w:rsidRPr="00947051" w:rsidRDefault="00AF21C9" w:rsidP="00AF21C9">
            <w:pPr>
              <w:widowControl w:val="0"/>
              <w:jc w:val="center"/>
              <w:rPr>
                <w:rFonts w:eastAsiaTheme="majorEastAsia" w:cs="Times New Roman"/>
                <w:b/>
                <w:bCs/>
                <w:color w:val="365F91" w:themeColor="accent1" w:themeShade="BF"/>
                <w:sz w:val="16"/>
                <w:szCs w:val="16"/>
                <w:vertAlign w:val="superscript"/>
              </w:rPr>
            </w:pPr>
            <w:r w:rsidRPr="00947051">
              <w:rPr>
                <w:rFonts w:cs="Times New Roman"/>
                <w:b/>
                <w:sz w:val="16"/>
                <w:szCs w:val="16"/>
              </w:rPr>
              <w:t>C</w:t>
            </w:r>
            <w:r w:rsidRPr="00947051">
              <w:rPr>
                <w:rFonts w:cs="Times New Roman"/>
                <w:b/>
                <w:sz w:val="16"/>
                <w:szCs w:val="16"/>
                <w:vertAlign w:val="subscript"/>
              </w:rPr>
              <w:t>20</w:t>
            </w:r>
            <w:r w:rsidRPr="00947051">
              <w:rPr>
                <w:rFonts w:cs="Times New Roman"/>
                <w:b/>
                <w:sz w:val="16"/>
                <w:szCs w:val="16"/>
                <w:vertAlign w:val="superscript"/>
              </w:rPr>
              <w:t>c</w:t>
            </w:r>
          </w:p>
          <w:p w:rsidR="00AF21C9" w:rsidRPr="00947051" w:rsidRDefault="00AF21C9" w:rsidP="00AF21C9">
            <w:pPr>
              <w:widowControl w:val="0"/>
              <w:jc w:val="center"/>
              <w:rPr>
                <w:rFonts w:eastAsiaTheme="majorEastAsia" w:cs="Times New Roman"/>
                <w:b/>
                <w:bCs/>
                <w:color w:val="365F91" w:themeColor="accent1" w:themeShade="BF"/>
                <w:sz w:val="16"/>
                <w:szCs w:val="16"/>
              </w:rPr>
            </w:pPr>
            <w:r w:rsidRPr="00947051">
              <w:rPr>
                <w:rFonts w:cs="Times New Roman"/>
                <w:b/>
                <w:sz w:val="16"/>
                <w:szCs w:val="16"/>
              </w:rPr>
              <w:t>(ng/mL)</w:t>
            </w:r>
          </w:p>
        </w:tc>
        <w:tc>
          <w:tcPr>
            <w:tcW w:w="0" w:type="auto"/>
            <w:vAlign w:val="center"/>
          </w:tcPr>
          <w:p w:rsidR="00AF21C9" w:rsidRPr="00947051" w:rsidRDefault="00AF21C9" w:rsidP="00AF21C9">
            <w:pPr>
              <w:widowControl w:val="0"/>
              <w:jc w:val="center"/>
              <w:rPr>
                <w:rFonts w:eastAsiaTheme="majorEastAsia" w:cs="Times New Roman"/>
                <w:b/>
                <w:bCs/>
                <w:color w:val="365F91" w:themeColor="accent1" w:themeShade="BF"/>
                <w:sz w:val="16"/>
                <w:szCs w:val="16"/>
              </w:rPr>
            </w:pPr>
            <w:r w:rsidRPr="00947051">
              <w:rPr>
                <w:rFonts w:cs="Times New Roman"/>
                <w:b/>
                <w:sz w:val="16"/>
                <w:szCs w:val="16"/>
              </w:rPr>
              <w:t>Cross-</w:t>
            </w:r>
          </w:p>
          <w:p w:rsidR="00AF21C9" w:rsidRPr="00947051" w:rsidRDefault="00AF21C9" w:rsidP="00AF21C9">
            <w:pPr>
              <w:widowControl w:val="0"/>
              <w:jc w:val="center"/>
              <w:rPr>
                <w:rFonts w:eastAsiaTheme="majorEastAsia" w:cs="Times New Roman"/>
                <w:b/>
                <w:bCs/>
                <w:color w:val="365F91" w:themeColor="accent1" w:themeShade="BF"/>
                <w:sz w:val="16"/>
                <w:szCs w:val="16"/>
              </w:rPr>
            </w:pPr>
            <w:r w:rsidRPr="00947051">
              <w:rPr>
                <w:rFonts w:cs="Times New Roman"/>
                <w:b/>
                <w:sz w:val="16"/>
                <w:szCs w:val="16"/>
              </w:rPr>
              <w:t>Reactivity (%)</w:t>
            </w:r>
          </w:p>
        </w:tc>
        <w:tc>
          <w:tcPr>
            <w:tcW w:w="0" w:type="auto"/>
            <w:vAlign w:val="center"/>
          </w:tcPr>
          <w:p w:rsidR="00AF21C9" w:rsidRPr="00947051" w:rsidRDefault="00AF21C9" w:rsidP="00AF21C9">
            <w:pPr>
              <w:widowControl w:val="0"/>
              <w:jc w:val="center"/>
              <w:rPr>
                <w:rFonts w:eastAsiaTheme="majorEastAsia" w:cs="Times New Roman"/>
                <w:b/>
                <w:bCs/>
                <w:color w:val="365F91" w:themeColor="accent1" w:themeShade="BF"/>
                <w:sz w:val="16"/>
                <w:szCs w:val="16"/>
              </w:rPr>
            </w:pPr>
            <w:r w:rsidRPr="00947051">
              <w:rPr>
                <w:rFonts w:cs="Times New Roman"/>
                <w:b/>
                <w:sz w:val="16"/>
                <w:szCs w:val="16"/>
              </w:rPr>
              <w:t>EC</w:t>
            </w:r>
            <w:r w:rsidRPr="00947051">
              <w:rPr>
                <w:rFonts w:cs="Times New Roman"/>
                <w:b/>
                <w:sz w:val="16"/>
                <w:szCs w:val="16"/>
                <w:vertAlign w:val="subscript"/>
              </w:rPr>
              <w:t>50</w:t>
            </w:r>
          </w:p>
          <w:p w:rsidR="00AF21C9" w:rsidRPr="00947051" w:rsidRDefault="00AF21C9" w:rsidP="00AF21C9">
            <w:pPr>
              <w:widowControl w:val="0"/>
              <w:jc w:val="center"/>
              <w:rPr>
                <w:rFonts w:eastAsiaTheme="majorEastAsia" w:cs="Times New Roman"/>
                <w:b/>
                <w:bCs/>
                <w:color w:val="365F91" w:themeColor="accent1" w:themeShade="BF"/>
                <w:sz w:val="16"/>
                <w:szCs w:val="16"/>
              </w:rPr>
            </w:pPr>
            <w:r w:rsidRPr="00947051">
              <w:rPr>
                <w:rFonts w:cs="Times New Roman"/>
                <w:b/>
                <w:sz w:val="16"/>
                <w:szCs w:val="16"/>
              </w:rPr>
              <w:t>(ng/mL)</w:t>
            </w:r>
          </w:p>
        </w:tc>
        <w:tc>
          <w:tcPr>
            <w:tcW w:w="0" w:type="auto"/>
            <w:vAlign w:val="center"/>
          </w:tcPr>
          <w:p w:rsidR="00AF21C9" w:rsidRPr="00947051" w:rsidRDefault="00AF21C9" w:rsidP="00AF21C9">
            <w:pPr>
              <w:widowControl w:val="0"/>
              <w:jc w:val="center"/>
              <w:rPr>
                <w:rFonts w:eastAsiaTheme="majorEastAsia" w:cs="Times New Roman"/>
                <w:b/>
                <w:bCs/>
                <w:color w:val="365F91" w:themeColor="accent1" w:themeShade="BF"/>
                <w:sz w:val="16"/>
                <w:szCs w:val="16"/>
                <w:vertAlign w:val="superscript"/>
              </w:rPr>
            </w:pPr>
            <w:r w:rsidRPr="00947051">
              <w:rPr>
                <w:rFonts w:cs="Times New Roman"/>
                <w:b/>
                <w:sz w:val="16"/>
                <w:szCs w:val="16"/>
              </w:rPr>
              <w:t>C</w:t>
            </w:r>
            <w:r w:rsidRPr="00947051">
              <w:rPr>
                <w:rFonts w:cs="Times New Roman"/>
                <w:b/>
                <w:sz w:val="16"/>
                <w:szCs w:val="16"/>
                <w:vertAlign w:val="subscript"/>
              </w:rPr>
              <w:t>100</w:t>
            </w:r>
            <w:r w:rsidRPr="00947051">
              <w:rPr>
                <w:rFonts w:cs="Times New Roman"/>
                <w:b/>
                <w:sz w:val="16"/>
                <w:szCs w:val="16"/>
                <w:vertAlign w:val="superscript"/>
              </w:rPr>
              <w:t>d</w:t>
            </w:r>
          </w:p>
          <w:p w:rsidR="00AF21C9" w:rsidRPr="00947051" w:rsidRDefault="00AF21C9" w:rsidP="00AF21C9">
            <w:pPr>
              <w:widowControl w:val="0"/>
              <w:jc w:val="center"/>
              <w:rPr>
                <w:rFonts w:eastAsiaTheme="majorEastAsia" w:cs="Times New Roman"/>
                <w:b/>
                <w:bCs/>
                <w:color w:val="365F91" w:themeColor="accent1" w:themeShade="BF"/>
                <w:sz w:val="16"/>
                <w:szCs w:val="16"/>
              </w:rPr>
            </w:pPr>
            <w:r w:rsidRPr="00947051">
              <w:rPr>
                <w:rFonts w:cs="Times New Roman"/>
                <w:b/>
                <w:sz w:val="16"/>
                <w:szCs w:val="16"/>
              </w:rPr>
              <w:t>(ng/mL)</w:t>
            </w:r>
          </w:p>
        </w:tc>
        <w:tc>
          <w:tcPr>
            <w:tcW w:w="0" w:type="auto"/>
            <w:vAlign w:val="center"/>
          </w:tcPr>
          <w:p w:rsidR="00AF21C9" w:rsidRPr="00947051" w:rsidRDefault="00AF21C9" w:rsidP="00AF21C9">
            <w:pPr>
              <w:widowControl w:val="0"/>
              <w:jc w:val="center"/>
              <w:rPr>
                <w:rFonts w:eastAsiaTheme="majorEastAsia" w:cs="Times New Roman"/>
                <w:b/>
                <w:bCs/>
                <w:color w:val="365F91" w:themeColor="accent1" w:themeShade="BF"/>
                <w:sz w:val="16"/>
                <w:szCs w:val="16"/>
              </w:rPr>
            </w:pPr>
            <w:r w:rsidRPr="00947051">
              <w:rPr>
                <w:rFonts w:cs="Times New Roman"/>
                <w:b/>
                <w:sz w:val="16"/>
                <w:szCs w:val="16"/>
              </w:rPr>
              <w:t>Cross-</w:t>
            </w:r>
          </w:p>
          <w:p w:rsidR="00AF21C9" w:rsidRPr="00947051" w:rsidRDefault="00AF21C9" w:rsidP="00AF21C9">
            <w:pPr>
              <w:widowControl w:val="0"/>
              <w:jc w:val="center"/>
              <w:rPr>
                <w:rFonts w:eastAsiaTheme="majorEastAsia" w:cs="Times New Roman"/>
                <w:b/>
                <w:bCs/>
                <w:color w:val="365F91" w:themeColor="accent1" w:themeShade="BF"/>
                <w:sz w:val="16"/>
                <w:szCs w:val="16"/>
              </w:rPr>
            </w:pPr>
            <w:r w:rsidRPr="00947051">
              <w:rPr>
                <w:rFonts w:cs="Times New Roman"/>
                <w:b/>
                <w:sz w:val="16"/>
                <w:szCs w:val="16"/>
              </w:rPr>
              <w:t>Reactivity (%)</w:t>
            </w:r>
          </w:p>
        </w:tc>
        <w:tc>
          <w:tcPr>
            <w:tcW w:w="0" w:type="auto"/>
            <w:vAlign w:val="center"/>
          </w:tcPr>
          <w:p w:rsidR="00AF21C9" w:rsidRPr="00947051" w:rsidRDefault="00AF21C9" w:rsidP="00AF21C9">
            <w:pPr>
              <w:widowControl w:val="0"/>
              <w:jc w:val="center"/>
              <w:rPr>
                <w:rFonts w:eastAsiaTheme="majorEastAsia" w:cs="Times New Roman"/>
                <w:b/>
                <w:bCs/>
                <w:color w:val="365F91" w:themeColor="accent1" w:themeShade="BF"/>
                <w:sz w:val="16"/>
                <w:szCs w:val="16"/>
              </w:rPr>
            </w:pPr>
            <w:r w:rsidRPr="00947051">
              <w:rPr>
                <w:rFonts w:cs="Times New Roman"/>
                <w:b/>
                <w:sz w:val="16"/>
                <w:szCs w:val="16"/>
              </w:rPr>
              <w:t>EC</w:t>
            </w:r>
            <w:r w:rsidRPr="00947051">
              <w:rPr>
                <w:rFonts w:cs="Times New Roman"/>
                <w:b/>
                <w:sz w:val="16"/>
                <w:szCs w:val="16"/>
                <w:vertAlign w:val="subscript"/>
              </w:rPr>
              <w:t>50</w:t>
            </w:r>
          </w:p>
          <w:p w:rsidR="00AF21C9" w:rsidRPr="00947051" w:rsidRDefault="00AF21C9" w:rsidP="00AF21C9">
            <w:pPr>
              <w:widowControl w:val="0"/>
              <w:jc w:val="center"/>
              <w:rPr>
                <w:rFonts w:eastAsiaTheme="majorEastAsia" w:cs="Times New Roman"/>
                <w:b/>
                <w:bCs/>
                <w:color w:val="365F91" w:themeColor="accent1" w:themeShade="BF"/>
                <w:sz w:val="16"/>
                <w:szCs w:val="16"/>
              </w:rPr>
            </w:pPr>
            <w:r w:rsidRPr="00947051">
              <w:rPr>
                <w:rFonts w:cs="Times New Roman"/>
                <w:b/>
                <w:sz w:val="16"/>
                <w:szCs w:val="16"/>
              </w:rPr>
              <w:t>(ng/mL)</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i/>
                <w:color w:val="365F91" w:themeColor="accent1" w:themeShade="BF"/>
                <w:sz w:val="16"/>
                <w:szCs w:val="16"/>
              </w:rPr>
            </w:pPr>
            <w:r w:rsidRPr="00947051">
              <w:rPr>
                <w:rFonts w:cs="Times New Roman"/>
                <w:b/>
                <w:sz w:val="16"/>
                <w:szCs w:val="16"/>
              </w:rPr>
              <w:t>(±)-Amphetamine</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0.0125</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365F91" w:themeColor="accent1" w:themeShade="BF"/>
                <w:sz w:val="16"/>
                <w:szCs w:val="16"/>
              </w:rPr>
            </w:pPr>
            <w:r w:rsidRPr="00947051">
              <w:rPr>
                <w:rFonts w:cs="Times New Roman"/>
                <w:b/>
                <w:sz w:val="16"/>
                <w:szCs w:val="16"/>
              </w:rPr>
              <w:t>(±)-Methamphetamine</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5,000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0.0250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365F91" w:themeColor="accent1" w:themeShade="BF"/>
                <w:sz w:val="16"/>
                <w:szCs w:val="16"/>
              </w:rPr>
            </w:pPr>
            <w:r w:rsidRPr="00947051">
              <w:rPr>
                <w:rFonts w:cs="Times New Roman"/>
                <w:b/>
                <w:sz w:val="16"/>
                <w:szCs w:val="16"/>
              </w:rPr>
              <w:t>2C-E</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0.0125</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365F91" w:themeColor="accent1" w:themeShade="BF"/>
                <w:sz w:val="16"/>
                <w:szCs w:val="16"/>
              </w:rPr>
            </w:pPr>
            <w:r w:rsidRPr="00947051">
              <w:rPr>
                <w:rFonts w:cs="Times New Roman"/>
                <w:b/>
                <w:sz w:val="16"/>
                <w:szCs w:val="16"/>
              </w:rPr>
              <w:t>(±)-DOET</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0.0125</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365F91" w:themeColor="accent1" w:themeShade="BF"/>
                <w:sz w:val="16"/>
                <w:szCs w:val="16"/>
              </w:rPr>
            </w:pPr>
            <w:r w:rsidRPr="00947051">
              <w:rPr>
                <w:rFonts w:cs="Times New Roman"/>
                <w:b/>
                <w:sz w:val="16"/>
                <w:szCs w:val="16"/>
              </w:rPr>
              <w:t>(±)-DOM</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0.0125</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365F91" w:themeColor="accent1" w:themeShade="BF"/>
                <w:sz w:val="16"/>
                <w:szCs w:val="16"/>
              </w:rPr>
            </w:pPr>
            <w:r w:rsidRPr="00947051">
              <w:rPr>
                <w:rFonts w:cs="Times New Roman"/>
                <w:b/>
                <w:sz w:val="16"/>
                <w:szCs w:val="16"/>
              </w:rPr>
              <w:t>(±)-TMA</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0.0125</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365F91" w:themeColor="accent1" w:themeShade="BF"/>
                <w:sz w:val="16"/>
                <w:szCs w:val="16"/>
              </w:rPr>
            </w:pPr>
            <w:r w:rsidRPr="00947051">
              <w:rPr>
                <w:rFonts w:cs="Times New Roman"/>
                <w:b/>
                <w:sz w:val="16"/>
                <w:szCs w:val="16"/>
              </w:rPr>
              <w:t>(±)-MDA</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0.0125</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365F91" w:themeColor="accent1" w:themeShade="BF"/>
                <w:sz w:val="16"/>
                <w:szCs w:val="16"/>
              </w:rPr>
            </w:pPr>
            <w:r w:rsidRPr="00947051">
              <w:rPr>
                <w:rFonts w:cs="Times New Roman"/>
                <w:b/>
                <w:sz w:val="16"/>
                <w:szCs w:val="16"/>
              </w:rPr>
              <w:t>(±)-MDEA</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0.0125</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365F91" w:themeColor="accent1" w:themeShade="BF"/>
                <w:sz w:val="16"/>
                <w:szCs w:val="16"/>
              </w:rPr>
            </w:pPr>
            <w:r w:rsidRPr="00947051">
              <w:rPr>
                <w:rFonts w:cs="Times New Roman"/>
                <w:b/>
                <w:sz w:val="16"/>
                <w:szCs w:val="16"/>
              </w:rPr>
              <w:t>(±)-MDMA</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2,500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0.05</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5,000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365F91" w:themeColor="accent1" w:themeShade="BF"/>
                <w:sz w:val="16"/>
                <w:szCs w:val="16"/>
              </w:rPr>
            </w:pPr>
            <w:r w:rsidRPr="00947051">
              <w:rPr>
                <w:rFonts w:cs="Times New Roman"/>
                <w:b/>
                <w:sz w:val="16"/>
                <w:szCs w:val="16"/>
              </w:rPr>
              <w:t>(±)-Ethylamphetamine</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0.0125</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365F91" w:themeColor="accent1" w:themeShade="BF"/>
                <w:sz w:val="16"/>
                <w:szCs w:val="16"/>
              </w:rPr>
            </w:pPr>
            <w:r w:rsidRPr="00947051">
              <w:rPr>
                <w:rFonts w:cs="Times New Roman"/>
                <w:b/>
                <w:sz w:val="16"/>
                <w:szCs w:val="16"/>
              </w:rPr>
              <w:t>(±)-MDPV</w:t>
            </w:r>
          </w:p>
        </w:tc>
        <w:tc>
          <w:tcPr>
            <w:tcW w:w="0" w:type="auto"/>
            <w:vAlign w:val="center"/>
          </w:tcPr>
          <w:p w:rsidR="00AF21C9" w:rsidRPr="00947051" w:rsidRDefault="00AF21C9" w:rsidP="00AF21C9">
            <w:pPr>
              <w:widowControl w:val="0"/>
              <w:jc w:val="right"/>
              <w:rPr>
                <w:rFonts w:eastAsiaTheme="majorEastAsia" w:cs="Times New Roman"/>
                <w:b/>
                <w:bCs/>
                <w:i/>
                <w:color w:val="365F91" w:themeColor="accent1" w:themeShade="BF"/>
                <w:sz w:val="16"/>
                <w:szCs w:val="16"/>
              </w:rPr>
            </w:pPr>
            <w:r w:rsidRPr="00947051">
              <w:rPr>
                <w:rFonts w:cs="Times New Roman"/>
                <w:b/>
                <w:i/>
                <w:sz w:val="16"/>
                <w:szCs w:val="16"/>
              </w:rPr>
              <w:t xml:space="preserve">10  </w:t>
            </w:r>
          </w:p>
        </w:tc>
        <w:tc>
          <w:tcPr>
            <w:tcW w:w="0" w:type="auto"/>
            <w:vAlign w:val="center"/>
          </w:tcPr>
          <w:p w:rsidR="00AF21C9" w:rsidRPr="00947051" w:rsidRDefault="00AF21C9" w:rsidP="00AF21C9">
            <w:pPr>
              <w:widowControl w:val="0"/>
              <w:jc w:val="right"/>
              <w:rPr>
                <w:rFonts w:eastAsiaTheme="majorEastAsia" w:cs="Times New Roman"/>
                <w:b/>
                <w:bCs/>
                <w:i/>
                <w:color w:val="365F91" w:themeColor="accent1" w:themeShade="BF"/>
                <w:sz w:val="16"/>
                <w:szCs w:val="16"/>
              </w:rPr>
            </w:pPr>
            <w:r w:rsidRPr="00947051">
              <w:rPr>
                <w:rFonts w:cs="Times New Roman"/>
                <w:b/>
                <w:i/>
                <w:sz w:val="16"/>
                <w:szCs w:val="16"/>
              </w:rPr>
              <w:t>100</w:t>
            </w:r>
          </w:p>
        </w:tc>
        <w:tc>
          <w:tcPr>
            <w:tcW w:w="0" w:type="auto"/>
            <w:vAlign w:val="center"/>
          </w:tcPr>
          <w:p w:rsidR="00AF21C9" w:rsidRPr="00947051" w:rsidRDefault="00AF21C9" w:rsidP="00AF21C9">
            <w:pPr>
              <w:widowControl w:val="0"/>
              <w:jc w:val="right"/>
              <w:rPr>
                <w:rFonts w:eastAsiaTheme="majorEastAsia" w:cs="Times New Roman"/>
                <w:b/>
                <w:bCs/>
                <w:i/>
                <w:color w:val="365F91" w:themeColor="accent1" w:themeShade="BF"/>
                <w:sz w:val="16"/>
                <w:szCs w:val="16"/>
              </w:rPr>
            </w:pPr>
            <w:r w:rsidRPr="00947051">
              <w:rPr>
                <w:rFonts w:cs="Times New Roman"/>
                <w:b/>
                <w:i/>
                <w:sz w:val="16"/>
                <w:szCs w:val="16"/>
              </w:rPr>
              <w:t>60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0.0125</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365F91" w:themeColor="accent1" w:themeShade="BF"/>
                <w:sz w:val="16"/>
                <w:szCs w:val="16"/>
              </w:rPr>
            </w:pPr>
            <w:r w:rsidRPr="00947051">
              <w:rPr>
                <w:rFonts w:cs="Times New Roman"/>
                <w:b/>
                <w:sz w:val="16"/>
                <w:szCs w:val="16"/>
              </w:rPr>
              <w:t>(±)-Mephedrone</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i/>
                <w:color w:val="365F91" w:themeColor="accent1" w:themeShade="BF"/>
                <w:sz w:val="16"/>
                <w:szCs w:val="16"/>
              </w:rPr>
            </w:pPr>
            <w:r w:rsidRPr="00947051">
              <w:rPr>
                <w:rFonts w:cs="Times New Roman"/>
                <w:b/>
                <w:i/>
                <w:sz w:val="16"/>
                <w:szCs w:val="16"/>
              </w:rPr>
              <w:t xml:space="preserve">1.25  </w:t>
            </w:r>
          </w:p>
        </w:tc>
        <w:tc>
          <w:tcPr>
            <w:tcW w:w="0" w:type="auto"/>
            <w:vAlign w:val="center"/>
          </w:tcPr>
          <w:p w:rsidR="00AF21C9" w:rsidRPr="00947051" w:rsidRDefault="00AF21C9" w:rsidP="00AF21C9">
            <w:pPr>
              <w:widowControl w:val="0"/>
              <w:jc w:val="right"/>
              <w:rPr>
                <w:rFonts w:eastAsiaTheme="majorEastAsia" w:cs="Times New Roman"/>
                <w:b/>
                <w:bCs/>
                <w:i/>
                <w:color w:val="365F91" w:themeColor="accent1" w:themeShade="BF"/>
                <w:sz w:val="16"/>
                <w:szCs w:val="16"/>
              </w:rPr>
            </w:pPr>
            <w:r w:rsidRPr="00947051">
              <w:rPr>
                <w:rFonts w:cs="Times New Roman"/>
                <w:b/>
                <w:i/>
                <w:sz w:val="16"/>
                <w:szCs w:val="16"/>
              </w:rPr>
              <w:t>100</w:t>
            </w:r>
          </w:p>
        </w:tc>
        <w:tc>
          <w:tcPr>
            <w:tcW w:w="0" w:type="auto"/>
            <w:vAlign w:val="center"/>
          </w:tcPr>
          <w:p w:rsidR="00AF21C9" w:rsidRPr="00947051" w:rsidRDefault="00AF21C9" w:rsidP="00AF21C9">
            <w:pPr>
              <w:widowControl w:val="0"/>
              <w:jc w:val="right"/>
              <w:rPr>
                <w:rFonts w:eastAsiaTheme="majorEastAsia" w:cs="Times New Roman"/>
                <w:b/>
                <w:bCs/>
                <w:i/>
                <w:color w:val="365F91" w:themeColor="accent1" w:themeShade="BF"/>
                <w:sz w:val="16"/>
                <w:szCs w:val="16"/>
              </w:rPr>
            </w:pPr>
            <w:r w:rsidRPr="00947051">
              <w:rPr>
                <w:rFonts w:cs="Times New Roman"/>
                <w:b/>
                <w:i/>
                <w:sz w:val="16"/>
                <w:szCs w:val="16"/>
              </w:rPr>
              <w:t>2.5</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365F91" w:themeColor="accent1" w:themeShade="BF"/>
                <w:sz w:val="16"/>
                <w:szCs w:val="16"/>
              </w:rPr>
            </w:pPr>
            <w:r w:rsidRPr="00947051">
              <w:rPr>
                <w:rFonts w:cs="Times New Roman"/>
                <w:b/>
                <w:sz w:val="16"/>
                <w:szCs w:val="16"/>
              </w:rPr>
              <w:t>(±)-Cathinone</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1,000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0.125</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3,500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365F91" w:themeColor="accent1" w:themeShade="BF"/>
                <w:sz w:val="16"/>
                <w:szCs w:val="16"/>
              </w:rPr>
            </w:pPr>
            <w:r w:rsidRPr="00947051">
              <w:rPr>
                <w:rFonts w:cs="Times New Roman"/>
                <w:b/>
                <w:sz w:val="16"/>
                <w:szCs w:val="16"/>
              </w:rPr>
              <w:t>(±)-Methcathinone</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cs="Times New Roman"/>
                <w:b/>
                <w:i/>
                <w:sz w:val="16"/>
                <w:szCs w:val="16"/>
              </w:rPr>
            </w:pPr>
            <w:r w:rsidRPr="00947051">
              <w:rPr>
                <w:rFonts w:cs="Times New Roman"/>
                <w:b/>
                <w:i/>
                <w:sz w:val="16"/>
                <w:szCs w:val="16"/>
              </w:rPr>
              <w:t>&lt; 156</w:t>
            </w:r>
          </w:p>
        </w:tc>
        <w:tc>
          <w:tcPr>
            <w:tcW w:w="0" w:type="auto"/>
            <w:vAlign w:val="center"/>
          </w:tcPr>
          <w:p w:rsidR="00AF21C9" w:rsidRPr="00947051" w:rsidRDefault="00AF21C9" w:rsidP="00AF21C9">
            <w:pPr>
              <w:widowControl w:val="0"/>
              <w:jc w:val="right"/>
              <w:rPr>
                <w:rFonts w:cs="Times New Roman"/>
                <w:b/>
                <w:i/>
                <w:sz w:val="16"/>
                <w:szCs w:val="16"/>
              </w:rPr>
            </w:pPr>
            <w:r w:rsidRPr="00947051">
              <w:rPr>
                <w:rFonts w:cs="Times New Roman"/>
                <w:b/>
                <w:i/>
                <w:sz w:val="16"/>
                <w:szCs w:val="16"/>
              </w:rPr>
              <w:t>&gt; 0.8</w:t>
            </w:r>
          </w:p>
        </w:tc>
        <w:tc>
          <w:tcPr>
            <w:tcW w:w="0" w:type="auto"/>
            <w:vAlign w:val="center"/>
          </w:tcPr>
          <w:p w:rsidR="00AF21C9" w:rsidRPr="00947051" w:rsidRDefault="00AF21C9" w:rsidP="00AF21C9">
            <w:pPr>
              <w:widowControl w:val="0"/>
              <w:jc w:val="right"/>
              <w:rPr>
                <w:rFonts w:cs="Times New Roman"/>
                <w:b/>
                <w:i/>
                <w:sz w:val="16"/>
                <w:szCs w:val="16"/>
              </w:rPr>
            </w:pPr>
            <w:r w:rsidRPr="00947051">
              <w:rPr>
                <w:rFonts w:cs="Times New Roman"/>
                <w:b/>
                <w:i/>
                <w:sz w:val="16"/>
                <w:szCs w:val="16"/>
              </w:rPr>
              <w:t>&lt; 156</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365F91" w:themeColor="accent1" w:themeShade="BF"/>
                <w:sz w:val="16"/>
                <w:szCs w:val="16"/>
              </w:rPr>
            </w:pPr>
            <w:r w:rsidRPr="00947051">
              <w:rPr>
                <w:rFonts w:cs="Times New Roman"/>
                <w:b/>
                <w:sz w:val="16"/>
                <w:szCs w:val="16"/>
              </w:rPr>
              <w:t>(±)-Methylone</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5,000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0.2</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shd w:val="clear" w:color="auto" w:fill="D9D9D9" w:themeFill="background1" w:themeFillShade="D9"/>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b/>
                <w:sz w:val="16"/>
                <w:szCs w:val="16"/>
              </w:rPr>
              <w:t>&lt; 156</w:t>
            </w:r>
          </w:p>
        </w:tc>
        <w:tc>
          <w:tcPr>
            <w:tcW w:w="0" w:type="auto"/>
            <w:shd w:val="clear" w:color="auto" w:fill="D9D9D9" w:themeFill="background1" w:themeFillShade="D9"/>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b/>
                <w:sz w:val="16"/>
                <w:szCs w:val="16"/>
              </w:rPr>
              <w:t>&gt; 0.8</w:t>
            </w:r>
          </w:p>
        </w:tc>
        <w:tc>
          <w:tcPr>
            <w:tcW w:w="0" w:type="auto"/>
            <w:shd w:val="clear" w:color="auto" w:fill="D9D9D9" w:themeFill="background1" w:themeFillShade="D9"/>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b/>
                <w:sz w:val="16"/>
                <w:szCs w:val="16"/>
              </w:rPr>
              <w:t>&lt; 156</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365F91" w:themeColor="accent1" w:themeShade="BF"/>
                <w:sz w:val="16"/>
                <w:szCs w:val="16"/>
              </w:rPr>
            </w:pPr>
            <w:r w:rsidRPr="00947051">
              <w:rPr>
                <w:rFonts w:cs="Times New Roman"/>
                <w:b/>
                <w:sz w:val="16"/>
                <w:szCs w:val="16"/>
              </w:rPr>
              <w:t>(±)-4-MEC</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7,500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0.13</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shd w:val="clear" w:color="auto" w:fill="D9D9D9" w:themeFill="background1" w:themeFillShade="D9"/>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b/>
                <w:sz w:val="16"/>
                <w:szCs w:val="16"/>
              </w:rPr>
              <w:t>&lt; 156</w:t>
            </w:r>
          </w:p>
        </w:tc>
        <w:tc>
          <w:tcPr>
            <w:tcW w:w="0" w:type="auto"/>
            <w:shd w:val="clear" w:color="auto" w:fill="D9D9D9" w:themeFill="background1" w:themeFillShade="D9"/>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b/>
                <w:sz w:val="16"/>
                <w:szCs w:val="16"/>
              </w:rPr>
              <w:t>&gt; 0.8</w:t>
            </w:r>
          </w:p>
        </w:tc>
        <w:tc>
          <w:tcPr>
            <w:tcW w:w="0" w:type="auto"/>
            <w:shd w:val="clear" w:color="auto" w:fill="D9D9D9" w:themeFill="background1" w:themeFillShade="D9"/>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b/>
                <w:sz w:val="16"/>
                <w:szCs w:val="16"/>
              </w:rPr>
              <w:t>&lt; 156</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365F91" w:themeColor="accent1" w:themeShade="BF"/>
                <w:sz w:val="16"/>
                <w:szCs w:val="16"/>
              </w:rPr>
            </w:pPr>
            <w:r w:rsidRPr="00947051">
              <w:rPr>
                <w:rFonts w:cs="Times New Roman"/>
                <w:b/>
                <w:sz w:val="16"/>
                <w:szCs w:val="16"/>
              </w:rPr>
              <w:t>(±)-Flephedrone</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eastAsiaTheme="majorEastAsia" w:cs="Times New Roman"/>
                <w:b/>
                <w:bCs/>
                <w:color w:val="365F91" w:themeColor="accent1" w:themeShade="BF"/>
                <w:sz w:val="16"/>
                <w:szCs w:val="16"/>
              </w:rPr>
            </w:pPr>
            <w:r w:rsidRPr="00947051">
              <w:rPr>
                <w:rFonts w:cs="Times New Roman"/>
                <w:sz w:val="16"/>
                <w:szCs w:val="16"/>
              </w:rPr>
              <w:t>&gt; 10,000</w:t>
            </w:r>
          </w:p>
        </w:tc>
        <w:tc>
          <w:tcPr>
            <w:tcW w:w="0" w:type="auto"/>
            <w:shd w:val="clear" w:color="auto" w:fill="D9D9D9" w:themeFill="background1" w:themeFillShade="D9"/>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b/>
                <w:sz w:val="16"/>
                <w:szCs w:val="16"/>
              </w:rPr>
              <w:t>&lt; 156</w:t>
            </w:r>
          </w:p>
        </w:tc>
        <w:tc>
          <w:tcPr>
            <w:tcW w:w="0" w:type="auto"/>
            <w:shd w:val="clear" w:color="auto" w:fill="D9D9D9" w:themeFill="background1" w:themeFillShade="D9"/>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b/>
                <w:sz w:val="16"/>
                <w:szCs w:val="16"/>
              </w:rPr>
              <w:t>&gt; 0.8</w:t>
            </w:r>
          </w:p>
        </w:tc>
        <w:tc>
          <w:tcPr>
            <w:tcW w:w="0" w:type="auto"/>
            <w:shd w:val="clear" w:color="auto" w:fill="D9D9D9" w:themeFill="background1" w:themeFillShade="D9"/>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b/>
                <w:sz w:val="16"/>
                <w:szCs w:val="16"/>
              </w:rPr>
              <w:t>&lt; 156</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4F81BD" w:themeColor="accent1"/>
                <w:sz w:val="16"/>
                <w:szCs w:val="16"/>
              </w:rPr>
            </w:pPr>
            <w:r w:rsidRPr="00947051">
              <w:rPr>
                <w:rFonts w:cs="Times New Roman"/>
                <w:b/>
                <w:sz w:val="16"/>
                <w:szCs w:val="16"/>
              </w:rPr>
              <w:t>(±)-Butylone</w:t>
            </w:r>
          </w:p>
        </w:tc>
        <w:tc>
          <w:tcPr>
            <w:tcW w:w="0" w:type="auto"/>
            <w:shd w:val="clear" w:color="auto" w:fill="D9D9D9" w:themeFill="background1" w:themeFillShade="D9"/>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b/>
                <w:sz w:val="16"/>
                <w:szCs w:val="16"/>
              </w:rPr>
              <w:t xml:space="preserve">156  </w:t>
            </w:r>
          </w:p>
        </w:tc>
        <w:tc>
          <w:tcPr>
            <w:tcW w:w="0" w:type="auto"/>
            <w:shd w:val="clear" w:color="auto" w:fill="D9D9D9" w:themeFill="background1" w:themeFillShade="D9"/>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b/>
                <w:sz w:val="16"/>
                <w:szCs w:val="16"/>
              </w:rPr>
              <w:t>6.4</w:t>
            </w:r>
          </w:p>
        </w:tc>
        <w:tc>
          <w:tcPr>
            <w:tcW w:w="0" w:type="auto"/>
            <w:shd w:val="clear" w:color="auto" w:fill="D9D9D9" w:themeFill="background1" w:themeFillShade="D9"/>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b/>
                <w:sz w:val="16"/>
                <w:szCs w:val="16"/>
              </w:rPr>
              <w:t>900</w:t>
            </w:r>
          </w:p>
        </w:tc>
        <w:tc>
          <w:tcPr>
            <w:tcW w:w="0" w:type="auto"/>
            <w:shd w:val="clear" w:color="auto" w:fill="D9D9D9" w:themeFill="background1" w:themeFillShade="D9"/>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b/>
                <w:sz w:val="16"/>
                <w:szCs w:val="16"/>
              </w:rPr>
              <w:t>&lt; 156</w:t>
            </w:r>
          </w:p>
        </w:tc>
        <w:tc>
          <w:tcPr>
            <w:tcW w:w="0" w:type="auto"/>
            <w:shd w:val="clear" w:color="auto" w:fill="D9D9D9" w:themeFill="background1" w:themeFillShade="D9"/>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b/>
                <w:sz w:val="16"/>
                <w:szCs w:val="16"/>
              </w:rPr>
              <w:t>&gt; 0.8</w:t>
            </w:r>
          </w:p>
        </w:tc>
        <w:tc>
          <w:tcPr>
            <w:tcW w:w="0" w:type="auto"/>
            <w:shd w:val="clear" w:color="auto" w:fill="D9D9D9" w:themeFill="background1" w:themeFillShade="D9"/>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b/>
                <w:sz w:val="16"/>
                <w:szCs w:val="16"/>
              </w:rPr>
              <w:t>&lt; 156</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4F81BD" w:themeColor="accent1"/>
                <w:sz w:val="16"/>
                <w:szCs w:val="16"/>
              </w:rPr>
            </w:pPr>
            <w:r w:rsidRPr="00947051">
              <w:rPr>
                <w:rFonts w:cs="Times New Roman"/>
                <w:b/>
                <w:sz w:val="16"/>
                <w:szCs w:val="16"/>
              </w:rPr>
              <w:t>mCPP</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0.0125</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4F81BD" w:themeColor="accent1"/>
                <w:sz w:val="16"/>
                <w:szCs w:val="16"/>
              </w:rPr>
            </w:pPr>
            <w:r w:rsidRPr="00947051">
              <w:rPr>
                <w:rFonts w:cs="Times New Roman"/>
                <w:b/>
                <w:sz w:val="16"/>
                <w:szCs w:val="16"/>
              </w:rPr>
              <w:t>(±)-Methedrone</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shd w:val="clear" w:color="auto" w:fill="D9D9D9" w:themeFill="background1" w:themeFillShade="D9"/>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b/>
                <w:sz w:val="16"/>
                <w:szCs w:val="16"/>
              </w:rPr>
              <w:t>&lt; 156</w:t>
            </w:r>
          </w:p>
        </w:tc>
        <w:tc>
          <w:tcPr>
            <w:tcW w:w="0" w:type="auto"/>
            <w:shd w:val="clear" w:color="auto" w:fill="D9D9D9" w:themeFill="background1" w:themeFillShade="D9"/>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b/>
                <w:sz w:val="16"/>
                <w:szCs w:val="16"/>
              </w:rPr>
              <w:t>&gt; 0.8</w:t>
            </w:r>
          </w:p>
        </w:tc>
        <w:tc>
          <w:tcPr>
            <w:tcW w:w="0" w:type="auto"/>
            <w:shd w:val="clear" w:color="auto" w:fill="D9D9D9" w:themeFill="background1" w:themeFillShade="D9"/>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b/>
                <w:sz w:val="16"/>
                <w:szCs w:val="16"/>
              </w:rPr>
              <w:t>&lt; 156</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4F81BD" w:themeColor="accent1"/>
                <w:sz w:val="16"/>
                <w:szCs w:val="16"/>
              </w:rPr>
            </w:pPr>
            <w:r w:rsidRPr="00947051">
              <w:rPr>
                <w:rFonts w:cs="Times New Roman"/>
                <w:b/>
                <w:sz w:val="16"/>
                <w:szCs w:val="16"/>
              </w:rPr>
              <w:t>5-MeO-DiPT</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5,000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0.025</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4F81BD" w:themeColor="accent1"/>
                <w:sz w:val="16"/>
                <w:szCs w:val="16"/>
              </w:rPr>
            </w:pPr>
            <w:r w:rsidRPr="00947051">
              <w:rPr>
                <w:rFonts w:cs="Times New Roman"/>
                <w:b/>
                <w:sz w:val="16"/>
                <w:szCs w:val="16"/>
              </w:rPr>
              <w:t>(±)-DOB</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0.0125</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4F81BD" w:themeColor="accent1"/>
                <w:sz w:val="16"/>
                <w:szCs w:val="16"/>
              </w:rPr>
            </w:pPr>
            <w:r w:rsidRPr="00947051">
              <w:rPr>
                <w:rFonts w:cs="Times New Roman"/>
                <w:b/>
                <w:sz w:val="16"/>
                <w:szCs w:val="16"/>
              </w:rPr>
              <w:t>2C-B</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0.0125</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4F81BD" w:themeColor="accent1"/>
                <w:sz w:val="16"/>
                <w:szCs w:val="16"/>
              </w:rPr>
            </w:pPr>
            <w:r w:rsidRPr="00947051">
              <w:rPr>
                <w:rFonts w:cs="Times New Roman"/>
                <w:b/>
                <w:sz w:val="16"/>
                <w:szCs w:val="16"/>
              </w:rPr>
              <w:t>DMT</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0.0125</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4F81BD" w:themeColor="accent1"/>
                <w:sz w:val="16"/>
                <w:szCs w:val="16"/>
              </w:rPr>
            </w:pPr>
            <w:r w:rsidRPr="00947051">
              <w:rPr>
                <w:rFonts w:cs="Times New Roman"/>
                <w:b/>
                <w:sz w:val="16"/>
                <w:szCs w:val="16"/>
              </w:rPr>
              <w:t>BZP</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0.0125</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4F81BD" w:themeColor="accent1"/>
                <w:sz w:val="16"/>
                <w:szCs w:val="16"/>
              </w:rPr>
            </w:pPr>
            <w:r w:rsidRPr="00947051">
              <w:rPr>
                <w:rFonts w:cs="Times New Roman"/>
                <w:b/>
                <w:sz w:val="16"/>
                <w:szCs w:val="16"/>
              </w:rPr>
              <w:t>AMT</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0.0125</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eastAsiaTheme="majorEastAsia" w:cs="Times New Roman"/>
                <w:b/>
                <w:bCs/>
                <w:color w:val="4F81BD" w:themeColor="accent1"/>
                <w:sz w:val="16"/>
                <w:szCs w:val="16"/>
              </w:rPr>
            </w:pPr>
            <w:r w:rsidRPr="00947051">
              <w:rPr>
                <w:rFonts w:cs="Times New Roman"/>
                <w:b/>
                <w:sz w:val="16"/>
                <w:szCs w:val="16"/>
              </w:rPr>
              <w:t>2C-I</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&lt; 0.0125</w:t>
            </w:r>
          </w:p>
        </w:tc>
        <w:tc>
          <w:tcPr>
            <w:tcW w:w="0" w:type="auto"/>
            <w:vAlign w:val="center"/>
          </w:tcPr>
          <w:p w:rsidR="00AF21C9" w:rsidRPr="00947051" w:rsidRDefault="00AF21C9" w:rsidP="00AF21C9">
            <w:pPr>
              <w:widowControl w:val="0"/>
              <w:jc w:val="right"/>
              <w:rPr>
                <w:rFonts w:eastAsiaTheme="majorEastAsia" w:cs="Times New Roman"/>
                <w:b/>
                <w:bCs/>
                <w:color w:val="4F81BD" w:themeColor="accent1"/>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cs="Times New Roman"/>
                <w:b/>
                <w:sz w:val="16"/>
                <w:szCs w:val="16"/>
              </w:rPr>
            </w:pPr>
            <w:r w:rsidRPr="00947051">
              <w:rPr>
                <w:rFonts w:cs="Times New Roman"/>
                <w:b/>
                <w:sz w:val="16"/>
                <w:szCs w:val="16"/>
              </w:rPr>
              <w:t>2C-T-7</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&lt; 0.0125</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cs="Times New Roman"/>
                <w:b/>
                <w:sz w:val="16"/>
                <w:szCs w:val="16"/>
              </w:rPr>
            </w:pPr>
            <w:r w:rsidRPr="00947051">
              <w:rPr>
                <w:rFonts w:cs="Times New Roman"/>
                <w:b/>
                <w:sz w:val="16"/>
                <w:szCs w:val="16"/>
              </w:rPr>
              <w:t>TFMPP</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&lt; 0.0125</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&gt; 10,000</w:t>
            </w:r>
          </w:p>
        </w:tc>
      </w:tr>
      <w:tr w:rsidR="00AF21C9" w:rsidRPr="00947051" w:rsidTr="00AF21C9">
        <w:tc>
          <w:tcPr>
            <w:tcW w:w="0" w:type="auto"/>
            <w:vAlign w:val="center"/>
          </w:tcPr>
          <w:p w:rsidR="00AF21C9" w:rsidRPr="00947051" w:rsidRDefault="00AF21C9" w:rsidP="00AF21C9">
            <w:pPr>
              <w:widowControl w:val="0"/>
              <w:rPr>
                <w:rFonts w:cs="Times New Roman"/>
                <w:b/>
                <w:sz w:val="16"/>
                <w:szCs w:val="16"/>
              </w:rPr>
            </w:pPr>
            <w:r w:rsidRPr="00947051">
              <w:rPr>
                <w:rFonts w:cs="Times New Roman"/>
                <w:b/>
                <w:sz w:val="16"/>
                <w:szCs w:val="16"/>
              </w:rPr>
              <w:t>2C-T-4</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&lt; 0.1</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&lt; 0.0125</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&lt; 0.2</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&gt; 10,000</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 xml:space="preserve">&gt; 10,000  </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&lt; 1</w:t>
            </w:r>
          </w:p>
        </w:tc>
        <w:tc>
          <w:tcPr>
            <w:tcW w:w="0" w:type="auto"/>
            <w:vAlign w:val="center"/>
          </w:tcPr>
          <w:p w:rsidR="00AF21C9" w:rsidRPr="00947051" w:rsidRDefault="00AF21C9" w:rsidP="00AF21C9">
            <w:pPr>
              <w:widowControl w:val="0"/>
              <w:jc w:val="right"/>
              <w:rPr>
                <w:rFonts w:cs="Times New Roman"/>
                <w:sz w:val="16"/>
                <w:szCs w:val="16"/>
              </w:rPr>
            </w:pPr>
            <w:r w:rsidRPr="00947051">
              <w:rPr>
                <w:rFonts w:cs="Times New Roman"/>
                <w:sz w:val="16"/>
                <w:szCs w:val="16"/>
              </w:rPr>
              <w:t>&gt; 10,000</w:t>
            </w:r>
          </w:p>
        </w:tc>
      </w:tr>
    </w:tbl>
    <w:p w:rsidR="00AF21C9" w:rsidRPr="008469CD" w:rsidRDefault="00AF21C9" w:rsidP="00AF21C9">
      <w:pPr>
        <w:widowControl w:val="0"/>
        <w:spacing w:after="0"/>
        <w:rPr>
          <w:rFonts w:cs="Times New Roman"/>
          <w:sz w:val="18"/>
          <w:szCs w:val="18"/>
        </w:rPr>
      </w:pPr>
      <w:proofErr w:type="gramStart"/>
      <w:r w:rsidRPr="008469CD">
        <w:rPr>
          <w:rFonts w:cs="Times New Roman"/>
          <w:b/>
          <w:sz w:val="18"/>
          <w:szCs w:val="18"/>
          <w:vertAlign w:val="superscript"/>
        </w:rPr>
        <w:t>a</w:t>
      </w:r>
      <w:proofErr w:type="gramEnd"/>
      <w:r w:rsidRPr="008469CD">
        <w:rPr>
          <w:rFonts w:cs="Times New Roman"/>
          <w:sz w:val="18"/>
          <w:szCs w:val="18"/>
        </w:rPr>
        <w:t xml:space="preserve"> Concentration of the drug that produces an absorbance reading equivalent to the 10 ng/mL cut-off of the targeted analyte.</w:t>
      </w:r>
    </w:p>
    <w:p w:rsidR="00AF21C9" w:rsidRPr="008469CD" w:rsidRDefault="00AF21C9" w:rsidP="00AF21C9">
      <w:pPr>
        <w:widowControl w:val="0"/>
        <w:spacing w:after="0"/>
        <w:rPr>
          <w:rFonts w:cs="Times New Roman"/>
          <w:sz w:val="18"/>
          <w:szCs w:val="18"/>
        </w:rPr>
      </w:pPr>
      <w:proofErr w:type="gramStart"/>
      <w:r w:rsidRPr="008469CD">
        <w:rPr>
          <w:rFonts w:cs="Times New Roman"/>
          <w:b/>
          <w:sz w:val="18"/>
          <w:szCs w:val="18"/>
          <w:vertAlign w:val="superscript"/>
        </w:rPr>
        <w:t>b</w:t>
      </w:r>
      <w:proofErr w:type="gramEnd"/>
      <w:r w:rsidRPr="008469CD">
        <w:rPr>
          <w:rFonts w:cs="Times New Roman"/>
          <w:sz w:val="18"/>
          <w:szCs w:val="18"/>
        </w:rPr>
        <w:t xml:space="preserve"> Concentration of the drug that produces an absorbance reading equivalent to the 1.25 ng/mL cut-off of the targeted analyte.</w:t>
      </w:r>
    </w:p>
    <w:p w:rsidR="00AF21C9" w:rsidRPr="008469CD" w:rsidRDefault="00AF21C9" w:rsidP="00AF21C9">
      <w:pPr>
        <w:widowControl w:val="0"/>
        <w:spacing w:after="0"/>
        <w:rPr>
          <w:rFonts w:cs="Times New Roman"/>
          <w:sz w:val="18"/>
          <w:szCs w:val="18"/>
        </w:rPr>
      </w:pPr>
      <w:proofErr w:type="gramStart"/>
      <w:r w:rsidRPr="008469CD">
        <w:rPr>
          <w:rFonts w:cs="Times New Roman"/>
          <w:b/>
          <w:sz w:val="18"/>
          <w:szCs w:val="18"/>
          <w:vertAlign w:val="superscript"/>
        </w:rPr>
        <w:t>c</w:t>
      </w:r>
      <w:proofErr w:type="gramEnd"/>
      <w:r w:rsidRPr="008469CD">
        <w:rPr>
          <w:rFonts w:cs="Times New Roman"/>
          <w:sz w:val="18"/>
          <w:szCs w:val="18"/>
        </w:rPr>
        <w:t xml:space="preserve"> Concentration of the drug that produces an absorbance reading equivalent to the 20 ng/mL cut-off of the targeted analyte.</w:t>
      </w:r>
    </w:p>
    <w:p w:rsidR="00AF21C9" w:rsidRPr="008469CD" w:rsidRDefault="00AF21C9" w:rsidP="00AF21C9">
      <w:pPr>
        <w:widowControl w:val="0"/>
        <w:spacing w:after="0"/>
        <w:rPr>
          <w:rFonts w:cs="Times New Roman"/>
          <w:sz w:val="18"/>
          <w:szCs w:val="18"/>
        </w:rPr>
      </w:pPr>
      <w:proofErr w:type="gramStart"/>
      <w:r w:rsidRPr="008469CD">
        <w:rPr>
          <w:rFonts w:cs="Times New Roman"/>
          <w:b/>
          <w:sz w:val="18"/>
          <w:szCs w:val="18"/>
          <w:vertAlign w:val="superscript"/>
        </w:rPr>
        <w:t>d</w:t>
      </w:r>
      <w:proofErr w:type="gramEnd"/>
      <w:r w:rsidRPr="008469CD">
        <w:rPr>
          <w:rFonts w:cs="Times New Roman"/>
          <w:sz w:val="18"/>
          <w:szCs w:val="18"/>
        </w:rPr>
        <w:t xml:space="preserve"> Concentration of the drug that produces an absorbance reading equivalent to the 100 ng/mL cut-off of the targeted analyte.</w:t>
      </w:r>
    </w:p>
    <w:p w:rsidR="00AF21C9" w:rsidRPr="008469CD" w:rsidRDefault="00AF21C9" w:rsidP="00AF21C9">
      <w:pPr>
        <w:widowControl w:val="0"/>
        <w:spacing w:after="0"/>
        <w:rPr>
          <w:rFonts w:cs="Times New Roman"/>
          <w:sz w:val="18"/>
          <w:szCs w:val="18"/>
        </w:rPr>
      </w:pPr>
      <w:r w:rsidRPr="008469CD">
        <w:rPr>
          <w:rFonts w:cs="Times New Roman"/>
          <w:sz w:val="18"/>
          <w:szCs w:val="18"/>
        </w:rPr>
        <w:t xml:space="preserve">Analytes demonstrating high cross-reactivity </w:t>
      </w:r>
      <w:proofErr w:type="gramStart"/>
      <w:r w:rsidRPr="008469CD">
        <w:rPr>
          <w:rFonts w:cs="Times New Roman"/>
          <w:sz w:val="18"/>
          <w:szCs w:val="18"/>
        </w:rPr>
        <w:t>are</w:t>
      </w:r>
      <w:proofErr w:type="gramEnd"/>
      <w:r w:rsidRPr="008469CD">
        <w:rPr>
          <w:rFonts w:cs="Times New Roman"/>
          <w:sz w:val="18"/>
          <w:szCs w:val="18"/>
        </w:rPr>
        <w:t xml:space="preserve"> </w:t>
      </w:r>
      <w:r w:rsidRPr="008469CD">
        <w:rPr>
          <w:rFonts w:cs="Times New Roman"/>
          <w:b/>
          <w:sz w:val="18"/>
          <w:szCs w:val="18"/>
          <w:shd w:val="clear" w:color="auto" w:fill="D9D9D9" w:themeFill="background1" w:themeFillShade="D9"/>
        </w:rPr>
        <w:t>highlighted and bolded</w:t>
      </w:r>
      <w:r w:rsidRPr="008469CD">
        <w:rPr>
          <w:rFonts w:cs="Times New Roman"/>
          <w:sz w:val="18"/>
          <w:szCs w:val="18"/>
        </w:rPr>
        <w:t>.</w:t>
      </w:r>
    </w:p>
    <w:p w:rsidR="00947051" w:rsidRPr="008469CD" w:rsidRDefault="00AF21C9" w:rsidP="00947051">
      <w:pPr>
        <w:widowControl w:val="0"/>
        <w:spacing w:after="0"/>
        <w:rPr>
          <w:rFonts w:cs="Times New Roman"/>
          <w:sz w:val="18"/>
          <w:szCs w:val="18"/>
        </w:rPr>
      </w:pPr>
      <w:r w:rsidRPr="008469CD">
        <w:rPr>
          <w:rFonts w:cs="Times New Roman"/>
          <w:sz w:val="18"/>
          <w:szCs w:val="18"/>
        </w:rPr>
        <w:t xml:space="preserve">The target analytes for each </w:t>
      </w:r>
      <w:r w:rsidR="00F066F5">
        <w:rPr>
          <w:rFonts w:cs="Times New Roman"/>
          <w:sz w:val="18"/>
          <w:szCs w:val="18"/>
        </w:rPr>
        <w:t>assay</w:t>
      </w:r>
      <w:r w:rsidRPr="008469CD">
        <w:rPr>
          <w:rFonts w:cs="Times New Roman"/>
          <w:sz w:val="18"/>
          <w:szCs w:val="18"/>
        </w:rPr>
        <w:t xml:space="preserve"> are </w:t>
      </w:r>
      <w:r w:rsidRPr="008469CD">
        <w:rPr>
          <w:rFonts w:cs="Times New Roman"/>
          <w:b/>
          <w:i/>
          <w:sz w:val="18"/>
          <w:szCs w:val="18"/>
        </w:rPr>
        <w:t>italicized and bolded</w:t>
      </w:r>
      <w:r w:rsidRPr="008469CD">
        <w:rPr>
          <w:rFonts w:cs="Times New Roman"/>
          <w:sz w:val="18"/>
          <w:szCs w:val="18"/>
        </w:rPr>
        <w:t>.</w:t>
      </w:r>
    </w:p>
    <w:p w:rsidR="00CD767F" w:rsidRPr="00947051" w:rsidRDefault="00CD767F" w:rsidP="00947051">
      <w:pPr>
        <w:rPr>
          <w:szCs w:val="24"/>
        </w:rPr>
        <w:sectPr w:rsidR="00CD767F" w:rsidRPr="00947051" w:rsidSect="00F677A2">
          <w:type w:val="nextColumn"/>
          <w:pgSz w:w="15840" w:h="12240" w:orient="landscape" w:code="1"/>
          <w:pgMar w:top="2160" w:right="1440" w:bottom="1440" w:left="1800" w:header="720" w:footer="720" w:gutter="0"/>
          <w:cols w:space="720"/>
          <w:docGrid w:linePitch="360"/>
        </w:sectPr>
      </w:pPr>
    </w:p>
    <w:p w:rsidR="008C7B90" w:rsidRPr="00F97B2D" w:rsidRDefault="00CD767F" w:rsidP="00F677A2">
      <w:pPr>
        <w:pStyle w:val="Caption"/>
        <w:jc w:val="left"/>
      </w:pPr>
      <w:bookmarkStart w:id="313" w:name="_Ref362612561"/>
      <w:bookmarkStart w:id="314" w:name="_Toc372536142"/>
      <w:r w:rsidRPr="00F97B2D">
        <w:t xml:space="preserve">Appendix </w:t>
      </w:r>
      <w:r w:rsidR="000E239B" w:rsidRPr="00F97B2D">
        <w:fldChar w:fldCharType="begin"/>
      </w:r>
      <w:r w:rsidR="00B2107A" w:rsidRPr="00F97B2D">
        <w:instrText xml:space="preserve"> SEQ Appendix \* ARABIC </w:instrText>
      </w:r>
      <w:r w:rsidR="000E239B" w:rsidRPr="00F97B2D">
        <w:fldChar w:fldCharType="separate"/>
      </w:r>
      <w:r w:rsidR="00E37796">
        <w:rPr>
          <w:noProof/>
        </w:rPr>
        <w:t>5</w:t>
      </w:r>
      <w:r w:rsidR="000E239B" w:rsidRPr="00F97B2D">
        <w:rPr>
          <w:noProof/>
        </w:rPr>
        <w:fldChar w:fldCharType="end"/>
      </w:r>
      <w:bookmarkEnd w:id="313"/>
      <w:r w:rsidRPr="00F97B2D">
        <w:t>: Dynamic MRM MS Parameters</w:t>
      </w:r>
      <w:bookmarkEnd w:id="3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1801"/>
        <w:gridCol w:w="1383"/>
        <w:gridCol w:w="761"/>
        <w:gridCol w:w="1441"/>
        <w:gridCol w:w="828"/>
        <w:gridCol w:w="1612"/>
      </w:tblGrid>
      <w:tr w:rsidR="00CD767F" w:rsidRPr="00F677A2" w:rsidTr="00CD767F">
        <w:trPr>
          <w:trHeight w:val="288"/>
          <w:tblHeader/>
        </w:trPr>
        <w:tc>
          <w:tcPr>
            <w:tcW w:w="0" w:type="auto"/>
            <w:shd w:val="clear" w:color="auto" w:fill="auto"/>
            <w:vAlign w:val="center"/>
          </w:tcPr>
          <w:p w:rsidR="00CD767F" w:rsidRPr="00F677A2" w:rsidRDefault="00CD767F" w:rsidP="00F677A2">
            <w:pPr>
              <w:spacing w:after="0"/>
              <w:rPr>
                <w:rFonts w:eastAsia="Times New Roman" w:cs="Times New Roman"/>
                <w:b/>
                <w:bCs/>
                <w:color w:val="365F91"/>
                <w:sz w:val="18"/>
                <w:szCs w:val="20"/>
              </w:rPr>
            </w:pPr>
            <w:r w:rsidRPr="00F677A2">
              <w:rPr>
                <w:rFonts w:cs="Times New Roman"/>
                <w:b/>
                <w:sz w:val="18"/>
                <w:szCs w:val="20"/>
              </w:rPr>
              <w:t>No.</w:t>
            </w:r>
          </w:p>
        </w:tc>
        <w:tc>
          <w:tcPr>
            <w:tcW w:w="0" w:type="auto"/>
            <w:shd w:val="clear" w:color="auto" w:fill="auto"/>
            <w:vAlign w:val="center"/>
          </w:tcPr>
          <w:p w:rsidR="00CD767F" w:rsidRPr="00F677A2" w:rsidRDefault="00CD767F" w:rsidP="00F677A2">
            <w:pPr>
              <w:spacing w:after="0"/>
              <w:rPr>
                <w:rFonts w:eastAsia="Times New Roman" w:cs="Times New Roman"/>
                <w:b/>
                <w:bCs/>
                <w:color w:val="365F91"/>
                <w:sz w:val="18"/>
                <w:szCs w:val="20"/>
              </w:rPr>
            </w:pPr>
            <w:r w:rsidRPr="00F677A2">
              <w:rPr>
                <w:rFonts w:cs="Times New Roman"/>
                <w:b/>
                <w:sz w:val="18"/>
                <w:szCs w:val="20"/>
              </w:rPr>
              <w:t>Drug</w:t>
            </w:r>
          </w:p>
        </w:tc>
        <w:tc>
          <w:tcPr>
            <w:tcW w:w="0" w:type="auto"/>
            <w:shd w:val="clear" w:color="auto" w:fill="auto"/>
            <w:vAlign w:val="center"/>
          </w:tcPr>
          <w:p w:rsidR="00CD767F" w:rsidRPr="00F677A2" w:rsidRDefault="00CD767F" w:rsidP="00F677A2">
            <w:pPr>
              <w:spacing w:after="0"/>
              <w:rPr>
                <w:rFonts w:eastAsia="Times New Roman" w:cs="Times New Roman"/>
                <w:b/>
                <w:bCs/>
                <w:color w:val="365F91"/>
                <w:sz w:val="18"/>
                <w:szCs w:val="20"/>
              </w:rPr>
            </w:pPr>
            <w:r w:rsidRPr="00F677A2">
              <w:rPr>
                <w:rFonts w:cs="Times New Roman"/>
                <w:b/>
                <w:sz w:val="18"/>
                <w:szCs w:val="20"/>
              </w:rPr>
              <w:t>Transitions</w:t>
            </w:r>
            <w:r w:rsidRPr="00F677A2">
              <w:rPr>
                <w:rFonts w:cs="Times New Roman"/>
                <w:b/>
                <w:i/>
                <w:sz w:val="18"/>
                <w:szCs w:val="20"/>
                <w:vertAlign w:val="superscript"/>
              </w:rPr>
              <w:t>a</w:t>
            </w:r>
          </w:p>
        </w:tc>
        <w:tc>
          <w:tcPr>
            <w:tcW w:w="0" w:type="auto"/>
            <w:shd w:val="clear" w:color="auto" w:fill="auto"/>
            <w:vAlign w:val="center"/>
          </w:tcPr>
          <w:p w:rsidR="00CD767F" w:rsidRPr="00F677A2" w:rsidRDefault="00CD767F" w:rsidP="00F677A2">
            <w:pPr>
              <w:spacing w:after="0"/>
              <w:rPr>
                <w:rFonts w:eastAsia="Times New Roman" w:cs="Times New Roman"/>
                <w:b/>
                <w:bCs/>
                <w:color w:val="365F91"/>
                <w:sz w:val="18"/>
                <w:szCs w:val="20"/>
              </w:rPr>
            </w:pPr>
            <w:r w:rsidRPr="00F677A2">
              <w:rPr>
                <w:rFonts w:cs="Times New Roman"/>
                <w:b/>
                <w:sz w:val="18"/>
                <w:szCs w:val="20"/>
              </w:rPr>
              <w:t>CE (V)</w:t>
            </w:r>
          </w:p>
        </w:tc>
        <w:tc>
          <w:tcPr>
            <w:tcW w:w="0" w:type="auto"/>
            <w:vAlign w:val="center"/>
          </w:tcPr>
          <w:p w:rsidR="00CD767F" w:rsidRPr="00F677A2" w:rsidRDefault="00CD767F" w:rsidP="00F677A2">
            <w:pPr>
              <w:spacing w:after="0"/>
              <w:rPr>
                <w:rFonts w:eastAsia="Times New Roman" w:cs="Times New Roman"/>
                <w:b/>
                <w:bCs/>
                <w:color w:val="365F91"/>
                <w:sz w:val="18"/>
                <w:szCs w:val="20"/>
              </w:rPr>
            </w:pPr>
            <w:r w:rsidRPr="00F677A2">
              <w:rPr>
                <w:rFonts w:cs="Times New Roman"/>
                <w:b/>
                <w:sz w:val="18"/>
                <w:szCs w:val="20"/>
              </w:rPr>
              <w:t>Fragmentor (V)</w:t>
            </w:r>
          </w:p>
        </w:tc>
        <w:tc>
          <w:tcPr>
            <w:tcW w:w="0" w:type="auto"/>
            <w:vAlign w:val="center"/>
          </w:tcPr>
          <w:p w:rsidR="00CD767F" w:rsidRPr="00F677A2" w:rsidRDefault="00CD767F" w:rsidP="00F677A2">
            <w:pPr>
              <w:spacing w:after="0"/>
              <w:rPr>
                <w:rFonts w:eastAsia="Times New Roman" w:cs="Times New Roman"/>
                <w:b/>
                <w:bCs/>
                <w:color w:val="365F91"/>
                <w:sz w:val="18"/>
                <w:szCs w:val="20"/>
              </w:rPr>
            </w:pPr>
            <w:r w:rsidRPr="00F677A2">
              <w:rPr>
                <w:rFonts w:cs="Times New Roman"/>
                <w:b/>
                <w:sz w:val="18"/>
                <w:szCs w:val="20"/>
              </w:rPr>
              <w:t>t</w:t>
            </w:r>
            <w:r w:rsidRPr="00F677A2">
              <w:rPr>
                <w:rFonts w:cs="Times New Roman"/>
                <w:b/>
                <w:sz w:val="18"/>
                <w:szCs w:val="20"/>
                <w:vertAlign w:val="subscript"/>
              </w:rPr>
              <w:t>R</w:t>
            </w:r>
            <w:r w:rsidRPr="00F677A2">
              <w:rPr>
                <w:rFonts w:cs="Times New Roman"/>
                <w:b/>
                <w:sz w:val="18"/>
                <w:szCs w:val="20"/>
              </w:rPr>
              <w:t xml:space="preserve"> (min)</w:t>
            </w:r>
          </w:p>
        </w:tc>
        <w:tc>
          <w:tcPr>
            <w:tcW w:w="0" w:type="auto"/>
            <w:vAlign w:val="center"/>
          </w:tcPr>
          <w:p w:rsidR="00CD767F" w:rsidRPr="00F677A2" w:rsidRDefault="00CD767F" w:rsidP="00F677A2">
            <w:pPr>
              <w:spacing w:after="0"/>
              <w:rPr>
                <w:rFonts w:eastAsia="Times New Roman" w:cs="Times New Roman"/>
                <w:b/>
                <w:bCs/>
                <w:color w:val="365F91"/>
                <w:sz w:val="18"/>
                <w:szCs w:val="20"/>
                <w:highlight w:val="yellow"/>
              </w:rPr>
            </w:pPr>
            <w:r w:rsidRPr="00F677A2">
              <w:rPr>
                <w:rFonts w:cs="Times New Roman"/>
                <w:b/>
                <w:sz w:val="18"/>
                <w:szCs w:val="20"/>
              </w:rPr>
              <w:t>Internal Standard</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eastAsia="Times New Roman" w:cs="Times New Roman"/>
                <w:bCs/>
                <w:color w:val="365F91"/>
                <w:sz w:val="18"/>
                <w:szCs w:val="20"/>
              </w:rPr>
            </w:pPr>
            <w:r w:rsidRPr="00F677A2">
              <w:rPr>
                <w:rFonts w:cs="Times New Roman"/>
                <w:sz w:val="18"/>
                <w:szCs w:val="20"/>
              </w:rPr>
              <w:t>1</w:t>
            </w:r>
          </w:p>
        </w:tc>
        <w:tc>
          <w:tcPr>
            <w:tcW w:w="0" w:type="auto"/>
            <w:shd w:val="clear" w:color="auto" w:fill="auto"/>
            <w:vAlign w:val="center"/>
          </w:tcPr>
          <w:p w:rsidR="00CD767F" w:rsidRPr="00F677A2" w:rsidRDefault="00CD767F" w:rsidP="00F677A2">
            <w:pPr>
              <w:spacing w:after="0"/>
              <w:rPr>
                <w:rFonts w:eastAsia="Times New Roman" w:cs="Times New Roman"/>
                <w:bCs/>
                <w:color w:val="365F91"/>
                <w:sz w:val="18"/>
                <w:szCs w:val="20"/>
              </w:rPr>
            </w:pPr>
            <w:r w:rsidRPr="00F677A2">
              <w:rPr>
                <w:rFonts w:cs="Times New Roman"/>
                <w:sz w:val="18"/>
                <w:szCs w:val="20"/>
              </w:rPr>
              <w:t>DOB</w:t>
            </w:r>
          </w:p>
        </w:tc>
        <w:tc>
          <w:tcPr>
            <w:tcW w:w="0" w:type="auto"/>
            <w:shd w:val="clear" w:color="auto" w:fill="auto"/>
            <w:vAlign w:val="center"/>
          </w:tcPr>
          <w:p w:rsidR="00CD767F" w:rsidRPr="00F677A2" w:rsidRDefault="00CD767F" w:rsidP="00F677A2">
            <w:pPr>
              <w:spacing w:after="0"/>
              <w:rPr>
                <w:rFonts w:eastAsia="Times New Roman" w:cs="Times New Roman"/>
                <w:b/>
                <w:bCs/>
                <w:color w:val="365F91"/>
                <w:sz w:val="18"/>
                <w:szCs w:val="20"/>
              </w:rPr>
            </w:pPr>
            <w:r w:rsidRPr="00F677A2">
              <w:rPr>
                <w:rFonts w:cs="Times New Roman"/>
                <w:b/>
                <w:sz w:val="18"/>
                <w:szCs w:val="20"/>
              </w:rPr>
              <w:t xml:space="preserve">274.01 </w:t>
            </w:r>
            <w:r w:rsidRPr="00F677A2">
              <w:rPr>
                <w:rFonts w:cs="Times New Roman"/>
                <w:b/>
                <w:sz w:val="18"/>
                <w:szCs w:val="20"/>
              </w:rPr>
              <w:sym w:font="Wingdings" w:char="F0E0"/>
            </w:r>
            <w:r w:rsidRPr="00F677A2">
              <w:rPr>
                <w:rFonts w:cs="Times New Roman"/>
                <w:b/>
                <w:sz w:val="18"/>
                <w:szCs w:val="20"/>
              </w:rPr>
              <w:t xml:space="preserve"> 256.9</w:t>
            </w:r>
          </w:p>
        </w:tc>
        <w:tc>
          <w:tcPr>
            <w:tcW w:w="0" w:type="auto"/>
            <w:shd w:val="clear" w:color="auto" w:fill="auto"/>
            <w:vAlign w:val="center"/>
          </w:tcPr>
          <w:p w:rsidR="00CD767F" w:rsidRPr="00F677A2" w:rsidRDefault="00CD767F" w:rsidP="00F677A2">
            <w:pPr>
              <w:spacing w:after="0"/>
              <w:rPr>
                <w:rFonts w:eastAsia="Times New Roman" w:cs="Times New Roman"/>
                <w:bCs/>
                <w:color w:val="365F91"/>
                <w:sz w:val="18"/>
                <w:szCs w:val="20"/>
              </w:rPr>
            </w:pPr>
            <w:r w:rsidRPr="00F677A2">
              <w:rPr>
                <w:rFonts w:cs="Times New Roman"/>
                <w:sz w:val="18"/>
                <w:szCs w:val="20"/>
              </w:rPr>
              <w:t>14</w:t>
            </w:r>
          </w:p>
        </w:tc>
        <w:tc>
          <w:tcPr>
            <w:tcW w:w="0" w:type="auto"/>
            <w:vAlign w:val="center"/>
          </w:tcPr>
          <w:p w:rsidR="00CD767F" w:rsidRPr="00F677A2" w:rsidRDefault="00CD767F" w:rsidP="00F677A2">
            <w:pPr>
              <w:spacing w:after="0"/>
              <w:rPr>
                <w:rFonts w:eastAsia="Times New Roman" w:cs="Times New Roman"/>
                <w:bCs/>
                <w:color w:val="365F91"/>
                <w:sz w:val="18"/>
                <w:szCs w:val="20"/>
              </w:rPr>
            </w:pPr>
            <w:r w:rsidRPr="00F677A2">
              <w:rPr>
                <w:rFonts w:cs="Times New Roman"/>
                <w:sz w:val="18"/>
                <w:szCs w:val="20"/>
              </w:rPr>
              <w:t>100</w:t>
            </w:r>
          </w:p>
        </w:tc>
        <w:tc>
          <w:tcPr>
            <w:tcW w:w="0" w:type="auto"/>
            <w:vAlign w:val="center"/>
          </w:tcPr>
          <w:p w:rsidR="00CD767F" w:rsidRPr="00F677A2" w:rsidRDefault="00CD767F" w:rsidP="00F677A2">
            <w:pPr>
              <w:spacing w:after="0"/>
              <w:rPr>
                <w:rFonts w:eastAsia="Times New Roman" w:cs="Times New Roman"/>
                <w:bCs/>
                <w:color w:val="000000"/>
                <w:sz w:val="18"/>
                <w:szCs w:val="20"/>
              </w:rPr>
            </w:pPr>
            <w:r w:rsidRPr="00F677A2">
              <w:rPr>
                <w:rFonts w:cs="Times New Roman"/>
                <w:color w:val="000000"/>
                <w:sz w:val="18"/>
                <w:szCs w:val="20"/>
              </w:rPr>
              <w:t>3.846</w:t>
            </w:r>
          </w:p>
        </w:tc>
        <w:tc>
          <w:tcPr>
            <w:tcW w:w="0" w:type="auto"/>
            <w:vAlign w:val="center"/>
          </w:tcPr>
          <w:p w:rsidR="00CD767F" w:rsidRPr="00F677A2" w:rsidRDefault="00CD767F" w:rsidP="00F677A2">
            <w:pPr>
              <w:spacing w:after="0"/>
              <w:rPr>
                <w:rFonts w:eastAsia="Times New Roman" w:cs="Times New Roman"/>
                <w:bCs/>
                <w:color w:val="365F91"/>
                <w:sz w:val="18"/>
                <w:szCs w:val="20"/>
              </w:rPr>
            </w:pPr>
            <w:r w:rsidRPr="00F677A2">
              <w:rPr>
                <w:rFonts w:cs="Times New Roman"/>
                <w:sz w:val="18"/>
                <w:szCs w:val="20"/>
              </w:rPr>
              <w:t>d6-Amphetamine</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274.01 </w:t>
            </w:r>
            <w:r w:rsidRPr="00F677A2">
              <w:rPr>
                <w:rFonts w:cs="Times New Roman"/>
                <w:sz w:val="18"/>
                <w:szCs w:val="20"/>
              </w:rPr>
              <w:sym w:font="Wingdings" w:char="F0E0"/>
            </w:r>
            <w:r w:rsidRPr="00F677A2">
              <w:rPr>
                <w:rFonts w:cs="Times New Roman"/>
                <w:sz w:val="18"/>
                <w:szCs w:val="20"/>
              </w:rPr>
              <w:t xml:space="preserve"> 228.9</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10</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DOET</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224.3 </w:t>
            </w:r>
            <w:r w:rsidRPr="00F677A2">
              <w:rPr>
                <w:rFonts w:cs="Times New Roman"/>
                <w:b/>
                <w:sz w:val="18"/>
                <w:szCs w:val="20"/>
              </w:rPr>
              <w:sym w:font="Wingdings" w:char="F0E0"/>
            </w:r>
            <w:r w:rsidRPr="00F677A2">
              <w:rPr>
                <w:rFonts w:cs="Times New Roman"/>
                <w:b/>
                <w:sz w:val="18"/>
                <w:szCs w:val="20"/>
              </w:rPr>
              <w:t xml:space="preserve"> 207</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5</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85</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4.547</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d6-Amphetamine</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224.3 </w:t>
            </w:r>
            <w:r w:rsidRPr="00F677A2">
              <w:rPr>
                <w:rFonts w:cs="Times New Roman"/>
                <w:sz w:val="18"/>
                <w:szCs w:val="20"/>
              </w:rPr>
              <w:sym w:font="Wingdings" w:char="F0E0"/>
            </w:r>
            <w:r w:rsidRPr="00F677A2">
              <w:rPr>
                <w:rFonts w:cs="Times New Roman"/>
                <w:sz w:val="18"/>
                <w:szCs w:val="20"/>
              </w:rPr>
              <w:t xml:space="preserve"> 91</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49</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3</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DOM</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210.3 </w:t>
            </w:r>
            <w:r w:rsidRPr="00F677A2">
              <w:rPr>
                <w:rFonts w:cs="Times New Roman"/>
                <w:b/>
                <w:sz w:val="18"/>
                <w:szCs w:val="20"/>
              </w:rPr>
              <w:sym w:font="Wingdings" w:char="F0E0"/>
            </w:r>
            <w:r w:rsidRPr="00F677A2">
              <w:rPr>
                <w:rFonts w:cs="Times New Roman"/>
                <w:b/>
                <w:sz w:val="18"/>
                <w:szCs w:val="20"/>
              </w:rPr>
              <w:t xml:space="preserve"> 193.1</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5</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75</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3.538</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d6-Amphetamine</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210.3 </w:t>
            </w:r>
            <w:r w:rsidRPr="00F677A2">
              <w:rPr>
                <w:rFonts w:cs="Times New Roman"/>
                <w:sz w:val="18"/>
                <w:szCs w:val="20"/>
              </w:rPr>
              <w:sym w:font="Wingdings" w:char="F0E0"/>
            </w:r>
            <w:r w:rsidRPr="00F677A2">
              <w:rPr>
                <w:rFonts w:cs="Times New Roman"/>
                <w:sz w:val="18"/>
                <w:szCs w:val="20"/>
              </w:rPr>
              <w:t xml:space="preserve"> 165</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13</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4</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TMA</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226.3 </w:t>
            </w:r>
            <w:r w:rsidRPr="00F677A2">
              <w:rPr>
                <w:rFonts w:cs="Times New Roman"/>
                <w:b/>
                <w:sz w:val="18"/>
                <w:szCs w:val="20"/>
              </w:rPr>
              <w:sym w:font="Wingdings" w:char="F0E0"/>
            </w:r>
            <w:r w:rsidRPr="00F677A2">
              <w:rPr>
                <w:rFonts w:cs="Times New Roman"/>
                <w:b/>
                <w:sz w:val="18"/>
                <w:szCs w:val="20"/>
              </w:rPr>
              <w:t xml:space="preserve"> 209</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5</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80</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2.075</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d6-Amphetamine</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226.3 </w:t>
            </w:r>
            <w:r w:rsidRPr="00F677A2">
              <w:rPr>
                <w:rFonts w:cs="Times New Roman"/>
                <w:sz w:val="18"/>
                <w:szCs w:val="20"/>
              </w:rPr>
              <w:sym w:font="Wingdings" w:char="F0E0"/>
            </w:r>
            <w:r w:rsidRPr="00F677A2">
              <w:rPr>
                <w:rFonts w:cs="Times New Roman"/>
                <w:sz w:val="18"/>
                <w:szCs w:val="20"/>
              </w:rPr>
              <w:t xml:space="preserve"> 91</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45</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5</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2C-B</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260.01 </w:t>
            </w:r>
            <w:r w:rsidRPr="00F677A2">
              <w:rPr>
                <w:rFonts w:cs="Times New Roman"/>
                <w:b/>
                <w:sz w:val="18"/>
                <w:szCs w:val="20"/>
              </w:rPr>
              <w:sym w:font="Wingdings" w:char="F0E0"/>
            </w:r>
            <w:r w:rsidRPr="00F677A2">
              <w:rPr>
                <w:rFonts w:cs="Times New Roman"/>
                <w:b/>
                <w:sz w:val="18"/>
                <w:szCs w:val="20"/>
              </w:rPr>
              <w:t xml:space="preserve"> 242.9</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4</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90</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3.403</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d5-MDMA</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260.01 </w:t>
            </w:r>
            <w:r w:rsidRPr="00F677A2">
              <w:rPr>
                <w:rFonts w:cs="Times New Roman"/>
                <w:sz w:val="18"/>
                <w:szCs w:val="20"/>
              </w:rPr>
              <w:sym w:font="Wingdings" w:char="F0E0"/>
            </w:r>
            <w:r w:rsidRPr="00F677A2">
              <w:rPr>
                <w:rFonts w:cs="Times New Roman"/>
                <w:sz w:val="18"/>
                <w:szCs w:val="20"/>
              </w:rPr>
              <w:t xml:space="preserve"> 227.9</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6</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6</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2C-E</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210.3 </w:t>
            </w:r>
            <w:r w:rsidRPr="00F677A2">
              <w:rPr>
                <w:rFonts w:cs="Times New Roman"/>
                <w:b/>
                <w:sz w:val="18"/>
                <w:szCs w:val="20"/>
              </w:rPr>
              <w:sym w:font="Wingdings" w:char="F0E0"/>
            </w:r>
            <w:r w:rsidRPr="00F677A2">
              <w:rPr>
                <w:rFonts w:cs="Times New Roman"/>
                <w:b/>
                <w:sz w:val="18"/>
                <w:szCs w:val="20"/>
              </w:rPr>
              <w:t xml:space="preserve"> 193</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5</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80</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4.119</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d5-MDMA</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210.3 </w:t>
            </w:r>
            <w:r w:rsidRPr="00F677A2">
              <w:rPr>
                <w:rFonts w:cs="Times New Roman"/>
                <w:sz w:val="18"/>
                <w:szCs w:val="20"/>
              </w:rPr>
              <w:sym w:font="Wingdings" w:char="F0E0"/>
            </w:r>
            <w:r w:rsidRPr="00F677A2">
              <w:rPr>
                <w:rFonts w:cs="Times New Roman"/>
                <w:sz w:val="18"/>
                <w:szCs w:val="20"/>
              </w:rPr>
              <w:t xml:space="preserve"> 163</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25</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7</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2C-I</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308.1 </w:t>
            </w:r>
            <w:r w:rsidRPr="00F677A2">
              <w:rPr>
                <w:rFonts w:cs="Times New Roman"/>
                <w:b/>
                <w:sz w:val="18"/>
                <w:szCs w:val="20"/>
              </w:rPr>
              <w:sym w:font="Wingdings" w:char="F0E0"/>
            </w:r>
            <w:r w:rsidRPr="00F677A2">
              <w:rPr>
                <w:rFonts w:cs="Times New Roman"/>
                <w:b/>
                <w:sz w:val="18"/>
                <w:szCs w:val="20"/>
              </w:rPr>
              <w:t xml:space="preserve"> 290.9</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9</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90</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3.906</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d5-MDMA</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308.1 </w:t>
            </w:r>
            <w:r w:rsidRPr="00F677A2">
              <w:rPr>
                <w:rFonts w:cs="Times New Roman"/>
                <w:sz w:val="18"/>
                <w:szCs w:val="20"/>
              </w:rPr>
              <w:sym w:font="Wingdings" w:char="F0E0"/>
            </w:r>
            <w:r w:rsidRPr="00F677A2">
              <w:rPr>
                <w:rFonts w:cs="Times New Roman"/>
                <w:sz w:val="18"/>
                <w:szCs w:val="20"/>
              </w:rPr>
              <w:t xml:space="preserve"> 91</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49</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8</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2C-T-4</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256.4 </w:t>
            </w:r>
            <w:r w:rsidRPr="00F677A2">
              <w:rPr>
                <w:rFonts w:cs="Times New Roman"/>
                <w:b/>
                <w:sz w:val="18"/>
                <w:szCs w:val="20"/>
              </w:rPr>
              <w:sym w:font="Wingdings" w:char="F0E0"/>
            </w:r>
            <w:r w:rsidRPr="00F677A2">
              <w:rPr>
                <w:rFonts w:cs="Times New Roman"/>
                <w:b/>
                <w:sz w:val="18"/>
                <w:szCs w:val="20"/>
              </w:rPr>
              <w:t xml:space="preserve"> 239</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5</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90</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4.675</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d5-MDMA</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256.4 </w:t>
            </w:r>
            <w:r w:rsidRPr="00F677A2">
              <w:rPr>
                <w:rFonts w:cs="Times New Roman"/>
                <w:sz w:val="18"/>
                <w:szCs w:val="20"/>
              </w:rPr>
              <w:sym w:font="Wingdings" w:char="F0E0"/>
            </w:r>
            <w:r w:rsidRPr="00F677A2">
              <w:rPr>
                <w:rFonts w:cs="Times New Roman"/>
                <w:sz w:val="18"/>
                <w:szCs w:val="20"/>
              </w:rPr>
              <w:t xml:space="preserve"> 197</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17</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9</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2C-T-7</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256.4 </w:t>
            </w:r>
            <w:r w:rsidRPr="00F677A2">
              <w:rPr>
                <w:rFonts w:cs="Times New Roman"/>
                <w:b/>
                <w:sz w:val="18"/>
                <w:szCs w:val="20"/>
              </w:rPr>
              <w:sym w:font="Wingdings" w:char="F0E0"/>
            </w:r>
            <w:r w:rsidRPr="00F677A2">
              <w:rPr>
                <w:rFonts w:cs="Times New Roman"/>
                <w:b/>
                <w:sz w:val="18"/>
                <w:szCs w:val="20"/>
              </w:rPr>
              <w:t xml:space="preserve"> 239</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9</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85</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4.959</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d5-MDMA</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256.4 </w:t>
            </w:r>
            <w:r w:rsidRPr="00F677A2">
              <w:rPr>
                <w:rFonts w:cs="Times New Roman"/>
                <w:sz w:val="18"/>
                <w:szCs w:val="20"/>
              </w:rPr>
              <w:sym w:font="Wingdings" w:char="F0E0"/>
            </w:r>
            <w:r w:rsidRPr="00F677A2">
              <w:rPr>
                <w:rFonts w:cs="Times New Roman"/>
                <w:sz w:val="18"/>
                <w:szCs w:val="20"/>
              </w:rPr>
              <w:t xml:space="preserve"> 166.9</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29</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10</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MDA</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180.1 </w:t>
            </w:r>
            <w:r w:rsidRPr="00F677A2">
              <w:rPr>
                <w:rFonts w:cs="Times New Roman"/>
                <w:b/>
                <w:sz w:val="18"/>
                <w:szCs w:val="20"/>
              </w:rPr>
              <w:sym w:font="Wingdings" w:char="F0E0"/>
            </w:r>
            <w:r w:rsidRPr="00F677A2">
              <w:rPr>
                <w:rFonts w:cs="Times New Roman"/>
                <w:b/>
                <w:sz w:val="18"/>
                <w:szCs w:val="20"/>
              </w:rPr>
              <w:t xml:space="preserve"> 163</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4</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70</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1.658</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d6-Amphetamine</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180.1 </w:t>
            </w:r>
            <w:r w:rsidRPr="00F677A2">
              <w:rPr>
                <w:rFonts w:cs="Times New Roman"/>
                <w:sz w:val="18"/>
                <w:szCs w:val="20"/>
              </w:rPr>
              <w:sym w:font="Wingdings" w:char="F0E0"/>
            </w:r>
            <w:r w:rsidRPr="00F677A2">
              <w:rPr>
                <w:rFonts w:cs="Times New Roman"/>
                <w:sz w:val="18"/>
                <w:szCs w:val="20"/>
              </w:rPr>
              <w:t xml:space="preserve"> 105</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20</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11</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MDEA</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208.14 </w:t>
            </w:r>
            <w:r w:rsidRPr="00F677A2">
              <w:rPr>
                <w:rFonts w:cs="Times New Roman"/>
                <w:b/>
                <w:sz w:val="18"/>
                <w:szCs w:val="20"/>
              </w:rPr>
              <w:sym w:font="Wingdings" w:char="F0E0"/>
            </w:r>
            <w:r w:rsidRPr="00F677A2">
              <w:rPr>
                <w:rFonts w:cs="Times New Roman"/>
                <w:b/>
                <w:sz w:val="18"/>
                <w:szCs w:val="20"/>
              </w:rPr>
              <w:t xml:space="preserve"> 163</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8</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90</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2.220</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d5-MDMA</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208.14 </w:t>
            </w:r>
            <w:r w:rsidRPr="00F677A2">
              <w:rPr>
                <w:rFonts w:cs="Times New Roman"/>
                <w:sz w:val="18"/>
                <w:szCs w:val="20"/>
              </w:rPr>
              <w:sym w:font="Wingdings" w:char="F0E0"/>
            </w:r>
            <w:r w:rsidRPr="00F677A2">
              <w:rPr>
                <w:rFonts w:cs="Times New Roman"/>
                <w:sz w:val="18"/>
                <w:szCs w:val="20"/>
              </w:rPr>
              <w:t xml:space="preserve"> 105</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24</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12</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MDMA</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194.1 </w:t>
            </w:r>
            <w:r w:rsidRPr="00F677A2">
              <w:rPr>
                <w:rFonts w:cs="Times New Roman"/>
                <w:b/>
                <w:sz w:val="18"/>
                <w:szCs w:val="20"/>
              </w:rPr>
              <w:sym w:font="Wingdings" w:char="F0E0"/>
            </w:r>
            <w:r w:rsidRPr="00F677A2">
              <w:rPr>
                <w:rFonts w:cs="Times New Roman"/>
                <w:b/>
                <w:sz w:val="18"/>
                <w:szCs w:val="20"/>
              </w:rPr>
              <w:t xml:space="preserve"> 163</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8</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85</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1.849</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d5-MDMA</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194.1 </w:t>
            </w:r>
            <w:r w:rsidRPr="00F677A2">
              <w:rPr>
                <w:rFonts w:cs="Times New Roman"/>
                <w:sz w:val="18"/>
                <w:szCs w:val="20"/>
              </w:rPr>
              <w:sym w:font="Wingdings" w:char="F0E0"/>
            </w:r>
            <w:r w:rsidRPr="00F677A2">
              <w:rPr>
                <w:rFonts w:cs="Times New Roman"/>
                <w:sz w:val="18"/>
                <w:szCs w:val="20"/>
              </w:rPr>
              <w:t xml:space="preserve"> 105</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24</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13</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Amphetamine</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136.11 </w:t>
            </w:r>
            <w:r w:rsidRPr="00F677A2">
              <w:rPr>
                <w:rFonts w:cs="Times New Roman"/>
                <w:b/>
                <w:sz w:val="18"/>
                <w:szCs w:val="20"/>
              </w:rPr>
              <w:sym w:font="Wingdings" w:char="F0E0"/>
            </w:r>
            <w:r w:rsidRPr="00F677A2">
              <w:rPr>
                <w:rFonts w:cs="Times New Roman"/>
                <w:b/>
                <w:sz w:val="18"/>
                <w:szCs w:val="20"/>
              </w:rPr>
              <w:t xml:space="preserve"> 91</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16</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75</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1.490</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d6-Amphetamine</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136.11 </w:t>
            </w:r>
            <w:r w:rsidRPr="00F677A2">
              <w:rPr>
                <w:rFonts w:cs="Times New Roman"/>
                <w:sz w:val="18"/>
                <w:szCs w:val="20"/>
              </w:rPr>
              <w:sym w:font="Wingdings" w:char="F0E0"/>
            </w:r>
            <w:r w:rsidRPr="00F677A2">
              <w:rPr>
                <w:rFonts w:cs="Times New Roman"/>
                <w:sz w:val="18"/>
                <w:szCs w:val="20"/>
              </w:rPr>
              <w:t xml:space="preserve"> 119</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4</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14</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Methamphetamine</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150.13 </w:t>
            </w:r>
            <w:r w:rsidRPr="00F677A2">
              <w:rPr>
                <w:rFonts w:cs="Times New Roman"/>
                <w:b/>
                <w:sz w:val="18"/>
                <w:szCs w:val="20"/>
              </w:rPr>
              <w:sym w:font="Wingdings" w:char="F0E0"/>
            </w:r>
            <w:r w:rsidRPr="00F677A2">
              <w:rPr>
                <w:rFonts w:cs="Times New Roman"/>
                <w:b/>
                <w:sz w:val="18"/>
                <w:szCs w:val="20"/>
              </w:rPr>
              <w:t xml:space="preserve"> 91</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16</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80</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1.715</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d5-MDMA</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150.13 </w:t>
            </w:r>
            <w:r w:rsidRPr="00F677A2">
              <w:rPr>
                <w:rFonts w:cs="Times New Roman"/>
                <w:sz w:val="18"/>
                <w:szCs w:val="20"/>
              </w:rPr>
              <w:sym w:font="Wingdings" w:char="F0E0"/>
            </w:r>
            <w:r w:rsidRPr="00F677A2">
              <w:rPr>
                <w:rFonts w:cs="Times New Roman"/>
                <w:sz w:val="18"/>
                <w:szCs w:val="20"/>
              </w:rPr>
              <w:t xml:space="preserve"> 119</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4</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15</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Ethylamphetamine</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164.11 </w:t>
            </w:r>
            <w:r w:rsidRPr="00F677A2">
              <w:rPr>
                <w:rFonts w:cs="Times New Roman"/>
                <w:b/>
                <w:sz w:val="18"/>
                <w:szCs w:val="20"/>
              </w:rPr>
              <w:sym w:font="Wingdings" w:char="F0E0"/>
            </w:r>
            <w:r w:rsidRPr="00F677A2">
              <w:rPr>
                <w:rFonts w:cs="Times New Roman"/>
                <w:b/>
                <w:sz w:val="18"/>
                <w:szCs w:val="20"/>
              </w:rPr>
              <w:t xml:space="preserve"> 91</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20</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85</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2.093</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d5-MDMA</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164.11 </w:t>
            </w:r>
            <w:r w:rsidRPr="00F677A2">
              <w:rPr>
                <w:rFonts w:cs="Times New Roman"/>
                <w:sz w:val="18"/>
                <w:szCs w:val="20"/>
              </w:rPr>
              <w:sym w:font="Wingdings" w:char="F0E0"/>
            </w:r>
            <w:r w:rsidRPr="00F677A2">
              <w:rPr>
                <w:rFonts w:cs="Times New Roman"/>
                <w:sz w:val="18"/>
                <w:szCs w:val="20"/>
              </w:rPr>
              <w:t xml:space="preserve"> 119</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8</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16</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MDPV</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276.3 </w:t>
            </w:r>
            <w:r w:rsidRPr="00F677A2">
              <w:rPr>
                <w:rFonts w:cs="Times New Roman"/>
                <w:b/>
                <w:sz w:val="18"/>
                <w:szCs w:val="20"/>
              </w:rPr>
              <w:sym w:font="Wingdings" w:char="F0E0"/>
            </w:r>
            <w:r w:rsidRPr="00F677A2">
              <w:rPr>
                <w:rFonts w:cs="Times New Roman"/>
                <w:b/>
                <w:sz w:val="18"/>
                <w:szCs w:val="20"/>
              </w:rPr>
              <w:t xml:space="preserve"> 126</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25</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130</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3.383</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d3-Methylone</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276.3 </w:t>
            </w:r>
            <w:r w:rsidRPr="00F677A2">
              <w:rPr>
                <w:rFonts w:cs="Times New Roman"/>
                <w:sz w:val="18"/>
                <w:szCs w:val="20"/>
              </w:rPr>
              <w:sym w:font="Wingdings" w:char="F0E0"/>
            </w:r>
            <w:r w:rsidRPr="00F677A2">
              <w:rPr>
                <w:rFonts w:cs="Times New Roman"/>
                <w:sz w:val="18"/>
                <w:szCs w:val="20"/>
              </w:rPr>
              <w:t xml:space="preserve"> 135</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25</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17</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Mephedrone</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178.25 </w:t>
            </w:r>
            <w:r w:rsidRPr="00F677A2">
              <w:rPr>
                <w:rFonts w:cs="Times New Roman"/>
                <w:b/>
                <w:sz w:val="18"/>
                <w:szCs w:val="20"/>
              </w:rPr>
              <w:sym w:font="Wingdings" w:char="F0E0"/>
            </w:r>
            <w:r w:rsidRPr="00F677A2">
              <w:rPr>
                <w:rFonts w:cs="Times New Roman"/>
                <w:b/>
                <w:sz w:val="18"/>
                <w:szCs w:val="20"/>
              </w:rPr>
              <w:t xml:space="preserve"> 160</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10</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85</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2.123</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d3-Mephedrone</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178.25 </w:t>
            </w:r>
            <w:r w:rsidRPr="00F677A2">
              <w:rPr>
                <w:rFonts w:cs="Times New Roman"/>
                <w:sz w:val="18"/>
                <w:szCs w:val="20"/>
              </w:rPr>
              <w:sym w:font="Wingdings" w:char="F0E0"/>
            </w:r>
            <w:r w:rsidRPr="00F677A2">
              <w:rPr>
                <w:rFonts w:cs="Times New Roman"/>
                <w:sz w:val="18"/>
                <w:szCs w:val="20"/>
              </w:rPr>
              <w:t xml:space="preserve"> 144</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30</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18</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Cathinone</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150.2 </w:t>
            </w:r>
            <w:r w:rsidRPr="00F677A2">
              <w:rPr>
                <w:rFonts w:cs="Times New Roman"/>
                <w:b/>
                <w:sz w:val="18"/>
                <w:szCs w:val="20"/>
              </w:rPr>
              <w:sym w:font="Wingdings" w:char="F0E0"/>
            </w:r>
            <w:r w:rsidRPr="00F677A2">
              <w:rPr>
                <w:rFonts w:cs="Times New Roman"/>
                <w:b/>
                <w:sz w:val="18"/>
                <w:szCs w:val="20"/>
              </w:rPr>
              <w:t xml:space="preserve"> 132</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10</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80</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1.031</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d3-Mephedrone</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150.2 </w:t>
            </w:r>
            <w:r w:rsidRPr="00F677A2">
              <w:rPr>
                <w:rFonts w:cs="Times New Roman"/>
                <w:sz w:val="18"/>
                <w:szCs w:val="20"/>
              </w:rPr>
              <w:sym w:font="Wingdings" w:char="F0E0"/>
            </w:r>
            <w:r w:rsidRPr="00F677A2">
              <w:rPr>
                <w:rFonts w:cs="Times New Roman"/>
                <w:sz w:val="18"/>
                <w:szCs w:val="20"/>
              </w:rPr>
              <w:t xml:space="preserve"> 117</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22</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19</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Methcathinone</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164.23 </w:t>
            </w:r>
            <w:r w:rsidRPr="00F677A2">
              <w:rPr>
                <w:rFonts w:cs="Times New Roman"/>
                <w:b/>
                <w:sz w:val="18"/>
                <w:szCs w:val="20"/>
              </w:rPr>
              <w:sym w:font="Wingdings" w:char="F0E0"/>
            </w:r>
            <w:r w:rsidRPr="00F677A2">
              <w:rPr>
                <w:rFonts w:cs="Times New Roman"/>
                <w:b/>
                <w:sz w:val="18"/>
                <w:szCs w:val="20"/>
              </w:rPr>
              <w:t xml:space="preserve"> 146</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10</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85</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1.196</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d3-Mephedrone</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164.23 </w:t>
            </w:r>
            <w:r w:rsidRPr="00F677A2">
              <w:rPr>
                <w:rFonts w:cs="Times New Roman"/>
                <w:sz w:val="18"/>
                <w:szCs w:val="20"/>
              </w:rPr>
              <w:sym w:font="Wingdings" w:char="F0E0"/>
            </w:r>
            <w:r w:rsidRPr="00F677A2">
              <w:rPr>
                <w:rFonts w:cs="Times New Roman"/>
                <w:sz w:val="18"/>
                <w:szCs w:val="20"/>
              </w:rPr>
              <w:t xml:space="preserve"> 130</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34</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20</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Methedrone</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194.25 </w:t>
            </w:r>
            <w:r w:rsidRPr="00F677A2">
              <w:rPr>
                <w:rFonts w:cs="Times New Roman"/>
                <w:b/>
                <w:sz w:val="18"/>
                <w:szCs w:val="20"/>
              </w:rPr>
              <w:sym w:font="Wingdings" w:char="F0E0"/>
            </w:r>
            <w:r w:rsidRPr="00F677A2">
              <w:rPr>
                <w:rFonts w:cs="Times New Roman"/>
                <w:b/>
                <w:sz w:val="18"/>
                <w:szCs w:val="20"/>
              </w:rPr>
              <w:t xml:space="preserve"> 176</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10</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80</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1.745</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d3-Mephedrone</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194.25 </w:t>
            </w:r>
            <w:r w:rsidRPr="00F677A2">
              <w:rPr>
                <w:rFonts w:cs="Times New Roman"/>
                <w:sz w:val="18"/>
                <w:szCs w:val="20"/>
              </w:rPr>
              <w:sym w:font="Wingdings" w:char="F0E0"/>
            </w:r>
            <w:r w:rsidRPr="00F677A2">
              <w:rPr>
                <w:rFonts w:cs="Times New Roman"/>
                <w:sz w:val="18"/>
                <w:szCs w:val="20"/>
              </w:rPr>
              <w:t xml:space="preserve"> 161</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18</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21</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4-MEC</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192.28 </w:t>
            </w:r>
            <w:r w:rsidRPr="00F677A2">
              <w:rPr>
                <w:rFonts w:cs="Times New Roman"/>
                <w:b/>
                <w:sz w:val="18"/>
                <w:szCs w:val="20"/>
              </w:rPr>
              <w:sym w:font="Wingdings" w:char="F0E0"/>
            </w:r>
            <w:r w:rsidRPr="00F677A2">
              <w:rPr>
                <w:rFonts w:cs="Times New Roman"/>
                <w:b/>
                <w:sz w:val="18"/>
                <w:szCs w:val="20"/>
              </w:rPr>
              <w:t xml:space="preserve"> 174.1</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10</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95</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2.482</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d3-Mephedrone</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192.28 </w:t>
            </w:r>
            <w:r w:rsidRPr="00F677A2">
              <w:rPr>
                <w:rFonts w:cs="Times New Roman"/>
                <w:sz w:val="18"/>
                <w:szCs w:val="20"/>
              </w:rPr>
              <w:sym w:font="Wingdings" w:char="F0E0"/>
            </w:r>
            <w:r w:rsidRPr="00F677A2">
              <w:rPr>
                <w:rFonts w:cs="Times New Roman"/>
                <w:sz w:val="18"/>
                <w:szCs w:val="20"/>
              </w:rPr>
              <w:t xml:space="preserve"> 145</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18</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22</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Flephedrone</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182.21 </w:t>
            </w:r>
            <w:r w:rsidRPr="00F677A2">
              <w:rPr>
                <w:rFonts w:cs="Times New Roman"/>
                <w:b/>
                <w:sz w:val="18"/>
                <w:szCs w:val="20"/>
              </w:rPr>
              <w:sym w:font="Wingdings" w:char="F0E0"/>
            </w:r>
            <w:r w:rsidRPr="00F677A2">
              <w:rPr>
                <w:rFonts w:cs="Times New Roman"/>
                <w:b/>
                <w:sz w:val="18"/>
                <w:szCs w:val="20"/>
              </w:rPr>
              <w:t xml:space="preserve"> 164</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10</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85</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1.422</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d3-Mephedrone</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182.21 </w:t>
            </w:r>
            <w:r w:rsidRPr="00F677A2">
              <w:rPr>
                <w:rFonts w:cs="Times New Roman"/>
                <w:sz w:val="18"/>
                <w:szCs w:val="20"/>
              </w:rPr>
              <w:sym w:font="Wingdings" w:char="F0E0"/>
            </w:r>
            <w:r w:rsidRPr="00F677A2">
              <w:rPr>
                <w:rFonts w:cs="Times New Roman"/>
                <w:sz w:val="18"/>
                <w:szCs w:val="20"/>
              </w:rPr>
              <w:t xml:space="preserve"> 148</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34</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23</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Methylone</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208.24 </w:t>
            </w:r>
            <w:r w:rsidRPr="00F677A2">
              <w:rPr>
                <w:rFonts w:cs="Times New Roman"/>
                <w:b/>
                <w:sz w:val="18"/>
                <w:szCs w:val="20"/>
              </w:rPr>
              <w:sym w:font="Wingdings" w:char="F0E0"/>
            </w:r>
            <w:r w:rsidRPr="00F677A2">
              <w:rPr>
                <w:rFonts w:cs="Times New Roman"/>
                <w:b/>
                <w:sz w:val="18"/>
                <w:szCs w:val="20"/>
              </w:rPr>
              <w:t xml:space="preserve"> 160</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14</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80</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1.397</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d3-Methylone</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208.24 </w:t>
            </w:r>
            <w:r w:rsidRPr="00F677A2">
              <w:rPr>
                <w:rFonts w:cs="Times New Roman"/>
                <w:sz w:val="18"/>
                <w:szCs w:val="20"/>
              </w:rPr>
              <w:sym w:font="Wingdings" w:char="F0E0"/>
            </w:r>
            <w:r w:rsidRPr="00F677A2">
              <w:rPr>
                <w:rFonts w:cs="Times New Roman"/>
                <w:sz w:val="18"/>
                <w:szCs w:val="20"/>
              </w:rPr>
              <w:t xml:space="preserve"> 132</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26</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24</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Butylone</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222.26 </w:t>
            </w:r>
            <w:r w:rsidRPr="00F677A2">
              <w:rPr>
                <w:rFonts w:cs="Times New Roman"/>
                <w:b/>
                <w:sz w:val="18"/>
                <w:szCs w:val="20"/>
              </w:rPr>
              <w:sym w:font="Wingdings" w:char="F0E0"/>
            </w:r>
            <w:r w:rsidRPr="00F677A2">
              <w:rPr>
                <w:rFonts w:cs="Times New Roman"/>
                <w:b/>
                <w:sz w:val="18"/>
                <w:szCs w:val="20"/>
              </w:rPr>
              <w:t xml:space="preserve"> 174</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14</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95</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2.035</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d3-Methylone</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222.26 </w:t>
            </w:r>
            <w:r w:rsidRPr="00F677A2">
              <w:rPr>
                <w:rFonts w:cs="Times New Roman"/>
                <w:sz w:val="18"/>
                <w:szCs w:val="20"/>
              </w:rPr>
              <w:sym w:font="Wingdings" w:char="F0E0"/>
            </w:r>
            <w:r w:rsidRPr="00F677A2">
              <w:rPr>
                <w:rFonts w:cs="Times New Roman"/>
                <w:sz w:val="18"/>
                <w:szCs w:val="20"/>
              </w:rPr>
              <w:t xml:space="preserve"> 204</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10</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25</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BZP</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177.11 </w:t>
            </w:r>
            <w:r w:rsidRPr="00F677A2">
              <w:rPr>
                <w:rFonts w:cs="Times New Roman"/>
                <w:b/>
                <w:sz w:val="18"/>
                <w:szCs w:val="20"/>
              </w:rPr>
              <w:sym w:font="Wingdings" w:char="F0E0"/>
            </w:r>
            <w:r w:rsidRPr="00F677A2">
              <w:rPr>
                <w:rFonts w:cs="Times New Roman"/>
                <w:b/>
                <w:sz w:val="18"/>
                <w:szCs w:val="20"/>
              </w:rPr>
              <w:t xml:space="preserve"> 91</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20</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100</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0.589</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d7-BZP</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177.11 </w:t>
            </w:r>
            <w:r w:rsidRPr="00F677A2">
              <w:rPr>
                <w:rFonts w:cs="Times New Roman"/>
                <w:sz w:val="18"/>
                <w:szCs w:val="20"/>
              </w:rPr>
              <w:sym w:font="Wingdings" w:char="F0E0"/>
            </w:r>
            <w:r w:rsidRPr="00F677A2">
              <w:rPr>
                <w:rFonts w:cs="Times New Roman"/>
                <w:sz w:val="18"/>
                <w:szCs w:val="20"/>
              </w:rPr>
              <w:t xml:space="preserve"> 65</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50</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26</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DBZP</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267.21 </w:t>
            </w:r>
            <w:r w:rsidRPr="00F677A2">
              <w:rPr>
                <w:rFonts w:cs="Times New Roman"/>
                <w:b/>
                <w:sz w:val="18"/>
                <w:szCs w:val="20"/>
              </w:rPr>
              <w:sym w:font="Wingdings" w:char="F0E0"/>
            </w:r>
            <w:r w:rsidRPr="00F677A2">
              <w:rPr>
                <w:rFonts w:cs="Times New Roman"/>
                <w:b/>
                <w:sz w:val="18"/>
                <w:szCs w:val="20"/>
              </w:rPr>
              <w:t xml:space="preserve"> 91</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32</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125</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3.520</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d7-BZP</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267.21 </w:t>
            </w:r>
            <w:r w:rsidRPr="00F677A2">
              <w:rPr>
                <w:rFonts w:cs="Times New Roman"/>
                <w:sz w:val="18"/>
                <w:szCs w:val="20"/>
              </w:rPr>
              <w:sym w:font="Wingdings" w:char="F0E0"/>
            </w:r>
            <w:r w:rsidRPr="00F677A2">
              <w:rPr>
                <w:rFonts w:cs="Times New Roman"/>
                <w:sz w:val="18"/>
                <w:szCs w:val="20"/>
              </w:rPr>
              <w:t xml:space="preserve"> 175</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12</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27</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mCPP</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197.11 </w:t>
            </w:r>
            <w:r w:rsidRPr="00F677A2">
              <w:rPr>
                <w:rFonts w:cs="Times New Roman"/>
                <w:b/>
                <w:sz w:val="18"/>
                <w:szCs w:val="20"/>
              </w:rPr>
              <w:sym w:font="Wingdings" w:char="F0E0"/>
            </w:r>
            <w:r w:rsidRPr="00F677A2">
              <w:rPr>
                <w:rFonts w:cs="Times New Roman"/>
                <w:b/>
                <w:sz w:val="18"/>
                <w:szCs w:val="20"/>
              </w:rPr>
              <w:t xml:space="preserve"> 153.9</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20</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120</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2.878</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d4-TFMPP</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197.11 </w:t>
            </w:r>
            <w:r w:rsidRPr="00F677A2">
              <w:rPr>
                <w:rFonts w:cs="Times New Roman"/>
                <w:sz w:val="18"/>
                <w:szCs w:val="20"/>
              </w:rPr>
              <w:sym w:font="Wingdings" w:char="F0E0"/>
            </w:r>
            <w:r w:rsidRPr="00F677A2">
              <w:rPr>
                <w:rFonts w:cs="Times New Roman"/>
                <w:sz w:val="18"/>
                <w:szCs w:val="20"/>
              </w:rPr>
              <w:t xml:space="preserve"> 118</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36</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28</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TFMPP</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231.11 </w:t>
            </w:r>
            <w:r w:rsidRPr="00F677A2">
              <w:rPr>
                <w:rFonts w:cs="Times New Roman"/>
                <w:b/>
                <w:sz w:val="18"/>
                <w:szCs w:val="20"/>
              </w:rPr>
              <w:sym w:font="Wingdings" w:char="F0E0"/>
            </w:r>
            <w:r w:rsidRPr="00F677A2">
              <w:rPr>
                <w:rFonts w:cs="Times New Roman"/>
                <w:b/>
                <w:sz w:val="18"/>
                <w:szCs w:val="20"/>
              </w:rPr>
              <w:t xml:space="preserve"> 188</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20</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125</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3.826</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d4-TFMPP</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231.11 </w:t>
            </w:r>
            <w:r w:rsidRPr="00F677A2">
              <w:rPr>
                <w:rFonts w:cs="Times New Roman"/>
                <w:sz w:val="18"/>
                <w:szCs w:val="20"/>
              </w:rPr>
              <w:sym w:font="Wingdings" w:char="F0E0"/>
            </w:r>
            <w:r w:rsidRPr="00F677A2">
              <w:rPr>
                <w:rFonts w:cs="Times New Roman"/>
                <w:sz w:val="18"/>
                <w:szCs w:val="20"/>
              </w:rPr>
              <w:t xml:space="preserve"> 118</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44</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29</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AMT</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175.2 </w:t>
            </w:r>
            <w:r w:rsidRPr="00F677A2">
              <w:rPr>
                <w:rFonts w:cs="Times New Roman"/>
                <w:b/>
                <w:sz w:val="18"/>
                <w:szCs w:val="20"/>
              </w:rPr>
              <w:sym w:font="Wingdings" w:char="F0E0"/>
            </w:r>
            <w:r w:rsidRPr="00F677A2">
              <w:rPr>
                <w:rFonts w:cs="Times New Roman"/>
                <w:b/>
                <w:sz w:val="18"/>
                <w:szCs w:val="20"/>
              </w:rPr>
              <w:t xml:space="preserve"> 158</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9</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75</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2.037</w:t>
            </w:r>
          </w:p>
        </w:tc>
        <w:tc>
          <w:tcPr>
            <w:tcW w:w="0" w:type="auto"/>
            <w:vAlign w:val="center"/>
          </w:tcPr>
          <w:p w:rsidR="00CD767F" w:rsidRPr="00F677A2" w:rsidRDefault="00CD767F" w:rsidP="00F677A2">
            <w:pPr>
              <w:spacing w:after="0"/>
              <w:rPr>
                <w:rFonts w:cs="Times New Roman"/>
                <w:sz w:val="18"/>
                <w:szCs w:val="20"/>
                <w:highlight w:val="yellow"/>
              </w:rPr>
            </w:pPr>
            <w:r w:rsidRPr="00F677A2">
              <w:rPr>
                <w:rFonts w:cs="Times New Roman"/>
                <w:sz w:val="18"/>
                <w:szCs w:val="20"/>
              </w:rPr>
              <w:t>d6-Amphetamine</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175.2 </w:t>
            </w:r>
            <w:r w:rsidRPr="00F677A2">
              <w:rPr>
                <w:rFonts w:cs="Times New Roman"/>
                <w:sz w:val="18"/>
                <w:szCs w:val="20"/>
              </w:rPr>
              <w:sym w:font="Wingdings" w:char="F0E0"/>
            </w:r>
            <w:r w:rsidRPr="00F677A2">
              <w:rPr>
                <w:rFonts w:cs="Times New Roman"/>
                <w:sz w:val="18"/>
                <w:szCs w:val="20"/>
              </w:rPr>
              <w:t xml:space="preserve"> 143</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25</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highlight w:val="yellow"/>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30</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DMT</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189.11 </w:t>
            </w:r>
            <w:r w:rsidRPr="00F677A2">
              <w:rPr>
                <w:rFonts w:cs="Times New Roman"/>
                <w:b/>
                <w:sz w:val="18"/>
                <w:szCs w:val="20"/>
              </w:rPr>
              <w:sym w:font="Wingdings" w:char="F0E0"/>
            </w:r>
            <w:r w:rsidRPr="00F677A2">
              <w:rPr>
                <w:rFonts w:cs="Times New Roman"/>
                <w:b/>
                <w:sz w:val="18"/>
                <w:szCs w:val="20"/>
              </w:rPr>
              <w:t xml:space="preserve"> 58.1</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8</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85</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1.775</w:t>
            </w:r>
          </w:p>
        </w:tc>
        <w:tc>
          <w:tcPr>
            <w:tcW w:w="0" w:type="auto"/>
            <w:vAlign w:val="center"/>
          </w:tcPr>
          <w:p w:rsidR="00CD767F" w:rsidRPr="00F677A2" w:rsidRDefault="00CD767F" w:rsidP="00F677A2">
            <w:pPr>
              <w:spacing w:after="0"/>
              <w:rPr>
                <w:rFonts w:cs="Times New Roman"/>
                <w:sz w:val="18"/>
                <w:szCs w:val="20"/>
                <w:highlight w:val="yellow"/>
              </w:rPr>
            </w:pPr>
            <w:r w:rsidRPr="00F677A2">
              <w:rPr>
                <w:rFonts w:cs="Times New Roman"/>
                <w:sz w:val="18"/>
                <w:szCs w:val="20"/>
              </w:rPr>
              <w:t>d5-MDMA</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189.11 </w:t>
            </w:r>
            <w:r w:rsidRPr="00F677A2">
              <w:rPr>
                <w:rFonts w:cs="Times New Roman"/>
                <w:sz w:val="18"/>
                <w:szCs w:val="20"/>
              </w:rPr>
              <w:sym w:font="Wingdings" w:char="F0E0"/>
            </w:r>
            <w:r w:rsidRPr="00F677A2">
              <w:rPr>
                <w:rFonts w:cs="Times New Roman"/>
                <w:sz w:val="18"/>
                <w:szCs w:val="20"/>
              </w:rPr>
              <w:t xml:space="preserve"> 144</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16</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highlight w:val="yellow"/>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31</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5-MeO-DMT</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219.3 </w:t>
            </w:r>
            <w:r w:rsidRPr="00F677A2">
              <w:rPr>
                <w:rFonts w:cs="Times New Roman"/>
                <w:b/>
                <w:sz w:val="18"/>
                <w:szCs w:val="20"/>
              </w:rPr>
              <w:sym w:font="Wingdings" w:char="F0E0"/>
            </w:r>
            <w:r w:rsidRPr="00F677A2">
              <w:rPr>
                <w:rFonts w:cs="Times New Roman"/>
                <w:b/>
                <w:sz w:val="18"/>
                <w:szCs w:val="20"/>
              </w:rPr>
              <w:t xml:space="preserve"> 58.1</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9</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85</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1.955</w:t>
            </w:r>
          </w:p>
        </w:tc>
        <w:tc>
          <w:tcPr>
            <w:tcW w:w="0" w:type="auto"/>
            <w:vAlign w:val="center"/>
          </w:tcPr>
          <w:p w:rsidR="00CD767F" w:rsidRPr="00F677A2" w:rsidRDefault="00CD767F" w:rsidP="00F677A2">
            <w:pPr>
              <w:spacing w:after="0"/>
              <w:rPr>
                <w:rFonts w:cs="Times New Roman"/>
                <w:sz w:val="18"/>
                <w:szCs w:val="20"/>
                <w:highlight w:val="yellow"/>
              </w:rPr>
            </w:pPr>
            <w:r w:rsidRPr="00F677A2">
              <w:rPr>
                <w:rFonts w:cs="Times New Roman"/>
                <w:sz w:val="18"/>
                <w:szCs w:val="20"/>
              </w:rPr>
              <w:t>d5-MDMA</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219.3 </w:t>
            </w:r>
            <w:r w:rsidRPr="00F677A2">
              <w:rPr>
                <w:rFonts w:cs="Times New Roman"/>
                <w:sz w:val="18"/>
                <w:szCs w:val="20"/>
              </w:rPr>
              <w:sym w:font="Wingdings" w:char="F0E0"/>
            </w:r>
            <w:r w:rsidRPr="00F677A2">
              <w:rPr>
                <w:rFonts w:cs="Times New Roman"/>
                <w:sz w:val="18"/>
                <w:szCs w:val="20"/>
              </w:rPr>
              <w:t xml:space="preserve"> 174</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9</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highlight w:val="yellow"/>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32</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5-MeO-DiPT</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275.4 </w:t>
            </w:r>
            <w:r w:rsidRPr="00F677A2">
              <w:rPr>
                <w:rFonts w:cs="Times New Roman"/>
                <w:b/>
                <w:sz w:val="18"/>
                <w:szCs w:val="20"/>
              </w:rPr>
              <w:sym w:font="Wingdings" w:char="F0E0"/>
            </w:r>
            <w:r w:rsidRPr="00F677A2">
              <w:rPr>
                <w:rFonts w:cs="Times New Roman"/>
                <w:b/>
                <w:sz w:val="18"/>
                <w:szCs w:val="20"/>
              </w:rPr>
              <w:t xml:space="preserve"> 174</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17</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100</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3.627</w:t>
            </w:r>
          </w:p>
        </w:tc>
        <w:tc>
          <w:tcPr>
            <w:tcW w:w="0" w:type="auto"/>
            <w:vAlign w:val="center"/>
          </w:tcPr>
          <w:p w:rsidR="00CD767F" w:rsidRPr="00F677A2" w:rsidRDefault="00CD767F" w:rsidP="00F677A2">
            <w:pPr>
              <w:spacing w:after="0"/>
              <w:rPr>
                <w:rFonts w:cs="Times New Roman"/>
                <w:sz w:val="18"/>
                <w:szCs w:val="20"/>
                <w:highlight w:val="yellow"/>
              </w:rPr>
            </w:pPr>
            <w:r w:rsidRPr="00F677A2">
              <w:rPr>
                <w:rFonts w:cs="Times New Roman"/>
                <w:sz w:val="18"/>
                <w:szCs w:val="20"/>
              </w:rPr>
              <w:t>d5-MDMA</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275.4 </w:t>
            </w:r>
            <w:r w:rsidRPr="00F677A2">
              <w:rPr>
                <w:rFonts w:cs="Times New Roman"/>
                <w:sz w:val="18"/>
                <w:szCs w:val="20"/>
              </w:rPr>
              <w:sym w:font="Wingdings" w:char="F0E0"/>
            </w:r>
            <w:r w:rsidRPr="00F677A2">
              <w:rPr>
                <w:rFonts w:cs="Times New Roman"/>
                <w:sz w:val="18"/>
                <w:szCs w:val="20"/>
              </w:rPr>
              <w:t xml:space="preserve"> 114.1</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13</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33</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d6-Amphetamine (IS)</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142.25 </w:t>
            </w:r>
            <w:r w:rsidRPr="00F677A2">
              <w:rPr>
                <w:rFonts w:cs="Times New Roman"/>
                <w:b/>
                <w:sz w:val="18"/>
                <w:szCs w:val="20"/>
              </w:rPr>
              <w:sym w:font="Wingdings" w:char="F0E0"/>
            </w:r>
            <w:r w:rsidRPr="00F677A2">
              <w:rPr>
                <w:rFonts w:cs="Times New Roman"/>
                <w:b/>
                <w:sz w:val="18"/>
                <w:szCs w:val="20"/>
              </w:rPr>
              <w:t xml:space="preserve"> 93</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13</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75</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1.470</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142.25 </w:t>
            </w:r>
            <w:r w:rsidRPr="00F677A2">
              <w:rPr>
                <w:rFonts w:cs="Times New Roman"/>
                <w:sz w:val="18"/>
                <w:szCs w:val="20"/>
              </w:rPr>
              <w:sym w:font="Wingdings" w:char="F0E0"/>
            </w:r>
            <w:r w:rsidRPr="00F677A2">
              <w:rPr>
                <w:rFonts w:cs="Times New Roman"/>
                <w:sz w:val="18"/>
                <w:szCs w:val="20"/>
              </w:rPr>
              <w:t xml:space="preserve"> 125.1</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5</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34</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d5-MDMA (IS)</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199.29 </w:t>
            </w:r>
            <w:r w:rsidRPr="00F677A2">
              <w:rPr>
                <w:rFonts w:cs="Times New Roman"/>
                <w:b/>
                <w:sz w:val="18"/>
                <w:szCs w:val="20"/>
              </w:rPr>
              <w:sym w:font="Wingdings" w:char="F0E0"/>
            </w:r>
            <w:r w:rsidRPr="00F677A2">
              <w:rPr>
                <w:rFonts w:cs="Times New Roman"/>
                <w:b/>
                <w:sz w:val="18"/>
                <w:szCs w:val="20"/>
              </w:rPr>
              <w:t xml:space="preserve"> 165</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9</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90</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1.839</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199.29 </w:t>
            </w:r>
            <w:r w:rsidRPr="00F677A2">
              <w:rPr>
                <w:rFonts w:cs="Times New Roman"/>
                <w:sz w:val="18"/>
                <w:szCs w:val="20"/>
              </w:rPr>
              <w:sym w:font="Wingdings" w:char="F0E0"/>
            </w:r>
            <w:r w:rsidRPr="00F677A2">
              <w:rPr>
                <w:rFonts w:cs="Times New Roman"/>
                <w:sz w:val="18"/>
                <w:szCs w:val="20"/>
              </w:rPr>
              <w:t xml:space="preserve"> 107</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25</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35</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d3-Mephedrone (IS)</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181.27 </w:t>
            </w:r>
            <w:r w:rsidRPr="00F677A2">
              <w:rPr>
                <w:rFonts w:cs="Times New Roman"/>
                <w:b/>
                <w:sz w:val="18"/>
                <w:szCs w:val="20"/>
              </w:rPr>
              <w:sym w:font="Wingdings" w:char="F0E0"/>
            </w:r>
            <w:r w:rsidRPr="00F677A2">
              <w:rPr>
                <w:rFonts w:cs="Times New Roman"/>
                <w:b/>
                <w:sz w:val="18"/>
                <w:szCs w:val="20"/>
              </w:rPr>
              <w:t xml:space="preserve"> 163</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9</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90</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2.115</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181.27 </w:t>
            </w:r>
            <w:r w:rsidRPr="00F677A2">
              <w:rPr>
                <w:rFonts w:cs="Times New Roman"/>
                <w:sz w:val="18"/>
                <w:szCs w:val="20"/>
              </w:rPr>
              <w:sym w:font="Wingdings" w:char="F0E0"/>
            </w:r>
            <w:r w:rsidRPr="00F677A2">
              <w:rPr>
                <w:rFonts w:cs="Times New Roman"/>
                <w:sz w:val="18"/>
                <w:szCs w:val="20"/>
              </w:rPr>
              <w:t xml:space="preserve"> 148</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21</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36</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d3-Methylone (IS)</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211.21 </w:t>
            </w:r>
            <w:r w:rsidRPr="00F677A2">
              <w:rPr>
                <w:rFonts w:cs="Times New Roman"/>
                <w:b/>
                <w:sz w:val="18"/>
                <w:szCs w:val="20"/>
              </w:rPr>
              <w:sym w:font="Wingdings" w:char="F0E0"/>
            </w:r>
            <w:r w:rsidRPr="00F677A2">
              <w:rPr>
                <w:rFonts w:cs="Times New Roman"/>
                <w:b/>
                <w:sz w:val="18"/>
                <w:szCs w:val="20"/>
              </w:rPr>
              <w:t xml:space="preserve"> 163</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13</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85</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1.390</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211.21 </w:t>
            </w:r>
            <w:r w:rsidRPr="00F677A2">
              <w:rPr>
                <w:rFonts w:cs="Times New Roman"/>
                <w:sz w:val="18"/>
                <w:szCs w:val="20"/>
              </w:rPr>
              <w:sym w:font="Wingdings" w:char="F0E0"/>
            </w:r>
            <w:r w:rsidRPr="00F677A2">
              <w:rPr>
                <w:rFonts w:cs="Times New Roman"/>
                <w:sz w:val="18"/>
                <w:szCs w:val="20"/>
              </w:rPr>
              <w:t xml:space="preserve"> 135</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29</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37</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d7-BZP (IS)</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184.11 </w:t>
            </w:r>
            <w:r w:rsidRPr="00F677A2">
              <w:rPr>
                <w:rFonts w:cs="Times New Roman"/>
                <w:b/>
                <w:sz w:val="18"/>
                <w:szCs w:val="20"/>
              </w:rPr>
              <w:sym w:font="Wingdings" w:char="F0E0"/>
            </w:r>
            <w:r w:rsidRPr="00F677A2">
              <w:rPr>
                <w:rFonts w:cs="Times New Roman"/>
                <w:b/>
                <w:sz w:val="18"/>
                <w:szCs w:val="20"/>
              </w:rPr>
              <w:t xml:space="preserve"> 98.1</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21</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105</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0.562</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184.11 </w:t>
            </w:r>
            <w:r w:rsidRPr="00F677A2">
              <w:rPr>
                <w:rFonts w:cs="Times New Roman"/>
                <w:sz w:val="18"/>
                <w:szCs w:val="20"/>
              </w:rPr>
              <w:sym w:font="Wingdings" w:char="F0E0"/>
            </w:r>
            <w:r w:rsidRPr="00F677A2">
              <w:rPr>
                <w:rFonts w:cs="Times New Roman"/>
                <w:sz w:val="18"/>
                <w:szCs w:val="20"/>
              </w:rPr>
              <w:t xml:space="preserve"> 70.1</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57</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sz w:val="18"/>
                <w:szCs w:val="20"/>
              </w:rPr>
            </w:pP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38</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d4-TFMPP (IS)</w:t>
            </w:r>
          </w:p>
        </w:tc>
        <w:tc>
          <w:tcPr>
            <w:tcW w:w="0" w:type="auto"/>
            <w:shd w:val="clear" w:color="auto" w:fill="auto"/>
            <w:vAlign w:val="center"/>
          </w:tcPr>
          <w:p w:rsidR="00CD767F" w:rsidRPr="00F677A2" w:rsidRDefault="00CD767F" w:rsidP="00F677A2">
            <w:pPr>
              <w:spacing w:after="0"/>
              <w:rPr>
                <w:rFonts w:cs="Times New Roman"/>
                <w:b/>
                <w:sz w:val="18"/>
                <w:szCs w:val="20"/>
              </w:rPr>
            </w:pPr>
            <w:r w:rsidRPr="00F677A2">
              <w:rPr>
                <w:rFonts w:cs="Times New Roman"/>
                <w:b/>
                <w:sz w:val="18"/>
                <w:szCs w:val="20"/>
              </w:rPr>
              <w:t xml:space="preserve">235.11 </w:t>
            </w:r>
            <w:r w:rsidRPr="00F677A2">
              <w:rPr>
                <w:rFonts w:cs="Times New Roman"/>
                <w:b/>
                <w:sz w:val="18"/>
                <w:szCs w:val="20"/>
              </w:rPr>
              <w:sym w:font="Wingdings" w:char="F0E0"/>
            </w:r>
            <w:r w:rsidRPr="00F677A2">
              <w:rPr>
                <w:rFonts w:cs="Times New Roman"/>
                <w:b/>
                <w:sz w:val="18"/>
                <w:szCs w:val="20"/>
              </w:rPr>
              <w:t xml:space="preserve"> 190</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21</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125</w:t>
            </w:r>
          </w:p>
        </w:tc>
        <w:tc>
          <w:tcPr>
            <w:tcW w:w="0" w:type="auto"/>
            <w:vAlign w:val="center"/>
          </w:tcPr>
          <w:p w:rsidR="00CD767F" w:rsidRPr="00F677A2" w:rsidRDefault="00CD767F" w:rsidP="00F677A2">
            <w:pPr>
              <w:spacing w:after="0"/>
              <w:rPr>
                <w:rFonts w:cs="Times New Roman"/>
                <w:color w:val="000000"/>
                <w:sz w:val="18"/>
                <w:szCs w:val="20"/>
              </w:rPr>
            </w:pPr>
            <w:r w:rsidRPr="00F677A2">
              <w:rPr>
                <w:rFonts w:cs="Times New Roman"/>
                <w:color w:val="000000"/>
                <w:sz w:val="18"/>
                <w:szCs w:val="20"/>
              </w:rPr>
              <w:t>3.815</w:t>
            </w:r>
          </w:p>
        </w:tc>
        <w:tc>
          <w:tcPr>
            <w:tcW w:w="0" w:type="auto"/>
            <w:vAlign w:val="center"/>
          </w:tcPr>
          <w:p w:rsidR="00CD767F" w:rsidRPr="00F677A2" w:rsidRDefault="00CD767F" w:rsidP="00F677A2">
            <w:pPr>
              <w:spacing w:after="0"/>
              <w:rPr>
                <w:rFonts w:cs="Times New Roman"/>
                <w:sz w:val="18"/>
                <w:szCs w:val="20"/>
              </w:rPr>
            </w:pPr>
            <w:r w:rsidRPr="00F677A2">
              <w:rPr>
                <w:rFonts w:cs="Times New Roman"/>
                <w:sz w:val="18"/>
                <w:szCs w:val="20"/>
              </w:rPr>
              <w:t>-</w:t>
            </w:r>
          </w:p>
        </w:tc>
      </w:tr>
      <w:tr w:rsidR="00CD767F" w:rsidRPr="00F677A2" w:rsidTr="00CD767F">
        <w:trPr>
          <w:trHeight w:val="288"/>
        </w:trPr>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 xml:space="preserve">235.11 </w:t>
            </w:r>
            <w:r w:rsidRPr="00F677A2">
              <w:rPr>
                <w:rFonts w:cs="Times New Roman"/>
                <w:sz w:val="18"/>
                <w:szCs w:val="20"/>
              </w:rPr>
              <w:sym w:font="Wingdings" w:char="F0E0"/>
            </w:r>
            <w:r w:rsidRPr="00F677A2">
              <w:rPr>
                <w:rFonts w:cs="Times New Roman"/>
                <w:sz w:val="18"/>
                <w:szCs w:val="20"/>
              </w:rPr>
              <w:t xml:space="preserve"> 46.1</w:t>
            </w:r>
          </w:p>
        </w:tc>
        <w:tc>
          <w:tcPr>
            <w:tcW w:w="0" w:type="auto"/>
            <w:shd w:val="clear" w:color="auto" w:fill="auto"/>
            <w:vAlign w:val="center"/>
          </w:tcPr>
          <w:p w:rsidR="00CD767F" w:rsidRPr="00F677A2" w:rsidRDefault="00CD767F" w:rsidP="00F677A2">
            <w:pPr>
              <w:spacing w:after="0"/>
              <w:rPr>
                <w:rFonts w:cs="Times New Roman"/>
                <w:sz w:val="18"/>
                <w:szCs w:val="20"/>
              </w:rPr>
            </w:pPr>
            <w:r w:rsidRPr="00F677A2">
              <w:rPr>
                <w:rFonts w:cs="Times New Roman"/>
                <w:sz w:val="18"/>
                <w:szCs w:val="20"/>
              </w:rPr>
              <w:t>21</w:t>
            </w:r>
          </w:p>
        </w:tc>
        <w:tc>
          <w:tcPr>
            <w:tcW w:w="0" w:type="auto"/>
            <w:vAlign w:val="center"/>
          </w:tcPr>
          <w:p w:rsidR="00CD767F" w:rsidRPr="00F677A2" w:rsidRDefault="00CD767F" w:rsidP="00F677A2">
            <w:pPr>
              <w:spacing w:after="0"/>
              <w:rPr>
                <w:rFonts w:cs="Times New Roman"/>
                <w:sz w:val="18"/>
                <w:szCs w:val="20"/>
              </w:rPr>
            </w:pPr>
          </w:p>
        </w:tc>
        <w:tc>
          <w:tcPr>
            <w:tcW w:w="0" w:type="auto"/>
            <w:vAlign w:val="center"/>
          </w:tcPr>
          <w:p w:rsidR="00CD767F" w:rsidRPr="00F677A2" w:rsidRDefault="00CD767F" w:rsidP="00F677A2">
            <w:pPr>
              <w:spacing w:after="0"/>
              <w:rPr>
                <w:rFonts w:cs="Times New Roman"/>
                <w:color w:val="000000"/>
                <w:sz w:val="18"/>
                <w:szCs w:val="20"/>
              </w:rPr>
            </w:pPr>
          </w:p>
        </w:tc>
        <w:tc>
          <w:tcPr>
            <w:tcW w:w="0" w:type="auto"/>
            <w:vAlign w:val="center"/>
          </w:tcPr>
          <w:p w:rsidR="00CD767F" w:rsidRPr="00F677A2" w:rsidRDefault="00CD767F" w:rsidP="00F677A2">
            <w:pPr>
              <w:spacing w:after="0"/>
              <w:rPr>
                <w:rFonts w:cs="Times New Roman"/>
                <w:sz w:val="18"/>
                <w:szCs w:val="20"/>
              </w:rPr>
            </w:pPr>
          </w:p>
        </w:tc>
      </w:tr>
    </w:tbl>
    <w:p w:rsidR="00477DFC" w:rsidRPr="00F97B2D" w:rsidRDefault="00477DFC" w:rsidP="00F677A2">
      <w:pPr>
        <w:widowControl w:val="0"/>
        <w:spacing w:after="0" w:line="360" w:lineRule="auto"/>
        <w:rPr>
          <w:rFonts w:cs="Times New Roman"/>
          <w:szCs w:val="24"/>
        </w:rPr>
      </w:pPr>
      <w:proofErr w:type="gramStart"/>
      <w:r w:rsidRPr="00F97B2D">
        <w:rPr>
          <w:rFonts w:cs="Times New Roman"/>
          <w:b/>
          <w:i/>
          <w:szCs w:val="24"/>
          <w:vertAlign w:val="superscript"/>
        </w:rPr>
        <w:t>a</w:t>
      </w:r>
      <w:proofErr w:type="gramEnd"/>
      <w:r w:rsidRPr="00F97B2D">
        <w:rPr>
          <w:rFonts w:cs="Times New Roman"/>
          <w:b/>
          <w:i/>
          <w:szCs w:val="24"/>
          <w:vertAlign w:val="superscript"/>
        </w:rPr>
        <w:t xml:space="preserve"> </w:t>
      </w:r>
      <w:r w:rsidRPr="00F97B2D">
        <w:rPr>
          <w:rFonts w:cs="Times New Roman"/>
          <w:szCs w:val="24"/>
        </w:rPr>
        <w:t xml:space="preserve">Quantifying transition in bold, qualifying transition in normal text. </w:t>
      </w:r>
    </w:p>
    <w:p w:rsidR="00507136" w:rsidRPr="00F97B2D" w:rsidRDefault="00507136" w:rsidP="00F97B2D">
      <w:pPr>
        <w:pStyle w:val="Caption"/>
        <w:sectPr w:rsidR="00507136" w:rsidRPr="00F97B2D" w:rsidSect="00F677A2">
          <w:pgSz w:w="12240" w:h="15840" w:code="1"/>
          <w:pgMar w:top="1440" w:right="1440" w:bottom="1800" w:left="2160" w:header="720" w:footer="720" w:gutter="0"/>
          <w:cols w:space="720"/>
          <w:docGrid w:linePitch="360"/>
        </w:sectPr>
      </w:pPr>
    </w:p>
    <w:p w:rsidR="00507136" w:rsidRPr="00F97B2D" w:rsidRDefault="00507136" w:rsidP="00F97B2D">
      <w:pPr>
        <w:pStyle w:val="Caption"/>
      </w:pPr>
      <w:bookmarkStart w:id="315" w:name="_Ref362618621"/>
      <w:bookmarkStart w:id="316" w:name="_Toc372536143"/>
      <w:r w:rsidRPr="00F97B2D">
        <w:t xml:space="preserve">Appendix </w:t>
      </w:r>
      <w:r w:rsidR="000E239B" w:rsidRPr="00F97B2D">
        <w:fldChar w:fldCharType="begin"/>
      </w:r>
      <w:r w:rsidR="00B2107A" w:rsidRPr="00F97B2D">
        <w:instrText xml:space="preserve"> SEQ Appendix \* ARABIC </w:instrText>
      </w:r>
      <w:r w:rsidR="000E239B" w:rsidRPr="00F97B2D">
        <w:fldChar w:fldCharType="separate"/>
      </w:r>
      <w:r w:rsidR="00E37796">
        <w:rPr>
          <w:noProof/>
        </w:rPr>
        <w:t>6</w:t>
      </w:r>
      <w:r w:rsidR="000E239B" w:rsidRPr="00F97B2D">
        <w:rPr>
          <w:noProof/>
        </w:rPr>
        <w:fldChar w:fldCharType="end"/>
      </w:r>
      <w:bookmarkEnd w:id="315"/>
      <w:r w:rsidRPr="00F97B2D">
        <w:t>: Matrix Effects, Recovery, and Process Efficiency</w:t>
      </w:r>
      <w:bookmarkEnd w:id="316"/>
    </w:p>
    <w:tbl>
      <w:tblPr>
        <w:tblW w:w="0" w:type="auto"/>
        <w:tblInd w:w="93" w:type="dxa"/>
        <w:tblLook w:val="04A0" w:firstRow="1" w:lastRow="0" w:firstColumn="1" w:lastColumn="0" w:noHBand="0" w:noVBand="1"/>
      </w:tblPr>
      <w:tblGrid>
        <w:gridCol w:w="1878"/>
        <w:gridCol w:w="800"/>
        <w:gridCol w:w="877"/>
        <w:gridCol w:w="730"/>
        <w:gridCol w:w="954"/>
        <w:gridCol w:w="730"/>
        <w:gridCol w:w="877"/>
        <w:gridCol w:w="730"/>
        <w:gridCol w:w="877"/>
        <w:gridCol w:w="730"/>
        <w:gridCol w:w="877"/>
        <w:gridCol w:w="730"/>
        <w:gridCol w:w="877"/>
      </w:tblGrid>
      <w:tr w:rsidR="00507136" w:rsidRPr="005E5870" w:rsidTr="00507136">
        <w:trPr>
          <w:trHeight w:val="330"/>
          <w:tblHeader/>
        </w:trPr>
        <w:tc>
          <w:tcPr>
            <w:tcW w:w="0" w:type="auto"/>
            <w:tcBorders>
              <w:top w:val="nil"/>
              <w:left w:val="nil"/>
              <w:bottom w:val="nil"/>
              <w:right w:val="single" w:sz="8" w:space="0" w:color="auto"/>
            </w:tcBorders>
            <w:shd w:val="clear" w:color="auto" w:fill="auto"/>
            <w:noWrap/>
            <w:vAlign w:val="center"/>
            <w:hideMark/>
          </w:tcPr>
          <w:p w:rsidR="00507136" w:rsidRPr="005E5870" w:rsidRDefault="00507136" w:rsidP="00507136">
            <w:pPr>
              <w:spacing w:after="0" w:line="240" w:lineRule="auto"/>
              <w:rPr>
                <w:rFonts w:eastAsia="Times New Roman" w:cs="Times New Roman"/>
                <w:color w:val="000000"/>
                <w:szCs w:val="24"/>
                <w:lang w:bidi="ar-SA"/>
              </w:rPr>
            </w:pPr>
            <w:r w:rsidRPr="005E5870">
              <w:rPr>
                <w:rFonts w:eastAsia="Times New Roman" w:cs="Times New Roman"/>
                <w:color w:val="000000"/>
                <w:sz w:val="22"/>
                <w:szCs w:val="24"/>
                <w:lang w:bidi="ar-SA"/>
              </w:rPr>
              <w:t> </w:t>
            </w:r>
          </w:p>
        </w:tc>
        <w:tc>
          <w:tcPr>
            <w:tcW w:w="0" w:type="auto"/>
            <w:gridSpan w:val="4"/>
            <w:tcBorders>
              <w:top w:val="single" w:sz="8" w:space="0" w:color="auto"/>
              <w:left w:val="nil"/>
              <w:bottom w:val="single" w:sz="8" w:space="0" w:color="auto"/>
              <w:right w:val="single" w:sz="8" w:space="0" w:color="000000"/>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b/>
                <w:bCs/>
                <w:color w:val="000000"/>
                <w:szCs w:val="24"/>
                <w:lang w:bidi="ar-SA"/>
              </w:rPr>
            </w:pPr>
            <w:r w:rsidRPr="005E5870">
              <w:rPr>
                <w:rFonts w:eastAsia="Times New Roman" w:cs="Times New Roman"/>
                <w:b/>
                <w:bCs/>
                <w:color w:val="000000"/>
                <w:sz w:val="22"/>
                <w:szCs w:val="24"/>
                <w:lang w:bidi="ar-SA"/>
              </w:rPr>
              <w:t>Matrix Effects</w:t>
            </w:r>
          </w:p>
        </w:tc>
        <w:tc>
          <w:tcPr>
            <w:tcW w:w="0" w:type="auto"/>
            <w:gridSpan w:val="4"/>
            <w:tcBorders>
              <w:top w:val="single" w:sz="8" w:space="0" w:color="auto"/>
              <w:left w:val="nil"/>
              <w:bottom w:val="single" w:sz="8" w:space="0" w:color="auto"/>
              <w:right w:val="single" w:sz="8" w:space="0" w:color="000000"/>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b/>
                <w:bCs/>
                <w:color w:val="000000"/>
                <w:szCs w:val="24"/>
                <w:lang w:bidi="ar-SA"/>
              </w:rPr>
            </w:pPr>
            <w:r w:rsidRPr="005E5870">
              <w:rPr>
                <w:rFonts w:eastAsia="Times New Roman" w:cs="Times New Roman"/>
                <w:b/>
                <w:bCs/>
                <w:color w:val="000000"/>
                <w:sz w:val="22"/>
                <w:szCs w:val="24"/>
                <w:lang w:bidi="ar-SA"/>
              </w:rPr>
              <w:t>Recovery</w:t>
            </w:r>
          </w:p>
        </w:tc>
        <w:tc>
          <w:tcPr>
            <w:tcW w:w="0" w:type="auto"/>
            <w:gridSpan w:val="4"/>
            <w:tcBorders>
              <w:top w:val="single" w:sz="8" w:space="0" w:color="auto"/>
              <w:left w:val="nil"/>
              <w:bottom w:val="single" w:sz="8" w:space="0" w:color="auto"/>
              <w:right w:val="single" w:sz="8" w:space="0" w:color="000000"/>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b/>
                <w:bCs/>
                <w:color w:val="000000"/>
                <w:szCs w:val="24"/>
                <w:lang w:bidi="ar-SA"/>
              </w:rPr>
            </w:pPr>
            <w:r w:rsidRPr="005E5870">
              <w:rPr>
                <w:rFonts w:eastAsia="Times New Roman" w:cs="Times New Roman"/>
                <w:b/>
                <w:bCs/>
                <w:color w:val="000000"/>
                <w:sz w:val="22"/>
                <w:szCs w:val="24"/>
                <w:lang w:bidi="ar-SA"/>
              </w:rPr>
              <w:t>Process Efficiency</w:t>
            </w:r>
          </w:p>
        </w:tc>
      </w:tr>
      <w:tr w:rsidR="00507136" w:rsidRPr="005E5870" w:rsidTr="00507136">
        <w:trPr>
          <w:trHeight w:val="330"/>
          <w:tblHeader/>
        </w:trPr>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b/>
                <w:bCs/>
                <w:color w:val="000000"/>
                <w:szCs w:val="24"/>
                <w:lang w:bidi="ar-SA"/>
              </w:rPr>
            </w:pPr>
            <w:r w:rsidRPr="005E5870">
              <w:rPr>
                <w:rFonts w:eastAsia="Times New Roman" w:cs="Times New Roman"/>
                <w:b/>
                <w:bCs/>
                <w:color w:val="000000"/>
                <w:sz w:val="22"/>
                <w:szCs w:val="24"/>
                <w:lang w:bidi="ar-SA"/>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b/>
                <w:bCs/>
                <w:color w:val="000000"/>
                <w:szCs w:val="24"/>
                <w:lang w:bidi="ar-SA"/>
              </w:rPr>
            </w:pPr>
            <w:r w:rsidRPr="005E5870">
              <w:rPr>
                <w:rFonts w:eastAsia="Times New Roman" w:cs="Times New Roman"/>
                <w:b/>
                <w:bCs/>
                <w:color w:val="000000"/>
                <w:sz w:val="22"/>
                <w:szCs w:val="24"/>
                <w:lang w:bidi="ar-SA"/>
              </w:rPr>
              <w:t>LOW</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b/>
                <w:bCs/>
                <w:color w:val="000000"/>
                <w:szCs w:val="24"/>
                <w:lang w:bidi="ar-SA"/>
              </w:rPr>
            </w:pPr>
            <w:r w:rsidRPr="005E5870">
              <w:rPr>
                <w:rFonts w:eastAsia="Times New Roman" w:cs="Times New Roman"/>
                <w:b/>
                <w:bCs/>
                <w:color w:val="000000"/>
                <w:sz w:val="22"/>
                <w:szCs w:val="24"/>
                <w:lang w:bidi="ar-SA"/>
              </w:rPr>
              <w:t>HIGH</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b/>
                <w:bCs/>
                <w:color w:val="000000"/>
                <w:szCs w:val="24"/>
                <w:lang w:bidi="ar-SA"/>
              </w:rPr>
            </w:pPr>
            <w:r w:rsidRPr="005E5870">
              <w:rPr>
                <w:rFonts w:eastAsia="Times New Roman" w:cs="Times New Roman"/>
                <w:b/>
                <w:bCs/>
                <w:color w:val="000000"/>
                <w:sz w:val="22"/>
                <w:szCs w:val="24"/>
                <w:lang w:bidi="ar-SA"/>
              </w:rPr>
              <w:t>LOW</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b/>
                <w:bCs/>
                <w:color w:val="000000"/>
                <w:szCs w:val="24"/>
                <w:lang w:bidi="ar-SA"/>
              </w:rPr>
            </w:pPr>
            <w:r w:rsidRPr="005E5870">
              <w:rPr>
                <w:rFonts w:eastAsia="Times New Roman" w:cs="Times New Roman"/>
                <w:b/>
                <w:bCs/>
                <w:color w:val="000000"/>
                <w:sz w:val="22"/>
                <w:szCs w:val="24"/>
                <w:lang w:bidi="ar-SA"/>
              </w:rPr>
              <w:t>HIGH</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b/>
                <w:bCs/>
                <w:color w:val="000000"/>
                <w:szCs w:val="24"/>
                <w:lang w:bidi="ar-SA"/>
              </w:rPr>
            </w:pPr>
            <w:r w:rsidRPr="005E5870">
              <w:rPr>
                <w:rFonts w:eastAsia="Times New Roman" w:cs="Times New Roman"/>
                <w:b/>
                <w:bCs/>
                <w:color w:val="000000"/>
                <w:sz w:val="22"/>
                <w:szCs w:val="24"/>
                <w:lang w:bidi="ar-SA"/>
              </w:rPr>
              <w:t>LOW</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b/>
                <w:bCs/>
                <w:color w:val="000000"/>
                <w:szCs w:val="24"/>
                <w:lang w:bidi="ar-SA"/>
              </w:rPr>
            </w:pPr>
            <w:r w:rsidRPr="005E5870">
              <w:rPr>
                <w:rFonts w:eastAsia="Times New Roman" w:cs="Times New Roman"/>
                <w:b/>
                <w:bCs/>
                <w:color w:val="000000"/>
                <w:sz w:val="22"/>
                <w:szCs w:val="24"/>
                <w:lang w:bidi="ar-SA"/>
              </w:rPr>
              <w:t>HIGH</w:t>
            </w:r>
          </w:p>
        </w:tc>
      </w:tr>
      <w:tr w:rsidR="00507136" w:rsidRPr="005E5870" w:rsidTr="00507136">
        <w:trPr>
          <w:trHeight w:val="330"/>
          <w:tblHead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b/>
                <w:bCs/>
                <w:color w:val="000000"/>
                <w:szCs w:val="24"/>
                <w:lang w:bidi="ar-SA"/>
              </w:rPr>
            </w:pPr>
            <w:r w:rsidRPr="005E5870">
              <w:rPr>
                <w:rFonts w:eastAsia="Times New Roman" w:cs="Times New Roman"/>
                <w:b/>
                <w:bCs/>
                <w:color w:val="000000"/>
                <w:sz w:val="22"/>
                <w:szCs w:val="24"/>
                <w:lang w:bidi="ar-SA"/>
              </w:rPr>
              <w:t>Compound</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b/>
                <w:bCs/>
                <w:color w:val="000000"/>
                <w:szCs w:val="24"/>
                <w:lang w:bidi="ar-SA"/>
              </w:rPr>
            </w:pPr>
            <w:r w:rsidRPr="005E5870">
              <w:rPr>
                <w:rFonts w:eastAsia="Times New Roman" w:cs="Times New Roman"/>
                <w:b/>
                <w:bCs/>
                <w:color w:val="000000"/>
                <w:sz w:val="22"/>
                <w:szCs w:val="24"/>
                <w:lang w:bidi="ar-SA"/>
              </w:rPr>
              <w:t>mean</w:t>
            </w:r>
            <w:r w:rsidRPr="005E5870">
              <w:rPr>
                <w:rFonts w:eastAsia="Times New Roman" w:cs="Times New Roman"/>
                <w:b/>
                <w:bCs/>
                <w:i/>
                <w:iCs/>
                <w:color w:val="000000"/>
                <w:sz w:val="22"/>
                <w:szCs w:val="24"/>
                <w:vertAlign w:val="superscript"/>
                <w:lang w:bidi="ar-SA"/>
              </w:rPr>
              <w:t>a</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b/>
                <w:bCs/>
                <w:color w:val="000000"/>
                <w:szCs w:val="24"/>
                <w:lang w:bidi="ar-SA"/>
              </w:rPr>
            </w:pPr>
            <w:r w:rsidRPr="005E5870">
              <w:rPr>
                <w:rFonts w:eastAsia="Times New Roman" w:cs="Times New Roman"/>
                <w:b/>
                <w:bCs/>
                <w:color w:val="000000"/>
                <w:sz w:val="22"/>
                <w:szCs w:val="24"/>
                <w:lang w:bidi="ar-SA"/>
              </w:rPr>
              <w:t>%RSD</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b/>
                <w:bCs/>
                <w:color w:val="000000"/>
                <w:szCs w:val="24"/>
                <w:lang w:bidi="ar-SA"/>
              </w:rPr>
            </w:pPr>
            <w:r w:rsidRPr="005E5870">
              <w:rPr>
                <w:rFonts w:eastAsia="Times New Roman" w:cs="Times New Roman"/>
                <w:b/>
                <w:bCs/>
                <w:color w:val="000000"/>
                <w:sz w:val="22"/>
                <w:szCs w:val="24"/>
                <w:lang w:bidi="ar-SA"/>
              </w:rPr>
              <w:t>mean</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b/>
                <w:bCs/>
                <w:color w:val="000000"/>
                <w:szCs w:val="24"/>
                <w:lang w:bidi="ar-SA"/>
              </w:rPr>
            </w:pPr>
            <w:r w:rsidRPr="005E5870">
              <w:rPr>
                <w:rFonts w:eastAsia="Times New Roman" w:cs="Times New Roman"/>
                <w:b/>
                <w:bCs/>
                <w:color w:val="000000"/>
                <w:sz w:val="22"/>
                <w:szCs w:val="24"/>
                <w:lang w:bidi="ar-SA"/>
              </w:rPr>
              <w:t>%RSD</w:t>
            </w:r>
            <w:r w:rsidR="00477DFC" w:rsidRPr="005E5870">
              <w:rPr>
                <w:rFonts w:eastAsia="Times New Roman" w:cs="Times New Roman"/>
                <w:b/>
                <w:bCs/>
                <w:color w:val="000000"/>
                <w:sz w:val="22"/>
                <w:szCs w:val="24"/>
                <w:vertAlign w:val="superscript"/>
                <w:lang w:bidi="ar-SA"/>
              </w:rPr>
              <w:t>b</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b/>
                <w:bCs/>
                <w:color w:val="000000"/>
                <w:szCs w:val="24"/>
                <w:lang w:bidi="ar-SA"/>
              </w:rPr>
            </w:pPr>
            <w:r w:rsidRPr="005E5870">
              <w:rPr>
                <w:rFonts w:eastAsia="Times New Roman" w:cs="Times New Roman"/>
                <w:b/>
                <w:bCs/>
                <w:color w:val="000000"/>
                <w:sz w:val="22"/>
                <w:szCs w:val="24"/>
                <w:lang w:bidi="ar-SA"/>
              </w:rPr>
              <w:t>mean</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b/>
                <w:bCs/>
                <w:color w:val="000000"/>
                <w:szCs w:val="24"/>
                <w:lang w:bidi="ar-SA"/>
              </w:rPr>
            </w:pPr>
            <w:r w:rsidRPr="005E5870">
              <w:rPr>
                <w:rFonts w:eastAsia="Times New Roman" w:cs="Times New Roman"/>
                <w:b/>
                <w:bCs/>
                <w:color w:val="000000"/>
                <w:sz w:val="22"/>
                <w:szCs w:val="24"/>
                <w:lang w:bidi="ar-SA"/>
              </w:rPr>
              <w:t>%RSD</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b/>
                <w:bCs/>
                <w:color w:val="000000"/>
                <w:szCs w:val="24"/>
                <w:lang w:bidi="ar-SA"/>
              </w:rPr>
            </w:pPr>
            <w:r w:rsidRPr="005E5870">
              <w:rPr>
                <w:rFonts w:eastAsia="Times New Roman" w:cs="Times New Roman"/>
                <w:b/>
                <w:bCs/>
                <w:color w:val="000000"/>
                <w:sz w:val="22"/>
                <w:szCs w:val="24"/>
                <w:lang w:bidi="ar-SA"/>
              </w:rPr>
              <w:t>mean</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b/>
                <w:bCs/>
                <w:color w:val="000000"/>
                <w:szCs w:val="24"/>
                <w:lang w:bidi="ar-SA"/>
              </w:rPr>
            </w:pPr>
            <w:r w:rsidRPr="005E5870">
              <w:rPr>
                <w:rFonts w:eastAsia="Times New Roman" w:cs="Times New Roman"/>
                <w:b/>
                <w:bCs/>
                <w:color w:val="000000"/>
                <w:sz w:val="22"/>
                <w:szCs w:val="24"/>
                <w:lang w:bidi="ar-SA"/>
              </w:rPr>
              <w:t>%RSD</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b/>
                <w:bCs/>
                <w:color w:val="000000"/>
                <w:szCs w:val="24"/>
                <w:lang w:bidi="ar-SA"/>
              </w:rPr>
            </w:pPr>
            <w:r w:rsidRPr="005E5870">
              <w:rPr>
                <w:rFonts w:eastAsia="Times New Roman" w:cs="Times New Roman"/>
                <w:b/>
                <w:bCs/>
                <w:color w:val="000000"/>
                <w:sz w:val="22"/>
                <w:szCs w:val="24"/>
                <w:lang w:bidi="ar-SA"/>
              </w:rPr>
              <w:t>mean</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b/>
                <w:bCs/>
                <w:color w:val="000000"/>
                <w:szCs w:val="24"/>
                <w:lang w:bidi="ar-SA"/>
              </w:rPr>
            </w:pPr>
            <w:r w:rsidRPr="005E5870">
              <w:rPr>
                <w:rFonts w:eastAsia="Times New Roman" w:cs="Times New Roman"/>
                <w:b/>
                <w:bCs/>
                <w:color w:val="000000"/>
                <w:sz w:val="22"/>
                <w:szCs w:val="24"/>
                <w:lang w:bidi="ar-SA"/>
              </w:rPr>
              <w:t>%RSD</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b/>
                <w:bCs/>
                <w:color w:val="000000"/>
                <w:szCs w:val="24"/>
                <w:lang w:bidi="ar-SA"/>
              </w:rPr>
            </w:pPr>
            <w:r w:rsidRPr="005E5870">
              <w:rPr>
                <w:rFonts w:eastAsia="Times New Roman" w:cs="Times New Roman"/>
                <w:b/>
                <w:bCs/>
                <w:color w:val="000000"/>
                <w:sz w:val="22"/>
                <w:szCs w:val="24"/>
                <w:lang w:bidi="ar-SA"/>
              </w:rPr>
              <w:t>mean</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b/>
                <w:bCs/>
                <w:color w:val="000000"/>
                <w:szCs w:val="24"/>
                <w:lang w:bidi="ar-SA"/>
              </w:rPr>
            </w:pPr>
            <w:r w:rsidRPr="005E5870">
              <w:rPr>
                <w:rFonts w:eastAsia="Times New Roman" w:cs="Times New Roman"/>
                <w:b/>
                <w:bCs/>
                <w:color w:val="000000"/>
                <w:sz w:val="22"/>
                <w:szCs w:val="24"/>
                <w:lang w:bidi="ar-SA"/>
              </w:rPr>
              <w:t>%RSD</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BZP</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110.5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85.1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86.8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91.1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5.9</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Cathinone</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75.1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99.6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97.5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12.7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84.2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73.2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12.4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83.9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7.2</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Methcathinone</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99.3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12.4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74.5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13.3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83.3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73.9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12.9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77.5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6.4</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Methylone</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82.4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86.1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84.9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88.4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70</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76.1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5.9</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Flephedrone</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77.5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74.8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4.2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82.6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82.8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4.1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61.9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4.1</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Amphetamine</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92.4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83.9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90.2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77.5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76.7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5.9</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MDA</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87.7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85.8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95.8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90.3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77.5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7.2</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Methedrone</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94.1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94.8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5.5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80.8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82.8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4.8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76.1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78.5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4.7</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Methamphetamine</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97.6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12.1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82.4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4.7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88.8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87.6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86.7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72.1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6.9</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DMT</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64.2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90.3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125.3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14.1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99.4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80.4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13.9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89.7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9.3</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MDMA</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92.2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88.5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85.3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82.6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78.6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73.1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7.6</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5-MeO-DMT</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52.9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12.9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60.6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12.7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127.4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16.2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106.1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67.3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15.9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64.3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11.3</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Butylone</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98.9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12.4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90.5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5.5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80.8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12.1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80.9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4.5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79.8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73.2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4.4</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AMT</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67.5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68.6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13.5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128.5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104.5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86.8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71.7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TMA</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84.9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89.5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68.8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Ethylamphetamine</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102.2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12.3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90.3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88.7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83.4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90.6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75.3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8.6</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Mephedrone</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78.6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81.6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84.5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5.6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64.1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65.9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5.5</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MDEA</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118.8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13.8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88.4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84.8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13.4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80.7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5.7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100.7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71.4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5.5</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4-MEC</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112.7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13.5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88.1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82.7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13.1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83.5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93.2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12.7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73.5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6.5</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mCPP</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84.7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90.1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96.5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85.4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81.7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76.9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6.4</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MDPV</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109.9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14.5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106.7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80.1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81.4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14.6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86.9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6.8</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2C-B</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89.2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84.2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81.7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5.1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75.1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77.6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5</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DBZP</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118.2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15.6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120.6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84.6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14.9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87.4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99.9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14.4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105.3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7.9</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DOM</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92.5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72.4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12.8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88.3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84.7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81.8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61.3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10.4</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5-MeO-DiPT</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70.7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13.9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70.9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14.5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103.6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16.9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100.2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73.2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16.6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11.4</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DOB</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70.4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85.6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96.7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90.1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5.9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68.1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77.1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5.8</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TFMPP</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86.8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76.5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91.4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85.7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5.7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79.3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65.6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5.7</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2C-I</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88.4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88.4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79.7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78.2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70.2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2C-E</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87.4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95.7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87.4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76.4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72.8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6.1</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DOET</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93.6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80.3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80.5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5.7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75.2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63.6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5.6</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2C-T-4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92.2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111.1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71.8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12.7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69.5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9.9</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66.2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12.4</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77.2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9.8</w:t>
            </w:r>
          </w:p>
        </w:tc>
      </w:tr>
      <w:tr w:rsidR="00507136" w:rsidRPr="005E5870" w:rsidTr="0050713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center"/>
              <w:rPr>
                <w:rFonts w:eastAsia="Times New Roman" w:cs="Times New Roman"/>
                <w:color w:val="000000"/>
                <w:szCs w:val="24"/>
                <w:lang w:bidi="ar-SA"/>
              </w:rPr>
            </w:pPr>
            <w:r w:rsidRPr="005E5870">
              <w:rPr>
                <w:rFonts w:eastAsia="Times New Roman" w:cs="Times New Roman"/>
                <w:color w:val="000000"/>
                <w:sz w:val="22"/>
                <w:szCs w:val="24"/>
                <w:lang w:bidi="ar-SA"/>
              </w:rPr>
              <w:t>2C-T-7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106.7</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12.1</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123.8</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10.2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68.6</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13.5</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67.3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73.2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13.2</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83.3</w:t>
            </w:r>
          </w:p>
        </w:tc>
        <w:tc>
          <w:tcPr>
            <w:tcW w:w="0" w:type="auto"/>
            <w:tcBorders>
              <w:top w:val="nil"/>
              <w:left w:val="nil"/>
              <w:bottom w:val="single" w:sz="8" w:space="0" w:color="auto"/>
              <w:right w:val="single" w:sz="8" w:space="0" w:color="auto"/>
            </w:tcBorders>
            <w:shd w:val="clear" w:color="auto" w:fill="auto"/>
            <w:noWrap/>
            <w:vAlign w:val="center"/>
            <w:hideMark/>
          </w:tcPr>
          <w:p w:rsidR="00507136" w:rsidRPr="005E5870" w:rsidRDefault="00507136" w:rsidP="00507136">
            <w:pPr>
              <w:spacing w:after="0" w:line="240" w:lineRule="auto"/>
              <w:jc w:val="right"/>
              <w:rPr>
                <w:rFonts w:eastAsia="Times New Roman" w:cs="Times New Roman"/>
                <w:color w:val="000000"/>
                <w:szCs w:val="24"/>
                <w:lang w:bidi="ar-SA"/>
              </w:rPr>
            </w:pPr>
            <w:r w:rsidRPr="005E5870">
              <w:rPr>
                <w:rFonts w:eastAsia="Times New Roman" w:cs="Times New Roman"/>
                <w:color w:val="000000"/>
                <w:sz w:val="22"/>
                <w:szCs w:val="24"/>
                <w:lang w:bidi="ar-SA"/>
              </w:rPr>
              <w:t>8.1</w:t>
            </w:r>
          </w:p>
        </w:tc>
      </w:tr>
    </w:tbl>
    <w:p w:rsidR="00507136" w:rsidRPr="00F97B2D" w:rsidRDefault="00507136" w:rsidP="00477DFC">
      <w:pPr>
        <w:widowControl w:val="0"/>
        <w:spacing w:after="0"/>
        <w:rPr>
          <w:rFonts w:cs="Times New Roman"/>
          <w:szCs w:val="24"/>
        </w:rPr>
      </w:pPr>
      <w:proofErr w:type="gramStart"/>
      <w:r w:rsidRPr="00F97B2D">
        <w:rPr>
          <w:rFonts w:cs="Times New Roman"/>
          <w:b/>
          <w:i/>
          <w:szCs w:val="24"/>
          <w:vertAlign w:val="superscript"/>
        </w:rPr>
        <w:t>a</w:t>
      </w:r>
      <w:proofErr w:type="gramEnd"/>
      <w:r w:rsidRPr="00F97B2D">
        <w:rPr>
          <w:rFonts w:cs="Times New Roman"/>
          <w:szCs w:val="24"/>
        </w:rPr>
        <w:t xml:space="preserve"> Data in %, see </w:t>
      </w:r>
      <w:r w:rsidR="002E77C7">
        <w:fldChar w:fldCharType="begin"/>
      </w:r>
      <w:r w:rsidR="002E77C7">
        <w:instrText xml:space="preserve"> REF _Ref362618573 \h  \* MERGEFORMAT </w:instrText>
      </w:r>
      <w:r w:rsidR="002E77C7">
        <w:fldChar w:fldCharType="separate"/>
      </w:r>
      <w:r w:rsidR="00E37796" w:rsidRPr="00E37796">
        <w:rPr>
          <w:szCs w:val="24"/>
        </w:rPr>
        <w:t>Equation 1</w:t>
      </w:r>
      <w:r w:rsidR="002E77C7">
        <w:fldChar w:fldCharType="end"/>
      </w:r>
      <w:r w:rsidR="00477DFC" w:rsidRPr="00F97B2D">
        <w:rPr>
          <w:rFonts w:cs="Times New Roman"/>
          <w:szCs w:val="24"/>
        </w:rPr>
        <w:t xml:space="preserve"> for </w:t>
      </w:r>
      <w:r w:rsidRPr="00F97B2D">
        <w:rPr>
          <w:rFonts w:cs="Times New Roman"/>
          <w:szCs w:val="24"/>
        </w:rPr>
        <w:t>details.</w:t>
      </w:r>
    </w:p>
    <w:p w:rsidR="00477DFC" w:rsidRPr="00F97B2D" w:rsidRDefault="00477DFC" w:rsidP="00477DFC">
      <w:pPr>
        <w:widowControl w:val="0"/>
        <w:spacing w:after="0"/>
        <w:rPr>
          <w:rFonts w:cs="Times New Roman"/>
          <w:szCs w:val="24"/>
        </w:rPr>
      </w:pPr>
      <w:proofErr w:type="gramStart"/>
      <w:r w:rsidRPr="00F97B2D">
        <w:rPr>
          <w:rFonts w:cs="Times New Roman"/>
          <w:b/>
          <w:i/>
          <w:szCs w:val="24"/>
          <w:vertAlign w:val="superscript"/>
        </w:rPr>
        <w:t>b</w:t>
      </w:r>
      <w:proofErr w:type="gramEnd"/>
      <w:r w:rsidRPr="00F97B2D">
        <w:rPr>
          <w:rFonts w:cs="Times New Roman"/>
          <w:szCs w:val="24"/>
        </w:rPr>
        <w:t xml:space="preserve"> Data in %, see </w:t>
      </w:r>
      <w:r w:rsidR="002E77C7">
        <w:fldChar w:fldCharType="begin"/>
      </w:r>
      <w:r w:rsidR="002E77C7">
        <w:instrText xml:space="preserve"> REF _Ref362618585 \h  \* MERGEFORMAT </w:instrText>
      </w:r>
      <w:r w:rsidR="002E77C7">
        <w:fldChar w:fldCharType="separate"/>
      </w:r>
      <w:r w:rsidR="00E37796" w:rsidRPr="00E37796">
        <w:rPr>
          <w:szCs w:val="24"/>
        </w:rPr>
        <w:t>Equation 2</w:t>
      </w:r>
      <w:r w:rsidR="002E77C7">
        <w:fldChar w:fldCharType="end"/>
      </w:r>
      <w:r w:rsidRPr="00F97B2D">
        <w:rPr>
          <w:rFonts w:cs="Times New Roman"/>
          <w:szCs w:val="24"/>
        </w:rPr>
        <w:t xml:space="preserve"> for details.</w:t>
      </w:r>
    </w:p>
    <w:p w:rsidR="00477DFC" w:rsidRPr="00F97B2D" w:rsidRDefault="00477DFC" w:rsidP="00477DFC">
      <w:pPr>
        <w:widowControl w:val="0"/>
        <w:spacing w:after="0"/>
        <w:rPr>
          <w:rFonts w:cs="Times New Roman"/>
          <w:szCs w:val="24"/>
        </w:rPr>
      </w:pPr>
    </w:p>
    <w:p w:rsidR="00507136" w:rsidRPr="00F97B2D" w:rsidRDefault="00507136" w:rsidP="00AF21C9">
      <w:pPr>
        <w:spacing w:after="0"/>
        <w:rPr>
          <w:szCs w:val="24"/>
        </w:rPr>
      </w:pPr>
    </w:p>
    <w:p w:rsidR="00477DFC" w:rsidRPr="00F97B2D" w:rsidRDefault="00477DFC" w:rsidP="00AF21C9">
      <w:pPr>
        <w:spacing w:after="0"/>
        <w:rPr>
          <w:szCs w:val="24"/>
        </w:rPr>
      </w:pPr>
    </w:p>
    <w:p w:rsidR="00477DFC" w:rsidRPr="00F97B2D" w:rsidRDefault="00477DFC" w:rsidP="00AF21C9">
      <w:pPr>
        <w:spacing w:after="0"/>
        <w:rPr>
          <w:szCs w:val="24"/>
        </w:rPr>
      </w:pPr>
    </w:p>
    <w:p w:rsidR="00477DFC" w:rsidRPr="00F97B2D" w:rsidRDefault="00477DFC" w:rsidP="00AF21C9">
      <w:pPr>
        <w:spacing w:after="0"/>
        <w:rPr>
          <w:szCs w:val="24"/>
        </w:rPr>
      </w:pPr>
    </w:p>
    <w:p w:rsidR="00477DFC" w:rsidRPr="00F97B2D" w:rsidRDefault="00477DFC" w:rsidP="00AF21C9">
      <w:pPr>
        <w:spacing w:after="0"/>
        <w:rPr>
          <w:szCs w:val="24"/>
        </w:rPr>
      </w:pPr>
    </w:p>
    <w:p w:rsidR="00477DFC" w:rsidRPr="00F97B2D" w:rsidRDefault="00477DFC" w:rsidP="00AF21C9">
      <w:pPr>
        <w:spacing w:after="0"/>
        <w:rPr>
          <w:szCs w:val="24"/>
        </w:rPr>
      </w:pPr>
    </w:p>
    <w:p w:rsidR="00477DFC" w:rsidRPr="00F97B2D" w:rsidRDefault="00477DFC" w:rsidP="00AF21C9">
      <w:pPr>
        <w:spacing w:after="0"/>
        <w:rPr>
          <w:szCs w:val="24"/>
        </w:rPr>
      </w:pPr>
    </w:p>
    <w:p w:rsidR="00477DFC" w:rsidRPr="00F97B2D" w:rsidRDefault="00477DFC" w:rsidP="005E5870">
      <w:pPr>
        <w:pStyle w:val="Caption"/>
        <w:jc w:val="left"/>
        <w:sectPr w:rsidR="00477DFC" w:rsidRPr="00F97B2D" w:rsidSect="00F677A2">
          <w:pgSz w:w="15840" w:h="12240" w:orient="landscape" w:code="1"/>
          <w:pgMar w:top="2160" w:right="1440" w:bottom="1440" w:left="1800" w:header="720" w:footer="720" w:gutter="0"/>
          <w:cols w:space="720"/>
          <w:docGrid w:linePitch="360"/>
        </w:sectPr>
      </w:pPr>
    </w:p>
    <w:p w:rsidR="00477DFC" w:rsidRPr="00F97B2D" w:rsidRDefault="00477DFC" w:rsidP="005E5870">
      <w:pPr>
        <w:pStyle w:val="Caption"/>
        <w:jc w:val="left"/>
      </w:pPr>
      <w:bookmarkStart w:id="317" w:name="_Ref362618950"/>
      <w:bookmarkStart w:id="318" w:name="_Toc372536144"/>
      <w:r w:rsidRPr="005E5870">
        <w:t>Appendix</w:t>
      </w:r>
      <w:r w:rsidRPr="00F97B2D">
        <w:t xml:space="preserve"> </w:t>
      </w:r>
      <w:r w:rsidR="000E239B" w:rsidRPr="00F97B2D">
        <w:fldChar w:fldCharType="begin"/>
      </w:r>
      <w:r w:rsidR="00B2107A" w:rsidRPr="00F97B2D">
        <w:instrText xml:space="preserve"> SEQ Appendix \* ARABIC </w:instrText>
      </w:r>
      <w:r w:rsidR="000E239B" w:rsidRPr="00F97B2D">
        <w:fldChar w:fldCharType="separate"/>
      </w:r>
      <w:r w:rsidR="00E37796">
        <w:rPr>
          <w:noProof/>
        </w:rPr>
        <w:t>7</w:t>
      </w:r>
      <w:r w:rsidR="000E239B" w:rsidRPr="00F97B2D">
        <w:rPr>
          <w:noProof/>
        </w:rPr>
        <w:fldChar w:fldCharType="end"/>
      </w:r>
      <w:bookmarkEnd w:id="317"/>
      <w:r w:rsidRPr="00F97B2D">
        <w:t>: Processed Sample Stability at Two Concentrations</w:t>
      </w:r>
      <w:bookmarkEnd w:id="318"/>
    </w:p>
    <w:tbl>
      <w:tblPr>
        <w:tblW w:w="0" w:type="auto"/>
        <w:tblInd w:w="93" w:type="dxa"/>
        <w:tblLook w:val="04A0" w:firstRow="1" w:lastRow="0" w:firstColumn="1" w:lastColumn="0" w:noHBand="0" w:noVBand="1"/>
      </w:tblPr>
      <w:tblGrid>
        <w:gridCol w:w="1727"/>
        <w:gridCol w:w="683"/>
        <w:gridCol w:w="1005"/>
        <w:gridCol w:w="836"/>
        <w:gridCol w:w="836"/>
        <w:gridCol w:w="739"/>
        <w:gridCol w:w="716"/>
        <w:gridCol w:w="1005"/>
        <w:gridCol w:w="916"/>
        <w:gridCol w:w="916"/>
        <w:gridCol w:w="722"/>
      </w:tblGrid>
      <w:tr w:rsidR="00477DFC" w:rsidRPr="008469CD" w:rsidTr="00477DFC">
        <w:trPr>
          <w:trHeight w:val="288"/>
          <w:tblHead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b/>
                <w:bCs/>
                <w:color w:val="000000"/>
                <w:sz w:val="20"/>
                <w:szCs w:val="20"/>
                <w:lang w:bidi="ar-SA"/>
              </w:rPr>
            </w:pPr>
            <w:r w:rsidRPr="008469CD">
              <w:rPr>
                <w:rFonts w:eastAsia="Times New Roman" w:cs="Times New Roman"/>
                <w:b/>
                <w:bCs/>
                <w:color w:val="000000"/>
                <w:sz w:val="20"/>
                <w:szCs w:val="20"/>
                <w:lang w:bidi="ar-SA"/>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477DFC" w:rsidRPr="008469CD" w:rsidRDefault="00477DFC" w:rsidP="00477DFC">
            <w:pPr>
              <w:spacing w:after="0" w:line="240" w:lineRule="auto"/>
              <w:jc w:val="center"/>
              <w:rPr>
                <w:rFonts w:eastAsia="Times New Roman" w:cs="Times New Roman"/>
                <w:b/>
                <w:bCs/>
                <w:color w:val="000000"/>
                <w:sz w:val="20"/>
                <w:szCs w:val="20"/>
                <w:lang w:bidi="ar-SA"/>
              </w:rPr>
            </w:pPr>
            <w:r w:rsidRPr="008469CD">
              <w:rPr>
                <w:rFonts w:eastAsia="Times New Roman" w:cs="Times New Roman"/>
                <w:b/>
                <w:bCs/>
                <w:color w:val="000000"/>
                <w:sz w:val="20"/>
                <w:szCs w:val="20"/>
                <w:lang w:bidi="ar-SA"/>
              </w:rPr>
              <w:t>LOW</w:t>
            </w:r>
          </w:p>
        </w:tc>
        <w:tc>
          <w:tcPr>
            <w:tcW w:w="0" w:type="auto"/>
            <w:gridSpan w:val="3"/>
            <w:tcBorders>
              <w:top w:val="single" w:sz="8" w:space="0" w:color="auto"/>
              <w:left w:val="nil"/>
              <w:bottom w:val="single" w:sz="8" w:space="0" w:color="auto"/>
              <w:right w:val="single" w:sz="8" w:space="0" w:color="000000"/>
            </w:tcBorders>
            <w:shd w:val="clear" w:color="auto" w:fill="auto"/>
            <w:noWrap/>
            <w:vAlign w:val="center"/>
            <w:hideMark/>
          </w:tcPr>
          <w:p w:rsidR="00477DFC" w:rsidRPr="008469CD" w:rsidRDefault="00477DFC" w:rsidP="00477DFC">
            <w:pPr>
              <w:spacing w:after="0" w:line="240" w:lineRule="auto"/>
              <w:jc w:val="center"/>
              <w:rPr>
                <w:rFonts w:eastAsia="Times New Roman" w:cs="Times New Roman"/>
                <w:b/>
                <w:bCs/>
                <w:color w:val="000000"/>
                <w:sz w:val="20"/>
                <w:szCs w:val="20"/>
                <w:lang w:bidi="ar-SA"/>
              </w:rPr>
            </w:pPr>
            <w:r w:rsidRPr="008469CD">
              <w:rPr>
                <w:rFonts w:eastAsia="Times New Roman" w:cs="Times New Roman"/>
                <w:b/>
                <w:bCs/>
                <w:color w:val="000000"/>
                <w:sz w:val="20"/>
                <w:szCs w:val="20"/>
                <w:lang w:bidi="ar-SA"/>
              </w:rPr>
              <w:t>Based on Regression Line</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477DFC" w:rsidRPr="008469CD" w:rsidRDefault="00477DFC" w:rsidP="00477DFC">
            <w:pPr>
              <w:spacing w:after="0" w:line="240" w:lineRule="auto"/>
              <w:jc w:val="center"/>
              <w:rPr>
                <w:rFonts w:eastAsia="Times New Roman" w:cs="Times New Roman"/>
                <w:b/>
                <w:bCs/>
                <w:color w:val="000000"/>
                <w:sz w:val="20"/>
                <w:szCs w:val="20"/>
                <w:lang w:bidi="ar-SA"/>
              </w:rPr>
            </w:pPr>
            <w:r w:rsidRPr="008469CD">
              <w:rPr>
                <w:rFonts w:eastAsia="Times New Roman" w:cs="Times New Roman"/>
                <w:b/>
                <w:bCs/>
                <w:color w:val="000000"/>
                <w:sz w:val="20"/>
                <w:szCs w:val="20"/>
                <w:lang w:bidi="ar-SA"/>
              </w:rPr>
              <w:t>HIGH</w:t>
            </w:r>
          </w:p>
        </w:tc>
        <w:tc>
          <w:tcPr>
            <w:tcW w:w="0" w:type="auto"/>
            <w:gridSpan w:val="3"/>
            <w:tcBorders>
              <w:top w:val="single" w:sz="8" w:space="0" w:color="auto"/>
              <w:left w:val="nil"/>
              <w:bottom w:val="single" w:sz="8" w:space="0" w:color="auto"/>
              <w:right w:val="single" w:sz="8" w:space="0" w:color="000000"/>
            </w:tcBorders>
            <w:shd w:val="clear" w:color="auto" w:fill="auto"/>
            <w:noWrap/>
            <w:vAlign w:val="center"/>
            <w:hideMark/>
          </w:tcPr>
          <w:p w:rsidR="00477DFC" w:rsidRPr="008469CD" w:rsidRDefault="00477DFC" w:rsidP="00477DFC">
            <w:pPr>
              <w:spacing w:after="0" w:line="240" w:lineRule="auto"/>
              <w:jc w:val="center"/>
              <w:rPr>
                <w:rFonts w:eastAsia="Times New Roman" w:cs="Times New Roman"/>
                <w:b/>
                <w:bCs/>
                <w:color w:val="000000"/>
                <w:sz w:val="20"/>
                <w:szCs w:val="20"/>
                <w:lang w:bidi="ar-SA"/>
              </w:rPr>
            </w:pPr>
            <w:r w:rsidRPr="008469CD">
              <w:rPr>
                <w:rFonts w:eastAsia="Times New Roman" w:cs="Times New Roman"/>
                <w:b/>
                <w:bCs/>
                <w:color w:val="000000"/>
                <w:sz w:val="20"/>
                <w:szCs w:val="20"/>
                <w:lang w:bidi="ar-SA"/>
              </w:rPr>
              <w:t>Based on Regression Line</w:t>
            </w:r>
          </w:p>
        </w:tc>
      </w:tr>
      <w:tr w:rsidR="00477DFC" w:rsidRPr="008469CD" w:rsidTr="00477DFC">
        <w:trPr>
          <w:trHeight w:val="288"/>
          <w:tblHead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477DFC" w:rsidRPr="008469CD" w:rsidRDefault="00477DFC" w:rsidP="00477DFC">
            <w:pPr>
              <w:spacing w:after="0" w:line="240" w:lineRule="auto"/>
              <w:jc w:val="center"/>
              <w:rPr>
                <w:rFonts w:eastAsia="Times New Roman" w:cs="Times New Roman"/>
                <w:b/>
                <w:bCs/>
                <w:color w:val="000000"/>
                <w:sz w:val="20"/>
                <w:szCs w:val="20"/>
                <w:lang w:bidi="ar-SA"/>
              </w:rPr>
            </w:pPr>
            <w:r w:rsidRPr="008469CD">
              <w:rPr>
                <w:rFonts w:eastAsia="Times New Roman" w:cs="Times New Roman"/>
                <w:b/>
                <w:bCs/>
                <w:color w:val="000000"/>
                <w:sz w:val="20"/>
                <w:szCs w:val="20"/>
                <w:lang w:bidi="ar-SA"/>
              </w:rPr>
              <w:t>Drug</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477DFC" w:rsidRPr="008469CD" w:rsidRDefault="00477DFC" w:rsidP="00477DFC">
            <w:pPr>
              <w:spacing w:after="0" w:line="240" w:lineRule="auto"/>
              <w:jc w:val="center"/>
              <w:rPr>
                <w:rFonts w:eastAsia="Times New Roman" w:cs="Times New Roman"/>
                <w:b/>
                <w:bCs/>
                <w:color w:val="000000"/>
                <w:sz w:val="20"/>
                <w:szCs w:val="20"/>
                <w:lang w:bidi="ar-SA"/>
              </w:rPr>
            </w:pPr>
            <w:r w:rsidRPr="008469CD">
              <w:rPr>
                <w:rFonts w:eastAsia="Times New Roman" w:cs="Times New Roman"/>
                <w:b/>
                <w:bCs/>
                <w:color w:val="000000"/>
                <w:sz w:val="20"/>
                <w:szCs w:val="20"/>
                <w:lang w:bidi="ar-SA"/>
              </w:rPr>
              <w:t>Slope</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477DFC" w:rsidRPr="008469CD" w:rsidRDefault="00477DFC" w:rsidP="00477DFC">
            <w:pPr>
              <w:spacing w:after="0" w:line="240" w:lineRule="auto"/>
              <w:jc w:val="center"/>
              <w:rPr>
                <w:rFonts w:eastAsia="Times New Roman" w:cs="Times New Roman"/>
                <w:b/>
                <w:bCs/>
                <w:color w:val="000000"/>
                <w:sz w:val="20"/>
                <w:szCs w:val="20"/>
                <w:lang w:bidi="ar-SA"/>
              </w:rPr>
            </w:pPr>
            <w:r w:rsidRPr="008469CD">
              <w:rPr>
                <w:rFonts w:eastAsia="Times New Roman" w:cs="Times New Roman"/>
                <w:b/>
                <w:bCs/>
                <w:color w:val="000000"/>
                <w:sz w:val="20"/>
                <w:szCs w:val="20"/>
                <w:lang w:bidi="ar-SA"/>
              </w:rPr>
              <w:t>Intercept</w:t>
            </w:r>
          </w:p>
        </w:tc>
        <w:tc>
          <w:tcPr>
            <w:tcW w:w="0" w:type="auto"/>
            <w:tcBorders>
              <w:top w:val="nil"/>
              <w:left w:val="nil"/>
              <w:bottom w:val="nil"/>
              <w:right w:val="single" w:sz="8" w:space="0" w:color="auto"/>
            </w:tcBorders>
            <w:shd w:val="clear" w:color="auto" w:fill="auto"/>
            <w:noWrap/>
            <w:vAlign w:val="center"/>
            <w:hideMark/>
          </w:tcPr>
          <w:p w:rsidR="00477DFC" w:rsidRPr="008469CD" w:rsidRDefault="00477DFC" w:rsidP="00477DFC">
            <w:pPr>
              <w:spacing w:after="0" w:line="240" w:lineRule="auto"/>
              <w:jc w:val="center"/>
              <w:rPr>
                <w:rFonts w:eastAsia="Times New Roman" w:cs="Times New Roman"/>
                <w:b/>
                <w:bCs/>
                <w:color w:val="000000"/>
                <w:sz w:val="20"/>
                <w:szCs w:val="20"/>
                <w:lang w:bidi="ar-SA"/>
              </w:rPr>
            </w:pPr>
            <w:r w:rsidRPr="008469CD">
              <w:rPr>
                <w:rFonts w:eastAsia="Times New Roman" w:cs="Times New Roman"/>
                <w:b/>
                <w:bCs/>
                <w:color w:val="000000"/>
                <w:sz w:val="20"/>
                <w:szCs w:val="20"/>
                <w:lang w:bidi="ar-SA"/>
              </w:rPr>
              <w:t>Initial</w:t>
            </w:r>
          </w:p>
        </w:tc>
        <w:tc>
          <w:tcPr>
            <w:tcW w:w="0" w:type="auto"/>
            <w:tcBorders>
              <w:top w:val="nil"/>
              <w:left w:val="nil"/>
              <w:bottom w:val="nil"/>
              <w:right w:val="single" w:sz="8" w:space="0" w:color="auto"/>
            </w:tcBorders>
            <w:shd w:val="clear" w:color="auto" w:fill="auto"/>
            <w:noWrap/>
            <w:vAlign w:val="center"/>
            <w:hideMark/>
          </w:tcPr>
          <w:p w:rsidR="00477DFC" w:rsidRPr="008469CD" w:rsidRDefault="00477DFC" w:rsidP="00477DFC">
            <w:pPr>
              <w:spacing w:after="0" w:line="240" w:lineRule="auto"/>
              <w:jc w:val="center"/>
              <w:rPr>
                <w:rFonts w:eastAsia="Times New Roman" w:cs="Times New Roman"/>
                <w:b/>
                <w:bCs/>
                <w:color w:val="000000"/>
                <w:sz w:val="20"/>
                <w:szCs w:val="20"/>
                <w:lang w:bidi="ar-SA"/>
              </w:rPr>
            </w:pPr>
            <w:r w:rsidRPr="008469CD">
              <w:rPr>
                <w:rFonts w:eastAsia="Times New Roman" w:cs="Times New Roman"/>
                <w:b/>
                <w:bCs/>
                <w:color w:val="000000"/>
                <w:sz w:val="20"/>
                <w:szCs w:val="20"/>
                <w:lang w:bidi="ar-SA"/>
              </w:rPr>
              <w:t xml:space="preserve">Final </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477DFC" w:rsidRPr="008469CD" w:rsidRDefault="00477DFC" w:rsidP="00477DFC">
            <w:pPr>
              <w:spacing w:after="0" w:line="240" w:lineRule="auto"/>
              <w:jc w:val="center"/>
              <w:rPr>
                <w:rFonts w:eastAsia="Times New Roman" w:cs="Times New Roman"/>
                <w:b/>
                <w:bCs/>
                <w:color w:val="000000"/>
                <w:sz w:val="20"/>
                <w:szCs w:val="20"/>
                <w:lang w:bidi="ar-SA"/>
              </w:rPr>
            </w:pPr>
            <w:r w:rsidRPr="008469CD">
              <w:rPr>
                <w:rFonts w:eastAsia="Times New Roman" w:cs="Times New Roman"/>
                <w:b/>
                <w:bCs/>
                <w:color w:val="000000"/>
                <w:sz w:val="20"/>
                <w:szCs w:val="20"/>
                <w:lang w:bidi="ar-SA"/>
              </w:rPr>
              <w:t>∆ (%)</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477DFC" w:rsidRPr="008469CD" w:rsidRDefault="00477DFC" w:rsidP="00477DFC">
            <w:pPr>
              <w:spacing w:after="0" w:line="240" w:lineRule="auto"/>
              <w:jc w:val="center"/>
              <w:rPr>
                <w:rFonts w:eastAsia="Times New Roman" w:cs="Times New Roman"/>
                <w:b/>
                <w:bCs/>
                <w:color w:val="000000"/>
                <w:sz w:val="20"/>
                <w:szCs w:val="20"/>
                <w:lang w:bidi="ar-SA"/>
              </w:rPr>
            </w:pPr>
            <w:r w:rsidRPr="008469CD">
              <w:rPr>
                <w:rFonts w:eastAsia="Times New Roman" w:cs="Times New Roman"/>
                <w:b/>
                <w:bCs/>
                <w:color w:val="000000"/>
                <w:sz w:val="20"/>
                <w:szCs w:val="20"/>
                <w:lang w:bidi="ar-SA"/>
              </w:rPr>
              <w:t>Slope</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477DFC" w:rsidRPr="008469CD" w:rsidRDefault="00477DFC" w:rsidP="00477DFC">
            <w:pPr>
              <w:spacing w:after="0" w:line="240" w:lineRule="auto"/>
              <w:jc w:val="center"/>
              <w:rPr>
                <w:rFonts w:eastAsia="Times New Roman" w:cs="Times New Roman"/>
                <w:b/>
                <w:bCs/>
                <w:color w:val="000000"/>
                <w:sz w:val="20"/>
                <w:szCs w:val="20"/>
                <w:lang w:bidi="ar-SA"/>
              </w:rPr>
            </w:pPr>
            <w:r w:rsidRPr="008469CD">
              <w:rPr>
                <w:rFonts w:eastAsia="Times New Roman" w:cs="Times New Roman"/>
                <w:b/>
                <w:bCs/>
                <w:color w:val="000000"/>
                <w:sz w:val="20"/>
                <w:szCs w:val="20"/>
                <w:lang w:bidi="ar-SA"/>
              </w:rPr>
              <w:t>Intercept</w:t>
            </w:r>
          </w:p>
        </w:tc>
        <w:tc>
          <w:tcPr>
            <w:tcW w:w="0" w:type="auto"/>
            <w:tcBorders>
              <w:top w:val="nil"/>
              <w:left w:val="nil"/>
              <w:bottom w:val="nil"/>
              <w:right w:val="single" w:sz="8" w:space="0" w:color="auto"/>
            </w:tcBorders>
            <w:shd w:val="clear" w:color="auto" w:fill="auto"/>
            <w:noWrap/>
            <w:vAlign w:val="center"/>
            <w:hideMark/>
          </w:tcPr>
          <w:p w:rsidR="00477DFC" w:rsidRPr="008469CD" w:rsidRDefault="00477DFC" w:rsidP="00477DFC">
            <w:pPr>
              <w:spacing w:after="0" w:line="240" w:lineRule="auto"/>
              <w:jc w:val="center"/>
              <w:rPr>
                <w:rFonts w:eastAsia="Times New Roman" w:cs="Times New Roman"/>
                <w:b/>
                <w:bCs/>
                <w:color w:val="000000"/>
                <w:sz w:val="20"/>
                <w:szCs w:val="20"/>
                <w:lang w:bidi="ar-SA"/>
              </w:rPr>
            </w:pPr>
            <w:r w:rsidRPr="008469CD">
              <w:rPr>
                <w:rFonts w:eastAsia="Times New Roman" w:cs="Times New Roman"/>
                <w:b/>
                <w:bCs/>
                <w:color w:val="000000"/>
                <w:sz w:val="20"/>
                <w:szCs w:val="20"/>
                <w:lang w:bidi="ar-SA"/>
              </w:rPr>
              <w:t xml:space="preserve">Initial </w:t>
            </w:r>
          </w:p>
        </w:tc>
        <w:tc>
          <w:tcPr>
            <w:tcW w:w="0" w:type="auto"/>
            <w:tcBorders>
              <w:top w:val="nil"/>
              <w:left w:val="nil"/>
              <w:bottom w:val="nil"/>
              <w:right w:val="single" w:sz="8" w:space="0" w:color="auto"/>
            </w:tcBorders>
            <w:shd w:val="clear" w:color="auto" w:fill="auto"/>
            <w:noWrap/>
            <w:vAlign w:val="center"/>
            <w:hideMark/>
          </w:tcPr>
          <w:p w:rsidR="00477DFC" w:rsidRPr="008469CD" w:rsidRDefault="00477DFC" w:rsidP="00477DFC">
            <w:pPr>
              <w:spacing w:after="0" w:line="240" w:lineRule="auto"/>
              <w:jc w:val="center"/>
              <w:rPr>
                <w:rFonts w:eastAsia="Times New Roman" w:cs="Times New Roman"/>
                <w:b/>
                <w:bCs/>
                <w:color w:val="000000"/>
                <w:sz w:val="20"/>
                <w:szCs w:val="20"/>
                <w:lang w:bidi="ar-SA"/>
              </w:rPr>
            </w:pPr>
            <w:r w:rsidRPr="008469CD">
              <w:rPr>
                <w:rFonts w:eastAsia="Times New Roman" w:cs="Times New Roman"/>
                <w:b/>
                <w:bCs/>
                <w:color w:val="000000"/>
                <w:sz w:val="20"/>
                <w:szCs w:val="20"/>
                <w:lang w:bidi="ar-SA"/>
              </w:rPr>
              <w:t xml:space="preserve">Final </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rsidR="00477DFC" w:rsidRPr="008469CD" w:rsidRDefault="00477DFC" w:rsidP="00477DFC">
            <w:pPr>
              <w:spacing w:after="0" w:line="240" w:lineRule="auto"/>
              <w:jc w:val="center"/>
              <w:rPr>
                <w:rFonts w:eastAsia="Times New Roman" w:cs="Times New Roman"/>
                <w:b/>
                <w:bCs/>
                <w:color w:val="000000"/>
                <w:sz w:val="20"/>
                <w:szCs w:val="20"/>
                <w:lang w:bidi="ar-SA"/>
              </w:rPr>
            </w:pPr>
            <w:r w:rsidRPr="008469CD">
              <w:rPr>
                <w:rFonts w:eastAsia="Times New Roman" w:cs="Times New Roman"/>
                <w:b/>
                <w:bCs/>
                <w:color w:val="000000"/>
                <w:sz w:val="20"/>
                <w:szCs w:val="20"/>
                <w:lang w:bidi="ar-SA"/>
              </w:rPr>
              <w:t>∆ (%)</w:t>
            </w:r>
          </w:p>
        </w:tc>
      </w:tr>
      <w:tr w:rsidR="00477DFC" w:rsidRPr="008469CD" w:rsidTr="00477DFC">
        <w:trPr>
          <w:trHeight w:val="288"/>
          <w:tblHeader/>
        </w:trPr>
        <w:tc>
          <w:tcPr>
            <w:tcW w:w="0" w:type="auto"/>
            <w:vMerge/>
            <w:tcBorders>
              <w:top w:val="nil"/>
              <w:left w:val="single" w:sz="8" w:space="0" w:color="auto"/>
              <w:bottom w:val="single" w:sz="8" w:space="0" w:color="000000"/>
              <w:right w:val="single" w:sz="8" w:space="0" w:color="auto"/>
            </w:tcBorders>
            <w:vAlign w:val="center"/>
            <w:hideMark/>
          </w:tcPr>
          <w:p w:rsidR="00477DFC" w:rsidRPr="008469CD" w:rsidRDefault="00477DFC" w:rsidP="00477DFC">
            <w:pPr>
              <w:spacing w:after="0" w:line="240" w:lineRule="auto"/>
              <w:rPr>
                <w:rFonts w:eastAsia="Times New Roman" w:cs="Times New Roman"/>
                <w:b/>
                <w:bCs/>
                <w:color w:val="000000"/>
                <w:sz w:val="20"/>
                <w:szCs w:val="20"/>
                <w:lang w:bidi="ar-SA"/>
              </w:rPr>
            </w:pPr>
          </w:p>
        </w:tc>
        <w:tc>
          <w:tcPr>
            <w:tcW w:w="0" w:type="auto"/>
            <w:vMerge/>
            <w:tcBorders>
              <w:top w:val="nil"/>
              <w:left w:val="single" w:sz="8" w:space="0" w:color="auto"/>
              <w:bottom w:val="single" w:sz="8" w:space="0" w:color="000000"/>
              <w:right w:val="single" w:sz="8" w:space="0" w:color="auto"/>
            </w:tcBorders>
            <w:vAlign w:val="center"/>
            <w:hideMark/>
          </w:tcPr>
          <w:p w:rsidR="00477DFC" w:rsidRPr="008469CD" w:rsidRDefault="00477DFC" w:rsidP="00477DFC">
            <w:pPr>
              <w:spacing w:after="0" w:line="240" w:lineRule="auto"/>
              <w:rPr>
                <w:rFonts w:eastAsia="Times New Roman" w:cs="Times New Roman"/>
                <w:b/>
                <w:bCs/>
                <w:color w:val="000000"/>
                <w:sz w:val="20"/>
                <w:szCs w:val="20"/>
                <w:lang w:bidi="ar-SA"/>
              </w:rPr>
            </w:pPr>
          </w:p>
        </w:tc>
        <w:tc>
          <w:tcPr>
            <w:tcW w:w="0" w:type="auto"/>
            <w:vMerge/>
            <w:tcBorders>
              <w:top w:val="nil"/>
              <w:left w:val="single" w:sz="8" w:space="0" w:color="auto"/>
              <w:bottom w:val="single" w:sz="8" w:space="0" w:color="000000"/>
              <w:right w:val="single" w:sz="8" w:space="0" w:color="auto"/>
            </w:tcBorders>
            <w:vAlign w:val="center"/>
            <w:hideMark/>
          </w:tcPr>
          <w:p w:rsidR="00477DFC" w:rsidRPr="008469CD" w:rsidRDefault="00477DFC" w:rsidP="00477DFC">
            <w:pPr>
              <w:spacing w:after="0" w:line="240" w:lineRule="auto"/>
              <w:rPr>
                <w:rFonts w:eastAsia="Times New Roman" w:cs="Times New Roman"/>
                <w:b/>
                <w:bCs/>
                <w:color w:val="000000"/>
                <w:sz w:val="20"/>
                <w:szCs w:val="20"/>
                <w:lang w:bidi="ar-SA"/>
              </w:rPr>
            </w:pP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center"/>
              <w:rPr>
                <w:rFonts w:eastAsia="Times New Roman" w:cs="Times New Roman"/>
                <w:b/>
                <w:bCs/>
                <w:color w:val="000000"/>
                <w:sz w:val="20"/>
                <w:szCs w:val="20"/>
                <w:lang w:bidi="ar-SA"/>
              </w:rPr>
            </w:pPr>
            <w:r w:rsidRPr="008469CD">
              <w:rPr>
                <w:rFonts w:eastAsia="Times New Roman" w:cs="Times New Roman"/>
                <w:b/>
                <w:bCs/>
                <w:color w:val="000000"/>
                <w:sz w:val="20"/>
                <w:szCs w:val="20"/>
                <w:lang w:bidi="ar-SA"/>
              </w:rPr>
              <w:t xml:space="preserve"> (0 h)</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center"/>
              <w:rPr>
                <w:rFonts w:eastAsia="Times New Roman" w:cs="Times New Roman"/>
                <w:b/>
                <w:bCs/>
                <w:color w:val="000000"/>
                <w:sz w:val="20"/>
                <w:szCs w:val="20"/>
                <w:lang w:bidi="ar-SA"/>
              </w:rPr>
            </w:pPr>
            <w:r w:rsidRPr="008469CD">
              <w:rPr>
                <w:rFonts w:eastAsia="Times New Roman" w:cs="Times New Roman"/>
                <w:b/>
                <w:bCs/>
                <w:color w:val="000000"/>
                <w:sz w:val="20"/>
                <w:szCs w:val="20"/>
                <w:lang w:bidi="ar-SA"/>
              </w:rPr>
              <w:t>(28 h)</w:t>
            </w:r>
          </w:p>
        </w:tc>
        <w:tc>
          <w:tcPr>
            <w:tcW w:w="0" w:type="auto"/>
            <w:vMerge/>
            <w:tcBorders>
              <w:top w:val="nil"/>
              <w:left w:val="single" w:sz="8" w:space="0" w:color="auto"/>
              <w:bottom w:val="single" w:sz="8" w:space="0" w:color="000000"/>
              <w:right w:val="single" w:sz="8" w:space="0" w:color="auto"/>
            </w:tcBorders>
            <w:vAlign w:val="center"/>
            <w:hideMark/>
          </w:tcPr>
          <w:p w:rsidR="00477DFC" w:rsidRPr="008469CD" w:rsidRDefault="00477DFC" w:rsidP="00477DFC">
            <w:pPr>
              <w:spacing w:after="0" w:line="240" w:lineRule="auto"/>
              <w:rPr>
                <w:rFonts w:eastAsia="Times New Roman" w:cs="Times New Roman"/>
                <w:b/>
                <w:bCs/>
                <w:color w:val="000000"/>
                <w:sz w:val="20"/>
                <w:szCs w:val="20"/>
                <w:lang w:bidi="ar-SA"/>
              </w:rPr>
            </w:pPr>
          </w:p>
        </w:tc>
        <w:tc>
          <w:tcPr>
            <w:tcW w:w="0" w:type="auto"/>
            <w:vMerge/>
            <w:tcBorders>
              <w:top w:val="nil"/>
              <w:left w:val="single" w:sz="8" w:space="0" w:color="auto"/>
              <w:bottom w:val="single" w:sz="8" w:space="0" w:color="000000"/>
              <w:right w:val="single" w:sz="8" w:space="0" w:color="auto"/>
            </w:tcBorders>
            <w:vAlign w:val="center"/>
            <w:hideMark/>
          </w:tcPr>
          <w:p w:rsidR="00477DFC" w:rsidRPr="008469CD" w:rsidRDefault="00477DFC" w:rsidP="00477DFC">
            <w:pPr>
              <w:spacing w:after="0" w:line="240" w:lineRule="auto"/>
              <w:rPr>
                <w:rFonts w:eastAsia="Times New Roman" w:cs="Times New Roman"/>
                <w:b/>
                <w:bCs/>
                <w:color w:val="000000"/>
                <w:sz w:val="20"/>
                <w:szCs w:val="20"/>
                <w:lang w:bidi="ar-SA"/>
              </w:rPr>
            </w:pPr>
          </w:p>
        </w:tc>
        <w:tc>
          <w:tcPr>
            <w:tcW w:w="0" w:type="auto"/>
            <w:vMerge/>
            <w:tcBorders>
              <w:top w:val="nil"/>
              <w:left w:val="single" w:sz="8" w:space="0" w:color="auto"/>
              <w:bottom w:val="single" w:sz="8" w:space="0" w:color="000000"/>
              <w:right w:val="single" w:sz="8" w:space="0" w:color="auto"/>
            </w:tcBorders>
            <w:vAlign w:val="center"/>
            <w:hideMark/>
          </w:tcPr>
          <w:p w:rsidR="00477DFC" w:rsidRPr="008469CD" w:rsidRDefault="00477DFC" w:rsidP="00477DFC">
            <w:pPr>
              <w:spacing w:after="0" w:line="240" w:lineRule="auto"/>
              <w:rPr>
                <w:rFonts w:eastAsia="Times New Roman" w:cs="Times New Roman"/>
                <w:b/>
                <w:bCs/>
                <w:color w:val="000000"/>
                <w:sz w:val="20"/>
                <w:szCs w:val="20"/>
                <w:lang w:bidi="ar-SA"/>
              </w:rPr>
            </w:pP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center"/>
              <w:rPr>
                <w:rFonts w:eastAsia="Times New Roman" w:cs="Times New Roman"/>
                <w:b/>
                <w:bCs/>
                <w:color w:val="000000"/>
                <w:sz w:val="20"/>
                <w:szCs w:val="20"/>
                <w:lang w:bidi="ar-SA"/>
              </w:rPr>
            </w:pPr>
            <w:r w:rsidRPr="008469CD">
              <w:rPr>
                <w:rFonts w:eastAsia="Times New Roman" w:cs="Times New Roman"/>
                <w:b/>
                <w:bCs/>
                <w:color w:val="000000"/>
                <w:sz w:val="20"/>
                <w:szCs w:val="20"/>
                <w:lang w:bidi="ar-SA"/>
              </w:rPr>
              <w:t>(2 h)</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center"/>
              <w:rPr>
                <w:rFonts w:eastAsia="Times New Roman" w:cs="Times New Roman"/>
                <w:b/>
                <w:bCs/>
                <w:color w:val="000000"/>
                <w:sz w:val="20"/>
                <w:szCs w:val="20"/>
                <w:lang w:bidi="ar-SA"/>
              </w:rPr>
            </w:pPr>
            <w:r w:rsidRPr="008469CD">
              <w:rPr>
                <w:rFonts w:eastAsia="Times New Roman" w:cs="Times New Roman"/>
                <w:b/>
                <w:bCs/>
                <w:color w:val="000000"/>
                <w:sz w:val="20"/>
                <w:szCs w:val="20"/>
                <w:lang w:bidi="ar-SA"/>
              </w:rPr>
              <w:t>(30 h)</w:t>
            </w:r>
          </w:p>
        </w:tc>
        <w:tc>
          <w:tcPr>
            <w:tcW w:w="0" w:type="auto"/>
            <w:vMerge/>
            <w:tcBorders>
              <w:top w:val="nil"/>
              <w:left w:val="single" w:sz="8" w:space="0" w:color="auto"/>
              <w:bottom w:val="single" w:sz="8" w:space="0" w:color="000000"/>
              <w:right w:val="single" w:sz="8" w:space="0" w:color="auto"/>
            </w:tcBorders>
            <w:vAlign w:val="center"/>
            <w:hideMark/>
          </w:tcPr>
          <w:p w:rsidR="00477DFC" w:rsidRPr="008469CD" w:rsidRDefault="00477DFC" w:rsidP="00477DFC">
            <w:pPr>
              <w:spacing w:after="0" w:line="240" w:lineRule="auto"/>
              <w:rPr>
                <w:rFonts w:eastAsia="Times New Roman" w:cs="Times New Roman"/>
                <w:b/>
                <w:bCs/>
                <w:color w:val="000000"/>
                <w:sz w:val="20"/>
                <w:szCs w:val="20"/>
                <w:lang w:bidi="ar-SA"/>
              </w:rPr>
            </w:pP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 xml:space="preserve">BZP </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-109</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40404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40404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37357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-7.5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963</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611205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613130</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640084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4.4</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Cathinone</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-68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19648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19648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17745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-9.7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-216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432246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431814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425765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-1.4</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Methcathinone</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-85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32986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32986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30594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-7.3</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-1605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1100493</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1097282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1052334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-4.1</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 xml:space="preserve">Methylone </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-160</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52341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52341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47857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-8.6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-2126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1520949</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1516697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1457172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-3.9</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Flephedrone</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-97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35323</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35323</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32603</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-7.7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-677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703464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702111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683162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-2.7</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Amphetamine</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-88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17547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17547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15076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-14.1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2926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396416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402268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484202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i/>
                <w:iCs/>
                <w:color w:val="000000"/>
                <w:sz w:val="20"/>
                <w:szCs w:val="20"/>
                <w:lang w:bidi="ar-SA"/>
              </w:rPr>
            </w:pPr>
            <w:r w:rsidRPr="008469CD">
              <w:rPr>
                <w:rFonts w:eastAsia="Times New Roman" w:cs="Times New Roman"/>
                <w:i/>
                <w:iCs/>
                <w:color w:val="000000"/>
                <w:sz w:val="20"/>
                <w:szCs w:val="20"/>
                <w:lang w:bidi="ar-SA"/>
              </w:rPr>
              <w:t>20.4</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MDA</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-176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41489</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41489</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36574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-11.8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-1090</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633973</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631793</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601267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-4.8</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Methedrone</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-116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40789</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40789</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37544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-4361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900848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892125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770006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-13.7</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Methamphetamine</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-95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26058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26058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23405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-10.2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-1979</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510413</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506456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451055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-10.9</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DMT</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177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7223</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7223</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12188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i/>
                <w:iCs/>
                <w:color w:val="000000"/>
                <w:sz w:val="20"/>
                <w:szCs w:val="20"/>
                <w:lang w:bidi="ar-SA"/>
              </w:rPr>
            </w:pPr>
            <w:r w:rsidRPr="008469CD">
              <w:rPr>
                <w:rFonts w:eastAsia="Times New Roman" w:cs="Times New Roman"/>
                <w:i/>
                <w:iCs/>
                <w:color w:val="000000"/>
                <w:sz w:val="20"/>
                <w:szCs w:val="20"/>
                <w:lang w:bidi="ar-SA"/>
              </w:rPr>
              <w:t>68.7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4125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579902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588152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703649</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i/>
                <w:iCs/>
                <w:color w:val="000000"/>
                <w:sz w:val="20"/>
                <w:szCs w:val="20"/>
                <w:lang w:bidi="ar-SA"/>
              </w:rPr>
            </w:pPr>
            <w:r w:rsidRPr="008469CD">
              <w:rPr>
                <w:rFonts w:eastAsia="Times New Roman" w:cs="Times New Roman"/>
                <w:i/>
                <w:iCs/>
                <w:color w:val="000000"/>
                <w:sz w:val="20"/>
                <w:szCs w:val="20"/>
                <w:lang w:bidi="ar-SA"/>
              </w:rPr>
              <w:t>19.6</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 xml:space="preserve">MDMA </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-152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45195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45195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40935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-9.4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-7218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1323056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1308620</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1106522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i/>
                <w:iCs/>
                <w:color w:val="000000"/>
                <w:sz w:val="20"/>
                <w:szCs w:val="20"/>
                <w:lang w:bidi="ar-SA"/>
              </w:rPr>
            </w:pPr>
            <w:r w:rsidRPr="008469CD">
              <w:rPr>
                <w:rFonts w:eastAsia="Times New Roman" w:cs="Times New Roman"/>
                <w:i/>
                <w:iCs/>
                <w:color w:val="000000"/>
                <w:sz w:val="20"/>
                <w:szCs w:val="20"/>
                <w:lang w:bidi="ar-SA"/>
              </w:rPr>
              <w:t>-15.4</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5-MeO-DMT</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213</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7119</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7119</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13091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i/>
                <w:iCs/>
                <w:color w:val="000000"/>
                <w:sz w:val="20"/>
                <w:szCs w:val="20"/>
                <w:lang w:bidi="ar-SA"/>
              </w:rPr>
            </w:pPr>
            <w:r w:rsidRPr="008469CD">
              <w:rPr>
                <w:rFonts w:eastAsia="Times New Roman" w:cs="Times New Roman"/>
                <w:i/>
                <w:iCs/>
                <w:color w:val="000000"/>
                <w:sz w:val="20"/>
                <w:szCs w:val="20"/>
                <w:lang w:bidi="ar-SA"/>
              </w:rPr>
              <w:t>83.9</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7709</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970115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985533</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1201385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i/>
                <w:iCs/>
                <w:color w:val="000000"/>
                <w:sz w:val="20"/>
                <w:szCs w:val="20"/>
                <w:lang w:bidi="ar-SA"/>
              </w:rPr>
            </w:pPr>
            <w:r w:rsidRPr="008469CD">
              <w:rPr>
                <w:rFonts w:eastAsia="Times New Roman" w:cs="Times New Roman"/>
                <w:i/>
                <w:iCs/>
                <w:color w:val="000000"/>
                <w:sz w:val="20"/>
                <w:szCs w:val="20"/>
                <w:lang w:bidi="ar-SA"/>
              </w:rPr>
              <w:t>21.9</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Butylone</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-157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49644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49644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45254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-8.8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-4301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1230952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1222351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1101931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-9.9</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AMT</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301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6056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6056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14491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i/>
                <w:iCs/>
                <w:color w:val="000000"/>
                <w:sz w:val="20"/>
                <w:szCs w:val="20"/>
                <w:lang w:bidi="ar-SA"/>
              </w:rPr>
            </w:pPr>
            <w:r w:rsidRPr="008469CD">
              <w:rPr>
                <w:rFonts w:eastAsia="Times New Roman" w:cs="Times New Roman"/>
                <w:i/>
                <w:iCs/>
                <w:color w:val="000000"/>
                <w:sz w:val="20"/>
                <w:szCs w:val="20"/>
                <w:lang w:bidi="ar-SA"/>
              </w:rPr>
              <w:t>139.3</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2102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42776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46979</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105821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i/>
                <w:iCs/>
                <w:color w:val="000000"/>
                <w:sz w:val="20"/>
                <w:szCs w:val="20"/>
                <w:lang w:bidi="ar-SA"/>
              </w:rPr>
            </w:pPr>
            <w:r w:rsidRPr="008469CD">
              <w:rPr>
                <w:rFonts w:eastAsia="Times New Roman" w:cs="Times New Roman"/>
                <w:i/>
                <w:iCs/>
                <w:color w:val="000000"/>
                <w:sz w:val="20"/>
                <w:szCs w:val="20"/>
                <w:lang w:bidi="ar-SA"/>
              </w:rPr>
              <w:t>125.3</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TMA</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294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23588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23588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31814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i/>
                <w:iCs/>
                <w:color w:val="000000"/>
                <w:sz w:val="20"/>
                <w:szCs w:val="20"/>
                <w:lang w:bidi="ar-SA"/>
              </w:rPr>
            </w:pPr>
            <w:r w:rsidRPr="008469CD">
              <w:rPr>
                <w:rFonts w:eastAsia="Times New Roman" w:cs="Times New Roman"/>
                <w:i/>
                <w:iCs/>
                <w:color w:val="000000"/>
                <w:sz w:val="20"/>
                <w:szCs w:val="20"/>
                <w:lang w:bidi="ar-SA"/>
              </w:rPr>
              <w:t>34.9</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-626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591243</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589990</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572450</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Ethylamphetamine</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-121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35386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35386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32012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-9.5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-2922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924730</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918886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837070</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-8.9</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 xml:space="preserve">Mephedrone </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-111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42074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42074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38969</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-7.4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-1015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1006374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1004344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975927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-2.8</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MDEA</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-159</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63807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63807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59349</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-4413</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2638023</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2629198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2505648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-4.7</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4-MEC</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-77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35130</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35130</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32968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-6.2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-2118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1550957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1546722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1487432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-3.8</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mCPP</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9123</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9123</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8925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322319</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322268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321548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-0.2</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MDPV</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-101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29138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29138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26307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-9.7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-3761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1674238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1666716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1561408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-6.3</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2C-B</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52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18695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18695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20154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7.8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-594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397233</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396045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379407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-4.2</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DBZP</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9617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9617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8654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-10</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-2004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1019820</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1015812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959697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-5.5</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DOM</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-317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125746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125746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116857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-7.1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-5532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3058967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3047903</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2893013</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-5.1</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5-MeO-DiPT</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319</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12644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12644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21575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i/>
                <w:iCs/>
                <w:color w:val="000000"/>
                <w:sz w:val="20"/>
                <w:szCs w:val="20"/>
                <w:lang w:bidi="ar-SA"/>
              </w:rPr>
            </w:pPr>
            <w:r w:rsidRPr="008469CD">
              <w:rPr>
                <w:rFonts w:eastAsia="Times New Roman" w:cs="Times New Roman"/>
                <w:i/>
                <w:iCs/>
                <w:color w:val="000000"/>
                <w:sz w:val="20"/>
                <w:szCs w:val="20"/>
                <w:lang w:bidi="ar-SA"/>
              </w:rPr>
              <w:t>70.6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19176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2280395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2318747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2855675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i/>
                <w:iCs/>
                <w:color w:val="000000"/>
                <w:sz w:val="20"/>
                <w:szCs w:val="20"/>
                <w:lang w:bidi="ar-SA"/>
              </w:rPr>
            </w:pPr>
            <w:r w:rsidRPr="008469CD">
              <w:rPr>
                <w:rFonts w:eastAsia="Times New Roman" w:cs="Times New Roman"/>
                <w:i/>
                <w:iCs/>
                <w:color w:val="000000"/>
                <w:sz w:val="20"/>
                <w:szCs w:val="20"/>
                <w:lang w:bidi="ar-SA"/>
              </w:rPr>
              <w:t>23.2</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DOB</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32652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32652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31311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-1342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965105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962421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924851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-3.9</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 xml:space="preserve">TFMPP </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21625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21625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21756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0.6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-374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420297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419548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409064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-2.5</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2C-I</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39936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39936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40270</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0.8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-898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1369695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1367898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1342740</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-1.8</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2C-E</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-301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95824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95824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87387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-8.8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-3681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3256687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3249326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3146272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-3.2</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DOET</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-366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168366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168366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158121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-6.1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-7521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4739575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4724532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4513933</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-4.5</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2C-T-4</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30</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48780</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48780</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49632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-2993</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2486121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2480135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2396325</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-3.4</w:t>
            </w:r>
          </w:p>
        </w:tc>
      </w:tr>
      <w:tr w:rsidR="00477DFC" w:rsidRPr="008469CD" w:rsidTr="00477DFC">
        <w:trPr>
          <w:trHeight w:val="2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rPr>
                <w:rFonts w:eastAsia="Times New Roman" w:cs="Times New Roman"/>
                <w:color w:val="000000"/>
                <w:sz w:val="20"/>
                <w:szCs w:val="20"/>
                <w:lang w:bidi="ar-SA"/>
              </w:rPr>
            </w:pPr>
            <w:r w:rsidRPr="008469CD">
              <w:rPr>
                <w:rFonts w:eastAsia="Times New Roman" w:cs="Times New Roman"/>
                <w:color w:val="000000"/>
                <w:sz w:val="20"/>
                <w:szCs w:val="20"/>
                <w:lang w:bidi="ar-SA"/>
              </w:rPr>
              <w:t>2C-T-7</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40176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40176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39671</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-1.3</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3206</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2418269</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2424682</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2514458</w:t>
            </w:r>
          </w:p>
        </w:tc>
        <w:tc>
          <w:tcPr>
            <w:tcW w:w="0" w:type="auto"/>
            <w:tcBorders>
              <w:top w:val="nil"/>
              <w:left w:val="nil"/>
              <w:bottom w:val="single" w:sz="8" w:space="0" w:color="auto"/>
              <w:right w:val="single" w:sz="8" w:space="0" w:color="auto"/>
            </w:tcBorders>
            <w:shd w:val="clear" w:color="auto" w:fill="auto"/>
            <w:noWrap/>
            <w:vAlign w:val="center"/>
            <w:hideMark/>
          </w:tcPr>
          <w:p w:rsidR="00477DFC" w:rsidRPr="008469CD" w:rsidRDefault="00477DFC" w:rsidP="00477DFC">
            <w:pPr>
              <w:spacing w:after="0" w:line="240" w:lineRule="auto"/>
              <w:jc w:val="right"/>
              <w:rPr>
                <w:rFonts w:eastAsia="Times New Roman" w:cs="Times New Roman"/>
                <w:color w:val="000000"/>
                <w:sz w:val="20"/>
                <w:szCs w:val="20"/>
                <w:lang w:bidi="ar-SA"/>
              </w:rPr>
            </w:pPr>
            <w:r w:rsidRPr="008469CD">
              <w:rPr>
                <w:rFonts w:eastAsia="Times New Roman" w:cs="Times New Roman"/>
                <w:color w:val="000000"/>
                <w:sz w:val="20"/>
                <w:szCs w:val="20"/>
                <w:lang w:bidi="ar-SA"/>
              </w:rPr>
              <w:t>3.7</w:t>
            </w:r>
          </w:p>
        </w:tc>
      </w:tr>
    </w:tbl>
    <w:p w:rsidR="005E5870" w:rsidRDefault="005E5870" w:rsidP="00AF21C9">
      <w:pPr>
        <w:spacing w:after="0"/>
        <w:rPr>
          <w:szCs w:val="24"/>
        </w:rPr>
        <w:sectPr w:rsidR="005E5870" w:rsidSect="00F677A2">
          <w:pgSz w:w="15840" w:h="12240" w:orient="landscape" w:code="1"/>
          <w:pgMar w:top="2160" w:right="1440" w:bottom="1440" w:left="1800" w:header="720" w:footer="720" w:gutter="0"/>
          <w:cols w:space="720"/>
          <w:docGrid w:linePitch="360"/>
        </w:sectPr>
      </w:pPr>
    </w:p>
    <w:p w:rsidR="00E575DC" w:rsidRPr="005E5870" w:rsidRDefault="00E575DC" w:rsidP="005E5870">
      <w:pPr>
        <w:pStyle w:val="Caption"/>
        <w:jc w:val="left"/>
        <w:rPr>
          <w:sz w:val="22"/>
        </w:rPr>
      </w:pPr>
      <w:bookmarkStart w:id="319" w:name="_Ref362619309"/>
      <w:bookmarkStart w:id="320" w:name="_Toc372536145"/>
      <w:r w:rsidRPr="005E5870">
        <w:rPr>
          <w:sz w:val="22"/>
        </w:rPr>
        <w:t xml:space="preserve">Appendix </w:t>
      </w:r>
      <w:r w:rsidR="000E239B" w:rsidRPr="005E5870">
        <w:rPr>
          <w:sz w:val="22"/>
        </w:rPr>
        <w:fldChar w:fldCharType="begin"/>
      </w:r>
      <w:r w:rsidR="00B2107A" w:rsidRPr="005E5870">
        <w:rPr>
          <w:sz w:val="22"/>
        </w:rPr>
        <w:instrText xml:space="preserve"> SEQ Appendix \* ARABIC </w:instrText>
      </w:r>
      <w:r w:rsidR="000E239B" w:rsidRPr="005E5870">
        <w:rPr>
          <w:sz w:val="22"/>
        </w:rPr>
        <w:fldChar w:fldCharType="separate"/>
      </w:r>
      <w:r w:rsidR="00E37796">
        <w:rPr>
          <w:noProof/>
          <w:sz w:val="22"/>
        </w:rPr>
        <w:t>8</w:t>
      </w:r>
      <w:r w:rsidR="000E239B" w:rsidRPr="005E5870">
        <w:rPr>
          <w:noProof/>
          <w:sz w:val="22"/>
        </w:rPr>
        <w:fldChar w:fldCharType="end"/>
      </w:r>
      <w:bookmarkEnd w:id="319"/>
      <w:r w:rsidRPr="005E5870">
        <w:rPr>
          <w:sz w:val="22"/>
        </w:rPr>
        <w:t>: Summary of Precision an</w:t>
      </w:r>
      <w:r w:rsidR="005E5870">
        <w:rPr>
          <w:sz w:val="22"/>
        </w:rPr>
        <w:t xml:space="preserve">d Accuracy Data for </w:t>
      </w:r>
      <w:r w:rsidRPr="005E5870">
        <w:rPr>
          <w:sz w:val="22"/>
        </w:rPr>
        <w:t>at Four Concentrations</w:t>
      </w:r>
      <w:bookmarkEnd w:id="320"/>
    </w:p>
    <w:tbl>
      <w:tblPr>
        <w:tblW w:w="0" w:type="auto"/>
        <w:tblInd w:w="93" w:type="dxa"/>
        <w:tblLook w:val="04A0" w:firstRow="1" w:lastRow="0" w:firstColumn="1" w:lastColumn="0" w:noHBand="0" w:noVBand="1"/>
      </w:tblPr>
      <w:tblGrid>
        <w:gridCol w:w="1377"/>
        <w:gridCol w:w="660"/>
        <w:gridCol w:w="592"/>
        <w:gridCol w:w="575"/>
        <w:gridCol w:w="635"/>
        <w:gridCol w:w="660"/>
        <w:gridCol w:w="592"/>
        <w:gridCol w:w="575"/>
        <w:gridCol w:w="635"/>
        <w:gridCol w:w="660"/>
        <w:gridCol w:w="592"/>
        <w:gridCol w:w="575"/>
        <w:gridCol w:w="635"/>
      </w:tblGrid>
      <w:tr w:rsidR="00E575DC" w:rsidRPr="005E5870" w:rsidTr="00E575DC">
        <w:trPr>
          <w:trHeight w:val="330"/>
          <w:tblHeader/>
        </w:trPr>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rPr>
                <w:rFonts w:eastAsia="Times New Roman" w:cs="Times New Roman"/>
                <w:color w:val="000000"/>
                <w:sz w:val="16"/>
                <w:szCs w:val="16"/>
                <w:lang w:bidi="ar-SA"/>
              </w:rPr>
            </w:pPr>
            <w:r w:rsidRPr="005E5870">
              <w:rPr>
                <w:rFonts w:eastAsia="Times New Roman" w:cs="Times New Roman"/>
                <w:color w:val="000000"/>
                <w:sz w:val="16"/>
                <w:szCs w:val="16"/>
                <w:lang w:bidi="ar-SA"/>
              </w:rPr>
              <w:t> </w:t>
            </w:r>
          </w:p>
        </w:tc>
        <w:tc>
          <w:tcPr>
            <w:tcW w:w="0" w:type="auto"/>
            <w:gridSpan w:val="4"/>
            <w:tcBorders>
              <w:top w:val="single" w:sz="8" w:space="0" w:color="auto"/>
              <w:left w:val="nil"/>
              <w:bottom w:val="single" w:sz="8" w:space="0" w:color="auto"/>
              <w:right w:val="single" w:sz="8" w:space="0" w:color="000000"/>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b/>
                <w:bCs/>
                <w:color w:val="000000"/>
                <w:sz w:val="16"/>
                <w:szCs w:val="16"/>
                <w:lang w:bidi="ar-SA"/>
              </w:rPr>
            </w:pPr>
            <w:r w:rsidRPr="005E5870">
              <w:rPr>
                <w:rFonts w:eastAsia="Times New Roman" w:cs="Times New Roman"/>
                <w:b/>
                <w:bCs/>
                <w:color w:val="000000"/>
                <w:sz w:val="16"/>
                <w:szCs w:val="16"/>
                <w:lang w:bidi="ar-SA"/>
              </w:rPr>
              <w:t>Repeatability (%RSD)</w:t>
            </w:r>
          </w:p>
        </w:tc>
        <w:tc>
          <w:tcPr>
            <w:tcW w:w="0" w:type="auto"/>
            <w:gridSpan w:val="4"/>
            <w:tcBorders>
              <w:top w:val="single" w:sz="8" w:space="0" w:color="auto"/>
              <w:left w:val="nil"/>
              <w:bottom w:val="single" w:sz="8" w:space="0" w:color="auto"/>
              <w:right w:val="single" w:sz="8" w:space="0" w:color="000000"/>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b/>
                <w:bCs/>
                <w:color w:val="000000"/>
                <w:sz w:val="16"/>
                <w:szCs w:val="16"/>
                <w:lang w:bidi="ar-SA"/>
              </w:rPr>
            </w:pPr>
            <w:r w:rsidRPr="005E5870">
              <w:rPr>
                <w:rFonts w:eastAsia="Times New Roman" w:cs="Times New Roman"/>
                <w:b/>
                <w:bCs/>
                <w:color w:val="000000"/>
                <w:sz w:val="16"/>
                <w:szCs w:val="16"/>
                <w:lang w:bidi="ar-SA"/>
              </w:rPr>
              <w:t>Intermediate Precision (%RSD)</w:t>
            </w:r>
          </w:p>
        </w:tc>
        <w:tc>
          <w:tcPr>
            <w:tcW w:w="0" w:type="auto"/>
            <w:gridSpan w:val="4"/>
            <w:tcBorders>
              <w:top w:val="single" w:sz="8" w:space="0" w:color="auto"/>
              <w:left w:val="nil"/>
              <w:bottom w:val="single" w:sz="8" w:space="0" w:color="auto"/>
              <w:right w:val="single" w:sz="8" w:space="0" w:color="000000"/>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b/>
                <w:bCs/>
                <w:color w:val="000000"/>
                <w:sz w:val="16"/>
                <w:szCs w:val="16"/>
                <w:lang w:bidi="ar-SA"/>
              </w:rPr>
            </w:pPr>
            <w:r w:rsidRPr="005E5870">
              <w:rPr>
                <w:rFonts w:eastAsia="Times New Roman" w:cs="Times New Roman"/>
                <w:b/>
                <w:bCs/>
                <w:color w:val="000000"/>
                <w:sz w:val="16"/>
                <w:szCs w:val="16"/>
                <w:lang w:bidi="ar-SA"/>
              </w:rPr>
              <w:t>Accuracy, Bias (%)</w:t>
            </w:r>
          </w:p>
        </w:tc>
      </w:tr>
      <w:tr w:rsidR="00E575DC" w:rsidRPr="005E5870" w:rsidTr="00E575DC">
        <w:trPr>
          <w:trHeight w:val="330"/>
          <w:tblHead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b/>
                <w:bCs/>
                <w:color w:val="000000"/>
                <w:sz w:val="16"/>
                <w:szCs w:val="16"/>
                <w:lang w:bidi="ar-SA"/>
              </w:rPr>
            </w:pPr>
            <w:r w:rsidRPr="005E5870">
              <w:rPr>
                <w:rFonts w:eastAsia="Times New Roman" w:cs="Times New Roman"/>
                <w:b/>
                <w:bCs/>
                <w:color w:val="000000"/>
                <w:sz w:val="16"/>
                <w:szCs w:val="16"/>
                <w:lang w:bidi="ar-SA"/>
              </w:rPr>
              <w:t>Analyte</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b/>
                <w:bCs/>
                <w:color w:val="000000"/>
                <w:sz w:val="16"/>
                <w:szCs w:val="16"/>
                <w:lang w:bidi="ar-SA"/>
              </w:rPr>
            </w:pPr>
            <w:r w:rsidRPr="005E5870">
              <w:rPr>
                <w:rFonts w:eastAsia="Times New Roman" w:cs="Times New Roman"/>
                <w:b/>
                <w:bCs/>
                <w:color w:val="000000"/>
                <w:sz w:val="16"/>
                <w:szCs w:val="16"/>
                <w:lang w:bidi="ar-SA"/>
              </w:rPr>
              <w:t>LLOQ</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b/>
                <w:bCs/>
                <w:color w:val="000000"/>
                <w:sz w:val="16"/>
                <w:szCs w:val="16"/>
                <w:lang w:bidi="ar-SA"/>
              </w:rPr>
            </w:pPr>
            <w:r w:rsidRPr="005E5870">
              <w:rPr>
                <w:rFonts w:eastAsia="Times New Roman" w:cs="Times New Roman"/>
                <w:b/>
                <w:bCs/>
                <w:color w:val="000000"/>
                <w:sz w:val="16"/>
                <w:szCs w:val="16"/>
                <w:lang w:bidi="ar-SA"/>
              </w:rPr>
              <w:t>LOW</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b/>
                <w:bCs/>
                <w:color w:val="000000"/>
                <w:sz w:val="16"/>
                <w:szCs w:val="16"/>
                <w:lang w:bidi="ar-SA"/>
              </w:rPr>
            </w:pPr>
            <w:r w:rsidRPr="005E5870">
              <w:rPr>
                <w:rFonts w:eastAsia="Times New Roman" w:cs="Times New Roman"/>
                <w:b/>
                <w:bCs/>
                <w:color w:val="000000"/>
                <w:sz w:val="16"/>
                <w:szCs w:val="16"/>
                <w:lang w:bidi="ar-SA"/>
              </w:rPr>
              <w:t>MED</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b/>
                <w:bCs/>
                <w:color w:val="000000"/>
                <w:sz w:val="16"/>
                <w:szCs w:val="16"/>
                <w:lang w:bidi="ar-SA"/>
              </w:rPr>
            </w:pPr>
            <w:r w:rsidRPr="005E5870">
              <w:rPr>
                <w:rFonts w:eastAsia="Times New Roman" w:cs="Times New Roman"/>
                <w:b/>
                <w:bCs/>
                <w:color w:val="000000"/>
                <w:sz w:val="16"/>
                <w:szCs w:val="16"/>
                <w:lang w:bidi="ar-SA"/>
              </w:rPr>
              <w:t>HIGH</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b/>
                <w:bCs/>
                <w:color w:val="000000"/>
                <w:sz w:val="16"/>
                <w:szCs w:val="16"/>
                <w:lang w:bidi="ar-SA"/>
              </w:rPr>
            </w:pPr>
            <w:r w:rsidRPr="005E5870">
              <w:rPr>
                <w:rFonts w:eastAsia="Times New Roman" w:cs="Times New Roman"/>
                <w:b/>
                <w:bCs/>
                <w:color w:val="000000"/>
                <w:sz w:val="16"/>
                <w:szCs w:val="16"/>
                <w:lang w:bidi="ar-SA"/>
              </w:rPr>
              <w:t>LLOQ</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b/>
                <w:bCs/>
                <w:color w:val="000000"/>
                <w:sz w:val="16"/>
                <w:szCs w:val="16"/>
                <w:lang w:bidi="ar-SA"/>
              </w:rPr>
            </w:pPr>
            <w:r w:rsidRPr="005E5870">
              <w:rPr>
                <w:rFonts w:eastAsia="Times New Roman" w:cs="Times New Roman"/>
                <w:b/>
                <w:bCs/>
                <w:color w:val="000000"/>
                <w:sz w:val="16"/>
                <w:szCs w:val="16"/>
                <w:lang w:bidi="ar-SA"/>
              </w:rPr>
              <w:t>LOW</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b/>
                <w:bCs/>
                <w:color w:val="000000"/>
                <w:sz w:val="16"/>
                <w:szCs w:val="16"/>
                <w:lang w:bidi="ar-SA"/>
              </w:rPr>
            </w:pPr>
            <w:r w:rsidRPr="005E5870">
              <w:rPr>
                <w:rFonts w:eastAsia="Times New Roman" w:cs="Times New Roman"/>
                <w:b/>
                <w:bCs/>
                <w:color w:val="000000"/>
                <w:sz w:val="16"/>
                <w:szCs w:val="16"/>
                <w:lang w:bidi="ar-SA"/>
              </w:rPr>
              <w:t>MED</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b/>
                <w:bCs/>
                <w:color w:val="000000"/>
                <w:sz w:val="16"/>
                <w:szCs w:val="16"/>
                <w:lang w:bidi="ar-SA"/>
              </w:rPr>
            </w:pPr>
            <w:r w:rsidRPr="005E5870">
              <w:rPr>
                <w:rFonts w:eastAsia="Times New Roman" w:cs="Times New Roman"/>
                <w:b/>
                <w:bCs/>
                <w:color w:val="000000"/>
                <w:sz w:val="16"/>
                <w:szCs w:val="16"/>
                <w:lang w:bidi="ar-SA"/>
              </w:rPr>
              <w:t>HIGH</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b/>
                <w:bCs/>
                <w:color w:val="000000"/>
                <w:sz w:val="16"/>
                <w:szCs w:val="16"/>
                <w:lang w:bidi="ar-SA"/>
              </w:rPr>
            </w:pPr>
            <w:r w:rsidRPr="005E5870">
              <w:rPr>
                <w:rFonts w:eastAsia="Times New Roman" w:cs="Times New Roman"/>
                <w:b/>
                <w:bCs/>
                <w:color w:val="000000"/>
                <w:sz w:val="16"/>
                <w:szCs w:val="16"/>
                <w:lang w:bidi="ar-SA"/>
              </w:rPr>
              <w:t>LLOQ</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b/>
                <w:bCs/>
                <w:color w:val="000000"/>
                <w:sz w:val="16"/>
                <w:szCs w:val="16"/>
                <w:lang w:bidi="ar-SA"/>
              </w:rPr>
            </w:pPr>
            <w:r w:rsidRPr="005E5870">
              <w:rPr>
                <w:rFonts w:eastAsia="Times New Roman" w:cs="Times New Roman"/>
                <w:b/>
                <w:bCs/>
                <w:color w:val="000000"/>
                <w:sz w:val="16"/>
                <w:szCs w:val="16"/>
                <w:lang w:bidi="ar-SA"/>
              </w:rPr>
              <w:t>LOW</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b/>
                <w:bCs/>
                <w:color w:val="000000"/>
                <w:sz w:val="16"/>
                <w:szCs w:val="16"/>
                <w:lang w:bidi="ar-SA"/>
              </w:rPr>
            </w:pPr>
            <w:r w:rsidRPr="005E5870">
              <w:rPr>
                <w:rFonts w:eastAsia="Times New Roman" w:cs="Times New Roman"/>
                <w:b/>
                <w:bCs/>
                <w:color w:val="000000"/>
                <w:sz w:val="16"/>
                <w:szCs w:val="16"/>
                <w:lang w:bidi="ar-SA"/>
              </w:rPr>
              <w:t>MED</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b/>
                <w:bCs/>
                <w:color w:val="000000"/>
                <w:sz w:val="16"/>
                <w:szCs w:val="16"/>
                <w:lang w:bidi="ar-SA"/>
              </w:rPr>
            </w:pPr>
            <w:r w:rsidRPr="005E5870">
              <w:rPr>
                <w:rFonts w:eastAsia="Times New Roman" w:cs="Times New Roman"/>
                <w:b/>
                <w:bCs/>
                <w:color w:val="000000"/>
                <w:sz w:val="16"/>
                <w:szCs w:val="16"/>
                <w:lang w:bidi="ar-SA"/>
              </w:rPr>
              <w:t>HIGH</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BZP</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0.2</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Cathinone</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13.3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9.3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11.9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10.8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15.3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9.9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11.9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12.3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-9.9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-9.9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0.6</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Methcathinone</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12.5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8.6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13.9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-10</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0.6</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Methylone</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-10.2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0.2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-4.6</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Flephedrone</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8.2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8.2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-13.2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-6.7</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Amphetamine</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11.8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11.9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-0.6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2.6</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MDA</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12.7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11.9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12.8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11.7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0.8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-6.2</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Methedrone</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12.5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12.2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-0.7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-2.7</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Methamphetamine</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11.4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11.5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-6.6</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DMT</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27.5</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MDMA</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9.7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9.7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-0.4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1.9</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5-MeO-DMT</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18.5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60</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Butylone</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13.6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13.6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0.3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-0.2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-5.3</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AMT</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12.1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16.7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-23.6</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TMA</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-12.9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-14.9</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Ethylamphetamine</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9.2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10.6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-0.2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0.1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0.7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Mephedrone</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8.5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8.5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-9.5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-3.7</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MDEA</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9.3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13.1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11.9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13.1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0.6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0.6</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4-MEC</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13.8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11.3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13.8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2.8</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mCPP</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8.8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13.6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12.1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10.6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13.6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12.1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9.6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0.9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0.2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8.8</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MDPV</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8.7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8.7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12.4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10.4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9.1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12.4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8.8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8.3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5.8</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2C-B</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14.6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15.5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-9.9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-2.1</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DBZP</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20.3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16.6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4.8</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DOM</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11.3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12.5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13.7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13.8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13.7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-0.2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-10.8</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5-MeO-DiPT</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0.6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4.6</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DOB</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13.6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12.8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11.1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14.7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8.1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11.1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-10.7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-11.9</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TFMPP</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-8.5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0.8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-0.5</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2C-I</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19.1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9.9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12.3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11.9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19.5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10.4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12.6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11.9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-13.3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-9.5</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2C-E</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12.5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12.7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14.9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-0.4</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DOET</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6.8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-7.4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9.1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-21.2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-22.8</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2C-T-4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17.1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10.9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11.8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14.2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17.3</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11.4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13.6</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14.2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-12.9</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-4.1</w:t>
            </w:r>
          </w:p>
        </w:tc>
      </w:tr>
      <w:tr w:rsidR="00E575DC" w:rsidRPr="005E5870" w:rsidTr="00E575DC">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2C-T-7</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18</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10.1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11.2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9.2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18.4</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10.5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12.5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9.5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1.2</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-5</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-11.1</w:t>
            </w:r>
          </w:p>
        </w:tc>
        <w:tc>
          <w:tcPr>
            <w:tcW w:w="0" w:type="auto"/>
            <w:tcBorders>
              <w:top w:val="nil"/>
              <w:left w:val="nil"/>
              <w:bottom w:val="single" w:sz="8" w:space="0" w:color="auto"/>
              <w:right w:val="single" w:sz="8" w:space="0" w:color="auto"/>
            </w:tcBorders>
            <w:shd w:val="clear" w:color="auto" w:fill="auto"/>
            <w:noWrap/>
            <w:vAlign w:val="center"/>
            <w:hideMark/>
          </w:tcPr>
          <w:p w:rsidR="00E575DC" w:rsidRPr="005E5870" w:rsidRDefault="00E575DC" w:rsidP="00E575DC">
            <w:pPr>
              <w:spacing w:after="0" w:line="240" w:lineRule="auto"/>
              <w:jc w:val="center"/>
              <w:rPr>
                <w:rFonts w:eastAsia="Times New Roman" w:cs="Times New Roman"/>
                <w:color w:val="000000"/>
                <w:sz w:val="16"/>
                <w:szCs w:val="16"/>
                <w:lang w:bidi="ar-SA"/>
              </w:rPr>
            </w:pPr>
            <w:r w:rsidRPr="005E5870">
              <w:rPr>
                <w:rFonts w:eastAsia="Times New Roman" w:cs="Times New Roman"/>
                <w:color w:val="000000"/>
                <w:sz w:val="16"/>
                <w:szCs w:val="16"/>
                <w:lang w:bidi="ar-SA"/>
              </w:rPr>
              <w:t>-3.2</w:t>
            </w:r>
          </w:p>
        </w:tc>
      </w:tr>
    </w:tbl>
    <w:p w:rsidR="00B00AAE" w:rsidRPr="00F97B2D" w:rsidRDefault="00B00AAE" w:rsidP="00F97B2D">
      <w:pPr>
        <w:pStyle w:val="Caption"/>
        <w:sectPr w:rsidR="00B00AAE" w:rsidRPr="00F97B2D" w:rsidSect="00F677A2">
          <w:pgSz w:w="12240" w:h="15840" w:code="1"/>
          <w:pgMar w:top="1440" w:right="1440" w:bottom="1800" w:left="2160" w:header="720" w:footer="720" w:gutter="0"/>
          <w:cols w:space="720"/>
          <w:docGrid w:linePitch="360"/>
        </w:sectPr>
      </w:pPr>
    </w:p>
    <w:p w:rsidR="00B00AAE" w:rsidRPr="00F97B2D" w:rsidRDefault="00B00AAE" w:rsidP="005E5870">
      <w:pPr>
        <w:pStyle w:val="Caption"/>
        <w:jc w:val="left"/>
      </w:pPr>
      <w:bookmarkStart w:id="321" w:name="_Ref362871376"/>
      <w:bookmarkStart w:id="322" w:name="_Toc372536146"/>
      <w:r w:rsidRPr="00F97B2D">
        <w:t xml:space="preserve">Appendix </w:t>
      </w:r>
      <w:r w:rsidR="000E239B" w:rsidRPr="00F97B2D">
        <w:fldChar w:fldCharType="begin"/>
      </w:r>
      <w:r w:rsidR="00B2107A" w:rsidRPr="00F97B2D">
        <w:instrText xml:space="preserve"> SEQ Appendix \* ARABIC </w:instrText>
      </w:r>
      <w:r w:rsidR="000E239B" w:rsidRPr="00F97B2D">
        <w:fldChar w:fldCharType="separate"/>
      </w:r>
      <w:r w:rsidR="00E37796">
        <w:rPr>
          <w:noProof/>
        </w:rPr>
        <w:t>9</w:t>
      </w:r>
      <w:r w:rsidR="000E239B" w:rsidRPr="00F97B2D">
        <w:rPr>
          <w:noProof/>
        </w:rPr>
        <w:fldChar w:fldCharType="end"/>
      </w:r>
      <w:bookmarkEnd w:id="321"/>
      <w:r w:rsidRPr="00F97B2D">
        <w:t>: Blind Spiked Sample Analysis by ELISA</w:t>
      </w:r>
      <w:bookmarkEnd w:id="322"/>
    </w:p>
    <w:tbl>
      <w:tblPr>
        <w:tblW w:w="0" w:type="auto"/>
        <w:tblInd w:w="103" w:type="dxa"/>
        <w:tblLook w:val="04A0" w:firstRow="1" w:lastRow="0" w:firstColumn="1" w:lastColumn="0" w:noHBand="0" w:noVBand="1"/>
      </w:tblPr>
      <w:tblGrid>
        <w:gridCol w:w="1013"/>
        <w:gridCol w:w="597"/>
        <w:gridCol w:w="626"/>
        <w:gridCol w:w="597"/>
        <w:gridCol w:w="911"/>
        <w:gridCol w:w="714"/>
        <w:gridCol w:w="567"/>
        <w:gridCol w:w="966"/>
        <w:gridCol w:w="626"/>
        <w:gridCol w:w="921"/>
        <w:gridCol w:w="616"/>
        <w:gridCol w:w="756"/>
        <w:gridCol w:w="830"/>
        <w:gridCol w:w="566"/>
        <w:gridCol w:w="877"/>
        <w:gridCol w:w="904"/>
        <w:gridCol w:w="626"/>
      </w:tblGrid>
      <w:tr w:rsidR="00B00AAE" w:rsidRPr="005E5870" w:rsidTr="00B00AA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0AAE" w:rsidRPr="005E5870" w:rsidRDefault="00B00AAE" w:rsidP="00B00AAE">
            <w:pPr>
              <w:widowControl w:val="0"/>
              <w:spacing w:after="0"/>
              <w:jc w:val="center"/>
              <w:rPr>
                <w:rFonts w:cs="Times New Roman"/>
                <w:b/>
                <w:bCs/>
                <w:color w:val="000000"/>
                <w:sz w:val="18"/>
                <w:szCs w:val="18"/>
              </w:rPr>
            </w:pPr>
            <w:r w:rsidRPr="005E5870">
              <w:rPr>
                <w:rFonts w:cs="Times New Roman"/>
                <w:b/>
                <w:bCs/>
                <w:color w:val="000000"/>
                <w:sz w:val="18"/>
                <w:szCs w:val="18"/>
              </w:rPr>
              <w:t>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b/>
                <w:bCs/>
                <w:color w:val="000000"/>
                <w:sz w:val="18"/>
                <w:szCs w:val="18"/>
              </w:rPr>
            </w:pPr>
            <w:r w:rsidRPr="005E5870">
              <w:rPr>
                <w:rFonts w:cs="Times New Roman"/>
                <w:b/>
                <w:bCs/>
                <w:color w:val="000000"/>
                <w:sz w:val="18"/>
                <w:szCs w:val="18"/>
              </w:rPr>
              <w:t xml:space="preserve">Immunalysis </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b/>
                <w:bCs/>
                <w:color w:val="000000"/>
                <w:sz w:val="18"/>
                <w:szCs w:val="18"/>
              </w:rPr>
            </w:pPr>
            <w:r w:rsidRPr="005E5870">
              <w:rPr>
                <w:rFonts w:cs="Times New Roman"/>
                <w:b/>
                <w:bCs/>
                <w:color w:val="000000"/>
                <w:sz w:val="18"/>
                <w:szCs w:val="18"/>
              </w:rPr>
              <w:t xml:space="preserve">Neogen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b/>
                <w:bCs/>
                <w:color w:val="000000"/>
                <w:sz w:val="18"/>
                <w:szCs w:val="18"/>
              </w:rPr>
            </w:pPr>
            <w:r w:rsidRPr="005E5870">
              <w:rPr>
                <w:rFonts w:cs="Times New Roman"/>
                <w:b/>
                <w:bCs/>
                <w:color w:val="000000"/>
                <w:sz w:val="18"/>
                <w:szCs w:val="18"/>
              </w:rPr>
              <w:t xml:space="preserve">Randox </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B00AAE" w:rsidRPr="005E5870" w:rsidRDefault="00E951CA" w:rsidP="00B00AAE">
            <w:pPr>
              <w:widowControl w:val="0"/>
              <w:spacing w:after="0"/>
              <w:jc w:val="center"/>
              <w:rPr>
                <w:rFonts w:cs="Times New Roman"/>
                <w:b/>
                <w:bCs/>
                <w:color w:val="000000"/>
                <w:sz w:val="18"/>
                <w:szCs w:val="18"/>
              </w:rPr>
            </w:pPr>
            <w:r>
              <w:rPr>
                <w:rFonts w:cs="Times New Roman"/>
                <w:b/>
                <w:bCs/>
                <w:color w:val="000000"/>
                <w:sz w:val="18"/>
                <w:szCs w:val="18"/>
              </w:rPr>
              <w:t>OraS</w:t>
            </w:r>
            <w:r w:rsidR="00B00AAE" w:rsidRPr="005E5870">
              <w:rPr>
                <w:rFonts w:cs="Times New Roman"/>
                <w:b/>
                <w:bCs/>
                <w:color w:val="000000"/>
                <w:sz w:val="18"/>
                <w:szCs w:val="18"/>
              </w:rPr>
              <w:t xml:space="preserve">ure </w:t>
            </w:r>
          </w:p>
        </w:tc>
      </w:tr>
      <w:tr w:rsidR="00B00AAE" w:rsidRPr="005E5870" w:rsidTr="00B00AAE">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00AAE" w:rsidRPr="005E5870" w:rsidRDefault="00B00AAE" w:rsidP="00B00AAE">
            <w:pPr>
              <w:widowControl w:val="0"/>
              <w:spacing w:after="0"/>
              <w:jc w:val="center"/>
              <w:rPr>
                <w:rFonts w:cs="Times New Roman"/>
                <w:b/>
                <w:bCs/>
                <w:color w:val="000000"/>
                <w:sz w:val="18"/>
                <w:szCs w:val="18"/>
              </w:rPr>
            </w:pPr>
            <w:r w:rsidRPr="005E5870">
              <w:rPr>
                <w:rFonts w:cs="Times New Roman"/>
                <w:b/>
                <w:bCs/>
                <w:color w:val="000000"/>
                <w:sz w:val="18"/>
                <w:szCs w:val="18"/>
              </w:rPr>
              <w:t>Sample</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b/>
                <w:bCs/>
                <w:color w:val="000000"/>
                <w:sz w:val="18"/>
                <w:szCs w:val="18"/>
              </w:rPr>
            </w:pPr>
            <w:r w:rsidRPr="005E5870">
              <w:rPr>
                <w:rFonts w:cs="Times New Roman"/>
                <w:b/>
                <w:bCs/>
                <w:color w:val="000000"/>
                <w:sz w:val="18"/>
                <w:szCs w:val="18"/>
              </w:rPr>
              <w:t>Amp</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b/>
                <w:bCs/>
                <w:color w:val="000000"/>
                <w:sz w:val="18"/>
                <w:szCs w:val="18"/>
              </w:rPr>
            </w:pPr>
            <w:r w:rsidRPr="005E5870">
              <w:rPr>
                <w:rFonts w:cs="Times New Roman"/>
                <w:b/>
                <w:bCs/>
                <w:color w:val="000000"/>
                <w:sz w:val="18"/>
                <w:szCs w:val="18"/>
              </w:rPr>
              <w:t>Meth</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b/>
                <w:bCs/>
                <w:color w:val="000000"/>
                <w:sz w:val="18"/>
                <w:szCs w:val="18"/>
              </w:rPr>
            </w:pPr>
            <w:r w:rsidRPr="005E5870">
              <w:rPr>
                <w:rFonts w:cs="Times New Roman"/>
                <w:b/>
                <w:bCs/>
                <w:color w:val="000000"/>
                <w:sz w:val="18"/>
                <w:szCs w:val="18"/>
              </w:rPr>
              <w:t>Amp</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b/>
                <w:bCs/>
                <w:color w:val="000000"/>
                <w:sz w:val="18"/>
                <w:szCs w:val="18"/>
              </w:rPr>
            </w:pPr>
            <w:r w:rsidRPr="005E5870">
              <w:rPr>
                <w:rFonts w:cs="Times New Roman"/>
                <w:b/>
                <w:bCs/>
                <w:color w:val="000000"/>
                <w:sz w:val="18"/>
                <w:szCs w:val="18"/>
              </w:rPr>
              <w:t>AMP Specific</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b/>
                <w:bCs/>
                <w:color w:val="000000"/>
                <w:sz w:val="18"/>
                <w:szCs w:val="18"/>
              </w:rPr>
            </w:pPr>
            <w:r w:rsidRPr="005E5870">
              <w:rPr>
                <w:rFonts w:cs="Times New Roman"/>
                <w:b/>
                <w:bCs/>
                <w:color w:val="000000"/>
                <w:sz w:val="18"/>
                <w:szCs w:val="18"/>
              </w:rPr>
              <w:t>Amp Ultra</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b/>
                <w:bCs/>
                <w:color w:val="000000"/>
                <w:sz w:val="18"/>
                <w:szCs w:val="18"/>
              </w:rPr>
            </w:pPr>
            <w:r w:rsidRPr="005E5870">
              <w:rPr>
                <w:rFonts w:cs="Times New Roman"/>
                <w:b/>
                <w:bCs/>
                <w:color w:val="000000"/>
                <w:sz w:val="18"/>
                <w:szCs w:val="18"/>
              </w:rPr>
              <w:t>BZP</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b/>
                <w:bCs/>
                <w:color w:val="000000"/>
                <w:sz w:val="18"/>
                <w:szCs w:val="18"/>
              </w:rPr>
            </w:pPr>
            <w:r w:rsidRPr="005E5870">
              <w:rPr>
                <w:rFonts w:cs="Times New Roman"/>
                <w:b/>
                <w:bCs/>
                <w:color w:val="000000"/>
                <w:sz w:val="18"/>
                <w:szCs w:val="18"/>
              </w:rPr>
              <w:t>Ketamine</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b/>
                <w:bCs/>
                <w:color w:val="000000"/>
                <w:sz w:val="18"/>
                <w:szCs w:val="18"/>
              </w:rPr>
            </w:pPr>
            <w:r w:rsidRPr="005E5870">
              <w:rPr>
                <w:rFonts w:cs="Times New Roman"/>
                <w:b/>
                <w:bCs/>
                <w:color w:val="000000"/>
                <w:sz w:val="18"/>
                <w:szCs w:val="18"/>
              </w:rPr>
              <w:t>MPD</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b/>
                <w:bCs/>
                <w:color w:val="000000"/>
                <w:sz w:val="18"/>
                <w:szCs w:val="18"/>
              </w:rPr>
            </w:pPr>
            <w:r w:rsidRPr="005E5870">
              <w:rPr>
                <w:rFonts w:cs="Times New Roman"/>
                <w:b/>
                <w:bCs/>
                <w:color w:val="000000"/>
                <w:sz w:val="18"/>
                <w:szCs w:val="18"/>
              </w:rPr>
              <w:t>Meth/ MDMA</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b/>
                <w:bCs/>
                <w:color w:val="000000"/>
                <w:sz w:val="18"/>
                <w:szCs w:val="18"/>
              </w:rPr>
            </w:pPr>
            <w:r w:rsidRPr="005E5870">
              <w:rPr>
                <w:rFonts w:cs="Times New Roman"/>
                <w:b/>
                <w:bCs/>
                <w:color w:val="000000"/>
                <w:sz w:val="18"/>
                <w:szCs w:val="18"/>
              </w:rPr>
              <w:t>MPT</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b/>
                <w:bCs/>
                <w:color w:val="000000"/>
                <w:sz w:val="18"/>
                <w:szCs w:val="18"/>
              </w:rPr>
            </w:pPr>
            <w:r w:rsidRPr="005E5870">
              <w:rPr>
                <w:rFonts w:cs="Times New Roman"/>
                <w:b/>
                <w:bCs/>
                <w:color w:val="000000"/>
                <w:sz w:val="18"/>
                <w:szCs w:val="18"/>
              </w:rPr>
              <w:t>MDPV</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b/>
                <w:bCs/>
                <w:color w:val="000000"/>
                <w:sz w:val="18"/>
                <w:szCs w:val="18"/>
              </w:rPr>
            </w:pPr>
            <w:r w:rsidRPr="005E5870">
              <w:rPr>
                <w:rFonts w:cs="Times New Roman"/>
                <w:b/>
                <w:bCs/>
                <w:color w:val="000000"/>
                <w:sz w:val="18"/>
                <w:szCs w:val="18"/>
              </w:rPr>
              <w:t xml:space="preserve">Meph/ Mcath </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b/>
                <w:bCs/>
                <w:color w:val="000000"/>
                <w:sz w:val="18"/>
                <w:szCs w:val="18"/>
              </w:rPr>
            </w:pPr>
            <w:r w:rsidRPr="005E5870">
              <w:rPr>
                <w:rFonts w:cs="Times New Roman"/>
                <w:b/>
                <w:bCs/>
                <w:color w:val="000000"/>
                <w:sz w:val="18"/>
                <w:szCs w:val="18"/>
              </w:rPr>
              <w:t>PCP</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b/>
                <w:bCs/>
                <w:color w:val="000000"/>
                <w:sz w:val="18"/>
                <w:szCs w:val="18"/>
              </w:rPr>
            </w:pPr>
            <w:r w:rsidRPr="005E5870">
              <w:rPr>
                <w:rFonts w:cs="Times New Roman"/>
                <w:b/>
                <w:bCs/>
                <w:color w:val="000000"/>
                <w:sz w:val="18"/>
                <w:szCs w:val="18"/>
              </w:rPr>
              <w:t>Cotinine</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b/>
                <w:bCs/>
                <w:color w:val="000000"/>
                <w:sz w:val="18"/>
                <w:szCs w:val="18"/>
              </w:rPr>
            </w:pPr>
            <w:r w:rsidRPr="005E5870">
              <w:rPr>
                <w:rFonts w:cs="Times New Roman"/>
                <w:b/>
                <w:bCs/>
                <w:color w:val="000000"/>
                <w:sz w:val="18"/>
                <w:szCs w:val="18"/>
              </w:rPr>
              <w:t>Amp Specific</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b/>
                <w:bCs/>
                <w:color w:val="000000"/>
                <w:sz w:val="18"/>
                <w:szCs w:val="18"/>
              </w:rPr>
            </w:pPr>
            <w:r w:rsidRPr="005E5870">
              <w:rPr>
                <w:rFonts w:cs="Times New Roman"/>
                <w:b/>
                <w:bCs/>
                <w:color w:val="000000"/>
                <w:sz w:val="18"/>
                <w:szCs w:val="18"/>
              </w:rPr>
              <w:t>Meth</w:t>
            </w:r>
          </w:p>
        </w:tc>
      </w:tr>
      <w:tr w:rsidR="00B00AAE" w:rsidRPr="005E5870" w:rsidTr="00B00AA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00AAE" w:rsidRPr="005E5870" w:rsidRDefault="00B00AAE" w:rsidP="00B00AAE">
            <w:pPr>
              <w:widowControl w:val="0"/>
              <w:spacing w:after="0"/>
              <w:rPr>
                <w:rFonts w:cs="Times New Roman"/>
                <w:b/>
                <w:bCs/>
                <w:color w:val="000000"/>
                <w:sz w:val="18"/>
                <w:szCs w:val="18"/>
              </w:rPr>
            </w:pPr>
            <w:r w:rsidRPr="005E5870">
              <w:rPr>
                <w:rFonts w:cs="Times New Roman"/>
                <w:b/>
                <w:bCs/>
                <w:color w:val="000000"/>
                <w:sz w:val="18"/>
                <w:szCs w:val="18"/>
              </w:rPr>
              <w:t>Sample 01</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r>
      <w:tr w:rsidR="00B00AAE" w:rsidRPr="005E5870" w:rsidTr="00B00AA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00AAE" w:rsidRPr="005E5870" w:rsidRDefault="00B00AAE" w:rsidP="00B00AAE">
            <w:pPr>
              <w:widowControl w:val="0"/>
              <w:spacing w:after="0"/>
              <w:rPr>
                <w:rFonts w:cs="Times New Roman"/>
                <w:b/>
                <w:bCs/>
                <w:color w:val="000000"/>
                <w:sz w:val="18"/>
                <w:szCs w:val="18"/>
              </w:rPr>
            </w:pPr>
            <w:r w:rsidRPr="005E5870">
              <w:rPr>
                <w:rFonts w:cs="Times New Roman"/>
                <w:b/>
                <w:bCs/>
                <w:color w:val="000000"/>
                <w:sz w:val="18"/>
                <w:szCs w:val="18"/>
              </w:rPr>
              <w:t>Sample 02</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r>
      <w:tr w:rsidR="00B00AAE" w:rsidRPr="005E5870" w:rsidTr="00B00AA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00AAE" w:rsidRPr="005E5870" w:rsidRDefault="00B00AAE" w:rsidP="00B00AAE">
            <w:pPr>
              <w:widowControl w:val="0"/>
              <w:spacing w:after="0"/>
              <w:rPr>
                <w:rFonts w:cs="Times New Roman"/>
                <w:b/>
                <w:bCs/>
                <w:color w:val="000000"/>
                <w:sz w:val="18"/>
                <w:szCs w:val="18"/>
              </w:rPr>
            </w:pPr>
            <w:r w:rsidRPr="005E5870">
              <w:rPr>
                <w:rFonts w:cs="Times New Roman"/>
                <w:b/>
                <w:bCs/>
                <w:color w:val="000000"/>
                <w:sz w:val="18"/>
                <w:szCs w:val="18"/>
              </w:rPr>
              <w:t>Sample 03</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99"/>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99"/>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99"/>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r>
      <w:tr w:rsidR="00B00AAE" w:rsidRPr="005E5870" w:rsidTr="00B00AA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00AAE" w:rsidRPr="005E5870" w:rsidRDefault="00B00AAE" w:rsidP="00B00AAE">
            <w:pPr>
              <w:widowControl w:val="0"/>
              <w:spacing w:after="0"/>
              <w:rPr>
                <w:rFonts w:cs="Times New Roman"/>
                <w:b/>
                <w:bCs/>
                <w:color w:val="000000"/>
                <w:sz w:val="18"/>
                <w:szCs w:val="18"/>
              </w:rPr>
            </w:pPr>
            <w:r w:rsidRPr="005E5870">
              <w:rPr>
                <w:rFonts w:cs="Times New Roman"/>
                <w:b/>
                <w:bCs/>
                <w:color w:val="000000"/>
                <w:sz w:val="18"/>
                <w:szCs w:val="18"/>
              </w:rPr>
              <w:t>Sample 04</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99"/>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99"/>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r>
      <w:tr w:rsidR="00B00AAE" w:rsidRPr="005E5870" w:rsidTr="00B00AA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00AAE" w:rsidRPr="005E5870" w:rsidRDefault="00B00AAE" w:rsidP="00B00AAE">
            <w:pPr>
              <w:widowControl w:val="0"/>
              <w:spacing w:after="0"/>
              <w:rPr>
                <w:rFonts w:cs="Times New Roman"/>
                <w:b/>
                <w:bCs/>
                <w:color w:val="000000"/>
                <w:sz w:val="18"/>
                <w:szCs w:val="18"/>
              </w:rPr>
            </w:pPr>
            <w:r w:rsidRPr="005E5870">
              <w:rPr>
                <w:rFonts w:cs="Times New Roman"/>
                <w:b/>
                <w:bCs/>
                <w:color w:val="000000"/>
                <w:sz w:val="18"/>
                <w:szCs w:val="18"/>
              </w:rPr>
              <w:t>Sample 05</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r>
      <w:tr w:rsidR="00B00AAE" w:rsidRPr="005E5870" w:rsidTr="00B00AA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00AAE" w:rsidRPr="005E5870" w:rsidRDefault="00B00AAE" w:rsidP="00B00AAE">
            <w:pPr>
              <w:widowControl w:val="0"/>
              <w:spacing w:after="0"/>
              <w:rPr>
                <w:rFonts w:cs="Times New Roman"/>
                <w:b/>
                <w:bCs/>
                <w:color w:val="000000"/>
                <w:sz w:val="18"/>
                <w:szCs w:val="18"/>
              </w:rPr>
            </w:pPr>
            <w:r w:rsidRPr="005E5870">
              <w:rPr>
                <w:rFonts w:cs="Times New Roman"/>
                <w:b/>
                <w:bCs/>
                <w:color w:val="000000"/>
                <w:sz w:val="18"/>
                <w:szCs w:val="18"/>
              </w:rPr>
              <w:t>Sample 06</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r>
      <w:tr w:rsidR="00B00AAE" w:rsidRPr="005E5870" w:rsidTr="00B00AA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00AAE" w:rsidRPr="005E5870" w:rsidRDefault="00B00AAE" w:rsidP="00B00AAE">
            <w:pPr>
              <w:widowControl w:val="0"/>
              <w:spacing w:after="0"/>
              <w:rPr>
                <w:rFonts w:cs="Times New Roman"/>
                <w:b/>
                <w:bCs/>
                <w:color w:val="000000"/>
                <w:sz w:val="18"/>
                <w:szCs w:val="18"/>
              </w:rPr>
            </w:pPr>
            <w:r w:rsidRPr="005E5870">
              <w:rPr>
                <w:rFonts w:cs="Times New Roman"/>
                <w:b/>
                <w:bCs/>
                <w:color w:val="000000"/>
                <w:sz w:val="18"/>
                <w:szCs w:val="18"/>
              </w:rPr>
              <w:t>Sample 07</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r>
      <w:tr w:rsidR="00B00AAE" w:rsidRPr="005E5870" w:rsidTr="00B00AA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00AAE" w:rsidRPr="005E5870" w:rsidRDefault="00B00AAE" w:rsidP="00B00AAE">
            <w:pPr>
              <w:widowControl w:val="0"/>
              <w:spacing w:after="0"/>
              <w:rPr>
                <w:rFonts w:cs="Times New Roman"/>
                <w:b/>
                <w:bCs/>
                <w:color w:val="000000"/>
                <w:sz w:val="18"/>
                <w:szCs w:val="18"/>
              </w:rPr>
            </w:pPr>
            <w:r w:rsidRPr="005E5870">
              <w:rPr>
                <w:rFonts w:cs="Times New Roman"/>
                <w:b/>
                <w:bCs/>
                <w:color w:val="000000"/>
                <w:sz w:val="18"/>
                <w:szCs w:val="18"/>
              </w:rPr>
              <w:t>Sample 08</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99"/>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99"/>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r>
      <w:tr w:rsidR="00B00AAE" w:rsidRPr="005E5870" w:rsidTr="00B00AA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00AAE" w:rsidRPr="005E5870" w:rsidRDefault="00B00AAE" w:rsidP="00B00AAE">
            <w:pPr>
              <w:widowControl w:val="0"/>
              <w:spacing w:after="0"/>
              <w:rPr>
                <w:rFonts w:cs="Times New Roman"/>
                <w:b/>
                <w:bCs/>
                <w:color w:val="000000"/>
                <w:sz w:val="18"/>
                <w:szCs w:val="18"/>
              </w:rPr>
            </w:pPr>
            <w:r w:rsidRPr="005E5870">
              <w:rPr>
                <w:rFonts w:cs="Times New Roman"/>
                <w:b/>
                <w:bCs/>
                <w:color w:val="000000"/>
                <w:sz w:val="18"/>
                <w:szCs w:val="18"/>
              </w:rPr>
              <w:t>Sample 09</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99"/>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99"/>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r>
      <w:tr w:rsidR="00B00AAE" w:rsidRPr="005E5870" w:rsidTr="00B00AA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00AAE" w:rsidRPr="005E5870" w:rsidRDefault="00B00AAE" w:rsidP="00B00AAE">
            <w:pPr>
              <w:widowControl w:val="0"/>
              <w:spacing w:after="0"/>
              <w:rPr>
                <w:rFonts w:cs="Times New Roman"/>
                <w:b/>
                <w:bCs/>
                <w:color w:val="000000"/>
                <w:sz w:val="18"/>
                <w:szCs w:val="18"/>
              </w:rPr>
            </w:pPr>
            <w:r w:rsidRPr="005E5870">
              <w:rPr>
                <w:rFonts w:cs="Times New Roman"/>
                <w:b/>
                <w:bCs/>
                <w:color w:val="000000"/>
                <w:sz w:val="18"/>
                <w:szCs w:val="18"/>
              </w:rPr>
              <w:t>Sample 10</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r>
      <w:tr w:rsidR="00B00AAE" w:rsidRPr="005E5870" w:rsidTr="00B00AA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00AAE" w:rsidRPr="005E5870" w:rsidRDefault="00B00AAE" w:rsidP="00B00AAE">
            <w:pPr>
              <w:widowControl w:val="0"/>
              <w:spacing w:after="0"/>
              <w:rPr>
                <w:rFonts w:cs="Times New Roman"/>
                <w:b/>
                <w:bCs/>
                <w:color w:val="000000"/>
                <w:sz w:val="18"/>
                <w:szCs w:val="18"/>
              </w:rPr>
            </w:pPr>
            <w:r w:rsidRPr="005E5870">
              <w:rPr>
                <w:rFonts w:cs="Times New Roman"/>
                <w:b/>
                <w:bCs/>
                <w:color w:val="000000"/>
                <w:sz w:val="18"/>
                <w:szCs w:val="18"/>
              </w:rPr>
              <w:t>Sample 11</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r>
      <w:tr w:rsidR="00B00AAE" w:rsidRPr="005E5870" w:rsidTr="00B00AA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00AAE" w:rsidRPr="005E5870" w:rsidRDefault="00B00AAE" w:rsidP="00B00AAE">
            <w:pPr>
              <w:widowControl w:val="0"/>
              <w:spacing w:after="0"/>
              <w:rPr>
                <w:rFonts w:cs="Times New Roman"/>
                <w:b/>
                <w:bCs/>
                <w:color w:val="000000"/>
                <w:sz w:val="18"/>
                <w:szCs w:val="18"/>
              </w:rPr>
            </w:pPr>
            <w:r w:rsidRPr="005E5870">
              <w:rPr>
                <w:rFonts w:cs="Times New Roman"/>
                <w:b/>
                <w:bCs/>
                <w:color w:val="000000"/>
                <w:sz w:val="18"/>
                <w:szCs w:val="18"/>
              </w:rPr>
              <w:t>Sample 12</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r>
      <w:tr w:rsidR="00B00AAE" w:rsidRPr="005E5870" w:rsidTr="00B00AA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00AAE" w:rsidRPr="005E5870" w:rsidRDefault="00B00AAE" w:rsidP="00B00AAE">
            <w:pPr>
              <w:widowControl w:val="0"/>
              <w:spacing w:after="0"/>
              <w:rPr>
                <w:rFonts w:cs="Times New Roman"/>
                <w:b/>
                <w:bCs/>
                <w:color w:val="000000"/>
                <w:sz w:val="18"/>
                <w:szCs w:val="18"/>
              </w:rPr>
            </w:pPr>
            <w:r w:rsidRPr="005E5870">
              <w:rPr>
                <w:rFonts w:cs="Times New Roman"/>
                <w:b/>
                <w:bCs/>
                <w:color w:val="000000"/>
                <w:sz w:val="18"/>
                <w:szCs w:val="18"/>
              </w:rPr>
              <w:t>Sample 13</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r>
      <w:tr w:rsidR="00B00AAE" w:rsidRPr="005E5870" w:rsidTr="00B00AA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00AAE" w:rsidRPr="005E5870" w:rsidRDefault="00B00AAE" w:rsidP="00B00AAE">
            <w:pPr>
              <w:widowControl w:val="0"/>
              <w:spacing w:after="0"/>
              <w:rPr>
                <w:rFonts w:cs="Times New Roman"/>
                <w:b/>
                <w:bCs/>
                <w:color w:val="000000"/>
                <w:sz w:val="18"/>
                <w:szCs w:val="18"/>
              </w:rPr>
            </w:pPr>
            <w:r w:rsidRPr="005E5870">
              <w:rPr>
                <w:rFonts w:cs="Times New Roman"/>
                <w:b/>
                <w:bCs/>
                <w:color w:val="000000"/>
                <w:sz w:val="18"/>
                <w:szCs w:val="18"/>
              </w:rPr>
              <w:t>Sample 14</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r>
      <w:tr w:rsidR="00B00AAE" w:rsidRPr="005E5870" w:rsidTr="00B00AA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00AAE" w:rsidRPr="005E5870" w:rsidRDefault="00B00AAE" w:rsidP="00B00AAE">
            <w:pPr>
              <w:widowControl w:val="0"/>
              <w:spacing w:after="0"/>
              <w:rPr>
                <w:rFonts w:cs="Times New Roman"/>
                <w:b/>
                <w:bCs/>
                <w:color w:val="000000"/>
                <w:sz w:val="18"/>
                <w:szCs w:val="18"/>
              </w:rPr>
            </w:pPr>
            <w:r w:rsidRPr="005E5870">
              <w:rPr>
                <w:rFonts w:cs="Times New Roman"/>
                <w:b/>
                <w:bCs/>
                <w:color w:val="000000"/>
                <w:sz w:val="18"/>
                <w:szCs w:val="18"/>
              </w:rPr>
              <w:t>Sample 15</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99"/>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99"/>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r>
      <w:tr w:rsidR="00B00AAE" w:rsidRPr="005E5870" w:rsidTr="00B00AA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00AAE" w:rsidRPr="005E5870" w:rsidRDefault="00B00AAE" w:rsidP="00B00AAE">
            <w:pPr>
              <w:widowControl w:val="0"/>
              <w:spacing w:after="0"/>
              <w:rPr>
                <w:rFonts w:cs="Times New Roman"/>
                <w:b/>
                <w:bCs/>
                <w:color w:val="000000"/>
                <w:sz w:val="18"/>
                <w:szCs w:val="18"/>
              </w:rPr>
            </w:pPr>
            <w:r w:rsidRPr="005E5870">
              <w:rPr>
                <w:rFonts w:cs="Times New Roman"/>
                <w:b/>
                <w:bCs/>
                <w:color w:val="000000"/>
                <w:sz w:val="18"/>
                <w:szCs w:val="18"/>
              </w:rPr>
              <w:t>Sample 16</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r>
      <w:tr w:rsidR="00B00AAE" w:rsidRPr="005E5870" w:rsidTr="00B00AA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00AAE" w:rsidRPr="005E5870" w:rsidRDefault="00B00AAE" w:rsidP="00B00AAE">
            <w:pPr>
              <w:widowControl w:val="0"/>
              <w:spacing w:after="0"/>
              <w:rPr>
                <w:rFonts w:cs="Times New Roman"/>
                <w:b/>
                <w:bCs/>
                <w:color w:val="000000"/>
                <w:sz w:val="18"/>
                <w:szCs w:val="18"/>
              </w:rPr>
            </w:pPr>
            <w:r w:rsidRPr="005E5870">
              <w:rPr>
                <w:rFonts w:cs="Times New Roman"/>
                <w:b/>
                <w:bCs/>
                <w:color w:val="000000"/>
                <w:sz w:val="18"/>
                <w:szCs w:val="18"/>
              </w:rPr>
              <w:t>Sample 17</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r>
      <w:tr w:rsidR="00B00AAE" w:rsidRPr="005E5870" w:rsidTr="00B00AA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00AAE" w:rsidRPr="005E5870" w:rsidRDefault="00B00AAE" w:rsidP="00B00AAE">
            <w:pPr>
              <w:widowControl w:val="0"/>
              <w:spacing w:after="0"/>
              <w:rPr>
                <w:rFonts w:cs="Times New Roman"/>
                <w:b/>
                <w:bCs/>
                <w:color w:val="000000"/>
                <w:sz w:val="18"/>
                <w:szCs w:val="18"/>
              </w:rPr>
            </w:pPr>
            <w:r w:rsidRPr="005E5870">
              <w:rPr>
                <w:rFonts w:cs="Times New Roman"/>
                <w:b/>
                <w:bCs/>
                <w:color w:val="000000"/>
                <w:sz w:val="18"/>
                <w:szCs w:val="18"/>
              </w:rPr>
              <w:t>Sample 18</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r>
      <w:tr w:rsidR="00B00AAE" w:rsidRPr="005E5870" w:rsidTr="00B00AA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00AAE" w:rsidRPr="005E5870" w:rsidRDefault="00B00AAE" w:rsidP="00B00AAE">
            <w:pPr>
              <w:widowControl w:val="0"/>
              <w:spacing w:after="0"/>
              <w:rPr>
                <w:rFonts w:cs="Times New Roman"/>
                <w:b/>
                <w:bCs/>
                <w:color w:val="000000"/>
                <w:sz w:val="18"/>
                <w:szCs w:val="18"/>
              </w:rPr>
            </w:pPr>
            <w:r w:rsidRPr="005E5870">
              <w:rPr>
                <w:rFonts w:cs="Times New Roman"/>
                <w:b/>
                <w:bCs/>
                <w:color w:val="000000"/>
                <w:sz w:val="18"/>
                <w:szCs w:val="18"/>
              </w:rPr>
              <w:t>Sample 19</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r>
      <w:tr w:rsidR="00B00AAE" w:rsidRPr="005E5870" w:rsidTr="00B00AA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00AAE" w:rsidRPr="005E5870" w:rsidRDefault="00B00AAE" w:rsidP="00B00AAE">
            <w:pPr>
              <w:widowControl w:val="0"/>
              <w:spacing w:after="0"/>
              <w:rPr>
                <w:rFonts w:cs="Times New Roman"/>
                <w:b/>
                <w:bCs/>
                <w:color w:val="000000"/>
                <w:sz w:val="18"/>
                <w:szCs w:val="18"/>
              </w:rPr>
            </w:pPr>
            <w:r w:rsidRPr="005E5870">
              <w:rPr>
                <w:rFonts w:cs="Times New Roman"/>
                <w:b/>
                <w:bCs/>
                <w:color w:val="000000"/>
                <w:sz w:val="18"/>
                <w:szCs w:val="18"/>
              </w:rPr>
              <w:t>Sample 20</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r>
      <w:tr w:rsidR="00B00AAE" w:rsidRPr="005E5870" w:rsidTr="00B00AA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00AAE" w:rsidRPr="005E5870" w:rsidRDefault="00B00AAE" w:rsidP="00B00AAE">
            <w:pPr>
              <w:widowControl w:val="0"/>
              <w:spacing w:after="0"/>
              <w:rPr>
                <w:rFonts w:cs="Times New Roman"/>
                <w:b/>
                <w:bCs/>
                <w:color w:val="000000"/>
                <w:sz w:val="18"/>
                <w:szCs w:val="18"/>
              </w:rPr>
            </w:pPr>
            <w:r w:rsidRPr="005E5870">
              <w:rPr>
                <w:rFonts w:cs="Times New Roman"/>
                <w:b/>
                <w:bCs/>
                <w:color w:val="000000"/>
                <w:sz w:val="18"/>
                <w:szCs w:val="18"/>
              </w:rPr>
              <w:t>Sample 21</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r>
      <w:tr w:rsidR="00B00AAE" w:rsidRPr="005E5870" w:rsidTr="00B00AA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00AAE" w:rsidRPr="005E5870" w:rsidRDefault="00B00AAE" w:rsidP="00B00AAE">
            <w:pPr>
              <w:widowControl w:val="0"/>
              <w:spacing w:after="0"/>
              <w:rPr>
                <w:rFonts w:cs="Times New Roman"/>
                <w:b/>
                <w:bCs/>
                <w:color w:val="000000"/>
                <w:sz w:val="18"/>
                <w:szCs w:val="18"/>
              </w:rPr>
            </w:pPr>
            <w:r w:rsidRPr="005E5870">
              <w:rPr>
                <w:rFonts w:cs="Times New Roman"/>
                <w:b/>
                <w:bCs/>
                <w:color w:val="000000"/>
                <w:sz w:val="18"/>
                <w:szCs w:val="18"/>
              </w:rPr>
              <w:t>Sample 22</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B00AAE" w:rsidRPr="005E5870" w:rsidRDefault="00B00AAE" w:rsidP="00B00AAE">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B00AAE" w:rsidRPr="005E5870" w:rsidRDefault="00B00AAE" w:rsidP="00B00AAE">
            <w:pPr>
              <w:widowControl w:val="0"/>
              <w:spacing w:after="0"/>
              <w:jc w:val="center"/>
              <w:rPr>
                <w:rFonts w:cs="Times New Roman"/>
                <w:color w:val="000000"/>
                <w:sz w:val="18"/>
                <w:szCs w:val="18"/>
              </w:rPr>
            </w:pPr>
            <w:r w:rsidRPr="005E5870">
              <w:rPr>
                <w:rFonts w:cs="Times New Roman"/>
                <w:color w:val="000000"/>
                <w:sz w:val="18"/>
                <w:szCs w:val="18"/>
              </w:rPr>
              <w:t>-</w:t>
            </w:r>
          </w:p>
        </w:tc>
      </w:tr>
    </w:tbl>
    <w:p w:rsidR="00B00AAE" w:rsidRDefault="00B00AAE" w:rsidP="00B00AAE">
      <w:pPr>
        <w:spacing w:after="0"/>
        <w:rPr>
          <w:szCs w:val="24"/>
        </w:rPr>
      </w:pPr>
    </w:p>
    <w:p w:rsidR="00C56A19" w:rsidRDefault="00C56A19" w:rsidP="00B00AAE">
      <w:pPr>
        <w:spacing w:after="0"/>
        <w:rPr>
          <w:szCs w:val="24"/>
        </w:rPr>
      </w:pPr>
    </w:p>
    <w:p w:rsidR="004B4236" w:rsidRDefault="004B4236" w:rsidP="004B4236">
      <w:pPr>
        <w:pStyle w:val="Caption"/>
        <w:keepNext/>
        <w:jc w:val="left"/>
      </w:pPr>
      <w:bookmarkStart w:id="323" w:name="_Ref366477636"/>
      <w:bookmarkStart w:id="324" w:name="_Toc372536147"/>
      <w:r>
        <w:t xml:space="preserve">Appendix </w:t>
      </w:r>
      <w:r w:rsidR="002E77C7">
        <w:fldChar w:fldCharType="begin"/>
      </w:r>
      <w:r w:rsidR="002E77C7">
        <w:instrText xml:space="preserve"> SEQ Appendix \* ARABIC </w:instrText>
      </w:r>
      <w:r w:rsidR="002E77C7">
        <w:fldChar w:fldCharType="separate"/>
      </w:r>
      <w:r w:rsidR="00E37796">
        <w:rPr>
          <w:noProof/>
        </w:rPr>
        <w:t>10</w:t>
      </w:r>
      <w:r w:rsidR="002E77C7">
        <w:rPr>
          <w:noProof/>
        </w:rPr>
        <w:fldChar w:fldCharType="end"/>
      </w:r>
      <w:bookmarkEnd w:id="323"/>
      <w:r>
        <w:t>: PBSO Sample Analysis by ELISA</w:t>
      </w:r>
      <w:bookmarkEnd w:id="324"/>
    </w:p>
    <w:tbl>
      <w:tblPr>
        <w:tblW w:w="0" w:type="auto"/>
        <w:tblInd w:w="103" w:type="dxa"/>
        <w:tblLook w:val="04A0" w:firstRow="1" w:lastRow="0" w:firstColumn="1" w:lastColumn="0" w:noHBand="0" w:noVBand="1"/>
      </w:tblPr>
      <w:tblGrid>
        <w:gridCol w:w="788"/>
        <w:gridCol w:w="597"/>
        <w:gridCol w:w="626"/>
        <w:gridCol w:w="597"/>
        <w:gridCol w:w="954"/>
        <w:gridCol w:w="755"/>
        <w:gridCol w:w="567"/>
        <w:gridCol w:w="966"/>
        <w:gridCol w:w="626"/>
        <w:gridCol w:w="969"/>
        <w:gridCol w:w="616"/>
        <w:gridCol w:w="756"/>
        <w:gridCol w:w="882"/>
        <w:gridCol w:w="566"/>
        <w:gridCol w:w="877"/>
        <w:gridCol w:w="945"/>
        <w:gridCol w:w="626"/>
      </w:tblGrid>
      <w:tr w:rsidR="00C56A19" w:rsidRPr="005E5870" w:rsidTr="001C010C">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6A19" w:rsidRPr="005E5870" w:rsidRDefault="00C56A19" w:rsidP="001C010C">
            <w:pPr>
              <w:widowControl w:val="0"/>
              <w:spacing w:after="0"/>
              <w:jc w:val="center"/>
              <w:rPr>
                <w:rFonts w:cs="Times New Roman"/>
                <w:b/>
                <w:bCs/>
                <w:color w:val="000000"/>
                <w:sz w:val="18"/>
                <w:szCs w:val="18"/>
              </w:rPr>
            </w:pPr>
            <w:r w:rsidRPr="005E5870">
              <w:rPr>
                <w:rFonts w:cs="Times New Roman"/>
                <w:b/>
                <w:bCs/>
                <w:color w:val="000000"/>
                <w:sz w:val="18"/>
                <w:szCs w:val="18"/>
              </w:rPr>
              <w:t>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C56A19" w:rsidRPr="005E5870" w:rsidRDefault="00C56A19" w:rsidP="001C010C">
            <w:pPr>
              <w:widowControl w:val="0"/>
              <w:spacing w:after="0"/>
              <w:jc w:val="center"/>
              <w:rPr>
                <w:rFonts w:cs="Times New Roman"/>
                <w:b/>
                <w:bCs/>
                <w:color w:val="000000"/>
                <w:sz w:val="18"/>
                <w:szCs w:val="18"/>
              </w:rPr>
            </w:pPr>
            <w:r w:rsidRPr="005E5870">
              <w:rPr>
                <w:rFonts w:cs="Times New Roman"/>
                <w:b/>
                <w:bCs/>
                <w:color w:val="000000"/>
                <w:sz w:val="18"/>
                <w:szCs w:val="18"/>
              </w:rPr>
              <w:t xml:space="preserve">Immunalysis </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C56A19" w:rsidRPr="005E5870" w:rsidRDefault="00C56A19" w:rsidP="001C010C">
            <w:pPr>
              <w:widowControl w:val="0"/>
              <w:spacing w:after="0"/>
              <w:jc w:val="center"/>
              <w:rPr>
                <w:rFonts w:cs="Times New Roman"/>
                <w:b/>
                <w:bCs/>
                <w:color w:val="000000"/>
                <w:sz w:val="18"/>
                <w:szCs w:val="18"/>
              </w:rPr>
            </w:pPr>
            <w:r w:rsidRPr="005E5870">
              <w:rPr>
                <w:rFonts w:cs="Times New Roman"/>
                <w:b/>
                <w:bCs/>
                <w:color w:val="000000"/>
                <w:sz w:val="18"/>
                <w:szCs w:val="18"/>
              </w:rPr>
              <w:t xml:space="preserve">Neogen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C56A19" w:rsidRPr="005E5870" w:rsidRDefault="00C56A19" w:rsidP="001C010C">
            <w:pPr>
              <w:widowControl w:val="0"/>
              <w:spacing w:after="0"/>
              <w:jc w:val="center"/>
              <w:rPr>
                <w:rFonts w:cs="Times New Roman"/>
                <w:b/>
                <w:bCs/>
                <w:color w:val="000000"/>
                <w:sz w:val="18"/>
                <w:szCs w:val="18"/>
              </w:rPr>
            </w:pPr>
            <w:r w:rsidRPr="005E5870">
              <w:rPr>
                <w:rFonts w:cs="Times New Roman"/>
                <w:b/>
                <w:bCs/>
                <w:color w:val="000000"/>
                <w:sz w:val="18"/>
                <w:szCs w:val="18"/>
              </w:rPr>
              <w:t xml:space="preserve">Randox </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C56A19" w:rsidRPr="005E5870" w:rsidRDefault="00C56A19" w:rsidP="001C010C">
            <w:pPr>
              <w:widowControl w:val="0"/>
              <w:spacing w:after="0"/>
              <w:jc w:val="center"/>
              <w:rPr>
                <w:rFonts w:cs="Times New Roman"/>
                <w:b/>
                <w:bCs/>
                <w:color w:val="000000"/>
                <w:sz w:val="18"/>
                <w:szCs w:val="18"/>
              </w:rPr>
            </w:pPr>
            <w:r>
              <w:rPr>
                <w:rFonts w:cs="Times New Roman"/>
                <w:b/>
                <w:bCs/>
                <w:color w:val="000000"/>
                <w:sz w:val="18"/>
                <w:szCs w:val="18"/>
              </w:rPr>
              <w:t>OraS</w:t>
            </w:r>
            <w:r w:rsidRPr="005E5870">
              <w:rPr>
                <w:rFonts w:cs="Times New Roman"/>
                <w:b/>
                <w:bCs/>
                <w:color w:val="000000"/>
                <w:sz w:val="18"/>
                <w:szCs w:val="18"/>
              </w:rPr>
              <w:t xml:space="preserve">ure </w:t>
            </w:r>
          </w:p>
        </w:tc>
      </w:tr>
      <w:tr w:rsidR="006B42B9" w:rsidRPr="005E5870" w:rsidTr="001C010C">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56A19" w:rsidRPr="005E5870" w:rsidRDefault="00C56A19" w:rsidP="001C010C">
            <w:pPr>
              <w:widowControl w:val="0"/>
              <w:spacing w:after="0"/>
              <w:jc w:val="center"/>
              <w:rPr>
                <w:rFonts w:cs="Times New Roman"/>
                <w:b/>
                <w:bCs/>
                <w:color w:val="000000"/>
                <w:sz w:val="18"/>
                <w:szCs w:val="18"/>
              </w:rPr>
            </w:pPr>
            <w:r w:rsidRPr="005E5870">
              <w:rPr>
                <w:rFonts w:cs="Times New Roman"/>
                <w:b/>
                <w:bCs/>
                <w:color w:val="000000"/>
                <w:sz w:val="18"/>
                <w:szCs w:val="18"/>
              </w:rPr>
              <w:t>Sample</w:t>
            </w:r>
          </w:p>
        </w:tc>
        <w:tc>
          <w:tcPr>
            <w:tcW w:w="0" w:type="auto"/>
            <w:tcBorders>
              <w:top w:val="nil"/>
              <w:left w:val="nil"/>
              <w:bottom w:val="single" w:sz="4" w:space="0" w:color="auto"/>
              <w:right w:val="single" w:sz="4" w:space="0" w:color="auto"/>
            </w:tcBorders>
            <w:shd w:val="clear" w:color="auto" w:fill="auto"/>
            <w:vAlign w:val="center"/>
            <w:hideMark/>
          </w:tcPr>
          <w:p w:rsidR="00C56A19" w:rsidRPr="005E5870" w:rsidRDefault="00C56A19" w:rsidP="001C010C">
            <w:pPr>
              <w:widowControl w:val="0"/>
              <w:spacing w:after="0"/>
              <w:jc w:val="center"/>
              <w:rPr>
                <w:rFonts w:cs="Times New Roman"/>
                <w:b/>
                <w:bCs/>
                <w:color w:val="000000"/>
                <w:sz w:val="18"/>
                <w:szCs w:val="18"/>
              </w:rPr>
            </w:pPr>
            <w:r w:rsidRPr="005E5870">
              <w:rPr>
                <w:rFonts w:cs="Times New Roman"/>
                <w:b/>
                <w:bCs/>
                <w:color w:val="000000"/>
                <w:sz w:val="18"/>
                <w:szCs w:val="18"/>
              </w:rPr>
              <w:t>Amp</w:t>
            </w:r>
          </w:p>
        </w:tc>
        <w:tc>
          <w:tcPr>
            <w:tcW w:w="0" w:type="auto"/>
            <w:tcBorders>
              <w:top w:val="nil"/>
              <w:left w:val="nil"/>
              <w:bottom w:val="single" w:sz="4" w:space="0" w:color="auto"/>
              <w:right w:val="single" w:sz="4" w:space="0" w:color="auto"/>
            </w:tcBorders>
            <w:shd w:val="clear" w:color="auto" w:fill="auto"/>
            <w:vAlign w:val="center"/>
            <w:hideMark/>
          </w:tcPr>
          <w:p w:rsidR="00C56A19" w:rsidRPr="005E5870" w:rsidRDefault="00C56A19" w:rsidP="001C010C">
            <w:pPr>
              <w:widowControl w:val="0"/>
              <w:spacing w:after="0"/>
              <w:jc w:val="center"/>
              <w:rPr>
                <w:rFonts w:cs="Times New Roman"/>
                <w:b/>
                <w:bCs/>
                <w:color w:val="000000"/>
                <w:sz w:val="18"/>
                <w:szCs w:val="18"/>
              </w:rPr>
            </w:pPr>
            <w:r w:rsidRPr="005E5870">
              <w:rPr>
                <w:rFonts w:cs="Times New Roman"/>
                <w:b/>
                <w:bCs/>
                <w:color w:val="000000"/>
                <w:sz w:val="18"/>
                <w:szCs w:val="18"/>
              </w:rPr>
              <w:t>Meth</w:t>
            </w:r>
          </w:p>
        </w:tc>
        <w:tc>
          <w:tcPr>
            <w:tcW w:w="0" w:type="auto"/>
            <w:tcBorders>
              <w:top w:val="nil"/>
              <w:left w:val="nil"/>
              <w:bottom w:val="single" w:sz="4" w:space="0" w:color="auto"/>
              <w:right w:val="single" w:sz="4" w:space="0" w:color="auto"/>
            </w:tcBorders>
            <w:shd w:val="clear" w:color="auto" w:fill="auto"/>
            <w:vAlign w:val="center"/>
            <w:hideMark/>
          </w:tcPr>
          <w:p w:rsidR="00C56A19" w:rsidRPr="005E5870" w:rsidRDefault="00C56A19" w:rsidP="001C010C">
            <w:pPr>
              <w:widowControl w:val="0"/>
              <w:spacing w:after="0"/>
              <w:jc w:val="center"/>
              <w:rPr>
                <w:rFonts w:cs="Times New Roman"/>
                <w:b/>
                <w:bCs/>
                <w:color w:val="000000"/>
                <w:sz w:val="18"/>
                <w:szCs w:val="18"/>
              </w:rPr>
            </w:pPr>
            <w:r w:rsidRPr="005E5870">
              <w:rPr>
                <w:rFonts w:cs="Times New Roman"/>
                <w:b/>
                <w:bCs/>
                <w:color w:val="000000"/>
                <w:sz w:val="18"/>
                <w:szCs w:val="18"/>
              </w:rPr>
              <w:t>Amp</w:t>
            </w:r>
          </w:p>
        </w:tc>
        <w:tc>
          <w:tcPr>
            <w:tcW w:w="0" w:type="auto"/>
            <w:tcBorders>
              <w:top w:val="nil"/>
              <w:left w:val="nil"/>
              <w:bottom w:val="single" w:sz="4" w:space="0" w:color="auto"/>
              <w:right w:val="single" w:sz="4" w:space="0" w:color="auto"/>
            </w:tcBorders>
            <w:shd w:val="clear" w:color="auto" w:fill="auto"/>
            <w:vAlign w:val="center"/>
            <w:hideMark/>
          </w:tcPr>
          <w:p w:rsidR="00C56A19" w:rsidRPr="005E5870" w:rsidRDefault="00C56A19" w:rsidP="001C010C">
            <w:pPr>
              <w:widowControl w:val="0"/>
              <w:spacing w:after="0"/>
              <w:jc w:val="center"/>
              <w:rPr>
                <w:rFonts w:cs="Times New Roman"/>
                <w:b/>
                <w:bCs/>
                <w:color w:val="000000"/>
                <w:sz w:val="18"/>
                <w:szCs w:val="18"/>
              </w:rPr>
            </w:pPr>
            <w:r w:rsidRPr="005E5870">
              <w:rPr>
                <w:rFonts w:cs="Times New Roman"/>
                <w:b/>
                <w:bCs/>
                <w:color w:val="000000"/>
                <w:sz w:val="18"/>
                <w:szCs w:val="18"/>
              </w:rPr>
              <w:t>AMP Specific</w:t>
            </w:r>
          </w:p>
        </w:tc>
        <w:tc>
          <w:tcPr>
            <w:tcW w:w="0" w:type="auto"/>
            <w:tcBorders>
              <w:top w:val="nil"/>
              <w:left w:val="nil"/>
              <w:bottom w:val="single" w:sz="4" w:space="0" w:color="auto"/>
              <w:right w:val="single" w:sz="4" w:space="0" w:color="auto"/>
            </w:tcBorders>
            <w:shd w:val="clear" w:color="auto" w:fill="auto"/>
            <w:vAlign w:val="center"/>
            <w:hideMark/>
          </w:tcPr>
          <w:p w:rsidR="00C56A19" w:rsidRPr="005E5870" w:rsidRDefault="00C56A19" w:rsidP="001C010C">
            <w:pPr>
              <w:widowControl w:val="0"/>
              <w:spacing w:after="0"/>
              <w:jc w:val="center"/>
              <w:rPr>
                <w:rFonts w:cs="Times New Roman"/>
                <w:b/>
                <w:bCs/>
                <w:color w:val="000000"/>
                <w:sz w:val="18"/>
                <w:szCs w:val="18"/>
              </w:rPr>
            </w:pPr>
            <w:r w:rsidRPr="005E5870">
              <w:rPr>
                <w:rFonts w:cs="Times New Roman"/>
                <w:b/>
                <w:bCs/>
                <w:color w:val="000000"/>
                <w:sz w:val="18"/>
                <w:szCs w:val="18"/>
              </w:rPr>
              <w:t>Amp Ultra</w:t>
            </w:r>
          </w:p>
        </w:tc>
        <w:tc>
          <w:tcPr>
            <w:tcW w:w="0" w:type="auto"/>
            <w:tcBorders>
              <w:top w:val="nil"/>
              <w:left w:val="nil"/>
              <w:bottom w:val="single" w:sz="4" w:space="0" w:color="auto"/>
              <w:right w:val="single" w:sz="4" w:space="0" w:color="auto"/>
            </w:tcBorders>
            <w:shd w:val="clear" w:color="auto" w:fill="auto"/>
            <w:vAlign w:val="center"/>
            <w:hideMark/>
          </w:tcPr>
          <w:p w:rsidR="00C56A19" w:rsidRPr="005E5870" w:rsidRDefault="00C56A19" w:rsidP="001C010C">
            <w:pPr>
              <w:widowControl w:val="0"/>
              <w:spacing w:after="0"/>
              <w:jc w:val="center"/>
              <w:rPr>
                <w:rFonts w:cs="Times New Roman"/>
                <w:b/>
                <w:bCs/>
                <w:color w:val="000000"/>
                <w:sz w:val="18"/>
                <w:szCs w:val="18"/>
              </w:rPr>
            </w:pPr>
            <w:r w:rsidRPr="005E5870">
              <w:rPr>
                <w:rFonts w:cs="Times New Roman"/>
                <w:b/>
                <w:bCs/>
                <w:color w:val="000000"/>
                <w:sz w:val="18"/>
                <w:szCs w:val="18"/>
              </w:rPr>
              <w:t>BZP</w:t>
            </w:r>
          </w:p>
        </w:tc>
        <w:tc>
          <w:tcPr>
            <w:tcW w:w="0" w:type="auto"/>
            <w:tcBorders>
              <w:top w:val="nil"/>
              <w:left w:val="nil"/>
              <w:bottom w:val="single" w:sz="4" w:space="0" w:color="auto"/>
              <w:right w:val="single" w:sz="4" w:space="0" w:color="auto"/>
            </w:tcBorders>
            <w:shd w:val="clear" w:color="auto" w:fill="auto"/>
            <w:vAlign w:val="center"/>
            <w:hideMark/>
          </w:tcPr>
          <w:p w:rsidR="00C56A19" w:rsidRPr="005E5870" w:rsidRDefault="00C56A19" w:rsidP="001C010C">
            <w:pPr>
              <w:widowControl w:val="0"/>
              <w:spacing w:after="0"/>
              <w:jc w:val="center"/>
              <w:rPr>
                <w:rFonts w:cs="Times New Roman"/>
                <w:b/>
                <w:bCs/>
                <w:color w:val="000000"/>
                <w:sz w:val="18"/>
                <w:szCs w:val="18"/>
              </w:rPr>
            </w:pPr>
            <w:r w:rsidRPr="005E5870">
              <w:rPr>
                <w:rFonts w:cs="Times New Roman"/>
                <w:b/>
                <w:bCs/>
                <w:color w:val="000000"/>
                <w:sz w:val="18"/>
                <w:szCs w:val="18"/>
              </w:rPr>
              <w:t>Ketamine</w:t>
            </w:r>
          </w:p>
        </w:tc>
        <w:tc>
          <w:tcPr>
            <w:tcW w:w="0" w:type="auto"/>
            <w:tcBorders>
              <w:top w:val="nil"/>
              <w:left w:val="nil"/>
              <w:bottom w:val="single" w:sz="4" w:space="0" w:color="auto"/>
              <w:right w:val="single" w:sz="4" w:space="0" w:color="auto"/>
            </w:tcBorders>
            <w:shd w:val="clear" w:color="auto" w:fill="auto"/>
            <w:vAlign w:val="center"/>
            <w:hideMark/>
          </w:tcPr>
          <w:p w:rsidR="00C56A19" w:rsidRPr="005E5870" w:rsidRDefault="00C56A19" w:rsidP="001C010C">
            <w:pPr>
              <w:widowControl w:val="0"/>
              <w:spacing w:after="0"/>
              <w:jc w:val="center"/>
              <w:rPr>
                <w:rFonts w:cs="Times New Roman"/>
                <w:b/>
                <w:bCs/>
                <w:color w:val="000000"/>
                <w:sz w:val="18"/>
                <w:szCs w:val="18"/>
              </w:rPr>
            </w:pPr>
            <w:r w:rsidRPr="005E5870">
              <w:rPr>
                <w:rFonts w:cs="Times New Roman"/>
                <w:b/>
                <w:bCs/>
                <w:color w:val="000000"/>
                <w:sz w:val="18"/>
                <w:szCs w:val="18"/>
              </w:rPr>
              <w:t>MPD</w:t>
            </w:r>
          </w:p>
        </w:tc>
        <w:tc>
          <w:tcPr>
            <w:tcW w:w="0" w:type="auto"/>
            <w:tcBorders>
              <w:top w:val="nil"/>
              <w:left w:val="nil"/>
              <w:bottom w:val="single" w:sz="4" w:space="0" w:color="auto"/>
              <w:right w:val="single" w:sz="4" w:space="0" w:color="auto"/>
            </w:tcBorders>
            <w:shd w:val="clear" w:color="auto" w:fill="auto"/>
            <w:vAlign w:val="center"/>
            <w:hideMark/>
          </w:tcPr>
          <w:p w:rsidR="00C56A19" w:rsidRPr="005E5870" w:rsidRDefault="00C56A19" w:rsidP="001C010C">
            <w:pPr>
              <w:widowControl w:val="0"/>
              <w:spacing w:after="0"/>
              <w:jc w:val="center"/>
              <w:rPr>
                <w:rFonts w:cs="Times New Roman"/>
                <w:b/>
                <w:bCs/>
                <w:color w:val="000000"/>
                <w:sz w:val="18"/>
                <w:szCs w:val="18"/>
              </w:rPr>
            </w:pPr>
            <w:r w:rsidRPr="005E5870">
              <w:rPr>
                <w:rFonts w:cs="Times New Roman"/>
                <w:b/>
                <w:bCs/>
                <w:color w:val="000000"/>
                <w:sz w:val="18"/>
                <w:szCs w:val="18"/>
              </w:rPr>
              <w:t>Meth/ MDMA</w:t>
            </w:r>
          </w:p>
        </w:tc>
        <w:tc>
          <w:tcPr>
            <w:tcW w:w="0" w:type="auto"/>
            <w:tcBorders>
              <w:top w:val="nil"/>
              <w:left w:val="nil"/>
              <w:bottom w:val="single" w:sz="4" w:space="0" w:color="auto"/>
              <w:right w:val="single" w:sz="4" w:space="0" w:color="auto"/>
            </w:tcBorders>
            <w:shd w:val="clear" w:color="auto" w:fill="auto"/>
            <w:vAlign w:val="center"/>
            <w:hideMark/>
          </w:tcPr>
          <w:p w:rsidR="00C56A19" w:rsidRPr="005E5870" w:rsidRDefault="00C56A19" w:rsidP="001C010C">
            <w:pPr>
              <w:widowControl w:val="0"/>
              <w:spacing w:after="0"/>
              <w:jc w:val="center"/>
              <w:rPr>
                <w:rFonts w:cs="Times New Roman"/>
                <w:b/>
                <w:bCs/>
                <w:color w:val="000000"/>
                <w:sz w:val="18"/>
                <w:szCs w:val="18"/>
              </w:rPr>
            </w:pPr>
            <w:r w:rsidRPr="005E5870">
              <w:rPr>
                <w:rFonts w:cs="Times New Roman"/>
                <w:b/>
                <w:bCs/>
                <w:color w:val="000000"/>
                <w:sz w:val="18"/>
                <w:szCs w:val="18"/>
              </w:rPr>
              <w:t>MPT</w:t>
            </w:r>
          </w:p>
        </w:tc>
        <w:tc>
          <w:tcPr>
            <w:tcW w:w="0" w:type="auto"/>
            <w:tcBorders>
              <w:top w:val="nil"/>
              <w:left w:val="nil"/>
              <w:bottom w:val="single" w:sz="4" w:space="0" w:color="auto"/>
              <w:right w:val="single" w:sz="4" w:space="0" w:color="auto"/>
            </w:tcBorders>
            <w:shd w:val="clear" w:color="auto" w:fill="auto"/>
            <w:vAlign w:val="center"/>
            <w:hideMark/>
          </w:tcPr>
          <w:p w:rsidR="00C56A19" w:rsidRPr="005E5870" w:rsidRDefault="00C56A19" w:rsidP="001C010C">
            <w:pPr>
              <w:widowControl w:val="0"/>
              <w:spacing w:after="0"/>
              <w:jc w:val="center"/>
              <w:rPr>
                <w:rFonts w:cs="Times New Roman"/>
                <w:b/>
                <w:bCs/>
                <w:color w:val="000000"/>
                <w:sz w:val="18"/>
                <w:szCs w:val="18"/>
              </w:rPr>
            </w:pPr>
            <w:r w:rsidRPr="005E5870">
              <w:rPr>
                <w:rFonts w:cs="Times New Roman"/>
                <w:b/>
                <w:bCs/>
                <w:color w:val="000000"/>
                <w:sz w:val="18"/>
                <w:szCs w:val="18"/>
              </w:rPr>
              <w:t>MDPV</w:t>
            </w:r>
          </w:p>
        </w:tc>
        <w:tc>
          <w:tcPr>
            <w:tcW w:w="0" w:type="auto"/>
            <w:tcBorders>
              <w:top w:val="nil"/>
              <w:left w:val="nil"/>
              <w:bottom w:val="single" w:sz="4" w:space="0" w:color="auto"/>
              <w:right w:val="single" w:sz="4" w:space="0" w:color="auto"/>
            </w:tcBorders>
            <w:shd w:val="clear" w:color="auto" w:fill="auto"/>
            <w:vAlign w:val="center"/>
            <w:hideMark/>
          </w:tcPr>
          <w:p w:rsidR="00C56A19" w:rsidRPr="005E5870" w:rsidRDefault="00C56A19" w:rsidP="001C010C">
            <w:pPr>
              <w:widowControl w:val="0"/>
              <w:spacing w:after="0"/>
              <w:jc w:val="center"/>
              <w:rPr>
                <w:rFonts w:cs="Times New Roman"/>
                <w:b/>
                <w:bCs/>
                <w:color w:val="000000"/>
                <w:sz w:val="18"/>
                <w:szCs w:val="18"/>
              </w:rPr>
            </w:pPr>
            <w:r w:rsidRPr="005E5870">
              <w:rPr>
                <w:rFonts w:cs="Times New Roman"/>
                <w:b/>
                <w:bCs/>
                <w:color w:val="000000"/>
                <w:sz w:val="18"/>
                <w:szCs w:val="18"/>
              </w:rPr>
              <w:t xml:space="preserve">Meph/ Mcath </w:t>
            </w:r>
          </w:p>
        </w:tc>
        <w:tc>
          <w:tcPr>
            <w:tcW w:w="0" w:type="auto"/>
            <w:tcBorders>
              <w:top w:val="nil"/>
              <w:left w:val="nil"/>
              <w:bottom w:val="single" w:sz="4" w:space="0" w:color="auto"/>
              <w:right w:val="single" w:sz="4" w:space="0" w:color="auto"/>
            </w:tcBorders>
            <w:shd w:val="clear" w:color="auto" w:fill="auto"/>
            <w:vAlign w:val="center"/>
            <w:hideMark/>
          </w:tcPr>
          <w:p w:rsidR="00C56A19" w:rsidRPr="005E5870" w:rsidRDefault="00C56A19" w:rsidP="001C010C">
            <w:pPr>
              <w:widowControl w:val="0"/>
              <w:spacing w:after="0"/>
              <w:jc w:val="center"/>
              <w:rPr>
                <w:rFonts w:cs="Times New Roman"/>
                <w:b/>
                <w:bCs/>
                <w:color w:val="000000"/>
                <w:sz w:val="18"/>
                <w:szCs w:val="18"/>
              </w:rPr>
            </w:pPr>
            <w:r w:rsidRPr="005E5870">
              <w:rPr>
                <w:rFonts w:cs="Times New Roman"/>
                <w:b/>
                <w:bCs/>
                <w:color w:val="000000"/>
                <w:sz w:val="18"/>
                <w:szCs w:val="18"/>
              </w:rPr>
              <w:t>PCP</w:t>
            </w:r>
          </w:p>
        </w:tc>
        <w:tc>
          <w:tcPr>
            <w:tcW w:w="0" w:type="auto"/>
            <w:tcBorders>
              <w:top w:val="nil"/>
              <w:left w:val="nil"/>
              <w:bottom w:val="single" w:sz="4" w:space="0" w:color="auto"/>
              <w:right w:val="single" w:sz="4" w:space="0" w:color="auto"/>
            </w:tcBorders>
            <w:shd w:val="clear" w:color="auto" w:fill="auto"/>
            <w:vAlign w:val="center"/>
            <w:hideMark/>
          </w:tcPr>
          <w:p w:rsidR="00C56A19" w:rsidRPr="005E5870" w:rsidRDefault="00C56A19" w:rsidP="001C010C">
            <w:pPr>
              <w:widowControl w:val="0"/>
              <w:spacing w:after="0"/>
              <w:jc w:val="center"/>
              <w:rPr>
                <w:rFonts w:cs="Times New Roman"/>
                <w:b/>
                <w:bCs/>
                <w:color w:val="000000"/>
                <w:sz w:val="18"/>
                <w:szCs w:val="18"/>
              </w:rPr>
            </w:pPr>
            <w:r w:rsidRPr="005E5870">
              <w:rPr>
                <w:rFonts w:cs="Times New Roman"/>
                <w:b/>
                <w:bCs/>
                <w:color w:val="000000"/>
                <w:sz w:val="18"/>
                <w:szCs w:val="18"/>
              </w:rPr>
              <w:t>Cotinine</w:t>
            </w:r>
          </w:p>
        </w:tc>
        <w:tc>
          <w:tcPr>
            <w:tcW w:w="0" w:type="auto"/>
            <w:tcBorders>
              <w:top w:val="nil"/>
              <w:left w:val="nil"/>
              <w:bottom w:val="single" w:sz="4" w:space="0" w:color="auto"/>
              <w:right w:val="single" w:sz="4" w:space="0" w:color="auto"/>
            </w:tcBorders>
            <w:shd w:val="clear" w:color="auto" w:fill="auto"/>
            <w:vAlign w:val="center"/>
            <w:hideMark/>
          </w:tcPr>
          <w:p w:rsidR="00C56A19" w:rsidRPr="005E5870" w:rsidRDefault="00C56A19" w:rsidP="001C010C">
            <w:pPr>
              <w:widowControl w:val="0"/>
              <w:spacing w:after="0"/>
              <w:jc w:val="center"/>
              <w:rPr>
                <w:rFonts w:cs="Times New Roman"/>
                <w:b/>
                <w:bCs/>
                <w:color w:val="000000"/>
                <w:sz w:val="18"/>
                <w:szCs w:val="18"/>
              </w:rPr>
            </w:pPr>
            <w:r w:rsidRPr="005E5870">
              <w:rPr>
                <w:rFonts w:cs="Times New Roman"/>
                <w:b/>
                <w:bCs/>
                <w:color w:val="000000"/>
                <w:sz w:val="18"/>
                <w:szCs w:val="18"/>
              </w:rPr>
              <w:t>Amp Specific</w:t>
            </w:r>
          </w:p>
        </w:tc>
        <w:tc>
          <w:tcPr>
            <w:tcW w:w="0" w:type="auto"/>
            <w:tcBorders>
              <w:top w:val="nil"/>
              <w:left w:val="nil"/>
              <w:bottom w:val="single" w:sz="4" w:space="0" w:color="auto"/>
              <w:right w:val="single" w:sz="4" w:space="0" w:color="auto"/>
            </w:tcBorders>
            <w:shd w:val="clear" w:color="auto" w:fill="auto"/>
            <w:vAlign w:val="center"/>
            <w:hideMark/>
          </w:tcPr>
          <w:p w:rsidR="00C56A19" w:rsidRPr="005E5870" w:rsidRDefault="00C56A19" w:rsidP="001C010C">
            <w:pPr>
              <w:widowControl w:val="0"/>
              <w:spacing w:after="0"/>
              <w:jc w:val="center"/>
              <w:rPr>
                <w:rFonts w:cs="Times New Roman"/>
                <w:b/>
                <w:bCs/>
                <w:color w:val="000000"/>
                <w:sz w:val="18"/>
                <w:szCs w:val="18"/>
              </w:rPr>
            </w:pPr>
            <w:r w:rsidRPr="005E5870">
              <w:rPr>
                <w:rFonts w:cs="Times New Roman"/>
                <w:b/>
                <w:bCs/>
                <w:color w:val="000000"/>
                <w:sz w:val="18"/>
                <w:szCs w:val="18"/>
              </w:rPr>
              <w:t>Meth</w:t>
            </w:r>
          </w:p>
        </w:tc>
      </w:tr>
      <w:tr w:rsidR="006B42B9" w:rsidRPr="005E5870" w:rsidTr="006B42B9">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56A19" w:rsidRPr="005E5870" w:rsidRDefault="006B42B9" w:rsidP="001C010C">
            <w:pPr>
              <w:widowControl w:val="0"/>
              <w:spacing w:after="0"/>
              <w:rPr>
                <w:rFonts w:cs="Times New Roman"/>
                <w:b/>
                <w:bCs/>
                <w:color w:val="000000"/>
                <w:sz w:val="18"/>
                <w:szCs w:val="18"/>
              </w:rPr>
            </w:pPr>
            <w:r>
              <w:rPr>
                <w:rFonts w:cs="Times New Roman"/>
                <w:b/>
                <w:bCs/>
                <w:color w:val="000000"/>
                <w:sz w:val="18"/>
                <w:szCs w:val="18"/>
              </w:rPr>
              <w:t>07-001</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56A19" w:rsidRPr="005E5870" w:rsidRDefault="006B42B9" w:rsidP="001C010C">
            <w:pPr>
              <w:widowControl w:val="0"/>
              <w:spacing w:after="0"/>
              <w:jc w:val="center"/>
              <w:rPr>
                <w:rFonts w:cs="Times New Roman"/>
                <w:color w:val="0061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56A19" w:rsidRPr="005E5870" w:rsidRDefault="006B42B9" w:rsidP="001C010C">
            <w:pPr>
              <w:widowControl w:val="0"/>
              <w:spacing w:after="0"/>
              <w:jc w:val="center"/>
              <w:rPr>
                <w:rFonts w:cs="Times New Roman"/>
                <w:color w:val="0061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r>
      <w:tr w:rsidR="006B42B9" w:rsidRPr="005E5870" w:rsidTr="006B42B9">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56A19" w:rsidRPr="005E5870" w:rsidRDefault="006B42B9" w:rsidP="001C010C">
            <w:pPr>
              <w:widowControl w:val="0"/>
              <w:spacing w:after="0"/>
              <w:rPr>
                <w:rFonts w:cs="Times New Roman"/>
                <w:b/>
                <w:bCs/>
                <w:color w:val="000000"/>
                <w:sz w:val="18"/>
                <w:szCs w:val="18"/>
              </w:rPr>
            </w:pPr>
            <w:r>
              <w:rPr>
                <w:rFonts w:cs="Times New Roman"/>
                <w:b/>
                <w:bCs/>
                <w:color w:val="000000"/>
                <w:sz w:val="18"/>
                <w:szCs w:val="18"/>
              </w:rPr>
              <w:t>11-001</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56A19" w:rsidRPr="005E5870" w:rsidRDefault="006B42B9" w:rsidP="001C010C">
            <w:pPr>
              <w:widowControl w:val="0"/>
              <w:spacing w:after="0"/>
              <w:jc w:val="center"/>
              <w:rPr>
                <w:rFonts w:cs="Times New Roman"/>
                <w:color w:val="0061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56A19" w:rsidRPr="005E5870" w:rsidRDefault="006B42B9" w:rsidP="001C010C">
            <w:pPr>
              <w:widowControl w:val="0"/>
              <w:spacing w:after="0"/>
              <w:jc w:val="center"/>
              <w:rPr>
                <w:rFonts w:cs="Times New Roman"/>
                <w:color w:val="0061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r>
      <w:tr w:rsidR="006B42B9" w:rsidRPr="005E5870" w:rsidTr="006B42B9">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56A19" w:rsidRPr="005E5870" w:rsidRDefault="006B42B9" w:rsidP="001C010C">
            <w:pPr>
              <w:widowControl w:val="0"/>
              <w:spacing w:after="0"/>
              <w:rPr>
                <w:rFonts w:cs="Times New Roman"/>
                <w:b/>
                <w:bCs/>
                <w:color w:val="000000"/>
                <w:sz w:val="18"/>
                <w:szCs w:val="18"/>
              </w:rPr>
            </w:pPr>
            <w:r>
              <w:rPr>
                <w:rFonts w:cs="Times New Roman"/>
                <w:b/>
                <w:bCs/>
                <w:color w:val="000000"/>
                <w:sz w:val="18"/>
                <w:szCs w:val="18"/>
              </w:rPr>
              <w:t>11-002</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56A19" w:rsidRPr="006B42B9" w:rsidRDefault="006B42B9" w:rsidP="001C010C">
            <w:pPr>
              <w:widowControl w:val="0"/>
              <w:spacing w:after="0"/>
              <w:jc w:val="center"/>
              <w:rPr>
                <w:rFonts w:cs="Times New Roman"/>
                <w:color w:val="006100"/>
                <w:sz w:val="18"/>
                <w:szCs w:val="18"/>
              </w:rPr>
            </w:pPr>
            <w:r w:rsidRPr="006B42B9">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56A19" w:rsidRPr="006B42B9" w:rsidRDefault="006B42B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56A19" w:rsidRPr="005E5870" w:rsidRDefault="006B42B9" w:rsidP="001C010C">
            <w:pPr>
              <w:widowControl w:val="0"/>
              <w:spacing w:after="0"/>
              <w:jc w:val="center"/>
              <w:rPr>
                <w:rFonts w:cs="Times New Roman"/>
                <w:color w:val="0061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C56A19" w:rsidRPr="005E5870" w:rsidRDefault="006B42B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C56A19" w:rsidRPr="005E5870" w:rsidRDefault="006B42B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C56A19" w:rsidRPr="005E5870" w:rsidRDefault="006B42B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C56A19" w:rsidRPr="005E5870" w:rsidRDefault="00C56A19" w:rsidP="001C010C">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56A19" w:rsidRPr="005E5870" w:rsidRDefault="006B42B9" w:rsidP="001C010C">
            <w:pPr>
              <w:widowControl w:val="0"/>
              <w:spacing w:after="0"/>
              <w:jc w:val="center"/>
              <w:rPr>
                <w:rFonts w:cs="Times New Roman"/>
                <w:color w:val="006100"/>
                <w:sz w:val="18"/>
                <w:szCs w:val="18"/>
              </w:rPr>
            </w:pPr>
            <w:r w:rsidRPr="005E5870">
              <w:rPr>
                <w:rFonts w:cs="Times New Roman"/>
                <w:color w:val="000000"/>
                <w:sz w:val="18"/>
                <w:szCs w:val="18"/>
              </w:rPr>
              <w:t>-</w:t>
            </w:r>
          </w:p>
        </w:tc>
      </w:tr>
      <w:tr w:rsidR="006B42B9" w:rsidRPr="005E5870" w:rsidTr="006B42B9">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56A19" w:rsidRPr="005E5870" w:rsidRDefault="006B42B9" w:rsidP="001C010C">
            <w:pPr>
              <w:widowControl w:val="0"/>
              <w:spacing w:after="0"/>
              <w:rPr>
                <w:rFonts w:cs="Times New Roman"/>
                <w:b/>
                <w:bCs/>
                <w:color w:val="000000"/>
                <w:sz w:val="18"/>
                <w:szCs w:val="18"/>
              </w:rPr>
            </w:pPr>
            <w:r>
              <w:rPr>
                <w:rFonts w:cs="Times New Roman"/>
                <w:b/>
                <w:bCs/>
                <w:color w:val="000000"/>
                <w:sz w:val="18"/>
                <w:szCs w:val="18"/>
              </w:rPr>
              <w:t>12-001</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56A19" w:rsidRPr="006B42B9" w:rsidRDefault="006B42B9" w:rsidP="001C010C">
            <w:pPr>
              <w:widowControl w:val="0"/>
              <w:spacing w:after="0"/>
              <w:jc w:val="center"/>
              <w:rPr>
                <w:rFonts w:cs="Times New Roman"/>
                <w:color w:val="006100"/>
                <w:sz w:val="18"/>
                <w:szCs w:val="18"/>
              </w:rPr>
            </w:pPr>
            <w:r w:rsidRPr="006B42B9">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56A19" w:rsidRPr="006B42B9" w:rsidRDefault="006B42B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56A19" w:rsidRPr="005E5870" w:rsidRDefault="006B42B9" w:rsidP="001C010C">
            <w:pPr>
              <w:widowControl w:val="0"/>
              <w:spacing w:after="0"/>
              <w:jc w:val="center"/>
              <w:rPr>
                <w:rFonts w:cs="Times New Roman"/>
                <w:color w:val="0061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C56A19" w:rsidRPr="005E5870" w:rsidRDefault="006B42B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C56A19" w:rsidRPr="005E5870" w:rsidRDefault="006B42B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C56A19" w:rsidRPr="005E5870" w:rsidRDefault="00C56A19" w:rsidP="001C010C">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C56A19" w:rsidRPr="005E5870" w:rsidRDefault="00C56A19" w:rsidP="001C010C">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56A19" w:rsidRPr="005E5870" w:rsidRDefault="006B42B9" w:rsidP="001C010C">
            <w:pPr>
              <w:widowControl w:val="0"/>
              <w:spacing w:after="0"/>
              <w:jc w:val="center"/>
              <w:rPr>
                <w:rFonts w:cs="Times New Roman"/>
                <w:color w:val="006100"/>
                <w:sz w:val="18"/>
                <w:szCs w:val="18"/>
              </w:rPr>
            </w:pPr>
            <w:r w:rsidRPr="005E5870">
              <w:rPr>
                <w:rFonts w:cs="Times New Roman"/>
                <w:color w:val="000000"/>
                <w:sz w:val="18"/>
                <w:szCs w:val="18"/>
              </w:rPr>
              <w:t>-</w:t>
            </w:r>
          </w:p>
        </w:tc>
      </w:tr>
      <w:tr w:rsidR="00E05762" w:rsidRPr="005E5870" w:rsidTr="009F464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05762" w:rsidRPr="005E5870" w:rsidRDefault="00E05762" w:rsidP="009F4645">
            <w:pPr>
              <w:widowControl w:val="0"/>
              <w:spacing w:after="0"/>
              <w:rPr>
                <w:rFonts w:cs="Times New Roman"/>
                <w:b/>
                <w:bCs/>
                <w:color w:val="000000"/>
                <w:sz w:val="18"/>
                <w:szCs w:val="18"/>
              </w:rPr>
            </w:pPr>
            <w:r>
              <w:rPr>
                <w:rFonts w:cs="Times New Roman"/>
                <w:b/>
                <w:bCs/>
                <w:color w:val="000000"/>
                <w:sz w:val="18"/>
                <w:szCs w:val="18"/>
              </w:rPr>
              <w:t>12-002</w:t>
            </w:r>
          </w:p>
        </w:tc>
        <w:tc>
          <w:tcPr>
            <w:tcW w:w="0" w:type="auto"/>
            <w:tcBorders>
              <w:top w:val="nil"/>
              <w:left w:val="nil"/>
              <w:bottom w:val="single" w:sz="4" w:space="0" w:color="auto"/>
              <w:right w:val="single" w:sz="4" w:space="0" w:color="auto"/>
            </w:tcBorders>
            <w:shd w:val="clear" w:color="000000" w:fill="FFFFFF"/>
            <w:vAlign w:val="center"/>
            <w:hideMark/>
          </w:tcPr>
          <w:p w:rsidR="00E05762" w:rsidRPr="005E5870" w:rsidRDefault="00E05762" w:rsidP="009F4645">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05762" w:rsidRPr="006B42B9" w:rsidRDefault="00E05762" w:rsidP="009F4645">
            <w:pPr>
              <w:widowControl w:val="0"/>
              <w:spacing w:after="0"/>
              <w:jc w:val="center"/>
              <w:rPr>
                <w:rFonts w:cs="Times New Roman"/>
                <w:color w:val="006100"/>
                <w:sz w:val="18"/>
                <w:szCs w:val="18"/>
              </w:rPr>
            </w:pPr>
            <w:r w:rsidRPr="006B42B9">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05762" w:rsidRPr="006B42B9" w:rsidRDefault="00E05762" w:rsidP="009F4645">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E05762" w:rsidRPr="005E5870" w:rsidRDefault="00E05762" w:rsidP="009F4645">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05762" w:rsidRPr="005E5870" w:rsidRDefault="00E05762" w:rsidP="009F4645">
            <w:pPr>
              <w:widowControl w:val="0"/>
              <w:spacing w:after="0"/>
              <w:jc w:val="center"/>
              <w:rPr>
                <w:rFonts w:cs="Times New Roman"/>
                <w:color w:val="0061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E05762" w:rsidRPr="005E5870" w:rsidRDefault="00E05762" w:rsidP="009F4645">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E05762" w:rsidRPr="005E5870" w:rsidRDefault="00E05762" w:rsidP="009F4645">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E05762" w:rsidRPr="005E5870" w:rsidRDefault="00E05762" w:rsidP="009F4645">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05762" w:rsidRPr="005E5870" w:rsidRDefault="00E05762" w:rsidP="009F4645">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E05762" w:rsidRPr="005E5870" w:rsidRDefault="00E05762" w:rsidP="009F4645">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05762" w:rsidRPr="005E5870" w:rsidRDefault="00E05762" w:rsidP="009F4645">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E05762" w:rsidRPr="005E5870" w:rsidRDefault="00E05762" w:rsidP="009F4645">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E05762" w:rsidRPr="005E5870" w:rsidRDefault="00E05762" w:rsidP="009F4645">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000000" w:fill="C6EFCE"/>
            <w:vAlign w:val="center"/>
            <w:hideMark/>
          </w:tcPr>
          <w:p w:rsidR="00E05762" w:rsidRPr="005E5870" w:rsidRDefault="00E05762" w:rsidP="009F4645">
            <w:pPr>
              <w:widowControl w:val="0"/>
              <w:spacing w:after="0"/>
              <w:jc w:val="center"/>
              <w:rPr>
                <w:rFonts w:cs="Times New Roman"/>
                <w:color w:val="006100"/>
                <w:sz w:val="18"/>
                <w:szCs w:val="18"/>
              </w:rPr>
            </w:pPr>
            <w:r w:rsidRPr="005E5870">
              <w:rPr>
                <w:rFonts w:cs="Times New Roman"/>
                <w:color w:val="006100"/>
                <w:sz w:val="18"/>
                <w:szCs w:val="18"/>
              </w:rPr>
              <w:t>+</w:t>
            </w:r>
          </w:p>
        </w:tc>
        <w:tc>
          <w:tcPr>
            <w:tcW w:w="0" w:type="auto"/>
            <w:tcBorders>
              <w:top w:val="nil"/>
              <w:left w:val="nil"/>
              <w:bottom w:val="single" w:sz="4" w:space="0" w:color="auto"/>
              <w:right w:val="single" w:sz="4" w:space="0" w:color="auto"/>
            </w:tcBorders>
            <w:shd w:val="clear" w:color="000000" w:fill="FFFFFF"/>
            <w:vAlign w:val="center"/>
            <w:hideMark/>
          </w:tcPr>
          <w:p w:rsidR="00E05762" w:rsidRPr="005E5870" w:rsidRDefault="00E05762" w:rsidP="009F4645">
            <w:pPr>
              <w:widowControl w:val="0"/>
              <w:spacing w:after="0"/>
              <w:jc w:val="center"/>
              <w:rPr>
                <w:rFonts w:cs="Times New Roman"/>
                <w:color w:val="000000"/>
                <w:sz w:val="18"/>
                <w:szCs w:val="18"/>
              </w:rPr>
            </w:pPr>
            <w:r w:rsidRPr="005E5870">
              <w:rPr>
                <w:rFonts w:cs="Times New Roman"/>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05762" w:rsidRPr="005E5870" w:rsidRDefault="00E05762" w:rsidP="009F4645">
            <w:pPr>
              <w:widowControl w:val="0"/>
              <w:spacing w:after="0"/>
              <w:jc w:val="center"/>
              <w:rPr>
                <w:rFonts w:cs="Times New Roman"/>
                <w:color w:val="006100"/>
                <w:sz w:val="18"/>
                <w:szCs w:val="18"/>
              </w:rPr>
            </w:pPr>
            <w:r w:rsidRPr="005E5870">
              <w:rPr>
                <w:rFonts w:cs="Times New Roman"/>
                <w:color w:val="000000"/>
                <w:sz w:val="18"/>
                <w:szCs w:val="18"/>
              </w:rPr>
              <w:t>-</w:t>
            </w:r>
          </w:p>
        </w:tc>
      </w:tr>
    </w:tbl>
    <w:p w:rsidR="00C56A19" w:rsidRPr="00F97B2D" w:rsidRDefault="00C56A19" w:rsidP="00B00AAE">
      <w:pPr>
        <w:spacing w:after="0"/>
        <w:rPr>
          <w:szCs w:val="24"/>
        </w:rPr>
        <w:sectPr w:rsidR="00C56A19" w:rsidRPr="00F97B2D" w:rsidSect="00DD78D0">
          <w:pgSz w:w="15840" w:h="12240" w:orient="landscape" w:code="1"/>
          <w:pgMar w:top="2160" w:right="1440" w:bottom="1440" w:left="1800" w:header="720" w:footer="720" w:gutter="0"/>
          <w:cols w:space="720"/>
          <w:docGrid w:linePitch="360"/>
        </w:sectPr>
      </w:pPr>
    </w:p>
    <w:p w:rsidR="00DE4C74" w:rsidRPr="002E77C7" w:rsidRDefault="00DE4C74" w:rsidP="002E77C7">
      <w:pPr>
        <w:pStyle w:val="Heading1"/>
        <w:numPr>
          <w:ilvl w:val="0"/>
          <w:numId w:val="0"/>
        </w:numPr>
        <w:jc w:val="center"/>
        <w:rPr>
          <w:b w:val="0"/>
        </w:rPr>
      </w:pPr>
      <w:bookmarkStart w:id="325" w:name="_Toc372536115"/>
      <w:bookmarkStart w:id="326" w:name="_Toc372538778"/>
      <w:r w:rsidRPr="002E77C7">
        <w:rPr>
          <w:b w:val="0"/>
        </w:rPr>
        <w:t>VITA</w:t>
      </w:r>
      <w:bookmarkEnd w:id="311"/>
      <w:bookmarkEnd w:id="312"/>
      <w:bookmarkEnd w:id="325"/>
      <w:bookmarkEnd w:id="326"/>
    </w:p>
    <w:p w:rsidR="00DE4C74" w:rsidRPr="00F97B2D" w:rsidRDefault="00DE4C74" w:rsidP="002E77C7">
      <w:pPr>
        <w:jc w:val="center"/>
        <w:rPr>
          <w:szCs w:val="24"/>
        </w:rPr>
      </w:pPr>
      <w:bookmarkStart w:id="327" w:name="_Toc354741511"/>
      <w:bookmarkStart w:id="328" w:name="_Toc354743268"/>
      <w:r w:rsidRPr="00F97B2D">
        <w:rPr>
          <w:szCs w:val="24"/>
        </w:rPr>
        <w:t>MADELEINE JEAN SWORTWOOD</w:t>
      </w:r>
      <w:bookmarkEnd w:id="327"/>
      <w:bookmarkEnd w:id="328"/>
    </w:p>
    <w:p w:rsidR="00DE4C74" w:rsidRDefault="00DE4C74" w:rsidP="00FF4CAD">
      <w:pPr>
        <w:spacing w:after="0"/>
        <w:rPr>
          <w:szCs w:val="24"/>
        </w:rPr>
      </w:pPr>
      <w:bookmarkStart w:id="329" w:name="_Toc354741512"/>
      <w:bookmarkStart w:id="330" w:name="_Toc354743269"/>
      <w:r w:rsidRPr="00F97B2D">
        <w:rPr>
          <w:szCs w:val="24"/>
        </w:rPr>
        <w:t>1987</w:t>
      </w:r>
      <w:r w:rsidRPr="00F97B2D">
        <w:rPr>
          <w:szCs w:val="24"/>
        </w:rPr>
        <w:tab/>
      </w:r>
      <w:r w:rsidRPr="00F97B2D">
        <w:rPr>
          <w:szCs w:val="24"/>
        </w:rPr>
        <w:tab/>
      </w:r>
      <w:r w:rsidR="00957D95">
        <w:rPr>
          <w:szCs w:val="24"/>
        </w:rPr>
        <w:tab/>
      </w:r>
      <w:r w:rsidRPr="00F97B2D">
        <w:rPr>
          <w:szCs w:val="24"/>
        </w:rPr>
        <w:t>Born, Columbus, Ohio</w:t>
      </w:r>
      <w:bookmarkEnd w:id="329"/>
      <w:bookmarkEnd w:id="330"/>
    </w:p>
    <w:p w:rsidR="005E5870" w:rsidRPr="00F97B2D" w:rsidRDefault="005E5870" w:rsidP="00FF4CAD">
      <w:pPr>
        <w:spacing w:after="0"/>
        <w:rPr>
          <w:szCs w:val="24"/>
        </w:rPr>
      </w:pPr>
    </w:p>
    <w:p w:rsidR="00DE4C74" w:rsidRPr="00F97B2D" w:rsidRDefault="00DE4C74" w:rsidP="00FF4CAD">
      <w:pPr>
        <w:spacing w:after="0"/>
        <w:rPr>
          <w:szCs w:val="24"/>
        </w:rPr>
        <w:sectPr w:rsidR="00DE4C74" w:rsidRPr="00F97B2D" w:rsidSect="00DD78D0">
          <w:pgSz w:w="12240" w:h="15840" w:code="1"/>
          <w:pgMar w:top="1440" w:right="1440" w:bottom="1800" w:left="2160" w:header="720" w:footer="720" w:gutter="0"/>
          <w:cols w:space="720"/>
          <w:docGrid w:linePitch="360"/>
        </w:sectPr>
      </w:pPr>
      <w:bookmarkStart w:id="331" w:name="_GoBack"/>
      <w:bookmarkEnd w:id="331"/>
    </w:p>
    <w:p w:rsidR="00DE4C74" w:rsidRPr="00F97B2D" w:rsidRDefault="00DE4C74" w:rsidP="00FF4CAD">
      <w:pPr>
        <w:spacing w:after="0"/>
        <w:rPr>
          <w:szCs w:val="24"/>
        </w:rPr>
      </w:pPr>
      <w:bookmarkStart w:id="332" w:name="_Toc354741513"/>
      <w:bookmarkStart w:id="333" w:name="_Toc354743270"/>
      <w:r w:rsidRPr="00F97B2D">
        <w:rPr>
          <w:szCs w:val="24"/>
        </w:rPr>
        <w:t>2007 – 2008</w:t>
      </w:r>
      <w:r w:rsidRPr="00F97B2D">
        <w:rPr>
          <w:szCs w:val="24"/>
        </w:rPr>
        <w:tab/>
      </w:r>
      <w:r w:rsidR="00957D95">
        <w:rPr>
          <w:szCs w:val="24"/>
        </w:rPr>
        <w:tab/>
      </w:r>
      <w:r w:rsidRPr="00F97B2D">
        <w:rPr>
          <w:szCs w:val="24"/>
        </w:rPr>
        <w:t xml:space="preserve">Undergraduate </w:t>
      </w:r>
      <w:proofErr w:type="gramStart"/>
      <w:r w:rsidRPr="00F97B2D">
        <w:rPr>
          <w:szCs w:val="24"/>
        </w:rPr>
        <w:t>Researcher</w:t>
      </w:r>
      <w:bookmarkEnd w:id="332"/>
      <w:bookmarkEnd w:id="333"/>
      <w:proofErr w:type="gramEnd"/>
    </w:p>
    <w:p w:rsidR="00DE4C74" w:rsidRPr="00F97B2D" w:rsidRDefault="00DE4C74" w:rsidP="00FF4CAD">
      <w:pPr>
        <w:spacing w:after="0"/>
        <w:rPr>
          <w:szCs w:val="24"/>
        </w:rPr>
      </w:pPr>
      <w:r w:rsidRPr="00F97B2D">
        <w:rPr>
          <w:szCs w:val="24"/>
        </w:rPr>
        <w:tab/>
      </w:r>
      <w:r w:rsidRPr="00F97B2D">
        <w:rPr>
          <w:szCs w:val="24"/>
        </w:rPr>
        <w:tab/>
      </w:r>
      <w:bookmarkStart w:id="334" w:name="_Toc354741514"/>
      <w:bookmarkStart w:id="335" w:name="_Toc354743271"/>
      <w:r w:rsidR="00957D95">
        <w:rPr>
          <w:szCs w:val="24"/>
        </w:rPr>
        <w:tab/>
      </w:r>
      <w:r w:rsidRPr="00F97B2D">
        <w:rPr>
          <w:szCs w:val="24"/>
        </w:rPr>
        <w:t>Johnson Group, Analytical Lab</w:t>
      </w:r>
      <w:bookmarkEnd w:id="334"/>
      <w:bookmarkEnd w:id="335"/>
    </w:p>
    <w:p w:rsidR="00DE4C74" w:rsidRPr="00F97B2D" w:rsidRDefault="00DE4C74" w:rsidP="00FF4CAD">
      <w:pPr>
        <w:spacing w:after="0"/>
        <w:rPr>
          <w:szCs w:val="24"/>
        </w:rPr>
      </w:pPr>
      <w:r w:rsidRPr="00F97B2D">
        <w:rPr>
          <w:szCs w:val="24"/>
        </w:rPr>
        <w:tab/>
      </w:r>
      <w:r w:rsidRPr="00F97B2D">
        <w:rPr>
          <w:szCs w:val="24"/>
        </w:rPr>
        <w:tab/>
      </w:r>
      <w:bookmarkStart w:id="336" w:name="_Toc354741515"/>
      <w:bookmarkStart w:id="337" w:name="_Toc354743272"/>
      <w:r w:rsidR="00957D95">
        <w:rPr>
          <w:szCs w:val="24"/>
        </w:rPr>
        <w:tab/>
      </w:r>
      <w:r w:rsidRPr="00F97B2D">
        <w:rPr>
          <w:szCs w:val="24"/>
        </w:rPr>
        <w:t>Duquesne University</w:t>
      </w:r>
      <w:bookmarkEnd w:id="336"/>
      <w:bookmarkEnd w:id="337"/>
    </w:p>
    <w:p w:rsidR="00DE4C74" w:rsidRDefault="00DE4C74" w:rsidP="00FF4CAD">
      <w:pPr>
        <w:spacing w:after="0"/>
        <w:rPr>
          <w:szCs w:val="24"/>
        </w:rPr>
      </w:pPr>
      <w:r w:rsidRPr="00F97B2D">
        <w:rPr>
          <w:szCs w:val="24"/>
        </w:rPr>
        <w:tab/>
      </w:r>
      <w:r w:rsidRPr="00F97B2D">
        <w:rPr>
          <w:szCs w:val="24"/>
        </w:rPr>
        <w:tab/>
      </w:r>
      <w:bookmarkStart w:id="338" w:name="_Toc354741516"/>
      <w:bookmarkStart w:id="339" w:name="_Toc354743273"/>
      <w:r w:rsidR="00957D95">
        <w:rPr>
          <w:szCs w:val="24"/>
        </w:rPr>
        <w:tab/>
      </w:r>
      <w:r w:rsidRPr="00F97B2D">
        <w:rPr>
          <w:szCs w:val="24"/>
        </w:rPr>
        <w:t>Pittsburgh, PA</w:t>
      </w:r>
      <w:bookmarkEnd w:id="338"/>
      <w:bookmarkEnd w:id="339"/>
    </w:p>
    <w:p w:rsidR="005E5870" w:rsidRPr="00F97B2D" w:rsidRDefault="005E5870" w:rsidP="00FF4CAD">
      <w:pPr>
        <w:spacing w:after="0"/>
        <w:rPr>
          <w:szCs w:val="24"/>
        </w:rPr>
      </w:pPr>
    </w:p>
    <w:p w:rsidR="00DE4C74" w:rsidRPr="00F97B2D" w:rsidRDefault="00DE4C74" w:rsidP="00FF4CAD">
      <w:pPr>
        <w:spacing w:after="0"/>
        <w:rPr>
          <w:szCs w:val="24"/>
        </w:rPr>
      </w:pPr>
      <w:bookmarkStart w:id="340" w:name="_Toc354741517"/>
      <w:bookmarkStart w:id="341" w:name="_Toc354743274"/>
      <w:r w:rsidRPr="00F97B2D">
        <w:rPr>
          <w:szCs w:val="24"/>
        </w:rPr>
        <w:t xml:space="preserve">2008 – 2009 </w:t>
      </w:r>
      <w:r w:rsidRPr="00F97B2D">
        <w:rPr>
          <w:szCs w:val="24"/>
        </w:rPr>
        <w:tab/>
      </w:r>
      <w:r w:rsidR="00957D95">
        <w:rPr>
          <w:szCs w:val="24"/>
        </w:rPr>
        <w:tab/>
      </w:r>
      <w:r w:rsidRPr="00F97B2D">
        <w:rPr>
          <w:szCs w:val="24"/>
        </w:rPr>
        <w:t>Intern</w:t>
      </w:r>
      <w:bookmarkEnd w:id="340"/>
      <w:bookmarkEnd w:id="341"/>
    </w:p>
    <w:p w:rsidR="00DE4C74" w:rsidRPr="00F97B2D" w:rsidRDefault="00DE4C74" w:rsidP="00FF4CAD">
      <w:pPr>
        <w:spacing w:after="0"/>
        <w:rPr>
          <w:szCs w:val="24"/>
        </w:rPr>
      </w:pPr>
      <w:r w:rsidRPr="00F97B2D">
        <w:rPr>
          <w:szCs w:val="24"/>
        </w:rPr>
        <w:tab/>
      </w:r>
      <w:r w:rsidRPr="00F97B2D">
        <w:rPr>
          <w:szCs w:val="24"/>
        </w:rPr>
        <w:tab/>
      </w:r>
      <w:bookmarkStart w:id="342" w:name="_Toc354741518"/>
      <w:bookmarkStart w:id="343" w:name="_Toc354743275"/>
      <w:r w:rsidR="00957D95">
        <w:rPr>
          <w:szCs w:val="24"/>
        </w:rPr>
        <w:tab/>
      </w:r>
      <w:r w:rsidRPr="00F97B2D">
        <w:rPr>
          <w:szCs w:val="24"/>
        </w:rPr>
        <w:t>Food and Drug Administration</w:t>
      </w:r>
      <w:bookmarkEnd w:id="342"/>
      <w:bookmarkEnd w:id="343"/>
    </w:p>
    <w:p w:rsidR="00DE4C74" w:rsidRPr="00F97B2D" w:rsidRDefault="00DE4C74" w:rsidP="00FF4CAD">
      <w:pPr>
        <w:spacing w:after="0"/>
        <w:rPr>
          <w:szCs w:val="24"/>
        </w:rPr>
      </w:pPr>
      <w:r w:rsidRPr="00F97B2D">
        <w:rPr>
          <w:szCs w:val="24"/>
        </w:rPr>
        <w:tab/>
      </w:r>
      <w:r w:rsidRPr="00F97B2D">
        <w:rPr>
          <w:szCs w:val="24"/>
        </w:rPr>
        <w:tab/>
      </w:r>
      <w:bookmarkStart w:id="344" w:name="_Toc354741519"/>
      <w:bookmarkStart w:id="345" w:name="_Toc354743276"/>
      <w:r w:rsidR="00957D95">
        <w:rPr>
          <w:szCs w:val="24"/>
        </w:rPr>
        <w:tab/>
      </w:r>
      <w:r w:rsidRPr="00F97B2D">
        <w:rPr>
          <w:szCs w:val="24"/>
        </w:rPr>
        <w:t>Forensic Chemistry Center</w:t>
      </w:r>
      <w:bookmarkEnd w:id="344"/>
      <w:bookmarkEnd w:id="345"/>
    </w:p>
    <w:p w:rsidR="00DE4C74" w:rsidRPr="00F97B2D" w:rsidRDefault="00DE4C74" w:rsidP="00FF4CAD">
      <w:pPr>
        <w:spacing w:after="0"/>
        <w:rPr>
          <w:szCs w:val="24"/>
        </w:rPr>
      </w:pPr>
      <w:r w:rsidRPr="00F97B2D">
        <w:rPr>
          <w:szCs w:val="24"/>
        </w:rPr>
        <w:tab/>
      </w:r>
      <w:r w:rsidRPr="00F97B2D">
        <w:rPr>
          <w:szCs w:val="24"/>
        </w:rPr>
        <w:tab/>
      </w:r>
      <w:bookmarkStart w:id="346" w:name="_Toc354741520"/>
      <w:bookmarkStart w:id="347" w:name="_Toc354743277"/>
      <w:r w:rsidR="00957D95">
        <w:rPr>
          <w:szCs w:val="24"/>
        </w:rPr>
        <w:tab/>
      </w:r>
      <w:r w:rsidRPr="00F97B2D">
        <w:rPr>
          <w:szCs w:val="24"/>
        </w:rPr>
        <w:t>Cincinnati, OH</w:t>
      </w:r>
      <w:bookmarkEnd w:id="346"/>
      <w:bookmarkEnd w:id="347"/>
    </w:p>
    <w:p w:rsidR="00DE4C74" w:rsidRPr="00F97B2D" w:rsidRDefault="00DE4C74" w:rsidP="00FF4CAD">
      <w:pPr>
        <w:spacing w:after="0"/>
        <w:rPr>
          <w:szCs w:val="24"/>
        </w:rPr>
      </w:pPr>
    </w:p>
    <w:p w:rsidR="00DE4C74" w:rsidRPr="00F97B2D" w:rsidRDefault="00DE4C74" w:rsidP="00FF4CAD">
      <w:pPr>
        <w:spacing w:after="0"/>
        <w:rPr>
          <w:szCs w:val="24"/>
        </w:rPr>
      </w:pPr>
      <w:bookmarkStart w:id="348" w:name="_Toc354741521"/>
      <w:bookmarkStart w:id="349" w:name="_Toc354743278"/>
      <w:r w:rsidRPr="00F97B2D">
        <w:rPr>
          <w:szCs w:val="24"/>
        </w:rPr>
        <w:t>2009</w:t>
      </w:r>
      <w:r w:rsidRPr="00F97B2D">
        <w:rPr>
          <w:szCs w:val="24"/>
        </w:rPr>
        <w:tab/>
      </w:r>
      <w:r w:rsidRPr="00F97B2D">
        <w:rPr>
          <w:szCs w:val="24"/>
        </w:rPr>
        <w:tab/>
      </w:r>
      <w:r w:rsidR="00957D95">
        <w:rPr>
          <w:szCs w:val="24"/>
        </w:rPr>
        <w:tab/>
      </w:r>
      <w:r w:rsidRPr="00F97B2D">
        <w:rPr>
          <w:szCs w:val="24"/>
        </w:rPr>
        <w:t>B.A., Biochemistry</w:t>
      </w:r>
      <w:bookmarkEnd w:id="348"/>
      <w:bookmarkEnd w:id="349"/>
      <w:r w:rsidRPr="00F97B2D">
        <w:rPr>
          <w:szCs w:val="24"/>
        </w:rPr>
        <w:t xml:space="preserve">  </w:t>
      </w:r>
    </w:p>
    <w:p w:rsidR="00DE4C74" w:rsidRPr="00F97B2D" w:rsidRDefault="00DE4C74" w:rsidP="00FF4CAD">
      <w:pPr>
        <w:spacing w:after="0"/>
        <w:rPr>
          <w:szCs w:val="24"/>
        </w:rPr>
      </w:pPr>
      <w:r w:rsidRPr="00F97B2D">
        <w:rPr>
          <w:szCs w:val="24"/>
        </w:rPr>
        <w:tab/>
      </w:r>
      <w:r w:rsidRPr="00F97B2D">
        <w:rPr>
          <w:szCs w:val="24"/>
        </w:rPr>
        <w:tab/>
      </w:r>
      <w:bookmarkStart w:id="350" w:name="_Toc354741522"/>
      <w:bookmarkStart w:id="351" w:name="_Toc354743279"/>
      <w:r w:rsidR="00957D95">
        <w:rPr>
          <w:szCs w:val="24"/>
        </w:rPr>
        <w:tab/>
      </w:r>
      <w:r w:rsidRPr="00F97B2D">
        <w:rPr>
          <w:szCs w:val="24"/>
        </w:rPr>
        <w:t>Duquesne University</w:t>
      </w:r>
      <w:bookmarkEnd w:id="350"/>
      <w:bookmarkEnd w:id="351"/>
    </w:p>
    <w:p w:rsidR="00DE4C74" w:rsidRPr="00F97B2D" w:rsidRDefault="00DE4C74" w:rsidP="00FF4CAD">
      <w:pPr>
        <w:spacing w:after="0"/>
        <w:rPr>
          <w:szCs w:val="24"/>
        </w:rPr>
      </w:pPr>
      <w:r w:rsidRPr="00F97B2D">
        <w:rPr>
          <w:szCs w:val="24"/>
        </w:rPr>
        <w:tab/>
      </w:r>
      <w:r w:rsidRPr="00F97B2D">
        <w:rPr>
          <w:szCs w:val="24"/>
        </w:rPr>
        <w:tab/>
      </w:r>
      <w:bookmarkStart w:id="352" w:name="_Toc354741523"/>
      <w:bookmarkStart w:id="353" w:name="_Toc354743280"/>
      <w:r w:rsidR="00957D95">
        <w:rPr>
          <w:szCs w:val="24"/>
        </w:rPr>
        <w:tab/>
      </w:r>
      <w:r w:rsidRPr="00F97B2D">
        <w:rPr>
          <w:szCs w:val="24"/>
        </w:rPr>
        <w:t>Pittsburgh, PA</w:t>
      </w:r>
      <w:bookmarkEnd w:id="352"/>
      <w:bookmarkEnd w:id="353"/>
    </w:p>
    <w:p w:rsidR="00DE4C74" w:rsidRPr="00F97B2D" w:rsidRDefault="00DE4C74" w:rsidP="00FF4CAD">
      <w:pPr>
        <w:spacing w:after="0"/>
        <w:rPr>
          <w:szCs w:val="24"/>
        </w:rPr>
      </w:pPr>
    </w:p>
    <w:p w:rsidR="00DE4C74" w:rsidRPr="00F97B2D" w:rsidRDefault="00DE4C74" w:rsidP="00FF4CAD">
      <w:pPr>
        <w:spacing w:after="0"/>
        <w:rPr>
          <w:szCs w:val="24"/>
        </w:rPr>
      </w:pPr>
      <w:bookmarkStart w:id="354" w:name="_Toc354741524"/>
      <w:bookmarkStart w:id="355" w:name="_Toc354743281"/>
      <w:r w:rsidRPr="00F97B2D">
        <w:rPr>
          <w:szCs w:val="24"/>
        </w:rPr>
        <w:t>2009 – 2011</w:t>
      </w:r>
      <w:r w:rsidRPr="00F97B2D">
        <w:rPr>
          <w:szCs w:val="24"/>
        </w:rPr>
        <w:tab/>
      </w:r>
      <w:r w:rsidR="00957D95">
        <w:rPr>
          <w:szCs w:val="24"/>
        </w:rPr>
        <w:tab/>
      </w:r>
      <w:r w:rsidRPr="00F97B2D">
        <w:rPr>
          <w:szCs w:val="24"/>
        </w:rPr>
        <w:t>Teaching Assistant</w:t>
      </w:r>
      <w:bookmarkEnd w:id="354"/>
      <w:bookmarkEnd w:id="355"/>
    </w:p>
    <w:p w:rsidR="00DE4C74" w:rsidRPr="00F97B2D" w:rsidRDefault="00DE4C74" w:rsidP="00FF4CAD">
      <w:pPr>
        <w:spacing w:after="0"/>
        <w:rPr>
          <w:szCs w:val="24"/>
        </w:rPr>
      </w:pPr>
      <w:r w:rsidRPr="00F97B2D">
        <w:rPr>
          <w:szCs w:val="24"/>
        </w:rPr>
        <w:tab/>
      </w:r>
      <w:r w:rsidRPr="00F97B2D">
        <w:rPr>
          <w:szCs w:val="24"/>
        </w:rPr>
        <w:tab/>
      </w:r>
      <w:bookmarkStart w:id="356" w:name="_Toc354741525"/>
      <w:bookmarkStart w:id="357" w:name="_Toc354743282"/>
      <w:r w:rsidR="00957D95">
        <w:rPr>
          <w:szCs w:val="24"/>
        </w:rPr>
        <w:tab/>
      </w:r>
      <w:r w:rsidRPr="00F97B2D">
        <w:rPr>
          <w:szCs w:val="24"/>
        </w:rPr>
        <w:t>Survey of Forensic Science Lab</w:t>
      </w:r>
      <w:bookmarkEnd w:id="356"/>
      <w:bookmarkEnd w:id="357"/>
    </w:p>
    <w:p w:rsidR="00DE4C74" w:rsidRPr="00F97B2D" w:rsidRDefault="00DE4C74" w:rsidP="00FF4CAD">
      <w:pPr>
        <w:spacing w:after="0"/>
        <w:rPr>
          <w:szCs w:val="24"/>
        </w:rPr>
      </w:pPr>
      <w:r w:rsidRPr="00F97B2D">
        <w:rPr>
          <w:szCs w:val="24"/>
        </w:rPr>
        <w:tab/>
      </w:r>
      <w:r w:rsidRPr="00F97B2D">
        <w:rPr>
          <w:szCs w:val="24"/>
        </w:rPr>
        <w:tab/>
      </w:r>
      <w:bookmarkStart w:id="358" w:name="_Toc354741526"/>
      <w:bookmarkStart w:id="359" w:name="_Toc354743283"/>
      <w:r w:rsidR="00957D95">
        <w:rPr>
          <w:szCs w:val="24"/>
        </w:rPr>
        <w:tab/>
      </w:r>
      <w:r w:rsidRPr="00F97B2D">
        <w:rPr>
          <w:szCs w:val="24"/>
        </w:rPr>
        <w:t>Florida International University</w:t>
      </w:r>
      <w:bookmarkEnd w:id="358"/>
      <w:bookmarkEnd w:id="359"/>
    </w:p>
    <w:p w:rsidR="00DE4C74" w:rsidRPr="00F97B2D" w:rsidRDefault="00DE4C74" w:rsidP="00FF4CAD">
      <w:pPr>
        <w:spacing w:after="0"/>
        <w:rPr>
          <w:szCs w:val="24"/>
        </w:rPr>
      </w:pPr>
      <w:r w:rsidRPr="00F97B2D">
        <w:rPr>
          <w:szCs w:val="24"/>
        </w:rPr>
        <w:tab/>
      </w:r>
      <w:r w:rsidRPr="00F97B2D">
        <w:rPr>
          <w:szCs w:val="24"/>
        </w:rPr>
        <w:tab/>
      </w:r>
      <w:bookmarkStart w:id="360" w:name="_Toc354741527"/>
      <w:bookmarkStart w:id="361" w:name="_Toc354743284"/>
      <w:r w:rsidR="00957D95">
        <w:rPr>
          <w:szCs w:val="24"/>
        </w:rPr>
        <w:tab/>
      </w:r>
      <w:r w:rsidRPr="00F97B2D">
        <w:rPr>
          <w:szCs w:val="24"/>
        </w:rPr>
        <w:t>Miami, FL</w:t>
      </w:r>
      <w:bookmarkEnd w:id="360"/>
      <w:bookmarkEnd w:id="361"/>
    </w:p>
    <w:p w:rsidR="00DE4C74" w:rsidRPr="00F97B2D" w:rsidRDefault="00DE4C74" w:rsidP="00C67A58">
      <w:pPr>
        <w:spacing w:after="0"/>
        <w:rPr>
          <w:szCs w:val="24"/>
        </w:rPr>
      </w:pPr>
    </w:p>
    <w:p w:rsidR="00DE4C74" w:rsidRPr="00F97B2D" w:rsidRDefault="00DE4C74" w:rsidP="00C67A58">
      <w:pPr>
        <w:spacing w:after="0"/>
        <w:rPr>
          <w:szCs w:val="24"/>
        </w:rPr>
      </w:pPr>
      <w:bookmarkStart w:id="362" w:name="_Toc354741545"/>
      <w:bookmarkStart w:id="363" w:name="_Toc354743302"/>
      <w:r w:rsidRPr="00F97B2D">
        <w:rPr>
          <w:szCs w:val="24"/>
        </w:rPr>
        <w:t>2012 – Present</w:t>
      </w:r>
      <w:r w:rsidRPr="00F97B2D">
        <w:rPr>
          <w:szCs w:val="24"/>
        </w:rPr>
        <w:tab/>
      </w:r>
      <w:r w:rsidR="00957D95">
        <w:rPr>
          <w:szCs w:val="24"/>
        </w:rPr>
        <w:tab/>
      </w:r>
      <w:r w:rsidRPr="00F97B2D">
        <w:rPr>
          <w:szCs w:val="24"/>
        </w:rPr>
        <w:t>Toxicologist I</w:t>
      </w:r>
      <w:bookmarkEnd w:id="362"/>
      <w:bookmarkEnd w:id="363"/>
    </w:p>
    <w:p w:rsidR="00DE4C74" w:rsidRPr="00F97B2D" w:rsidRDefault="00DE4C74" w:rsidP="00C67A58">
      <w:pPr>
        <w:spacing w:after="0"/>
        <w:rPr>
          <w:szCs w:val="24"/>
        </w:rPr>
      </w:pPr>
      <w:r w:rsidRPr="00F97B2D">
        <w:rPr>
          <w:szCs w:val="24"/>
        </w:rPr>
        <w:tab/>
      </w:r>
      <w:r w:rsidRPr="00F97B2D">
        <w:rPr>
          <w:szCs w:val="24"/>
        </w:rPr>
        <w:tab/>
      </w:r>
      <w:bookmarkStart w:id="364" w:name="_Toc354741546"/>
      <w:bookmarkStart w:id="365" w:name="_Toc354743303"/>
      <w:r w:rsidR="00957D95">
        <w:rPr>
          <w:szCs w:val="24"/>
        </w:rPr>
        <w:tab/>
      </w:r>
      <w:r w:rsidRPr="00F97B2D">
        <w:rPr>
          <w:szCs w:val="24"/>
        </w:rPr>
        <w:t>Miami-Dade Medical Examiner</w:t>
      </w:r>
      <w:bookmarkEnd w:id="364"/>
      <w:bookmarkEnd w:id="365"/>
    </w:p>
    <w:p w:rsidR="00DE4C74" w:rsidRPr="00F97B2D" w:rsidRDefault="00DE4C74" w:rsidP="00C67A58">
      <w:pPr>
        <w:spacing w:after="0"/>
        <w:rPr>
          <w:szCs w:val="24"/>
        </w:rPr>
      </w:pPr>
      <w:r w:rsidRPr="00F97B2D">
        <w:rPr>
          <w:szCs w:val="24"/>
        </w:rPr>
        <w:tab/>
      </w:r>
      <w:r w:rsidRPr="00F97B2D">
        <w:rPr>
          <w:szCs w:val="24"/>
        </w:rPr>
        <w:tab/>
      </w:r>
      <w:bookmarkStart w:id="366" w:name="_Toc354741547"/>
      <w:bookmarkStart w:id="367" w:name="_Toc354743304"/>
      <w:r w:rsidR="00957D95">
        <w:rPr>
          <w:szCs w:val="24"/>
        </w:rPr>
        <w:tab/>
      </w:r>
      <w:r w:rsidRPr="00F97B2D">
        <w:rPr>
          <w:szCs w:val="24"/>
        </w:rPr>
        <w:t>Toxicology Lab</w:t>
      </w:r>
      <w:bookmarkEnd w:id="366"/>
      <w:bookmarkEnd w:id="367"/>
    </w:p>
    <w:p w:rsidR="00DE4C74" w:rsidRPr="00F97B2D" w:rsidRDefault="00DE4C74" w:rsidP="00FF4CAD">
      <w:pPr>
        <w:spacing w:after="0"/>
        <w:rPr>
          <w:szCs w:val="24"/>
        </w:rPr>
      </w:pPr>
      <w:r w:rsidRPr="00F97B2D">
        <w:rPr>
          <w:szCs w:val="24"/>
        </w:rPr>
        <w:tab/>
      </w:r>
      <w:r w:rsidRPr="00F97B2D">
        <w:rPr>
          <w:szCs w:val="24"/>
        </w:rPr>
        <w:tab/>
      </w:r>
      <w:bookmarkStart w:id="368" w:name="_Toc354741548"/>
      <w:bookmarkStart w:id="369" w:name="_Toc354743305"/>
      <w:r w:rsidR="00957D95">
        <w:rPr>
          <w:szCs w:val="24"/>
        </w:rPr>
        <w:tab/>
      </w:r>
      <w:r w:rsidRPr="00F97B2D">
        <w:rPr>
          <w:szCs w:val="24"/>
        </w:rPr>
        <w:t>Miami, FL</w:t>
      </w:r>
      <w:bookmarkEnd w:id="368"/>
      <w:bookmarkEnd w:id="369"/>
    </w:p>
    <w:p w:rsidR="00FF4CAD" w:rsidRPr="00F97B2D" w:rsidRDefault="00FF4CAD" w:rsidP="00FF4CAD">
      <w:pPr>
        <w:spacing w:after="0"/>
        <w:rPr>
          <w:szCs w:val="24"/>
        </w:rPr>
      </w:pPr>
    </w:p>
    <w:p w:rsidR="00DE4C74" w:rsidRPr="00F97B2D" w:rsidRDefault="00DE4C74" w:rsidP="00C67A58">
      <w:pPr>
        <w:rPr>
          <w:szCs w:val="24"/>
        </w:rPr>
      </w:pPr>
      <w:bookmarkStart w:id="370" w:name="_Toc354743308"/>
      <w:r w:rsidRPr="00F97B2D">
        <w:rPr>
          <w:szCs w:val="24"/>
        </w:rPr>
        <w:t>PROFESSIONAL MEMBERSHIPS</w:t>
      </w:r>
      <w:bookmarkEnd w:id="370"/>
    </w:p>
    <w:p w:rsidR="00565FA7" w:rsidRPr="00F97B2D" w:rsidRDefault="00565FA7" w:rsidP="00C67A58">
      <w:pPr>
        <w:rPr>
          <w:szCs w:val="24"/>
        </w:rPr>
      </w:pPr>
      <w:bookmarkStart w:id="371" w:name="_Toc354741554"/>
      <w:bookmarkStart w:id="372" w:name="_Toc354743309"/>
      <w:bookmarkStart w:id="373" w:name="_Toc354741552"/>
      <w:r w:rsidRPr="00F97B2D">
        <w:rPr>
          <w:szCs w:val="24"/>
        </w:rPr>
        <w:t>2010 – Present</w:t>
      </w:r>
      <w:r w:rsidRPr="00F97B2D">
        <w:rPr>
          <w:szCs w:val="24"/>
        </w:rPr>
        <w:tab/>
        <w:t>American Chemical Society, Student Member</w:t>
      </w:r>
      <w:bookmarkEnd w:id="371"/>
      <w:bookmarkEnd w:id="372"/>
    </w:p>
    <w:p w:rsidR="00DE4C74" w:rsidRPr="00F97B2D" w:rsidRDefault="00DE4C74" w:rsidP="00C67A58">
      <w:pPr>
        <w:rPr>
          <w:szCs w:val="24"/>
        </w:rPr>
      </w:pPr>
      <w:bookmarkStart w:id="374" w:name="_Toc354743310"/>
      <w:r w:rsidRPr="00F97B2D">
        <w:rPr>
          <w:szCs w:val="24"/>
        </w:rPr>
        <w:t>2011 – Present</w:t>
      </w:r>
      <w:r w:rsidRPr="00F97B2D">
        <w:rPr>
          <w:szCs w:val="24"/>
        </w:rPr>
        <w:tab/>
        <w:t>Society of Forensic Toxicologists, Student Member</w:t>
      </w:r>
      <w:bookmarkEnd w:id="373"/>
      <w:bookmarkEnd w:id="374"/>
    </w:p>
    <w:p w:rsidR="00DE4C74" w:rsidRPr="00F97B2D" w:rsidRDefault="00DE4C74" w:rsidP="00C67A58">
      <w:pPr>
        <w:rPr>
          <w:szCs w:val="24"/>
        </w:rPr>
      </w:pPr>
      <w:bookmarkStart w:id="375" w:name="_Toc354741553"/>
      <w:bookmarkStart w:id="376" w:name="_Toc354743311"/>
      <w:r w:rsidRPr="00F97B2D">
        <w:rPr>
          <w:szCs w:val="24"/>
        </w:rPr>
        <w:t>2011 – Present</w:t>
      </w:r>
      <w:r w:rsidRPr="00F97B2D">
        <w:rPr>
          <w:szCs w:val="24"/>
        </w:rPr>
        <w:tab/>
        <w:t>American Academy of Forensic Sciences, Student Member</w:t>
      </w:r>
      <w:bookmarkEnd w:id="375"/>
      <w:bookmarkEnd w:id="376"/>
    </w:p>
    <w:p w:rsidR="00957D95" w:rsidRDefault="00957D95" w:rsidP="00C67A58">
      <w:pPr>
        <w:rPr>
          <w:szCs w:val="24"/>
        </w:rPr>
      </w:pPr>
      <w:bookmarkStart w:id="377" w:name="_Toc354741555"/>
      <w:bookmarkStart w:id="378" w:name="_Toc354743312"/>
    </w:p>
    <w:p w:rsidR="00957D95" w:rsidRDefault="00957D95" w:rsidP="00C67A58">
      <w:pPr>
        <w:rPr>
          <w:szCs w:val="24"/>
        </w:rPr>
      </w:pPr>
    </w:p>
    <w:p w:rsidR="00DE4C74" w:rsidRPr="00F97B2D" w:rsidRDefault="00DE4C74" w:rsidP="00C67A58">
      <w:pPr>
        <w:rPr>
          <w:szCs w:val="24"/>
        </w:rPr>
      </w:pPr>
      <w:r w:rsidRPr="00F97B2D">
        <w:rPr>
          <w:szCs w:val="24"/>
        </w:rPr>
        <w:t>PUBLICATIONS AND PRESENTATIONS</w:t>
      </w:r>
      <w:bookmarkEnd w:id="377"/>
      <w:bookmarkEnd w:id="378"/>
    </w:p>
    <w:p w:rsidR="00DE4C74" w:rsidRPr="00F97B2D" w:rsidRDefault="00DE4C74" w:rsidP="00C67A58">
      <w:pPr>
        <w:rPr>
          <w:szCs w:val="24"/>
        </w:rPr>
      </w:pPr>
      <w:bookmarkStart w:id="379" w:name="_Toc354741556"/>
      <w:bookmarkStart w:id="380" w:name="_Toc354743313"/>
      <w:r w:rsidRPr="00F97B2D">
        <w:rPr>
          <w:szCs w:val="24"/>
        </w:rPr>
        <w:t xml:space="preserve">Swortwood, M. J. and DeCaprio, A. P. (September 2011).  </w:t>
      </w:r>
      <w:proofErr w:type="gramStart"/>
      <w:r w:rsidRPr="00F97B2D">
        <w:rPr>
          <w:szCs w:val="24"/>
        </w:rPr>
        <w:t xml:space="preserve">Determination of Cathinone Derivatives and Other Designer </w:t>
      </w:r>
      <w:r w:rsidR="00E951CA">
        <w:rPr>
          <w:szCs w:val="24"/>
        </w:rPr>
        <w:t>Drugs in Serum by Comprehensive</w:t>
      </w:r>
      <w:r w:rsidRPr="00F97B2D">
        <w:rPr>
          <w:szCs w:val="24"/>
        </w:rPr>
        <w:t xml:space="preserve"> LC-Triple Quadrupole-MS/MS Analysis.</w:t>
      </w:r>
      <w:proofErr w:type="gramEnd"/>
      <w:r w:rsidRPr="00F97B2D">
        <w:rPr>
          <w:szCs w:val="24"/>
        </w:rPr>
        <w:t xml:space="preserve">  Poster presented at the joint meeting of Society of Forensic Toxicologists and The International Association of Forensic Toxicologists, San Francisco, California.</w:t>
      </w:r>
      <w:bookmarkEnd w:id="379"/>
      <w:bookmarkEnd w:id="380"/>
      <w:r w:rsidRPr="00F97B2D">
        <w:rPr>
          <w:szCs w:val="24"/>
        </w:rPr>
        <w:t xml:space="preserve">  </w:t>
      </w:r>
    </w:p>
    <w:p w:rsidR="00DE4C74" w:rsidRPr="00F97B2D" w:rsidRDefault="00DE4C74" w:rsidP="00C67A58">
      <w:pPr>
        <w:rPr>
          <w:szCs w:val="24"/>
        </w:rPr>
      </w:pPr>
      <w:bookmarkStart w:id="381" w:name="_Toc354741557"/>
      <w:bookmarkStart w:id="382" w:name="_Toc354743314"/>
      <w:r w:rsidRPr="00F97B2D">
        <w:rPr>
          <w:szCs w:val="24"/>
        </w:rPr>
        <w:t xml:space="preserve">Swortwood, M. J. and DeCaprio, A. P. (April 2012).  </w:t>
      </w:r>
      <w:proofErr w:type="gramStart"/>
      <w:r w:rsidRPr="00F97B2D">
        <w:rPr>
          <w:szCs w:val="24"/>
        </w:rPr>
        <w:t>Targeted LC-QQQ-MS Screening of Cathinone Derivatives and Other Designer Drugs in Serum.</w:t>
      </w:r>
      <w:proofErr w:type="gramEnd"/>
      <w:r w:rsidRPr="00F97B2D">
        <w:rPr>
          <w:szCs w:val="24"/>
        </w:rPr>
        <w:t xml:space="preserve">  Webinar presented for Forensics eSeminar Series, Agilent Technologies.</w:t>
      </w:r>
      <w:bookmarkEnd w:id="381"/>
      <w:bookmarkEnd w:id="382"/>
      <w:r w:rsidRPr="00F97B2D">
        <w:rPr>
          <w:szCs w:val="24"/>
        </w:rPr>
        <w:t xml:space="preserve">  </w:t>
      </w:r>
    </w:p>
    <w:p w:rsidR="00DE4C74" w:rsidRPr="00F97B2D" w:rsidRDefault="00DE4C74" w:rsidP="00C67A58">
      <w:pPr>
        <w:rPr>
          <w:szCs w:val="24"/>
        </w:rPr>
      </w:pPr>
      <w:bookmarkStart w:id="383" w:name="_Toc354741558"/>
      <w:bookmarkStart w:id="384" w:name="_Toc354743315"/>
      <w:r w:rsidRPr="00F97B2D">
        <w:rPr>
          <w:szCs w:val="24"/>
        </w:rPr>
        <w:t xml:space="preserve">Swortwood, M. J., Boland, D. M., and DeCaprio, A. P. (July 2012).  </w:t>
      </w:r>
      <w:proofErr w:type="gramStart"/>
      <w:r w:rsidRPr="00F97B2D">
        <w:rPr>
          <w:szCs w:val="24"/>
        </w:rPr>
        <w:t>Determination of Designer Drugs in Post-Mortem Blood by LC-QQQ-MS/MS Analysis.</w:t>
      </w:r>
      <w:proofErr w:type="gramEnd"/>
      <w:r w:rsidRPr="00F97B2D">
        <w:rPr>
          <w:szCs w:val="24"/>
        </w:rPr>
        <w:t xml:space="preserve">  </w:t>
      </w:r>
      <w:proofErr w:type="gramStart"/>
      <w:r w:rsidRPr="00F97B2D">
        <w:rPr>
          <w:szCs w:val="24"/>
        </w:rPr>
        <w:t>Oral presentation at the meeting of the Society of Forensic Toxicologists, Boston, Massachusetts.</w:t>
      </w:r>
      <w:bookmarkEnd w:id="383"/>
      <w:bookmarkEnd w:id="384"/>
      <w:proofErr w:type="gramEnd"/>
      <w:r w:rsidRPr="00F97B2D">
        <w:rPr>
          <w:szCs w:val="24"/>
        </w:rPr>
        <w:t xml:space="preserve"> </w:t>
      </w:r>
    </w:p>
    <w:p w:rsidR="00DE4C74" w:rsidRPr="00F97B2D" w:rsidRDefault="00DE4C74" w:rsidP="00C67A58">
      <w:pPr>
        <w:rPr>
          <w:szCs w:val="24"/>
        </w:rPr>
      </w:pPr>
      <w:bookmarkStart w:id="385" w:name="_Toc354741559"/>
      <w:bookmarkStart w:id="386" w:name="_Toc354743316"/>
      <w:r w:rsidRPr="00F97B2D">
        <w:rPr>
          <w:szCs w:val="24"/>
        </w:rPr>
        <w:t xml:space="preserve">Swortwood, M. J., Boland, D. M., and DeCaprio, A. P. (September 2012).  </w:t>
      </w:r>
      <w:proofErr w:type="gramStart"/>
      <w:r w:rsidRPr="00F97B2D">
        <w:rPr>
          <w:szCs w:val="24"/>
        </w:rPr>
        <w:t>Determination of Designer Drugs in Post-Mortem Blood by LC-MS/MS Analysis.</w:t>
      </w:r>
      <w:proofErr w:type="gramEnd"/>
      <w:r w:rsidRPr="00F97B2D">
        <w:rPr>
          <w:szCs w:val="24"/>
        </w:rPr>
        <w:t xml:space="preserve">  </w:t>
      </w:r>
      <w:proofErr w:type="gramStart"/>
      <w:r w:rsidRPr="00F97B2D">
        <w:rPr>
          <w:szCs w:val="24"/>
        </w:rPr>
        <w:t>Oral presentation at the meeting of the Australia-New Zealand Forensic Science Society, Hobart, Tasmania.</w:t>
      </w:r>
      <w:bookmarkEnd w:id="385"/>
      <w:bookmarkEnd w:id="386"/>
      <w:proofErr w:type="gramEnd"/>
    </w:p>
    <w:p w:rsidR="00DE4C74" w:rsidRPr="00F97B2D" w:rsidRDefault="00DE4C74" w:rsidP="00C67A58">
      <w:pPr>
        <w:rPr>
          <w:szCs w:val="24"/>
        </w:rPr>
      </w:pPr>
      <w:bookmarkStart w:id="387" w:name="_Toc354741560"/>
      <w:bookmarkStart w:id="388" w:name="_Toc354743317"/>
      <w:r w:rsidRPr="00F97B2D">
        <w:rPr>
          <w:szCs w:val="24"/>
        </w:rPr>
        <w:t xml:space="preserve">Swortwood, M. J. and DeCaprio, A. P. (September 2012).  Designer Drug Analysis in </w:t>
      </w:r>
      <w:proofErr w:type="gramStart"/>
      <w:r w:rsidRPr="00F97B2D">
        <w:rPr>
          <w:szCs w:val="24"/>
        </w:rPr>
        <w:t>The</w:t>
      </w:r>
      <w:proofErr w:type="gramEnd"/>
      <w:r w:rsidRPr="00F97B2D">
        <w:rPr>
          <w:szCs w:val="24"/>
        </w:rPr>
        <w:t xml:space="preserve"> United States.  </w:t>
      </w:r>
      <w:proofErr w:type="gramStart"/>
      <w:r w:rsidRPr="00F97B2D">
        <w:rPr>
          <w:szCs w:val="24"/>
        </w:rPr>
        <w:t>Oral presentation at the meeting of the Forensic and Clinical Toxicology Association, Hobart, Tasmania.</w:t>
      </w:r>
      <w:bookmarkEnd w:id="387"/>
      <w:bookmarkEnd w:id="388"/>
      <w:proofErr w:type="gramEnd"/>
      <w:r w:rsidRPr="00F97B2D">
        <w:rPr>
          <w:szCs w:val="24"/>
        </w:rPr>
        <w:t xml:space="preserve">  </w:t>
      </w:r>
    </w:p>
    <w:p w:rsidR="00DE4C74" w:rsidRPr="00F97B2D" w:rsidRDefault="00DE4C74" w:rsidP="00C67A58">
      <w:pPr>
        <w:rPr>
          <w:szCs w:val="24"/>
        </w:rPr>
      </w:pPr>
      <w:bookmarkStart w:id="389" w:name="_Toc354741561"/>
      <w:bookmarkStart w:id="390" w:name="_Toc354743318"/>
      <w:r w:rsidRPr="00F97B2D">
        <w:rPr>
          <w:szCs w:val="24"/>
        </w:rPr>
        <w:t xml:space="preserve">Swortwood, M. J., Hearn, W. L., and DeCaprio, A. P. (February 2013).  </w:t>
      </w:r>
      <w:proofErr w:type="gramStart"/>
      <w:r w:rsidRPr="00F97B2D">
        <w:rPr>
          <w:szCs w:val="24"/>
        </w:rPr>
        <w:t>Cross-Reactivity of Cathinone Derivatives and Other Designer Drugs in Commercial Enzyme-Linked Immunosorbent Assays.</w:t>
      </w:r>
      <w:proofErr w:type="gramEnd"/>
      <w:r w:rsidRPr="00F97B2D">
        <w:rPr>
          <w:szCs w:val="24"/>
        </w:rPr>
        <w:t xml:space="preserve">  </w:t>
      </w:r>
      <w:proofErr w:type="gramStart"/>
      <w:r w:rsidRPr="00F97B2D">
        <w:rPr>
          <w:szCs w:val="24"/>
        </w:rPr>
        <w:t>Oral presentation at the meeting of the American Academy of Forensic Sciences, Washington.</w:t>
      </w:r>
      <w:proofErr w:type="gramEnd"/>
      <w:r w:rsidRPr="00F97B2D">
        <w:rPr>
          <w:szCs w:val="24"/>
        </w:rPr>
        <w:t xml:space="preserve"> DC.</w:t>
      </w:r>
      <w:bookmarkEnd w:id="389"/>
      <w:bookmarkEnd w:id="390"/>
    </w:p>
    <w:p w:rsidR="00DE4C74" w:rsidRPr="00F97B2D" w:rsidRDefault="00DE4C74" w:rsidP="00C67A58">
      <w:pPr>
        <w:rPr>
          <w:szCs w:val="24"/>
        </w:rPr>
      </w:pPr>
      <w:bookmarkStart w:id="391" w:name="_Toc354741562"/>
      <w:bookmarkStart w:id="392" w:name="_Toc354743319"/>
      <w:r w:rsidRPr="00F97B2D">
        <w:rPr>
          <w:szCs w:val="24"/>
        </w:rPr>
        <w:t xml:space="preserve">Swortwood, M. J., Boland, D. M., and DeCaprio, A. P. (February 2013).  </w:t>
      </w:r>
      <w:proofErr w:type="gramStart"/>
      <w:r w:rsidRPr="00F97B2D">
        <w:rPr>
          <w:szCs w:val="24"/>
        </w:rPr>
        <w:t>Determination of 32 Cathinone Derivatives and Other Designer Drugs in Serum by Comprehensive LC-QQQ-MS/MS Analysis.</w:t>
      </w:r>
      <w:proofErr w:type="gramEnd"/>
      <w:r w:rsidRPr="00F97B2D">
        <w:rPr>
          <w:szCs w:val="24"/>
        </w:rPr>
        <w:t xml:space="preserve">  Analytical and Bioanalytical Chemistry, 405 (4):1383-1397.</w:t>
      </w:r>
      <w:bookmarkEnd w:id="391"/>
      <w:bookmarkEnd w:id="392"/>
      <w:r w:rsidRPr="00F97B2D">
        <w:rPr>
          <w:szCs w:val="24"/>
        </w:rPr>
        <w:t xml:space="preserve">  </w:t>
      </w:r>
    </w:p>
    <w:p w:rsidR="00D96FD8" w:rsidRPr="00F97B2D" w:rsidRDefault="00DE4C74" w:rsidP="00C67A58">
      <w:pPr>
        <w:rPr>
          <w:szCs w:val="24"/>
        </w:rPr>
      </w:pPr>
      <w:bookmarkStart w:id="393" w:name="_Toc354741563"/>
      <w:bookmarkStart w:id="394" w:name="_Toc354743320"/>
      <w:r w:rsidRPr="00F97B2D">
        <w:rPr>
          <w:szCs w:val="24"/>
        </w:rPr>
        <w:t xml:space="preserve">Swortwood, M. J., Hearn, W. L., and DeCaprio, A. P. (March 2013).  </w:t>
      </w:r>
      <w:proofErr w:type="gramStart"/>
      <w:r w:rsidRPr="00F97B2D">
        <w:rPr>
          <w:szCs w:val="24"/>
        </w:rPr>
        <w:t>Cross-Reactivity of Designer Drugs, Including Cathinone Derivatives, in Commercial Enzyme-Linked Immunosorbent Assays.</w:t>
      </w:r>
      <w:proofErr w:type="gramEnd"/>
      <w:r w:rsidRPr="00F97B2D">
        <w:rPr>
          <w:szCs w:val="24"/>
        </w:rPr>
        <w:t xml:space="preserve">  Accepted to Drug Testing and Analysis.</w:t>
      </w:r>
      <w:bookmarkEnd w:id="393"/>
      <w:bookmarkEnd w:id="394"/>
      <w:r w:rsidR="000E239B" w:rsidRPr="00F97B2D">
        <w:rPr>
          <w:szCs w:val="24"/>
        </w:rPr>
        <w:fldChar w:fldCharType="begin"/>
      </w:r>
      <w:r w:rsidR="004F7655" w:rsidRPr="00F97B2D">
        <w:rPr>
          <w:szCs w:val="24"/>
        </w:rPr>
        <w:instrText xml:space="preserve"> ADDIN REFMGR.REFLIST </w:instrText>
      </w:r>
      <w:r w:rsidR="000E239B" w:rsidRPr="00F97B2D">
        <w:rPr>
          <w:szCs w:val="24"/>
        </w:rPr>
        <w:fldChar w:fldCharType="end"/>
      </w:r>
    </w:p>
    <w:sectPr w:rsidR="00D96FD8" w:rsidRPr="00F97B2D" w:rsidSect="00DD78D0">
      <w:footerReference w:type="first" r:id="rId63"/>
      <w:type w:val="continuous"/>
      <w:pgSz w:w="12240" w:h="15840" w:code="1"/>
      <w:pgMar w:top="1440" w:right="1440" w:bottom="1800" w:left="2160" w:header="720" w:footer="720" w:gutter="0"/>
      <w:cols w:space="28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363" w:rsidRDefault="00770363" w:rsidP="005632CA">
      <w:pPr>
        <w:spacing w:after="0" w:line="240" w:lineRule="auto"/>
      </w:pPr>
      <w:r>
        <w:separator/>
      </w:r>
    </w:p>
    <w:p w:rsidR="00770363" w:rsidRDefault="00770363"/>
    <w:p w:rsidR="00770363" w:rsidRDefault="00770363"/>
    <w:p w:rsidR="00770363" w:rsidRDefault="00770363"/>
    <w:p w:rsidR="00770363" w:rsidRDefault="00770363" w:rsidP="00AC5F51"/>
  </w:endnote>
  <w:endnote w:type="continuationSeparator" w:id="0">
    <w:p w:rsidR="00770363" w:rsidRDefault="00770363" w:rsidP="005632CA">
      <w:pPr>
        <w:spacing w:after="0" w:line="240" w:lineRule="auto"/>
      </w:pPr>
      <w:r>
        <w:continuationSeparator/>
      </w:r>
    </w:p>
    <w:p w:rsidR="00770363" w:rsidRDefault="00770363"/>
    <w:p w:rsidR="00770363" w:rsidRDefault="00770363"/>
    <w:p w:rsidR="00770363" w:rsidRDefault="00770363"/>
    <w:p w:rsidR="00770363" w:rsidRDefault="00770363" w:rsidP="00AC5F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60405020304"/>
    <w:charset w:val="00"/>
    <w:family w:val="roman"/>
    <w:pitch w:val="variable"/>
    <w:sig w:usb0="00000007" w:usb1="00000000" w:usb2="00000000" w:usb3="00000000" w:csb0="00000093" w:csb1="00000000"/>
  </w:font>
  <w:font w:name="AdvTT3713a231">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0854356"/>
      <w:docPartObj>
        <w:docPartGallery w:val="Page Numbers (Bottom of Page)"/>
        <w:docPartUnique/>
      </w:docPartObj>
    </w:sdtPr>
    <w:sdtEndPr/>
    <w:sdtContent>
      <w:p w:rsidR="00770363" w:rsidRPr="00A4777E" w:rsidRDefault="000E239B" w:rsidP="00A4777E">
        <w:pPr>
          <w:pStyle w:val="Footer"/>
          <w:jc w:val="center"/>
        </w:pPr>
        <w:r w:rsidRPr="00A4777E">
          <w:rPr>
            <w:rFonts w:cs="Times New Roman"/>
            <w:szCs w:val="20"/>
          </w:rPr>
          <w:fldChar w:fldCharType="begin"/>
        </w:r>
        <w:r w:rsidR="00770363" w:rsidRPr="00A4777E">
          <w:rPr>
            <w:rFonts w:cs="Times New Roman"/>
            <w:szCs w:val="20"/>
          </w:rPr>
          <w:instrText xml:space="preserve"> PAGE   \* MERGEFORMAT </w:instrText>
        </w:r>
        <w:r w:rsidRPr="00A4777E">
          <w:rPr>
            <w:rFonts w:cs="Times New Roman"/>
            <w:szCs w:val="20"/>
          </w:rPr>
          <w:fldChar w:fldCharType="separate"/>
        </w:r>
        <w:r w:rsidR="002E77C7" w:rsidRPr="002E77C7">
          <w:rPr>
            <w:rFonts w:asciiTheme="minorHAnsi" w:hAnsiTheme="minorHAnsi"/>
            <w:noProof/>
            <w:sz w:val="22"/>
          </w:rPr>
          <w:t>iii</w:t>
        </w:r>
        <w:r w:rsidRPr="00A4777E">
          <w:rPr>
            <w:rFonts w:cs="Times New Roman"/>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363" w:rsidRDefault="00770363" w:rsidP="006F0C84">
    <w:pPr>
      <w:pStyle w:val="Footer"/>
      <w:jc w:val="center"/>
    </w:pPr>
  </w:p>
  <w:p w:rsidR="00770363" w:rsidRDefault="007703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0854357"/>
      <w:docPartObj>
        <w:docPartGallery w:val="Page Numbers (Bottom of Page)"/>
        <w:docPartUnique/>
      </w:docPartObj>
    </w:sdtPr>
    <w:sdtEndPr/>
    <w:sdtContent>
      <w:p w:rsidR="00770363" w:rsidRPr="00A4777E" w:rsidRDefault="002E77C7" w:rsidP="009F4645">
        <w:pPr>
          <w:pStyle w:val="Footer"/>
          <w:tabs>
            <w:tab w:val="clear" w:pos="4680"/>
            <w:tab w:val="center" w:pos="4320"/>
          </w:tabs>
          <w:jc w:val="center"/>
        </w:pPr>
        <w:r>
          <w:fldChar w:fldCharType="begin"/>
        </w:r>
        <w:r>
          <w:instrText xml:space="preserve"> PAGE   \* MERGEFORMAT </w:instrText>
        </w:r>
        <w:r>
          <w:fldChar w:fldCharType="separate"/>
        </w:r>
        <w:r>
          <w:rPr>
            <w:noProof/>
          </w:rPr>
          <w:t>8</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0854358"/>
      <w:docPartObj>
        <w:docPartGallery w:val="Page Numbers (Bottom of Page)"/>
        <w:docPartUnique/>
      </w:docPartObj>
    </w:sdtPr>
    <w:sdtEndPr/>
    <w:sdtContent>
      <w:p w:rsidR="00770363" w:rsidRDefault="002E77C7">
        <w:pPr>
          <w:pStyle w:val="Footer"/>
          <w:jc w:val="center"/>
        </w:pPr>
        <w:r>
          <w:fldChar w:fldCharType="begin"/>
        </w:r>
        <w:r>
          <w:instrText xml:space="preserve"> PAGE   \* MERGEFORMAT </w:instrText>
        </w:r>
        <w:r>
          <w:fldChar w:fldCharType="separate"/>
        </w:r>
        <w:r>
          <w:rPr>
            <w:noProof/>
          </w:rPr>
          <w:t>114</w:t>
        </w:r>
        <w:r>
          <w:rPr>
            <w:noProof/>
          </w:rPr>
          <w:fldChar w:fldCharType="end"/>
        </w:r>
      </w:p>
    </w:sdtContent>
  </w:sdt>
  <w:p w:rsidR="00770363" w:rsidRDefault="00770363" w:rsidP="00005A65">
    <w:pPr>
      <w:pStyle w:val="Footer"/>
      <w:tabs>
        <w:tab w:val="left" w:pos="533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477940"/>
      <w:docPartObj>
        <w:docPartGallery w:val="Page Numbers (Bottom of Page)"/>
        <w:docPartUnique/>
      </w:docPartObj>
    </w:sdtPr>
    <w:sdtEndPr/>
    <w:sdtContent>
      <w:p w:rsidR="00770363" w:rsidRDefault="000E239B" w:rsidP="00A47D80">
        <w:pPr>
          <w:pStyle w:val="Footer"/>
          <w:jc w:val="center"/>
        </w:pPr>
        <w:r w:rsidRPr="00A13DD1">
          <w:rPr>
            <w:rFonts w:cs="Times New Roman"/>
            <w:szCs w:val="20"/>
          </w:rPr>
          <w:fldChar w:fldCharType="begin"/>
        </w:r>
        <w:r w:rsidR="00770363" w:rsidRPr="00A13DD1">
          <w:rPr>
            <w:rFonts w:cs="Times New Roman"/>
            <w:szCs w:val="20"/>
          </w:rPr>
          <w:instrText xml:space="preserve"> PAGE   \* MERGEFORMAT </w:instrText>
        </w:r>
        <w:r w:rsidRPr="00A13DD1">
          <w:rPr>
            <w:rFonts w:cs="Times New Roman"/>
            <w:szCs w:val="20"/>
          </w:rPr>
          <w:fldChar w:fldCharType="separate"/>
        </w:r>
        <w:r w:rsidR="00770363">
          <w:rPr>
            <w:rFonts w:cs="Times New Roman"/>
            <w:noProof/>
            <w:szCs w:val="20"/>
          </w:rPr>
          <w:t>39</w:t>
        </w:r>
        <w:r w:rsidRPr="00A13DD1">
          <w:rPr>
            <w:rFonts w:cs="Times New Roman"/>
            <w:szCs w:val="20"/>
          </w:rPr>
          <w:fldChar w:fldCharType="end"/>
        </w:r>
      </w:p>
    </w:sdtContent>
  </w:sdt>
  <w:p w:rsidR="00770363" w:rsidRDefault="00770363">
    <w:pPr>
      <w:pStyle w:val="Footer"/>
    </w:pPr>
  </w:p>
  <w:p w:rsidR="00770363" w:rsidRDefault="00770363"/>
  <w:p w:rsidR="00770363" w:rsidRDefault="00770363"/>
  <w:p w:rsidR="00770363" w:rsidRDefault="00770363"/>
  <w:p w:rsidR="00770363" w:rsidRDefault="00770363" w:rsidP="00AC5F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363" w:rsidRDefault="00770363" w:rsidP="005632CA">
      <w:pPr>
        <w:spacing w:after="0" w:line="240" w:lineRule="auto"/>
      </w:pPr>
      <w:r>
        <w:separator/>
      </w:r>
    </w:p>
    <w:p w:rsidR="00770363" w:rsidRDefault="00770363"/>
    <w:p w:rsidR="00770363" w:rsidRDefault="00770363"/>
    <w:p w:rsidR="00770363" w:rsidRDefault="00770363"/>
    <w:p w:rsidR="00770363" w:rsidRDefault="00770363" w:rsidP="00AC5F51"/>
  </w:footnote>
  <w:footnote w:type="continuationSeparator" w:id="0">
    <w:p w:rsidR="00770363" w:rsidRDefault="00770363" w:rsidP="005632CA">
      <w:pPr>
        <w:spacing w:after="0" w:line="240" w:lineRule="auto"/>
      </w:pPr>
      <w:r>
        <w:continuationSeparator/>
      </w:r>
    </w:p>
    <w:p w:rsidR="00770363" w:rsidRDefault="00770363"/>
    <w:p w:rsidR="00770363" w:rsidRDefault="00770363"/>
    <w:p w:rsidR="00770363" w:rsidRDefault="00770363"/>
    <w:p w:rsidR="00770363" w:rsidRDefault="00770363" w:rsidP="00AC5F5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57624"/>
    <w:multiLevelType w:val="multilevel"/>
    <w:tmpl w:val="DCE620B6"/>
    <w:lvl w:ilvl="0">
      <w:start w:val="1"/>
      <w:numFmt w:val="decimal"/>
      <w:lvlText w:val="%1."/>
      <w:lvlJc w:val="left"/>
      <w:pPr>
        <w:ind w:left="1440" w:hanging="360"/>
      </w:pPr>
    </w:lvl>
    <w:lvl w:ilvl="1">
      <w:start w:val="1"/>
      <w:numFmt w:val="decimal"/>
      <w:isLgl/>
      <w:lvlText w:val="%1.%2"/>
      <w:lvlJc w:val="left"/>
      <w:pPr>
        <w:ind w:left="135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72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08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400" w:hanging="1440"/>
      </w:pPr>
      <w:rPr>
        <w:rFonts w:hint="default"/>
      </w:rPr>
    </w:lvl>
  </w:abstractNum>
  <w:abstractNum w:abstractNumId="1">
    <w:nsid w:val="0D604586"/>
    <w:multiLevelType w:val="hybridMultilevel"/>
    <w:tmpl w:val="B7084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6A20E6"/>
    <w:multiLevelType w:val="hybridMultilevel"/>
    <w:tmpl w:val="A4F4D26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Symbol"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Symbol"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Symbol"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1871685B"/>
    <w:multiLevelType w:val="multilevel"/>
    <w:tmpl w:val="5574A5A4"/>
    <w:styleLink w:val="Style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19D24750"/>
    <w:multiLevelType w:val="multilevel"/>
    <w:tmpl w:val="5574A5A4"/>
    <w:numStyleLink w:val="Style1"/>
  </w:abstractNum>
  <w:abstractNum w:abstractNumId="5">
    <w:nsid w:val="1BA53FB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D1F53A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27577DB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27F04C01"/>
    <w:multiLevelType w:val="hybridMultilevel"/>
    <w:tmpl w:val="09CAF6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0F6A71"/>
    <w:multiLevelType w:val="multilevel"/>
    <w:tmpl w:val="FF2E43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30712D0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325B18BB"/>
    <w:multiLevelType w:val="hybridMultilevel"/>
    <w:tmpl w:val="EC9E18B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391413"/>
    <w:multiLevelType w:val="multilevel"/>
    <w:tmpl w:val="A0AA317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3665E8B"/>
    <w:multiLevelType w:val="multilevel"/>
    <w:tmpl w:val="AD54F8AC"/>
    <w:lvl w:ilvl="0">
      <w:start w:val="1"/>
      <w:numFmt w:val="decimal"/>
      <w:lvlText w:val="%1"/>
      <w:lvlJc w:val="left"/>
      <w:pPr>
        <w:ind w:left="1152" w:hanging="432"/>
      </w:p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4">
    <w:nsid w:val="436C5A4B"/>
    <w:multiLevelType w:val="multilevel"/>
    <w:tmpl w:val="AD54F8AC"/>
    <w:lvl w:ilvl="0">
      <w:start w:val="1"/>
      <w:numFmt w:val="decimal"/>
      <w:lvlText w:val="%1"/>
      <w:lvlJc w:val="left"/>
      <w:pPr>
        <w:ind w:left="1152" w:hanging="432"/>
      </w:p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5">
    <w:nsid w:val="462B236B"/>
    <w:multiLevelType w:val="hybridMultilevel"/>
    <w:tmpl w:val="66A4FDC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886E9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4B511DF6"/>
    <w:multiLevelType w:val="multilevel"/>
    <w:tmpl w:val="04090025"/>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8">
    <w:nsid w:val="509C404F"/>
    <w:multiLevelType w:val="hybridMultilevel"/>
    <w:tmpl w:val="90C8D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571FE0"/>
    <w:multiLevelType w:val="hybridMultilevel"/>
    <w:tmpl w:val="005AFDB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Symbol"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Symbol"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Symbol" w:hint="default"/>
      </w:rPr>
    </w:lvl>
    <w:lvl w:ilvl="8" w:tplc="04090005" w:tentative="1">
      <w:start w:val="1"/>
      <w:numFmt w:val="bullet"/>
      <w:lvlText w:val=""/>
      <w:lvlJc w:val="left"/>
      <w:pPr>
        <w:ind w:left="8640" w:hanging="360"/>
      </w:pPr>
      <w:rPr>
        <w:rFonts w:ascii="Wingdings" w:hAnsi="Wingdings" w:hint="default"/>
      </w:rPr>
    </w:lvl>
  </w:abstractNum>
  <w:abstractNum w:abstractNumId="20">
    <w:nsid w:val="5A2B5E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C795035"/>
    <w:multiLevelType w:val="hybridMultilevel"/>
    <w:tmpl w:val="A172F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52546D"/>
    <w:multiLevelType w:val="hybridMultilevel"/>
    <w:tmpl w:val="4C109A58"/>
    <w:lvl w:ilvl="0" w:tplc="DF1008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4C3E78"/>
    <w:multiLevelType w:val="hybridMultilevel"/>
    <w:tmpl w:val="EA705B7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Symbol"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Symbol"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Symbol" w:hint="default"/>
      </w:rPr>
    </w:lvl>
    <w:lvl w:ilvl="8" w:tplc="04090005" w:tentative="1">
      <w:start w:val="1"/>
      <w:numFmt w:val="bullet"/>
      <w:lvlText w:val=""/>
      <w:lvlJc w:val="left"/>
      <w:pPr>
        <w:ind w:left="8640" w:hanging="360"/>
      </w:pPr>
      <w:rPr>
        <w:rFonts w:ascii="Wingdings" w:hAnsi="Wingdings" w:hint="default"/>
      </w:rPr>
    </w:lvl>
  </w:abstractNum>
  <w:abstractNum w:abstractNumId="24">
    <w:nsid w:val="62F46CDF"/>
    <w:multiLevelType w:val="multilevel"/>
    <w:tmpl w:val="AC8E755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140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nsid w:val="6BCB20BB"/>
    <w:multiLevelType w:val="multilevel"/>
    <w:tmpl w:val="E0B2BBAC"/>
    <w:lvl w:ilvl="0">
      <w:start w:val="1"/>
      <w:numFmt w:val="upperRoman"/>
      <w:lvlText w:val="%1."/>
      <w:lvlJc w:val="left"/>
      <w:pPr>
        <w:ind w:left="1080" w:hanging="720"/>
      </w:pPr>
      <w:rPr>
        <w:rFonts w:hint="default"/>
        <w:b/>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70B35810"/>
    <w:multiLevelType w:val="multilevel"/>
    <w:tmpl w:val="A7BA37C2"/>
    <w:lvl w:ilvl="0">
      <w:start w:val="1"/>
      <w:numFmt w:val="upperRoman"/>
      <w:lvlText w:val="%1."/>
      <w:lvlJc w:val="left"/>
      <w:pPr>
        <w:ind w:left="1080" w:hanging="720"/>
      </w:pPr>
      <w:rPr>
        <w:rFonts w:hint="default"/>
        <w:b w:val="0"/>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71A10774"/>
    <w:multiLevelType w:val="hybridMultilevel"/>
    <w:tmpl w:val="4BB615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3C433A"/>
    <w:multiLevelType w:val="hybridMultilevel"/>
    <w:tmpl w:val="B6ECFC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EC76938"/>
    <w:multiLevelType w:val="hybridMultilevel"/>
    <w:tmpl w:val="0658B0FA"/>
    <w:lvl w:ilvl="0" w:tplc="DF1008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2"/>
  </w:num>
  <w:num w:numId="3">
    <w:abstractNumId w:val="26"/>
  </w:num>
  <w:num w:numId="4">
    <w:abstractNumId w:val="1"/>
  </w:num>
  <w:num w:numId="5">
    <w:abstractNumId w:val="21"/>
  </w:num>
  <w:num w:numId="6">
    <w:abstractNumId w:val="25"/>
  </w:num>
  <w:num w:numId="7">
    <w:abstractNumId w:val="23"/>
  </w:num>
  <w:num w:numId="8">
    <w:abstractNumId w:val="19"/>
  </w:num>
  <w:num w:numId="9">
    <w:abstractNumId w:val="2"/>
  </w:num>
  <w:num w:numId="10">
    <w:abstractNumId w:val="27"/>
  </w:num>
  <w:num w:numId="11">
    <w:abstractNumId w:val="15"/>
  </w:num>
  <w:num w:numId="12">
    <w:abstractNumId w:val="8"/>
  </w:num>
  <w:num w:numId="13">
    <w:abstractNumId w:val="12"/>
  </w:num>
  <w:num w:numId="14">
    <w:abstractNumId w:val="0"/>
  </w:num>
  <w:num w:numId="15">
    <w:abstractNumId w:val="11"/>
  </w:num>
  <w:num w:numId="16">
    <w:abstractNumId w:val="0"/>
    <w:lvlOverride w:ilvl="0">
      <w:startOverride w:val="2"/>
    </w:lvlOverride>
    <w:lvlOverride w:ilvl="1">
      <w:startOverride w:val="1"/>
    </w:lvlOverride>
  </w:num>
  <w:num w:numId="17">
    <w:abstractNumId w:val="20"/>
  </w:num>
  <w:num w:numId="18">
    <w:abstractNumId w:val="0"/>
    <w:lvlOverride w:ilvl="0">
      <w:startOverride w:val="2"/>
    </w:lvlOverride>
    <w:lvlOverride w:ilvl="1">
      <w:startOverride w:val="1"/>
    </w:lvlOverride>
  </w:num>
  <w:num w:numId="19">
    <w:abstractNumId w:val="10"/>
  </w:num>
  <w:num w:numId="20">
    <w:abstractNumId w:val="5"/>
  </w:num>
  <w:num w:numId="21">
    <w:abstractNumId w:val="16"/>
  </w:num>
  <w:num w:numId="22">
    <w:abstractNumId w:val="9"/>
  </w:num>
  <w:num w:numId="23">
    <w:abstractNumId w:val="7"/>
  </w:num>
  <w:num w:numId="24">
    <w:abstractNumId w:val="17"/>
  </w:num>
  <w:num w:numId="25">
    <w:abstractNumId w:val="6"/>
  </w:num>
  <w:num w:numId="26">
    <w:abstractNumId w:val="13"/>
  </w:num>
  <w:num w:numId="27">
    <w:abstractNumId w:val="14"/>
  </w:num>
  <w:num w:numId="28">
    <w:abstractNumId w:val="24"/>
  </w:num>
  <w:num w:numId="29">
    <w:abstractNumId w:val="3"/>
  </w:num>
  <w:num w:numId="30">
    <w:abstractNumId w:val="4"/>
  </w:num>
  <w:num w:numId="31">
    <w:abstractNumId w:val="28"/>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American Chemical Societ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Designer Drugs&lt;/item&gt;&lt;/Libraries&gt;&lt;/ENLibraries&gt;"/>
  </w:docVars>
  <w:rsids>
    <w:rsidRoot w:val="007C07E8"/>
    <w:rsid w:val="00005A65"/>
    <w:rsid w:val="00010CBC"/>
    <w:rsid w:val="000115E2"/>
    <w:rsid w:val="000173B1"/>
    <w:rsid w:val="0001758E"/>
    <w:rsid w:val="00021D35"/>
    <w:rsid w:val="00023451"/>
    <w:rsid w:val="00026F44"/>
    <w:rsid w:val="00027843"/>
    <w:rsid w:val="00030A88"/>
    <w:rsid w:val="0003131B"/>
    <w:rsid w:val="00034D08"/>
    <w:rsid w:val="00040FEC"/>
    <w:rsid w:val="00041E9D"/>
    <w:rsid w:val="00042529"/>
    <w:rsid w:val="00052F05"/>
    <w:rsid w:val="0005323C"/>
    <w:rsid w:val="0005442E"/>
    <w:rsid w:val="00054E38"/>
    <w:rsid w:val="000677CC"/>
    <w:rsid w:val="00073AC3"/>
    <w:rsid w:val="00073EB2"/>
    <w:rsid w:val="00076F2D"/>
    <w:rsid w:val="000815C8"/>
    <w:rsid w:val="00082222"/>
    <w:rsid w:val="0008279A"/>
    <w:rsid w:val="00084532"/>
    <w:rsid w:val="00086DB2"/>
    <w:rsid w:val="00091A8F"/>
    <w:rsid w:val="0009576E"/>
    <w:rsid w:val="00097973"/>
    <w:rsid w:val="000A6593"/>
    <w:rsid w:val="000B0322"/>
    <w:rsid w:val="000B1037"/>
    <w:rsid w:val="000B44D4"/>
    <w:rsid w:val="000B455F"/>
    <w:rsid w:val="000B7CAF"/>
    <w:rsid w:val="000C03F7"/>
    <w:rsid w:val="000C08DD"/>
    <w:rsid w:val="000C222E"/>
    <w:rsid w:val="000C2BF9"/>
    <w:rsid w:val="000C5D38"/>
    <w:rsid w:val="000C6C71"/>
    <w:rsid w:val="000D2700"/>
    <w:rsid w:val="000D6019"/>
    <w:rsid w:val="000D70B4"/>
    <w:rsid w:val="000E239B"/>
    <w:rsid w:val="000E25A1"/>
    <w:rsid w:val="000E706A"/>
    <w:rsid w:val="000F563A"/>
    <w:rsid w:val="000F6097"/>
    <w:rsid w:val="00103D80"/>
    <w:rsid w:val="00104071"/>
    <w:rsid w:val="00106396"/>
    <w:rsid w:val="00114C77"/>
    <w:rsid w:val="0012161F"/>
    <w:rsid w:val="00122180"/>
    <w:rsid w:val="001230AE"/>
    <w:rsid w:val="00123EE2"/>
    <w:rsid w:val="00127C5D"/>
    <w:rsid w:val="00132D97"/>
    <w:rsid w:val="00134C77"/>
    <w:rsid w:val="001355E4"/>
    <w:rsid w:val="00137037"/>
    <w:rsid w:val="00146D5B"/>
    <w:rsid w:val="00150B6D"/>
    <w:rsid w:val="001535A3"/>
    <w:rsid w:val="00155F88"/>
    <w:rsid w:val="001565F5"/>
    <w:rsid w:val="00160826"/>
    <w:rsid w:val="00162E53"/>
    <w:rsid w:val="00165A75"/>
    <w:rsid w:val="0016764A"/>
    <w:rsid w:val="00173451"/>
    <w:rsid w:val="00182CFE"/>
    <w:rsid w:val="00183B30"/>
    <w:rsid w:val="00183D41"/>
    <w:rsid w:val="001859C6"/>
    <w:rsid w:val="00187113"/>
    <w:rsid w:val="001877E9"/>
    <w:rsid w:val="001930E7"/>
    <w:rsid w:val="001934AC"/>
    <w:rsid w:val="001941FC"/>
    <w:rsid w:val="001A11E9"/>
    <w:rsid w:val="001B12C8"/>
    <w:rsid w:val="001B1331"/>
    <w:rsid w:val="001B4001"/>
    <w:rsid w:val="001B61DD"/>
    <w:rsid w:val="001B7699"/>
    <w:rsid w:val="001C010C"/>
    <w:rsid w:val="001C0EAE"/>
    <w:rsid w:val="001C1D78"/>
    <w:rsid w:val="001C2EE8"/>
    <w:rsid w:val="001C3530"/>
    <w:rsid w:val="001C5E1D"/>
    <w:rsid w:val="001E1357"/>
    <w:rsid w:val="001E5B98"/>
    <w:rsid w:val="001E70A7"/>
    <w:rsid w:val="001E7806"/>
    <w:rsid w:val="001E7D36"/>
    <w:rsid w:val="00200E72"/>
    <w:rsid w:val="00202A4A"/>
    <w:rsid w:val="00203922"/>
    <w:rsid w:val="00203EF5"/>
    <w:rsid w:val="00204D85"/>
    <w:rsid w:val="00211CA4"/>
    <w:rsid w:val="0021682C"/>
    <w:rsid w:val="0021706E"/>
    <w:rsid w:val="00217E72"/>
    <w:rsid w:val="00221DA2"/>
    <w:rsid w:val="00224A0F"/>
    <w:rsid w:val="00227908"/>
    <w:rsid w:val="00227C42"/>
    <w:rsid w:val="00227DA7"/>
    <w:rsid w:val="002350FB"/>
    <w:rsid w:val="00240C37"/>
    <w:rsid w:val="00242D41"/>
    <w:rsid w:val="00242FC0"/>
    <w:rsid w:val="00244582"/>
    <w:rsid w:val="002445EA"/>
    <w:rsid w:val="00251AF4"/>
    <w:rsid w:val="00255381"/>
    <w:rsid w:val="002566E2"/>
    <w:rsid w:val="00257074"/>
    <w:rsid w:val="002625AE"/>
    <w:rsid w:val="00270643"/>
    <w:rsid w:val="00273083"/>
    <w:rsid w:val="00275EEA"/>
    <w:rsid w:val="002802BF"/>
    <w:rsid w:val="00281DAC"/>
    <w:rsid w:val="00283A76"/>
    <w:rsid w:val="00284E98"/>
    <w:rsid w:val="00285F5D"/>
    <w:rsid w:val="0028631B"/>
    <w:rsid w:val="0028722F"/>
    <w:rsid w:val="0029089A"/>
    <w:rsid w:val="00295092"/>
    <w:rsid w:val="00295C56"/>
    <w:rsid w:val="00297AF9"/>
    <w:rsid w:val="002A268A"/>
    <w:rsid w:val="002A3A67"/>
    <w:rsid w:val="002A58B4"/>
    <w:rsid w:val="002A6C4F"/>
    <w:rsid w:val="002A75DB"/>
    <w:rsid w:val="002B17F3"/>
    <w:rsid w:val="002B254A"/>
    <w:rsid w:val="002B3683"/>
    <w:rsid w:val="002B7A35"/>
    <w:rsid w:val="002C0212"/>
    <w:rsid w:val="002C4680"/>
    <w:rsid w:val="002C6FFC"/>
    <w:rsid w:val="002D135E"/>
    <w:rsid w:val="002D24E3"/>
    <w:rsid w:val="002D3C40"/>
    <w:rsid w:val="002D68B7"/>
    <w:rsid w:val="002D75E2"/>
    <w:rsid w:val="002E1141"/>
    <w:rsid w:val="002E41BA"/>
    <w:rsid w:val="002E77C7"/>
    <w:rsid w:val="002E7D56"/>
    <w:rsid w:val="002F0651"/>
    <w:rsid w:val="002F1BC4"/>
    <w:rsid w:val="002F2176"/>
    <w:rsid w:val="002F660C"/>
    <w:rsid w:val="002F798A"/>
    <w:rsid w:val="0030272E"/>
    <w:rsid w:val="003051F1"/>
    <w:rsid w:val="0030652C"/>
    <w:rsid w:val="00307BAE"/>
    <w:rsid w:val="00314A25"/>
    <w:rsid w:val="0032023D"/>
    <w:rsid w:val="00320989"/>
    <w:rsid w:val="00321890"/>
    <w:rsid w:val="00324D58"/>
    <w:rsid w:val="00336075"/>
    <w:rsid w:val="00337B8E"/>
    <w:rsid w:val="00341365"/>
    <w:rsid w:val="00345728"/>
    <w:rsid w:val="00345DCD"/>
    <w:rsid w:val="00346354"/>
    <w:rsid w:val="00351049"/>
    <w:rsid w:val="003510F7"/>
    <w:rsid w:val="00351B27"/>
    <w:rsid w:val="00352426"/>
    <w:rsid w:val="0035433A"/>
    <w:rsid w:val="00354489"/>
    <w:rsid w:val="003546C5"/>
    <w:rsid w:val="0035662C"/>
    <w:rsid w:val="00357190"/>
    <w:rsid w:val="00365F4D"/>
    <w:rsid w:val="0036654F"/>
    <w:rsid w:val="003703AE"/>
    <w:rsid w:val="00370A02"/>
    <w:rsid w:val="00372554"/>
    <w:rsid w:val="003814B7"/>
    <w:rsid w:val="0038158C"/>
    <w:rsid w:val="0038169F"/>
    <w:rsid w:val="00386066"/>
    <w:rsid w:val="0038623C"/>
    <w:rsid w:val="003907E8"/>
    <w:rsid w:val="00392054"/>
    <w:rsid w:val="00393D3C"/>
    <w:rsid w:val="0039665E"/>
    <w:rsid w:val="00397B70"/>
    <w:rsid w:val="003A2470"/>
    <w:rsid w:val="003A4560"/>
    <w:rsid w:val="003A6D72"/>
    <w:rsid w:val="003B2AA7"/>
    <w:rsid w:val="003B7A12"/>
    <w:rsid w:val="003C0015"/>
    <w:rsid w:val="003C1016"/>
    <w:rsid w:val="003C5F94"/>
    <w:rsid w:val="003D3660"/>
    <w:rsid w:val="003D3BF8"/>
    <w:rsid w:val="003D406E"/>
    <w:rsid w:val="003D530A"/>
    <w:rsid w:val="003D7EA8"/>
    <w:rsid w:val="003E02AC"/>
    <w:rsid w:val="003E33A5"/>
    <w:rsid w:val="003E3C75"/>
    <w:rsid w:val="003F369C"/>
    <w:rsid w:val="003F6BD2"/>
    <w:rsid w:val="003F7659"/>
    <w:rsid w:val="0040090A"/>
    <w:rsid w:val="00403950"/>
    <w:rsid w:val="00404A20"/>
    <w:rsid w:val="00405B3D"/>
    <w:rsid w:val="004064DA"/>
    <w:rsid w:val="00407BBF"/>
    <w:rsid w:val="00413EB1"/>
    <w:rsid w:val="00420938"/>
    <w:rsid w:val="0042097C"/>
    <w:rsid w:val="00421090"/>
    <w:rsid w:val="00422035"/>
    <w:rsid w:val="00423039"/>
    <w:rsid w:val="00430693"/>
    <w:rsid w:val="00435159"/>
    <w:rsid w:val="00436F76"/>
    <w:rsid w:val="00446BB8"/>
    <w:rsid w:val="004478D7"/>
    <w:rsid w:val="0045173E"/>
    <w:rsid w:val="00452A81"/>
    <w:rsid w:val="00453869"/>
    <w:rsid w:val="0045386B"/>
    <w:rsid w:val="00453A53"/>
    <w:rsid w:val="004550B3"/>
    <w:rsid w:val="00455FA6"/>
    <w:rsid w:val="004577D6"/>
    <w:rsid w:val="004621F4"/>
    <w:rsid w:val="00466156"/>
    <w:rsid w:val="00467E78"/>
    <w:rsid w:val="0047139F"/>
    <w:rsid w:val="00475A12"/>
    <w:rsid w:val="00477DFC"/>
    <w:rsid w:val="00482CB1"/>
    <w:rsid w:val="00482E63"/>
    <w:rsid w:val="00483F06"/>
    <w:rsid w:val="0048542B"/>
    <w:rsid w:val="00494D40"/>
    <w:rsid w:val="004A0FFB"/>
    <w:rsid w:val="004A3266"/>
    <w:rsid w:val="004A6625"/>
    <w:rsid w:val="004A7A9D"/>
    <w:rsid w:val="004B1CB1"/>
    <w:rsid w:val="004B4236"/>
    <w:rsid w:val="004C2204"/>
    <w:rsid w:val="004C38D6"/>
    <w:rsid w:val="004C4595"/>
    <w:rsid w:val="004C746F"/>
    <w:rsid w:val="004D0081"/>
    <w:rsid w:val="004D105F"/>
    <w:rsid w:val="004D4260"/>
    <w:rsid w:val="004D7DCE"/>
    <w:rsid w:val="004D7ECD"/>
    <w:rsid w:val="004E4516"/>
    <w:rsid w:val="004E5CE2"/>
    <w:rsid w:val="004F0C86"/>
    <w:rsid w:val="004F383F"/>
    <w:rsid w:val="004F4737"/>
    <w:rsid w:val="004F48B7"/>
    <w:rsid w:val="004F4AE4"/>
    <w:rsid w:val="004F6127"/>
    <w:rsid w:val="004F6228"/>
    <w:rsid w:val="004F628F"/>
    <w:rsid w:val="004F7655"/>
    <w:rsid w:val="0050130D"/>
    <w:rsid w:val="00507136"/>
    <w:rsid w:val="005102A4"/>
    <w:rsid w:val="005177FE"/>
    <w:rsid w:val="00522624"/>
    <w:rsid w:val="00522EC8"/>
    <w:rsid w:val="00523B7A"/>
    <w:rsid w:val="00524D2D"/>
    <w:rsid w:val="00525B28"/>
    <w:rsid w:val="0052616E"/>
    <w:rsid w:val="00526D91"/>
    <w:rsid w:val="00531A8B"/>
    <w:rsid w:val="00533954"/>
    <w:rsid w:val="005350A4"/>
    <w:rsid w:val="00537C5A"/>
    <w:rsid w:val="00540BDC"/>
    <w:rsid w:val="005430FB"/>
    <w:rsid w:val="00546B9D"/>
    <w:rsid w:val="00550D9B"/>
    <w:rsid w:val="0055233A"/>
    <w:rsid w:val="00553D3B"/>
    <w:rsid w:val="005541BF"/>
    <w:rsid w:val="0055425E"/>
    <w:rsid w:val="005553A5"/>
    <w:rsid w:val="00557B6C"/>
    <w:rsid w:val="00557E8A"/>
    <w:rsid w:val="00561B81"/>
    <w:rsid w:val="005632CA"/>
    <w:rsid w:val="00563D1D"/>
    <w:rsid w:val="00565FA7"/>
    <w:rsid w:val="00566301"/>
    <w:rsid w:val="00566805"/>
    <w:rsid w:val="005711EA"/>
    <w:rsid w:val="0057429B"/>
    <w:rsid w:val="00574AF5"/>
    <w:rsid w:val="00574B1E"/>
    <w:rsid w:val="005860ED"/>
    <w:rsid w:val="005905B5"/>
    <w:rsid w:val="00590660"/>
    <w:rsid w:val="00590C2F"/>
    <w:rsid w:val="00593C41"/>
    <w:rsid w:val="00595F04"/>
    <w:rsid w:val="00596861"/>
    <w:rsid w:val="005A35CE"/>
    <w:rsid w:val="005B0F43"/>
    <w:rsid w:val="005B462E"/>
    <w:rsid w:val="005B495D"/>
    <w:rsid w:val="005B49BF"/>
    <w:rsid w:val="005C2CB9"/>
    <w:rsid w:val="005C500D"/>
    <w:rsid w:val="005C7C36"/>
    <w:rsid w:val="005D03C6"/>
    <w:rsid w:val="005D24D8"/>
    <w:rsid w:val="005D39B6"/>
    <w:rsid w:val="005D3EEC"/>
    <w:rsid w:val="005D42A9"/>
    <w:rsid w:val="005D4974"/>
    <w:rsid w:val="005E4B65"/>
    <w:rsid w:val="005E5723"/>
    <w:rsid w:val="005E5870"/>
    <w:rsid w:val="005E609C"/>
    <w:rsid w:val="005E6657"/>
    <w:rsid w:val="005F2E25"/>
    <w:rsid w:val="005F3315"/>
    <w:rsid w:val="005F455C"/>
    <w:rsid w:val="005F6FF4"/>
    <w:rsid w:val="005F75C2"/>
    <w:rsid w:val="006007CE"/>
    <w:rsid w:val="00603679"/>
    <w:rsid w:val="00606F4D"/>
    <w:rsid w:val="006072D7"/>
    <w:rsid w:val="006075F5"/>
    <w:rsid w:val="00614C7B"/>
    <w:rsid w:val="00615091"/>
    <w:rsid w:val="00616525"/>
    <w:rsid w:val="00622E5A"/>
    <w:rsid w:val="00623F89"/>
    <w:rsid w:val="006251DA"/>
    <w:rsid w:val="00630120"/>
    <w:rsid w:val="00631E8B"/>
    <w:rsid w:val="00634D0F"/>
    <w:rsid w:val="00635103"/>
    <w:rsid w:val="00641825"/>
    <w:rsid w:val="00646945"/>
    <w:rsid w:val="00653622"/>
    <w:rsid w:val="006546B5"/>
    <w:rsid w:val="006579B5"/>
    <w:rsid w:val="00661688"/>
    <w:rsid w:val="006651D9"/>
    <w:rsid w:val="00665CB0"/>
    <w:rsid w:val="006678DA"/>
    <w:rsid w:val="00674AF7"/>
    <w:rsid w:val="00675F47"/>
    <w:rsid w:val="00677B36"/>
    <w:rsid w:val="006816C2"/>
    <w:rsid w:val="006817A6"/>
    <w:rsid w:val="0068761A"/>
    <w:rsid w:val="0069488D"/>
    <w:rsid w:val="00694CE8"/>
    <w:rsid w:val="00697C43"/>
    <w:rsid w:val="006A1644"/>
    <w:rsid w:val="006A2A06"/>
    <w:rsid w:val="006A3C4E"/>
    <w:rsid w:val="006A50AC"/>
    <w:rsid w:val="006B42B9"/>
    <w:rsid w:val="006C0F5A"/>
    <w:rsid w:val="006C4D6E"/>
    <w:rsid w:val="006D47E3"/>
    <w:rsid w:val="006E330B"/>
    <w:rsid w:val="006E467F"/>
    <w:rsid w:val="006F0C84"/>
    <w:rsid w:val="006F2ED5"/>
    <w:rsid w:val="0070539A"/>
    <w:rsid w:val="007117C2"/>
    <w:rsid w:val="00711EC7"/>
    <w:rsid w:val="00715D97"/>
    <w:rsid w:val="00723EE5"/>
    <w:rsid w:val="0072494B"/>
    <w:rsid w:val="007305A4"/>
    <w:rsid w:val="00730B45"/>
    <w:rsid w:val="00732F4B"/>
    <w:rsid w:val="00735C52"/>
    <w:rsid w:val="0073680F"/>
    <w:rsid w:val="00737177"/>
    <w:rsid w:val="00741757"/>
    <w:rsid w:val="00742D30"/>
    <w:rsid w:val="00742D47"/>
    <w:rsid w:val="00742FB9"/>
    <w:rsid w:val="00744435"/>
    <w:rsid w:val="00745B01"/>
    <w:rsid w:val="00745DE6"/>
    <w:rsid w:val="00762B25"/>
    <w:rsid w:val="0076330C"/>
    <w:rsid w:val="0076402F"/>
    <w:rsid w:val="00765CAC"/>
    <w:rsid w:val="007674DA"/>
    <w:rsid w:val="007679FE"/>
    <w:rsid w:val="00770363"/>
    <w:rsid w:val="00775D9A"/>
    <w:rsid w:val="00776EF1"/>
    <w:rsid w:val="00777DED"/>
    <w:rsid w:val="007800E7"/>
    <w:rsid w:val="00782D74"/>
    <w:rsid w:val="007831F8"/>
    <w:rsid w:val="007929FE"/>
    <w:rsid w:val="00793B26"/>
    <w:rsid w:val="007947F9"/>
    <w:rsid w:val="007977AB"/>
    <w:rsid w:val="007A1234"/>
    <w:rsid w:val="007B1100"/>
    <w:rsid w:val="007B3571"/>
    <w:rsid w:val="007C07E8"/>
    <w:rsid w:val="007C37F3"/>
    <w:rsid w:val="007C6973"/>
    <w:rsid w:val="007C7743"/>
    <w:rsid w:val="007D25D5"/>
    <w:rsid w:val="007D286D"/>
    <w:rsid w:val="007D2AA8"/>
    <w:rsid w:val="007D7992"/>
    <w:rsid w:val="007D7C08"/>
    <w:rsid w:val="007E0071"/>
    <w:rsid w:val="007E0FA0"/>
    <w:rsid w:val="007E3AE4"/>
    <w:rsid w:val="007E598C"/>
    <w:rsid w:val="007F3671"/>
    <w:rsid w:val="007F5CA3"/>
    <w:rsid w:val="008039A0"/>
    <w:rsid w:val="00804344"/>
    <w:rsid w:val="00807CEA"/>
    <w:rsid w:val="00810B1A"/>
    <w:rsid w:val="00820951"/>
    <w:rsid w:val="008210C4"/>
    <w:rsid w:val="00823895"/>
    <w:rsid w:val="008241EB"/>
    <w:rsid w:val="00825938"/>
    <w:rsid w:val="00827D12"/>
    <w:rsid w:val="0083704F"/>
    <w:rsid w:val="00837468"/>
    <w:rsid w:val="00841DBA"/>
    <w:rsid w:val="00842209"/>
    <w:rsid w:val="00842CD8"/>
    <w:rsid w:val="008469CD"/>
    <w:rsid w:val="0085215B"/>
    <w:rsid w:val="00853105"/>
    <w:rsid w:val="008538DA"/>
    <w:rsid w:val="00854951"/>
    <w:rsid w:val="00857CC0"/>
    <w:rsid w:val="00860A7A"/>
    <w:rsid w:val="00860C82"/>
    <w:rsid w:val="00861B70"/>
    <w:rsid w:val="00863C94"/>
    <w:rsid w:val="00864A9D"/>
    <w:rsid w:val="00866C8F"/>
    <w:rsid w:val="00866E30"/>
    <w:rsid w:val="00872C13"/>
    <w:rsid w:val="008747CC"/>
    <w:rsid w:val="00875A2B"/>
    <w:rsid w:val="00875BFC"/>
    <w:rsid w:val="008809BF"/>
    <w:rsid w:val="00883198"/>
    <w:rsid w:val="00891946"/>
    <w:rsid w:val="00893A29"/>
    <w:rsid w:val="00895947"/>
    <w:rsid w:val="008A3F01"/>
    <w:rsid w:val="008A4C8D"/>
    <w:rsid w:val="008A68F9"/>
    <w:rsid w:val="008B0BB8"/>
    <w:rsid w:val="008B10FB"/>
    <w:rsid w:val="008B5345"/>
    <w:rsid w:val="008B6C28"/>
    <w:rsid w:val="008C1AC3"/>
    <w:rsid w:val="008C29BE"/>
    <w:rsid w:val="008C5E2F"/>
    <w:rsid w:val="008C69AB"/>
    <w:rsid w:val="008C7172"/>
    <w:rsid w:val="008C7B90"/>
    <w:rsid w:val="008E264B"/>
    <w:rsid w:val="008E58E3"/>
    <w:rsid w:val="008E5983"/>
    <w:rsid w:val="008E6DDD"/>
    <w:rsid w:val="008E77DD"/>
    <w:rsid w:val="008F00FD"/>
    <w:rsid w:val="008F4463"/>
    <w:rsid w:val="008F4B3F"/>
    <w:rsid w:val="008F78E8"/>
    <w:rsid w:val="00902FA1"/>
    <w:rsid w:val="00906488"/>
    <w:rsid w:val="009133E9"/>
    <w:rsid w:val="0091504F"/>
    <w:rsid w:val="009227E1"/>
    <w:rsid w:val="00923857"/>
    <w:rsid w:val="00931A9A"/>
    <w:rsid w:val="00932348"/>
    <w:rsid w:val="00932D32"/>
    <w:rsid w:val="00933DD4"/>
    <w:rsid w:val="0093547F"/>
    <w:rsid w:val="00937764"/>
    <w:rsid w:val="00941167"/>
    <w:rsid w:val="00946E26"/>
    <w:rsid w:val="00947051"/>
    <w:rsid w:val="009563FD"/>
    <w:rsid w:val="00957D95"/>
    <w:rsid w:val="0096078F"/>
    <w:rsid w:val="0096221E"/>
    <w:rsid w:val="0096793F"/>
    <w:rsid w:val="0097040A"/>
    <w:rsid w:val="00971DF2"/>
    <w:rsid w:val="0097265E"/>
    <w:rsid w:val="0097298C"/>
    <w:rsid w:val="00980E36"/>
    <w:rsid w:val="0098195C"/>
    <w:rsid w:val="00982AD4"/>
    <w:rsid w:val="0098540D"/>
    <w:rsid w:val="009864B9"/>
    <w:rsid w:val="00986C2B"/>
    <w:rsid w:val="00987561"/>
    <w:rsid w:val="009879AF"/>
    <w:rsid w:val="00993436"/>
    <w:rsid w:val="00996861"/>
    <w:rsid w:val="009A1AE5"/>
    <w:rsid w:val="009A3130"/>
    <w:rsid w:val="009A48C2"/>
    <w:rsid w:val="009A6666"/>
    <w:rsid w:val="009B0D00"/>
    <w:rsid w:val="009C0713"/>
    <w:rsid w:val="009C1F2A"/>
    <w:rsid w:val="009C30CB"/>
    <w:rsid w:val="009C638B"/>
    <w:rsid w:val="009C6A1D"/>
    <w:rsid w:val="009C7BDF"/>
    <w:rsid w:val="009C7DAC"/>
    <w:rsid w:val="009D0632"/>
    <w:rsid w:val="009D46D1"/>
    <w:rsid w:val="009D79DD"/>
    <w:rsid w:val="009D7C48"/>
    <w:rsid w:val="009E0177"/>
    <w:rsid w:val="009E38BE"/>
    <w:rsid w:val="009E509F"/>
    <w:rsid w:val="009E5B6B"/>
    <w:rsid w:val="009E75BB"/>
    <w:rsid w:val="009E7A6A"/>
    <w:rsid w:val="009F0410"/>
    <w:rsid w:val="009F4645"/>
    <w:rsid w:val="009F46D6"/>
    <w:rsid w:val="00A00A0E"/>
    <w:rsid w:val="00A0368D"/>
    <w:rsid w:val="00A04A11"/>
    <w:rsid w:val="00A13DD1"/>
    <w:rsid w:val="00A2178E"/>
    <w:rsid w:val="00A218FC"/>
    <w:rsid w:val="00A26E4F"/>
    <w:rsid w:val="00A27146"/>
    <w:rsid w:val="00A33C13"/>
    <w:rsid w:val="00A37884"/>
    <w:rsid w:val="00A40014"/>
    <w:rsid w:val="00A423F0"/>
    <w:rsid w:val="00A4332A"/>
    <w:rsid w:val="00A4777E"/>
    <w:rsid w:val="00A47D80"/>
    <w:rsid w:val="00A54CD5"/>
    <w:rsid w:val="00A5535D"/>
    <w:rsid w:val="00A553D2"/>
    <w:rsid w:val="00A5727C"/>
    <w:rsid w:val="00A61B77"/>
    <w:rsid w:val="00A61C1F"/>
    <w:rsid w:val="00A61D75"/>
    <w:rsid w:val="00A620DA"/>
    <w:rsid w:val="00A62B79"/>
    <w:rsid w:val="00A63DA6"/>
    <w:rsid w:val="00A64DAC"/>
    <w:rsid w:val="00A70545"/>
    <w:rsid w:val="00A7314D"/>
    <w:rsid w:val="00A735A2"/>
    <w:rsid w:val="00A74057"/>
    <w:rsid w:val="00A74E23"/>
    <w:rsid w:val="00A770EF"/>
    <w:rsid w:val="00A77CBF"/>
    <w:rsid w:val="00A83068"/>
    <w:rsid w:val="00A842FB"/>
    <w:rsid w:val="00A875CB"/>
    <w:rsid w:val="00A90E10"/>
    <w:rsid w:val="00A93E0B"/>
    <w:rsid w:val="00A944B9"/>
    <w:rsid w:val="00A953C1"/>
    <w:rsid w:val="00A97E34"/>
    <w:rsid w:val="00AA1AC7"/>
    <w:rsid w:val="00AA237A"/>
    <w:rsid w:val="00AA2498"/>
    <w:rsid w:val="00AA70B9"/>
    <w:rsid w:val="00AB08E6"/>
    <w:rsid w:val="00AB41E2"/>
    <w:rsid w:val="00AB4FA6"/>
    <w:rsid w:val="00AB54C5"/>
    <w:rsid w:val="00AB5F15"/>
    <w:rsid w:val="00AB7A45"/>
    <w:rsid w:val="00AC46DE"/>
    <w:rsid w:val="00AC4BCD"/>
    <w:rsid w:val="00AC5F51"/>
    <w:rsid w:val="00AC66EF"/>
    <w:rsid w:val="00AD3D67"/>
    <w:rsid w:val="00AE0AEF"/>
    <w:rsid w:val="00AE153E"/>
    <w:rsid w:val="00AE2262"/>
    <w:rsid w:val="00AE5120"/>
    <w:rsid w:val="00AE7800"/>
    <w:rsid w:val="00AF21C9"/>
    <w:rsid w:val="00AF665B"/>
    <w:rsid w:val="00B00AAE"/>
    <w:rsid w:val="00B015C8"/>
    <w:rsid w:val="00B06D40"/>
    <w:rsid w:val="00B07CC2"/>
    <w:rsid w:val="00B07F84"/>
    <w:rsid w:val="00B10A3E"/>
    <w:rsid w:val="00B10E27"/>
    <w:rsid w:val="00B12471"/>
    <w:rsid w:val="00B163AF"/>
    <w:rsid w:val="00B16FD5"/>
    <w:rsid w:val="00B20DFC"/>
    <w:rsid w:val="00B2107A"/>
    <w:rsid w:val="00B23629"/>
    <w:rsid w:val="00B26459"/>
    <w:rsid w:val="00B31B06"/>
    <w:rsid w:val="00B31E91"/>
    <w:rsid w:val="00B353A1"/>
    <w:rsid w:val="00B36AB5"/>
    <w:rsid w:val="00B4130A"/>
    <w:rsid w:val="00B41F41"/>
    <w:rsid w:val="00B5056A"/>
    <w:rsid w:val="00B54901"/>
    <w:rsid w:val="00B568E6"/>
    <w:rsid w:val="00B56C9B"/>
    <w:rsid w:val="00B63B8A"/>
    <w:rsid w:val="00B64BC3"/>
    <w:rsid w:val="00B655C4"/>
    <w:rsid w:val="00B657E5"/>
    <w:rsid w:val="00B724DC"/>
    <w:rsid w:val="00B7370E"/>
    <w:rsid w:val="00B7393C"/>
    <w:rsid w:val="00B743D7"/>
    <w:rsid w:val="00B74902"/>
    <w:rsid w:val="00B81269"/>
    <w:rsid w:val="00B8330E"/>
    <w:rsid w:val="00B847E3"/>
    <w:rsid w:val="00B876C9"/>
    <w:rsid w:val="00B92A10"/>
    <w:rsid w:val="00B944CB"/>
    <w:rsid w:val="00BA18DE"/>
    <w:rsid w:val="00BA3AD5"/>
    <w:rsid w:val="00BA49B2"/>
    <w:rsid w:val="00BA5B2F"/>
    <w:rsid w:val="00BA6B79"/>
    <w:rsid w:val="00BB3FAB"/>
    <w:rsid w:val="00BC1044"/>
    <w:rsid w:val="00BC2355"/>
    <w:rsid w:val="00BC6935"/>
    <w:rsid w:val="00BC6C9E"/>
    <w:rsid w:val="00BD45EB"/>
    <w:rsid w:val="00BD63AC"/>
    <w:rsid w:val="00BF1F30"/>
    <w:rsid w:val="00BF5C4C"/>
    <w:rsid w:val="00C0424A"/>
    <w:rsid w:val="00C044ED"/>
    <w:rsid w:val="00C04E43"/>
    <w:rsid w:val="00C06AE3"/>
    <w:rsid w:val="00C118CF"/>
    <w:rsid w:val="00C11BE0"/>
    <w:rsid w:val="00C135C9"/>
    <w:rsid w:val="00C13EBD"/>
    <w:rsid w:val="00C16E73"/>
    <w:rsid w:val="00C1740D"/>
    <w:rsid w:val="00C20C2E"/>
    <w:rsid w:val="00C23C18"/>
    <w:rsid w:val="00C26893"/>
    <w:rsid w:val="00C30A04"/>
    <w:rsid w:val="00C32BC5"/>
    <w:rsid w:val="00C450D9"/>
    <w:rsid w:val="00C45E58"/>
    <w:rsid w:val="00C46CD2"/>
    <w:rsid w:val="00C47685"/>
    <w:rsid w:val="00C50AA7"/>
    <w:rsid w:val="00C56A19"/>
    <w:rsid w:val="00C60123"/>
    <w:rsid w:val="00C62D0E"/>
    <w:rsid w:val="00C636A6"/>
    <w:rsid w:val="00C65072"/>
    <w:rsid w:val="00C67A58"/>
    <w:rsid w:val="00C72850"/>
    <w:rsid w:val="00C749BC"/>
    <w:rsid w:val="00C80482"/>
    <w:rsid w:val="00C830A2"/>
    <w:rsid w:val="00C84FD6"/>
    <w:rsid w:val="00C900A5"/>
    <w:rsid w:val="00C93A8F"/>
    <w:rsid w:val="00CA322B"/>
    <w:rsid w:val="00CA38DC"/>
    <w:rsid w:val="00CA4F5A"/>
    <w:rsid w:val="00CA712F"/>
    <w:rsid w:val="00CB0ADF"/>
    <w:rsid w:val="00CB40E4"/>
    <w:rsid w:val="00CB5EA1"/>
    <w:rsid w:val="00CC283E"/>
    <w:rsid w:val="00CC41AA"/>
    <w:rsid w:val="00CC62A3"/>
    <w:rsid w:val="00CD35C2"/>
    <w:rsid w:val="00CD68A8"/>
    <w:rsid w:val="00CD767F"/>
    <w:rsid w:val="00CE07A3"/>
    <w:rsid w:val="00CE1144"/>
    <w:rsid w:val="00CE7CB1"/>
    <w:rsid w:val="00CF1B54"/>
    <w:rsid w:val="00CF6AB5"/>
    <w:rsid w:val="00CF751E"/>
    <w:rsid w:val="00D0059B"/>
    <w:rsid w:val="00D00F04"/>
    <w:rsid w:val="00D04C20"/>
    <w:rsid w:val="00D05D55"/>
    <w:rsid w:val="00D05DA7"/>
    <w:rsid w:val="00D06F2C"/>
    <w:rsid w:val="00D07BE7"/>
    <w:rsid w:val="00D10C11"/>
    <w:rsid w:val="00D11004"/>
    <w:rsid w:val="00D11522"/>
    <w:rsid w:val="00D13592"/>
    <w:rsid w:val="00D135C6"/>
    <w:rsid w:val="00D15572"/>
    <w:rsid w:val="00D17B95"/>
    <w:rsid w:val="00D2008A"/>
    <w:rsid w:val="00D21CEA"/>
    <w:rsid w:val="00D25CB7"/>
    <w:rsid w:val="00D26510"/>
    <w:rsid w:val="00D3220E"/>
    <w:rsid w:val="00D35484"/>
    <w:rsid w:val="00D37BD2"/>
    <w:rsid w:val="00D40318"/>
    <w:rsid w:val="00D44205"/>
    <w:rsid w:val="00D444D5"/>
    <w:rsid w:val="00D46F06"/>
    <w:rsid w:val="00D53E62"/>
    <w:rsid w:val="00D55EFA"/>
    <w:rsid w:val="00D60D6B"/>
    <w:rsid w:val="00D60EBA"/>
    <w:rsid w:val="00D61A2B"/>
    <w:rsid w:val="00D62F8B"/>
    <w:rsid w:val="00D634DC"/>
    <w:rsid w:val="00D661C3"/>
    <w:rsid w:val="00D75E67"/>
    <w:rsid w:val="00D913BC"/>
    <w:rsid w:val="00D91990"/>
    <w:rsid w:val="00D93A84"/>
    <w:rsid w:val="00D96FD8"/>
    <w:rsid w:val="00DA063A"/>
    <w:rsid w:val="00DA10FC"/>
    <w:rsid w:val="00DA1A18"/>
    <w:rsid w:val="00DA474D"/>
    <w:rsid w:val="00DB132F"/>
    <w:rsid w:val="00DB47FD"/>
    <w:rsid w:val="00DB4A88"/>
    <w:rsid w:val="00DB730E"/>
    <w:rsid w:val="00DC2983"/>
    <w:rsid w:val="00DD2E5F"/>
    <w:rsid w:val="00DD596B"/>
    <w:rsid w:val="00DD6218"/>
    <w:rsid w:val="00DD78D0"/>
    <w:rsid w:val="00DE0162"/>
    <w:rsid w:val="00DE0FB1"/>
    <w:rsid w:val="00DE3002"/>
    <w:rsid w:val="00DE3BA4"/>
    <w:rsid w:val="00DE4C74"/>
    <w:rsid w:val="00DF1818"/>
    <w:rsid w:val="00DF5714"/>
    <w:rsid w:val="00DF5793"/>
    <w:rsid w:val="00DF710B"/>
    <w:rsid w:val="00E03F18"/>
    <w:rsid w:val="00E05762"/>
    <w:rsid w:val="00E06A4B"/>
    <w:rsid w:val="00E11AE6"/>
    <w:rsid w:val="00E11FE8"/>
    <w:rsid w:val="00E13738"/>
    <w:rsid w:val="00E13E50"/>
    <w:rsid w:val="00E16041"/>
    <w:rsid w:val="00E277F0"/>
    <w:rsid w:val="00E342A3"/>
    <w:rsid w:val="00E35459"/>
    <w:rsid w:val="00E36E24"/>
    <w:rsid w:val="00E37796"/>
    <w:rsid w:val="00E40961"/>
    <w:rsid w:val="00E42FA3"/>
    <w:rsid w:val="00E43C73"/>
    <w:rsid w:val="00E43C76"/>
    <w:rsid w:val="00E47046"/>
    <w:rsid w:val="00E545D6"/>
    <w:rsid w:val="00E572AC"/>
    <w:rsid w:val="00E575DC"/>
    <w:rsid w:val="00E57637"/>
    <w:rsid w:val="00E614AE"/>
    <w:rsid w:val="00E61A78"/>
    <w:rsid w:val="00E63113"/>
    <w:rsid w:val="00E66C66"/>
    <w:rsid w:val="00E66FC6"/>
    <w:rsid w:val="00E73A76"/>
    <w:rsid w:val="00E755CC"/>
    <w:rsid w:val="00E767B9"/>
    <w:rsid w:val="00E76B07"/>
    <w:rsid w:val="00E81E71"/>
    <w:rsid w:val="00E85E6E"/>
    <w:rsid w:val="00E86A23"/>
    <w:rsid w:val="00E9449A"/>
    <w:rsid w:val="00E951CA"/>
    <w:rsid w:val="00E97C66"/>
    <w:rsid w:val="00E97FF3"/>
    <w:rsid w:val="00EA267C"/>
    <w:rsid w:val="00EA41C4"/>
    <w:rsid w:val="00EA41E8"/>
    <w:rsid w:val="00EA6426"/>
    <w:rsid w:val="00EB2395"/>
    <w:rsid w:val="00EC09CD"/>
    <w:rsid w:val="00EC1C95"/>
    <w:rsid w:val="00EC24D4"/>
    <w:rsid w:val="00EC3943"/>
    <w:rsid w:val="00EC3E74"/>
    <w:rsid w:val="00EC6F95"/>
    <w:rsid w:val="00ED27EA"/>
    <w:rsid w:val="00ED524D"/>
    <w:rsid w:val="00ED77A8"/>
    <w:rsid w:val="00EE14B5"/>
    <w:rsid w:val="00EE43E8"/>
    <w:rsid w:val="00EE655C"/>
    <w:rsid w:val="00EE6C5D"/>
    <w:rsid w:val="00EF1B2C"/>
    <w:rsid w:val="00EF30D0"/>
    <w:rsid w:val="00EF3F80"/>
    <w:rsid w:val="00EF5AC4"/>
    <w:rsid w:val="00EF798F"/>
    <w:rsid w:val="00F00455"/>
    <w:rsid w:val="00F00653"/>
    <w:rsid w:val="00F05925"/>
    <w:rsid w:val="00F066F5"/>
    <w:rsid w:val="00F11250"/>
    <w:rsid w:val="00F154CF"/>
    <w:rsid w:val="00F1556E"/>
    <w:rsid w:val="00F20829"/>
    <w:rsid w:val="00F23109"/>
    <w:rsid w:val="00F27923"/>
    <w:rsid w:val="00F30241"/>
    <w:rsid w:val="00F352E3"/>
    <w:rsid w:val="00F369F6"/>
    <w:rsid w:val="00F37E99"/>
    <w:rsid w:val="00F41504"/>
    <w:rsid w:val="00F426CA"/>
    <w:rsid w:val="00F452B2"/>
    <w:rsid w:val="00F471AD"/>
    <w:rsid w:val="00F476B4"/>
    <w:rsid w:val="00F4798C"/>
    <w:rsid w:val="00F57698"/>
    <w:rsid w:val="00F57CF6"/>
    <w:rsid w:val="00F6031E"/>
    <w:rsid w:val="00F60F9D"/>
    <w:rsid w:val="00F61569"/>
    <w:rsid w:val="00F6221C"/>
    <w:rsid w:val="00F6496E"/>
    <w:rsid w:val="00F64BB8"/>
    <w:rsid w:val="00F65245"/>
    <w:rsid w:val="00F677A2"/>
    <w:rsid w:val="00F7556B"/>
    <w:rsid w:val="00F75598"/>
    <w:rsid w:val="00F77B38"/>
    <w:rsid w:val="00F84245"/>
    <w:rsid w:val="00F849BB"/>
    <w:rsid w:val="00F91BB7"/>
    <w:rsid w:val="00F9468C"/>
    <w:rsid w:val="00F96293"/>
    <w:rsid w:val="00F97B2D"/>
    <w:rsid w:val="00FA2445"/>
    <w:rsid w:val="00FA3DDB"/>
    <w:rsid w:val="00FA4DB2"/>
    <w:rsid w:val="00FB0381"/>
    <w:rsid w:val="00FB4976"/>
    <w:rsid w:val="00FB58E0"/>
    <w:rsid w:val="00FC08A1"/>
    <w:rsid w:val="00FC0F8F"/>
    <w:rsid w:val="00FC4345"/>
    <w:rsid w:val="00FD3FD8"/>
    <w:rsid w:val="00FD6033"/>
    <w:rsid w:val="00FD78D3"/>
    <w:rsid w:val="00FE04AF"/>
    <w:rsid w:val="00FE6BF0"/>
    <w:rsid w:val="00FF2416"/>
    <w:rsid w:val="00FF4CAD"/>
    <w:rsid w:val="00FF697A"/>
    <w:rsid w:val="00FF77AD"/>
    <w:rsid w:val="00FF7E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AC5F51"/>
    <w:rPr>
      <w:rFonts w:ascii="Times New Roman" w:hAnsi="Times New Roman"/>
      <w:sz w:val="24"/>
    </w:rPr>
  </w:style>
  <w:style w:type="paragraph" w:styleId="Heading1">
    <w:name w:val="heading 1"/>
    <w:basedOn w:val="Normal"/>
    <w:next w:val="Normal"/>
    <w:link w:val="Heading1Char"/>
    <w:uiPriority w:val="9"/>
    <w:qFormat/>
    <w:rsid w:val="00F97B2D"/>
    <w:pPr>
      <w:numPr>
        <w:numId w:val="28"/>
      </w:numPr>
      <w:spacing w:after="0" w:line="480" w:lineRule="auto"/>
      <w:contextualSpacing/>
      <w:outlineLvl w:val="0"/>
    </w:pPr>
    <w:rPr>
      <w:rFonts w:eastAsiaTheme="majorEastAsia" w:cs="Times New Roman"/>
      <w:b/>
      <w:bCs/>
      <w:szCs w:val="24"/>
    </w:rPr>
  </w:style>
  <w:style w:type="paragraph" w:styleId="Heading2">
    <w:name w:val="heading 2"/>
    <w:basedOn w:val="Normal"/>
    <w:next w:val="Normal"/>
    <w:link w:val="Heading2Char"/>
    <w:autoRedefine/>
    <w:uiPriority w:val="9"/>
    <w:unhideWhenUsed/>
    <w:qFormat/>
    <w:rsid w:val="00F97B2D"/>
    <w:pPr>
      <w:numPr>
        <w:ilvl w:val="1"/>
        <w:numId w:val="28"/>
      </w:numPr>
      <w:autoSpaceDE w:val="0"/>
      <w:autoSpaceDN w:val="0"/>
      <w:adjustRightInd w:val="0"/>
      <w:spacing w:after="0" w:line="480" w:lineRule="auto"/>
      <w:contextualSpacing/>
      <w:outlineLvl w:val="1"/>
    </w:pPr>
    <w:rPr>
      <w:rFonts w:eastAsiaTheme="majorEastAsia" w:cs="Times New Roman"/>
      <w:b/>
      <w:bCs/>
      <w:szCs w:val="24"/>
    </w:rPr>
  </w:style>
  <w:style w:type="paragraph" w:styleId="Heading3">
    <w:name w:val="heading 3"/>
    <w:basedOn w:val="Heading2"/>
    <w:next w:val="Normal"/>
    <w:link w:val="Heading3Char"/>
    <w:autoRedefine/>
    <w:uiPriority w:val="9"/>
    <w:unhideWhenUsed/>
    <w:qFormat/>
    <w:rsid w:val="00F97B2D"/>
    <w:pPr>
      <w:numPr>
        <w:ilvl w:val="2"/>
      </w:numPr>
      <w:outlineLvl w:val="2"/>
    </w:pPr>
  </w:style>
  <w:style w:type="paragraph" w:styleId="Heading4">
    <w:name w:val="heading 4"/>
    <w:basedOn w:val="Normal"/>
    <w:next w:val="Normal"/>
    <w:link w:val="Heading4Char"/>
    <w:autoRedefine/>
    <w:uiPriority w:val="9"/>
    <w:unhideWhenUsed/>
    <w:qFormat/>
    <w:rsid w:val="00AC5F51"/>
    <w:pPr>
      <w:numPr>
        <w:ilvl w:val="3"/>
        <w:numId w:val="28"/>
      </w:numPr>
      <w:spacing w:after="0" w:line="480" w:lineRule="auto"/>
      <w:ind w:left="0" w:firstLine="0"/>
      <w:contextualSpacing/>
      <w:outlineLvl w:val="3"/>
    </w:pPr>
    <w:rPr>
      <w:rFonts w:eastAsiaTheme="majorEastAsia" w:cstheme="majorBidi"/>
      <w:b/>
      <w:bCs/>
      <w:iCs/>
      <w:szCs w:val="24"/>
    </w:rPr>
  </w:style>
  <w:style w:type="paragraph" w:styleId="Heading5">
    <w:name w:val="heading 5"/>
    <w:basedOn w:val="Normal"/>
    <w:next w:val="Normal"/>
    <w:link w:val="Heading5Char"/>
    <w:uiPriority w:val="9"/>
    <w:semiHidden/>
    <w:unhideWhenUsed/>
    <w:qFormat/>
    <w:rsid w:val="00D10C11"/>
    <w:pPr>
      <w:numPr>
        <w:ilvl w:val="4"/>
        <w:numId w:val="28"/>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10C11"/>
    <w:pPr>
      <w:numPr>
        <w:ilvl w:val="5"/>
        <w:numId w:val="28"/>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10C11"/>
    <w:pPr>
      <w:numPr>
        <w:ilvl w:val="6"/>
        <w:numId w:val="28"/>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10C11"/>
    <w:pPr>
      <w:numPr>
        <w:ilvl w:val="7"/>
        <w:numId w:val="28"/>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D10C11"/>
    <w:pPr>
      <w:numPr>
        <w:ilvl w:val="8"/>
        <w:numId w:val="28"/>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2CA"/>
  </w:style>
  <w:style w:type="paragraph" w:styleId="Footer">
    <w:name w:val="footer"/>
    <w:basedOn w:val="Normal"/>
    <w:link w:val="FooterChar"/>
    <w:uiPriority w:val="99"/>
    <w:unhideWhenUsed/>
    <w:rsid w:val="0056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2CA"/>
  </w:style>
  <w:style w:type="paragraph" w:styleId="ListParagraph">
    <w:name w:val="List Paragraph"/>
    <w:basedOn w:val="Normal"/>
    <w:uiPriority w:val="34"/>
    <w:rsid w:val="00D10C11"/>
    <w:pPr>
      <w:ind w:left="720"/>
      <w:contextualSpacing/>
    </w:pPr>
  </w:style>
  <w:style w:type="character" w:styleId="Hyperlink">
    <w:name w:val="Hyperlink"/>
    <w:basedOn w:val="DefaultParagraphFont"/>
    <w:uiPriority w:val="99"/>
    <w:unhideWhenUsed/>
    <w:rsid w:val="00F77B38"/>
    <w:rPr>
      <w:color w:val="0000FF" w:themeColor="hyperlink"/>
      <w:u w:val="single"/>
    </w:rPr>
  </w:style>
  <w:style w:type="paragraph" w:styleId="TOC1">
    <w:name w:val="toc 1"/>
    <w:basedOn w:val="Normal"/>
    <w:next w:val="Normal"/>
    <w:link w:val="TOC1Char"/>
    <w:autoRedefine/>
    <w:uiPriority w:val="39"/>
    <w:unhideWhenUsed/>
    <w:rsid w:val="00D661C3"/>
    <w:pPr>
      <w:tabs>
        <w:tab w:val="left" w:pos="360"/>
        <w:tab w:val="right" w:leader="dot" w:pos="8630"/>
      </w:tabs>
      <w:spacing w:before="240" w:after="0" w:line="240" w:lineRule="auto"/>
    </w:pPr>
    <w:rPr>
      <w:bCs/>
      <w:caps/>
      <w:szCs w:val="24"/>
    </w:rPr>
  </w:style>
  <w:style w:type="paragraph" w:styleId="BalloonText">
    <w:name w:val="Balloon Text"/>
    <w:basedOn w:val="Normal"/>
    <w:link w:val="BalloonTextChar"/>
    <w:uiPriority w:val="99"/>
    <w:semiHidden/>
    <w:unhideWhenUsed/>
    <w:rsid w:val="00F77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B38"/>
    <w:rPr>
      <w:rFonts w:ascii="Tahoma" w:hAnsi="Tahoma" w:cs="Tahoma"/>
      <w:sz w:val="16"/>
      <w:szCs w:val="16"/>
    </w:rPr>
  </w:style>
  <w:style w:type="character" w:customStyle="1" w:styleId="Heading1Char">
    <w:name w:val="Heading 1 Char"/>
    <w:basedOn w:val="DefaultParagraphFont"/>
    <w:link w:val="Heading1"/>
    <w:uiPriority w:val="9"/>
    <w:rsid w:val="00F97B2D"/>
    <w:rPr>
      <w:rFonts w:ascii="Times New Roman" w:eastAsiaTheme="majorEastAsia" w:hAnsi="Times New Roman" w:cs="Times New Roman"/>
      <w:b/>
      <w:bCs/>
      <w:sz w:val="24"/>
      <w:szCs w:val="24"/>
    </w:rPr>
  </w:style>
  <w:style w:type="paragraph" w:styleId="TOCHeading">
    <w:name w:val="TOC Heading"/>
    <w:basedOn w:val="Heading1"/>
    <w:next w:val="Normal"/>
    <w:uiPriority w:val="39"/>
    <w:unhideWhenUsed/>
    <w:rsid w:val="00D10C11"/>
    <w:pPr>
      <w:outlineLvl w:val="9"/>
    </w:pPr>
  </w:style>
  <w:style w:type="paragraph" w:styleId="TOC2">
    <w:name w:val="toc 2"/>
    <w:basedOn w:val="Normal"/>
    <w:next w:val="Normal"/>
    <w:autoRedefine/>
    <w:uiPriority w:val="39"/>
    <w:unhideWhenUsed/>
    <w:rsid w:val="00A61D75"/>
    <w:pPr>
      <w:tabs>
        <w:tab w:val="left" w:pos="720"/>
        <w:tab w:val="left" w:pos="1080"/>
        <w:tab w:val="right" w:leader="dot" w:pos="8626"/>
      </w:tabs>
      <w:spacing w:after="0" w:line="240" w:lineRule="auto"/>
      <w:ind w:left="360"/>
      <w:contextualSpacing/>
    </w:pPr>
    <w:rPr>
      <w:bCs/>
      <w:szCs w:val="20"/>
    </w:rPr>
  </w:style>
  <w:style w:type="paragraph" w:styleId="TOC3">
    <w:name w:val="toc 3"/>
    <w:basedOn w:val="Normal"/>
    <w:next w:val="Normal"/>
    <w:autoRedefine/>
    <w:uiPriority w:val="39"/>
    <w:unhideWhenUsed/>
    <w:rsid w:val="00A61D75"/>
    <w:pPr>
      <w:tabs>
        <w:tab w:val="left" w:pos="1080"/>
        <w:tab w:val="right" w:leader="dot" w:pos="8626"/>
      </w:tabs>
      <w:spacing w:after="0" w:line="240" w:lineRule="auto"/>
      <w:ind w:left="720"/>
      <w:contextualSpacing/>
    </w:pPr>
    <w:rPr>
      <w:szCs w:val="20"/>
    </w:rPr>
  </w:style>
  <w:style w:type="paragraph" w:styleId="Caption">
    <w:name w:val="caption"/>
    <w:basedOn w:val="Normal"/>
    <w:next w:val="Normal"/>
    <w:uiPriority w:val="35"/>
    <w:unhideWhenUsed/>
    <w:qFormat/>
    <w:rsid w:val="00F97B2D"/>
    <w:pPr>
      <w:spacing w:after="0"/>
      <w:jc w:val="center"/>
    </w:pPr>
    <w:rPr>
      <w:b/>
      <w:bCs/>
      <w:spacing w:val="10"/>
      <w:szCs w:val="24"/>
    </w:rPr>
  </w:style>
  <w:style w:type="character" w:styleId="PlaceholderText">
    <w:name w:val="Placeholder Text"/>
    <w:basedOn w:val="DefaultParagraphFont"/>
    <w:uiPriority w:val="99"/>
    <w:semiHidden/>
    <w:rsid w:val="00CC283E"/>
    <w:rPr>
      <w:color w:val="808080"/>
    </w:rPr>
  </w:style>
  <w:style w:type="paragraph" w:styleId="NoSpacing">
    <w:name w:val="No Spacing"/>
    <w:basedOn w:val="Normal"/>
    <w:link w:val="NoSpacingChar"/>
    <w:uiPriority w:val="1"/>
    <w:rsid w:val="00D10C11"/>
    <w:pPr>
      <w:spacing w:after="0" w:line="240" w:lineRule="auto"/>
    </w:pPr>
  </w:style>
  <w:style w:type="table" w:styleId="TableGrid">
    <w:name w:val="Table Grid"/>
    <w:basedOn w:val="TableNormal"/>
    <w:uiPriority w:val="59"/>
    <w:rsid w:val="00523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1">
    <w:name w:val="Medium List 21"/>
    <w:basedOn w:val="TableNormal"/>
    <w:uiPriority w:val="66"/>
    <w:rsid w:val="00523B7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ableofFigures">
    <w:name w:val="table of figures"/>
    <w:basedOn w:val="Normal"/>
    <w:next w:val="Normal"/>
    <w:uiPriority w:val="99"/>
    <w:unhideWhenUsed/>
    <w:rsid w:val="00A61D75"/>
    <w:pPr>
      <w:spacing w:after="240" w:line="240" w:lineRule="auto"/>
    </w:pPr>
  </w:style>
  <w:style w:type="paragraph" w:styleId="DocumentMap">
    <w:name w:val="Document Map"/>
    <w:basedOn w:val="Normal"/>
    <w:link w:val="DocumentMapChar"/>
    <w:uiPriority w:val="99"/>
    <w:semiHidden/>
    <w:unhideWhenUsed/>
    <w:rsid w:val="000B032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B0322"/>
    <w:rPr>
      <w:rFonts w:ascii="Tahoma" w:hAnsi="Tahoma" w:cs="Tahoma"/>
      <w:sz w:val="16"/>
      <w:szCs w:val="16"/>
    </w:rPr>
  </w:style>
  <w:style w:type="paragraph" w:customStyle="1" w:styleId="Default">
    <w:name w:val="Default"/>
    <w:rsid w:val="005E6657"/>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8210C4"/>
    <w:rPr>
      <w:sz w:val="16"/>
      <w:szCs w:val="16"/>
    </w:rPr>
  </w:style>
  <w:style w:type="paragraph" w:styleId="CommentText">
    <w:name w:val="annotation text"/>
    <w:basedOn w:val="Normal"/>
    <w:link w:val="CommentTextChar"/>
    <w:uiPriority w:val="99"/>
    <w:semiHidden/>
    <w:unhideWhenUsed/>
    <w:rsid w:val="008210C4"/>
    <w:pPr>
      <w:spacing w:line="240" w:lineRule="auto"/>
    </w:pPr>
    <w:rPr>
      <w:szCs w:val="20"/>
    </w:rPr>
  </w:style>
  <w:style w:type="character" w:customStyle="1" w:styleId="CommentTextChar">
    <w:name w:val="Comment Text Char"/>
    <w:basedOn w:val="DefaultParagraphFont"/>
    <w:link w:val="CommentText"/>
    <w:uiPriority w:val="99"/>
    <w:semiHidden/>
    <w:rsid w:val="008210C4"/>
    <w:rPr>
      <w:sz w:val="20"/>
      <w:szCs w:val="20"/>
    </w:rPr>
  </w:style>
  <w:style w:type="paragraph" w:styleId="CommentSubject">
    <w:name w:val="annotation subject"/>
    <w:basedOn w:val="CommentText"/>
    <w:next w:val="CommentText"/>
    <w:link w:val="CommentSubjectChar"/>
    <w:uiPriority w:val="99"/>
    <w:semiHidden/>
    <w:unhideWhenUsed/>
    <w:rsid w:val="008210C4"/>
    <w:rPr>
      <w:b/>
      <w:bCs/>
    </w:rPr>
  </w:style>
  <w:style w:type="character" w:customStyle="1" w:styleId="CommentSubjectChar">
    <w:name w:val="Comment Subject Char"/>
    <w:basedOn w:val="CommentTextChar"/>
    <w:link w:val="CommentSubject"/>
    <w:uiPriority w:val="99"/>
    <w:semiHidden/>
    <w:rsid w:val="008210C4"/>
    <w:rPr>
      <w:b/>
      <w:bCs/>
      <w:sz w:val="20"/>
      <w:szCs w:val="20"/>
    </w:rPr>
  </w:style>
  <w:style w:type="paragraph" w:styleId="TOC4">
    <w:name w:val="toc 4"/>
    <w:basedOn w:val="Normal"/>
    <w:next w:val="Normal"/>
    <w:autoRedefine/>
    <w:uiPriority w:val="39"/>
    <w:unhideWhenUsed/>
    <w:rsid w:val="00A61D75"/>
    <w:pPr>
      <w:tabs>
        <w:tab w:val="left" w:pos="1440"/>
        <w:tab w:val="right" w:leader="dot" w:pos="8626"/>
      </w:tabs>
      <w:spacing w:after="0" w:line="240" w:lineRule="auto"/>
      <w:ind w:left="1080"/>
      <w:contextualSpacing/>
    </w:pPr>
    <w:rPr>
      <w:szCs w:val="20"/>
    </w:rPr>
  </w:style>
  <w:style w:type="paragraph" w:styleId="TOC5">
    <w:name w:val="toc 5"/>
    <w:basedOn w:val="Normal"/>
    <w:next w:val="Normal"/>
    <w:autoRedefine/>
    <w:uiPriority w:val="39"/>
    <w:unhideWhenUsed/>
    <w:rsid w:val="00A61D75"/>
    <w:pPr>
      <w:spacing w:after="240" w:line="240" w:lineRule="auto"/>
      <w:ind w:left="662"/>
      <w:contextualSpacing/>
    </w:pPr>
    <w:rPr>
      <w:szCs w:val="20"/>
    </w:rPr>
  </w:style>
  <w:style w:type="paragraph" w:styleId="TOC6">
    <w:name w:val="toc 6"/>
    <w:basedOn w:val="Normal"/>
    <w:next w:val="Normal"/>
    <w:autoRedefine/>
    <w:uiPriority w:val="39"/>
    <w:unhideWhenUsed/>
    <w:rsid w:val="006072D7"/>
    <w:pPr>
      <w:spacing w:after="240" w:line="240" w:lineRule="auto"/>
      <w:ind w:left="878"/>
      <w:contextualSpacing/>
    </w:pPr>
    <w:rPr>
      <w:szCs w:val="20"/>
    </w:rPr>
  </w:style>
  <w:style w:type="paragraph" w:styleId="TOC7">
    <w:name w:val="toc 7"/>
    <w:basedOn w:val="Normal"/>
    <w:next w:val="Normal"/>
    <w:autoRedefine/>
    <w:uiPriority w:val="39"/>
    <w:unhideWhenUsed/>
    <w:rsid w:val="006072D7"/>
    <w:pPr>
      <w:spacing w:after="240" w:line="240" w:lineRule="auto"/>
      <w:ind w:left="1094"/>
      <w:contextualSpacing/>
    </w:pPr>
    <w:rPr>
      <w:szCs w:val="20"/>
    </w:rPr>
  </w:style>
  <w:style w:type="paragraph" w:styleId="TOC8">
    <w:name w:val="toc 8"/>
    <w:basedOn w:val="Normal"/>
    <w:next w:val="Normal"/>
    <w:autoRedefine/>
    <w:uiPriority w:val="39"/>
    <w:unhideWhenUsed/>
    <w:rsid w:val="00E11AE6"/>
    <w:pPr>
      <w:spacing w:after="0"/>
      <w:ind w:left="1320"/>
    </w:pPr>
    <w:rPr>
      <w:szCs w:val="20"/>
    </w:rPr>
  </w:style>
  <w:style w:type="paragraph" w:styleId="TOC9">
    <w:name w:val="toc 9"/>
    <w:basedOn w:val="Normal"/>
    <w:next w:val="Normal"/>
    <w:autoRedefine/>
    <w:uiPriority w:val="39"/>
    <w:unhideWhenUsed/>
    <w:rsid w:val="00E11AE6"/>
    <w:pPr>
      <w:spacing w:after="0"/>
      <w:ind w:left="1540"/>
    </w:pPr>
    <w:rPr>
      <w:szCs w:val="20"/>
    </w:rPr>
  </w:style>
  <w:style w:type="character" w:customStyle="1" w:styleId="Heading2Char">
    <w:name w:val="Heading 2 Char"/>
    <w:basedOn w:val="DefaultParagraphFont"/>
    <w:link w:val="Heading2"/>
    <w:uiPriority w:val="9"/>
    <w:rsid w:val="00F97B2D"/>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uiPriority w:val="9"/>
    <w:rsid w:val="00F97B2D"/>
    <w:rPr>
      <w:rFonts w:ascii="Times New Roman" w:eastAsiaTheme="majorEastAsia" w:hAnsi="Times New Roman" w:cs="Times New Roman"/>
      <w:b/>
      <w:bCs/>
      <w:sz w:val="24"/>
      <w:szCs w:val="24"/>
    </w:rPr>
  </w:style>
  <w:style w:type="character" w:customStyle="1" w:styleId="Heading4Char">
    <w:name w:val="Heading 4 Char"/>
    <w:basedOn w:val="DefaultParagraphFont"/>
    <w:link w:val="Heading4"/>
    <w:uiPriority w:val="9"/>
    <w:rsid w:val="00AC5F51"/>
    <w:rPr>
      <w:rFonts w:ascii="Times New Roman" w:eastAsiaTheme="majorEastAsia" w:hAnsi="Times New Roman" w:cstheme="majorBidi"/>
      <w:b/>
      <w:bCs/>
      <w:iCs/>
      <w:sz w:val="24"/>
      <w:szCs w:val="24"/>
    </w:rPr>
  </w:style>
  <w:style w:type="character" w:customStyle="1" w:styleId="Heading5Char">
    <w:name w:val="Heading 5 Char"/>
    <w:basedOn w:val="DefaultParagraphFont"/>
    <w:link w:val="Heading5"/>
    <w:uiPriority w:val="9"/>
    <w:semiHidden/>
    <w:rsid w:val="00D10C11"/>
    <w:rPr>
      <w:rFonts w:asciiTheme="majorHAnsi" w:eastAsiaTheme="majorEastAsia" w:hAnsiTheme="majorHAnsi" w:cstheme="majorBidi"/>
      <w:b/>
      <w:bCs/>
      <w:color w:val="7F7F7F" w:themeColor="text1" w:themeTint="80"/>
      <w:sz w:val="20"/>
    </w:rPr>
  </w:style>
  <w:style w:type="character" w:customStyle="1" w:styleId="Heading6Char">
    <w:name w:val="Heading 6 Char"/>
    <w:basedOn w:val="DefaultParagraphFont"/>
    <w:link w:val="Heading6"/>
    <w:uiPriority w:val="9"/>
    <w:semiHidden/>
    <w:rsid w:val="00D10C11"/>
    <w:rPr>
      <w:rFonts w:asciiTheme="majorHAnsi" w:eastAsiaTheme="majorEastAsia" w:hAnsiTheme="majorHAnsi" w:cstheme="majorBidi"/>
      <w:b/>
      <w:bCs/>
      <w:i/>
      <w:iCs/>
      <w:color w:val="7F7F7F" w:themeColor="text1" w:themeTint="80"/>
      <w:sz w:val="20"/>
    </w:rPr>
  </w:style>
  <w:style w:type="character" w:customStyle="1" w:styleId="Heading7Char">
    <w:name w:val="Heading 7 Char"/>
    <w:basedOn w:val="DefaultParagraphFont"/>
    <w:link w:val="Heading7"/>
    <w:uiPriority w:val="9"/>
    <w:semiHidden/>
    <w:rsid w:val="00D10C11"/>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semiHidden/>
    <w:rsid w:val="00D10C1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10C1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rsid w:val="00D10C1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10C1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rsid w:val="00D10C11"/>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10C11"/>
    <w:rPr>
      <w:rFonts w:asciiTheme="majorHAnsi" w:eastAsiaTheme="majorEastAsia" w:hAnsiTheme="majorHAnsi" w:cstheme="majorBidi"/>
      <w:i/>
      <w:iCs/>
      <w:spacing w:val="13"/>
      <w:sz w:val="24"/>
      <w:szCs w:val="24"/>
    </w:rPr>
  </w:style>
  <w:style w:type="character" w:styleId="Strong">
    <w:name w:val="Strong"/>
    <w:uiPriority w:val="22"/>
    <w:rsid w:val="00D10C11"/>
    <w:rPr>
      <w:b/>
      <w:bCs/>
    </w:rPr>
  </w:style>
  <w:style w:type="character" w:styleId="Emphasis">
    <w:name w:val="Emphasis"/>
    <w:uiPriority w:val="20"/>
    <w:rsid w:val="00D10C11"/>
    <w:rPr>
      <w:b/>
      <w:bCs/>
      <w:i/>
      <w:iCs/>
      <w:spacing w:val="10"/>
      <w:bdr w:val="none" w:sz="0" w:space="0" w:color="auto"/>
      <w:shd w:val="clear" w:color="auto" w:fill="auto"/>
    </w:rPr>
  </w:style>
  <w:style w:type="paragraph" w:styleId="Quote">
    <w:name w:val="Quote"/>
    <w:basedOn w:val="Normal"/>
    <w:next w:val="Normal"/>
    <w:link w:val="QuoteChar"/>
    <w:uiPriority w:val="29"/>
    <w:rsid w:val="00D10C11"/>
    <w:pPr>
      <w:spacing w:before="200" w:after="0"/>
      <w:ind w:left="360" w:right="360"/>
    </w:pPr>
    <w:rPr>
      <w:i/>
      <w:iCs/>
    </w:rPr>
  </w:style>
  <w:style w:type="character" w:customStyle="1" w:styleId="QuoteChar">
    <w:name w:val="Quote Char"/>
    <w:basedOn w:val="DefaultParagraphFont"/>
    <w:link w:val="Quote"/>
    <w:uiPriority w:val="29"/>
    <w:rsid w:val="00D10C11"/>
    <w:rPr>
      <w:i/>
      <w:iCs/>
    </w:rPr>
  </w:style>
  <w:style w:type="paragraph" w:styleId="IntenseQuote">
    <w:name w:val="Intense Quote"/>
    <w:basedOn w:val="Normal"/>
    <w:next w:val="Normal"/>
    <w:link w:val="IntenseQuoteChar"/>
    <w:uiPriority w:val="30"/>
    <w:rsid w:val="00D10C1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10C11"/>
    <w:rPr>
      <w:b/>
      <w:bCs/>
      <w:i/>
      <w:iCs/>
    </w:rPr>
  </w:style>
  <w:style w:type="character" w:styleId="SubtleEmphasis">
    <w:name w:val="Subtle Emphasis"/>
    <w:uiPriority w:val="19"/>
    <w:rsid w:val="00D10C11"/>
    <w:rPr>
      <w:i/>
      <w:iCs/>
    </w:rPr>
  </w:style>
  <w:style w:type="character" w:styleId="IntenseEmphasis">
    <w:name w:val="Intense Emphasis"/>
    <w:uiPriority w:val="21"/>
    <w:rsid w:val="00D10C11"/>
    <w:rPr>
      <w:b/>
      <w:bCs/>
    </w:rPr>
  </w:style>
  <w:style w:type="character" w:styleId="SubtleReference">
    <w:name w:val="Subtle Reference"/>
    <w:uiPriority w:val="31"/>
    <w:rsid w:val="00D10C11"/>
    <w:rPr>
      <w:smallCaps/>
    </w:rPr>
  </w:style>
  <w:style w:type="character" w:styleId="IntenseReference">
    <w:name w:val="Intense Reference"/>
    <w:uiPriority w:val="32"/>
    <w:rsid w:val="00D10C11"/>
    <w:rPr>
      <w:smallCaps/>
      <w:spacing w:val="5"/>
      <w:u w:val="single"/>
    </w:rPr>
  </w:style>
  <w:style w:type="character" w:styleId="BookTitle">
    <w:name w:val="Book Title"/>
    <w:uiPriority w:val="33"/>
    <w:rsid w:val="00D10C11"/>
    <w:rPr>
      <w:i/>
      <w:iCs/>
      <w:smallCaps/>
      <w:spacing w:val="5"/>
    </w:rPr>
  </w:style>
  <w:style w:type="character" w:customStyle="1" w:styleId="NoSpacingChar">
    <w:name w:val="No Spacing Char"/>
    <w:basedOn w:val="DefaultParagraphFont"/>
    <w:link w:val="NoSpacing"/>
    <w:uiPriority w:val="1"/>
    <w:rsid w:val="00D10C11"/>
  </w:style>
  <w:style w:type="numbering" w:customStyle="1" w:styleId="Style1">
    <w:name w:val="Style1"/>
    <w:uiPriority w:val="99"/>
    <w:rsid w:val="00D44205"/>
    <w:pPr>
      <w:numPr>
        <w:numId w:val="29"/>
      </w:numPr>
    </w:pPr>
  </w:style>
  <w:style w:type="character" w:customStyle="1" w:styleId="TOC1Char">
    <w:name w:val="TOC 1 Char"/>
    <w:basedOn w:val="DefaultParagraphFont"/>
    <w:link w:val="TOC1"/>
    <w:uiPriority w:val="39"/>
    <w:rsid w:val="00D661C3"/>
    <w:rPr>
      <w:rFonts w:ascii="Times New Roman" w:hAnsi="Times New Roman"/>
      <w:bCs/>
      <w:caps/>
      <w:sz w:val="24"/>
      <w:szCs w:val="24"/>
    </w:rPr>
  </w:style>
  <w:style w:type="paragraph" w:styleId="Bibliography">
    <w:name w:val="Bibliography"/>
    <w:basedOn w:val="Normal"/>
    <w:next w:val="Normal"/>
    <w:uiPriority w:val="37"/>
    <w:unhideWhenUsed/>
    <w:rsid w:val="00595F04"/>
  </w:style>
  <w:style w:type="paragraph" w:styleId="TableofAuthorities">
    <w:name w:val="table of authorities"/>
    <w:basedOn w:val="Normal"/>
    <w:next w:val="Normal"/>
    <w:uiPriority w:val="99"/>
    <w:semiHidden/>
    <w:unhideWhenUsed/>
    <w:rsid w:val="00C749BC"/>
    <w:pPr>
      <w:spacing w:after="0"/>
      <w:ind w:left="200" w:hanging="200"/>
    </w:pPr>
  </w:style>
  <w:style w:type="character" w:customStyle="1" w:styleId="InTextCitation">
    <w:name w:val="In Text Citation"/>
    <w:basedOn w:val="DefaultParagraphFont"/>
    <w:uiPriority w:val="1"/>
    <w:qFormat/>
    <w:rsid w:val="00AC5F51"/>
    <w:rPr>
      <w:rFonts w:ascii="Times New Roman" w:hAnsi="Times New Roman"/>
      <w:sz w:val="24"/>
      <w:vertAlign w:val="superscript"/>
    </w:rPr>
  </w:style>
  <w:style w:type="character" w:customStyle="1" w:styleId="In-TextCitation">
    <w:name w:val="In-Text Citation"/>
    <w:basedOn w:val="DefaultParagraphFont"/>
    <w:rsid w:val="0072494B"/>
    <w:rPr>
      <w:vertAlign w:val="superscript"/>
    </w:rPr>
  </w:style>
  <w:style w:type="paragraph" w:styleId="NormalWeb">
    <w:name w:val="Normal (Web)"/>
    <w:basedOn w:val="Normal"/>
    <w:uiPriority w:val="99"/>
    <w:semiHidden/>
    <w:unhideWhenUsed/>
    <w:rsid w:val="009864B9"/>
    <w:pPr>
      <w:spacing w:before="100" w:beforeAutospacing="1" w:after="100" w:afterAutospacing="1" w:line="240" w:lineRule="auto"/>
    </w:pPr>
    <w:rPr>
      <w:rFonts w:ascii="Times" w:hAnsi="Times" w:cs="Times New Roman"/>
      <w:szCs w:val="20"/>
      <w:lang w:bidi="ar-SA"/>
    </w:rPr>
  </w:style>
  <w:style w:type="paragraph" w:styleId="FootnoteText">
    <w:name w:val="footnote text"/>
    <w:basedOn w:val="Normal"/>
    <w:link w:val="FootnoteTextChar"/>
    <w:uiPriority w:val="99"/>
    <w:semiHidden/>
    <w:unhideWhenUsed/>
    <w:rsid w:val="00CA38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38DC"/>
    <w:rPr>
      <w:rFonts w:ascii="Times New Roman" w:hAnsi="Times New Roman"/>
      <w:sz w:val="20"/>
      <w:szCs w:val="20"/>
    </w:rPr>
  </w:style>
  <w:style w:type="character" w:styleId="FootnoteReference">
    <w:name w:val="footnote reference"/>
    <w:basedOn w:val="DefaultParagraphFont"/>
    <w:uiPriority w:val="99"/>
    <w:semiHidden/>
    <w:unhideWhenUsed/>
    <w:rsid w:val="00CA38D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AC5F51"/>
    <w:rPr>
      <w:rFonts w:ascii="Times New Roman" w:hAnsi="Times New Roman"/>
      <w:sz w:val="24"/>
    </w:rPr>
  </w:style>
  <w:style w:type="paragraph" w:styleId="Heading1">
    <w:name w:val="heading 1"/>
    <w:basedOn w:val="Normal"/>
    <w:next w:val="Normal"/>
    <w:link w:val="Heading1Char"/>
    <w:uiPriority w:val="9"/>
    <w:qFormat/>
    <w:rsid w:val="00F97B2D"/>
    <w:pPr>
      <w:numPr>
        <w:numId w:val="28"/>
      </w:numPr>
      <w:spacing w:after="0" w:line="480" w:lineRule="auto"/>
      <w:contextualSpacing/>
      <w:outlineLvl w:val="0"/>
    </w:pPr>
    <w:rPr>
      <w:rFonts w:eastAsiaTheme="majorEastAsia" w:cs="Times New Roman"/>
      <w:b/>
      <w:bCs/>
      <w:szCs w:val="24"/>
    </w:rPr>
  </w:style>
  <w:style w:type="paragraph" w:styleId="Heading2">
    <w:name w:val="heading 2"/>
    <w:basedOn w:val="Normal"/>
    <w:next w:val="Normal"/>
    <w:link w:val="Heading2Char"/>
    <w:autoRedefine/>
    <w:uiPriority w:val="9"/>
    <w:unhideWhenUsed/>
    <w:qFormat/>
    <w:rsid w:val="00F97B2D"/>
    <w:pPr>
      <w:numPr>
        <w:ilvl w:val="1"/>
        <w:numId w:val="28"/>
      </w:numPr>
      <w:autoSpaceDE w:val="0"/>
      <w:autoSpaceDN w:val="0"/>
      <w:adjustRightInd w:val="0"/>
      <w:spacing w:after="0" w:line="480" w:lineRule="auto"/>
      <w:contextualSpacing/>
      <w:outlineLvl w:val="1"/>
    </w:pPr>
    <w:rPr>
      <w:rFonts w:eastAsiaTheme="majorEastAsia" w:cs="Times New Roman"/>
      <w:b/>
      <w:bCs/>
      <w:szCs w:val="24"/>
    </w:rPr>
  </w:style>
  <w:style w:type="paragraph" w:styleId="Heading3">
    <w:name w:val="heading 3"/>
    <w:basedOn w:val="Heading2"/>
    <w:next w:val="Normal"/>
    <w:link w:val="Heading3Char"/>
    <w:autoRedefine/>
    <w:uiPriority w:val="9"/>
    <w:unhideWhenUsed/>
    <w:qFormat/>
    <w:rsid w:val="00F97B2D"/>
    <w:pPr>
      <w:numPr>
        <w:ilvl w:val="2"/>
      </w:numPr>
      <w:outlineLvl w:val="2"/>
    </w:pPr>
  </w:style>
  <w:style w:type="paragraph" w:styleId="Heading4">
    <w:name w:val="heading 4"/>
    <w:basedOn w:val="Normal"/>
    <w:next w:val="Normal"/>
    <w:link w:val="Heading4Char"/>
    <w:autoRedefine/>
    <w:uiPriority w:val="9"/>
    <w:unhideWhenUsed/>
    <w:qFormat/>
    <w:rsid w:val="00AC5F51"/>
    <w:pPr>
      <w:numPr>
        <w:ilvl w:val="3"/>
        <w:numId w:val="28"/>
      </w:numPr>
      <w:spacing w:after="0" w:line="480" w:lineRule="auto"/>
      <w:ind w:left="0" w:firstLine="0"/>
      <w:contextualSpacing/>
      <w:outlineLvl w:val="3"/>
    </w:pPr>
    <w:rPr>
      <w:rFonts w:eastAsiaTheme="majorEastAsia" w:cstheme="majorBidi"/>
      <w:b/>
      <w:bCs/>
      <w:iCs/>
      <w:szCs w:val="24"/>
    </w:rPr>
  </w:style>
  <w:style w:type="paragraph" w:styleId="Heading5">
    <w:name w:val="heading 5"/>
    <w:basedOn w:val="Normal"/>
    <w:next w:val="Normal"/>
    <w:link w:val="Heading5Char"/>
    <w:uiPriority w:val="9"/>
    <w:semiHidden/>
    <w:unhideWhenUsed/>
    <w:qFormat/>
    <w:rsid w:val="00D10C11"/>
    <w:pPr>
      <w:numPr>
        <w:ilvl w:val="4"/>
        <w:numId w:val="28"/>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10C11"/>
    <w:pPr>
      <w:numPr>
        <w:ilvl w:val="5"/>
        <w:numId w:val="28"/>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10C11"/>
    <w:pPr>
      <w:numPr>
        <w:ilvl w:val="6"/>
        <w:numId w:val="28"/>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10C11"/>
    <w:pPr>
      <w:numPr>
        <w:ilvl w:val="7"/>
        <w:numId w:val="28"/>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D10C11"/>
    <w:pPr>
      <w:numPr>
        <w:ilvl w:val="8"/>
        <w:numId w:val="28"/>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2CA"/>
  </w:style>
  <w:style w:type="paragraph" w:styleId="Footer">
    <w:name w:val="footer"/>
    <w:basedOn w:val="Normal"/>
    <w:link w:val="FooterChar"/>
    <w:uiPriority w:val="99"/>
    <w:unhideWhenUsed/>
    <w:rsid w:val="0056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2CA"/>
  </w:style>
  <w:style w:type="paragraph" w:styleId="ListParagraph">
    <w:name w:val="List Paragraph"/>
    <w:basedOn w:val="Normal"/>
    <w:uiPriority w:val="34"/>
    <w:rsid w:val="00D10C11"/>
    <w:pPr>
      <w:ind w:left="720"/>
      <w:contextualSpacing/>
    </w:pPr>
  </w:style>
  <w:style w:type="character" w:styleId="Hyperlink">
    <w:name w:val="Hyperlink"/>
    <w:basedOn w:val="DefaultParagraphFont"/>
    <w:uiPriority w:val="99"/>
    <w:unhideWhenUsed/>
    <w:rsid w:val="00F77B38"/>
    <w:rPr>
      <w:color w:val="0000FF" w:themeColor="hyperlink"/>
      <w:u w:val="single"/>
    </w:rPr>
  </w:style>
  <w:style w:type="paragraph" w:styleId="TOC1">
    <w:name w:val="toc 1"/>
    <w:basedOn w:val="Normal"/>
    <w:next w:val="Normal"/>
    <w:link w:val="TOC1Char"/>
    <w:autoRedefine/>
    <w:uiPriority w:val="39"/>
    <w:unhideWhenUsed/>
    <w:rsid w:val="00D661C3"/>
    <w:pPr>
      <w:tabs>
        <w:tab w:val="left" w:pos="360"/>
        <w:tab w:val="right" w:leader="dot" w:pos="8630"/>
      </w:tabs>
      <w:spacing w:before="240" w:after="0" w:line="240" w:lineRule="auto"/>
    </w:pPr>
    <w:rPr>
      <w:bCs/>
      <w:caps/>
      <w:szCs w:val="24"/>
    </w:rPr>
  </w:style>
  <w:style w:type="paragraph" w:styleId="BalloonText">
    <w:name w:val="Balloon Text"/>
    <w:basedOn w:val="Normal"/>
    <w:link w:val="BalloonTextChar"/>
    <w:uiPriority w:val="99"/>
    <w:semiHidden/>
    <w:unhideWhenUsed/>
    <w:rsid w:val="00F77B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B38"/>
    <w:rPr>
      <w:rFonts w:ascii="Tahoma" w:hAnsi="Tahoma" w:cs="Tahoma"/>
      <w:sz w:val="16"/>
      <w:szCs w:val="16"/>
    </w:rPr>
  </w:style>
  <w:style w:type="character" w:customStyle="1" w:styleId="Heading1Char">
    <w:name w:val="Heading 1 Char"/>
    <w:basedOn w:val="DefaultParagraphFont"/>
    <w:link w:val="Heading1"/>
    <w:uiPriority w:val="9"/>
    <w:rsid w:val="00F97B2D"/>
    <w:rPr>
      <w:rFonts w:ascii="Times New Roman" w:eastAsiaTheme="majorEastAsia" w:hAnsi="Times New Roman" w:cs="Times New Roman"/>
      <w:b/>
      <w:bCs/>
      <w:sz w:val="24"/>
      <w:szCs w:val="24"/>
    </w:rPr>
  </w:style>
  <w:style w:type="paragraph" w:styleId="TOCHeading">
    <w:name w:val="TOC Heading"/>
    <w:basedOn w:val="Heading1"/>
    <w:next w:val="Normal"/>
    <w:uiPriority w:val="39"/>
    <w:unhideWhenUsed/>
    <w:rsid w:val="00D10C11"/>
    <w:pPr>
      <w:outlineLvl w:val="9"/>
    </w:pPr>
  </w:style>
  <w:style w:type="paragraph" w:styleId="TOC2">
    <w:name w:val="toc 2"/>
    <w:basedOn w:val="Normal"/>
    <w:next w:val="Normal"/>
    <w:autoRedefine/>
    <w:uiPriority w:val="39"/>
    <w:unhideWhenUsed/>
    <w:rsid w:val="00A61D75"/>
    <w:pPr>
      <w:tabs>
        <w:tab w:val="left" w:pos="720"/>
        <w:tab w:val="left" w:pos="1080"/>
        <w:tab w:val="right" w:leader="dot" w:pos="8626"/>
      </w:tabs>
      <w:spacing w:after="0" w:line="240" w:lineRule="auto"/>
      <w:ind w:left="360"/>
      <w:contextualSpacing/>
    </w:pPr>
    <w:rPr>
      <w:bCs/>
      <w:szCs w:val="20"/>
    </w:rPr>
  </w:style>
  <w:style w:type="paragraph" w:styleId="TOC3">
    <w:name w:val="toc 3"/>
    <w:basedOn w:val="Normal"/>
    <w:next w:val="Normal"/>
    <w:autoRedefine/>
    <w:uiPriority w:val="39"/>
    <w:unhideWhenUsed/>
    <w:rsid w:val="00A61D75"/>
    <w:pPr>
      <w:tabs>
        <w:tab w:val="left" w:pos="1080"/>
        <w:tab w:val="right" w:leader="dot" w:pos="8626"/>
      </w:tabs>
      <w:spacing w:after="0" w:line="240" w:lineRule="auto"/>
      <w:ind w:left="720"/>
      <w:contextualSpacing/>
    </w:pPr>
    <w:rPr>
      <w:szCs w:val="20"/>
    </w:rPr>
  </w:style>
  <w:style w:type="paragraph" w:styleId="Caption">
    <w:name w:val="caption"/>
    <w:basedOn w:val="Normal"/>
    <w:next w:val="Normal"/>
    <w:uiPriority w:val="35"/>
    <w:unhideWhenUsed/>
    <w:qFormat/>
    <w:rsid w:val="00F97B2D"/>
    <w:pPr>
      <w:spacing w:after="0"/>
      <w:jc w:val="center"/>
    </w:pPr>
    <w:rPr>
      <w:b/>
      <w:bCs/>
      <w:spacing w:val="10"/>
      <w:szCs w:val="24"/>
    </w:rPr>
  </w:style>
  <w:style w:type="character" w:styleId="PlaceholderText">
    <w:name w:val="Placeholder Text"/>
    <w:basedOn w:val="DefaultParagraphFont"/>
    <w:uiPriority w:val="99"/>
    <w:semiHidden/>
    <w:rsid w:val="00CC283E"/>
    <w:rPr>
      <w:color w:val="808080"/>
    </w:rPr>
  </w:style>
  <w:style w:type="paragraph" w:styleId="NoSpacing">
    <w:name w:val="No Spacing"/>
    <w:basedOn w:val="Normal"/>
    <w:link w:val="NoSpacingChar"/>
    <w:uiPriority w:val="1"/>
    <w:rsid w:val="00D10C11"/>
    <w:pPr>
      <w:spacing w:after="0" w:line="240" w:lineRule="auto"/>
    </w:pPr>
  </w:style>
  <w:style w:type="table" w:styleId="TableGrid">
    <w:name w:val="Table Grid"/>
    <w:basedOn w:val="TableNormal"/>
    <w:uiPriority w:val="59"/>
    <w:rsid w:val="00523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1">
    <w:name w:val="Medium List 21"/>
    <w:basedOn w:val="TableNormal"/>
    <w:uiPriority w:val="66"/>
    <w:rsid w:val="00523B7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ableofFigures">
    <w:name w:val="table of figures"/>
    <w:basedOn w:val="Normal"/>
    <w:next w:val="Normal"/>
    <w:uiPriority w:val="99"/>
    <w:unhideWhenUsed/>
    <w:rsid w:val="00A61D75"/>
    <w:pPr>
      <w:spacing w:after="240" w:line="240" w:lineRule="auto"/>
    </w:pPr>
  </w:style>
  <w:style w:type="paragraph" w:styleId="DocumentMap">
    <w:name w:val="Document Map"/>
    <w:basedOn w:val="Normal"/>
    <w:link w:val="DocumentMapChar"/>
    <w:uiPriority w:val="99"/>
    <w:semiHidden/>
    <w:unhideWhenUsed/>
    <w:rsid w:val="000B032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B0322"/>
    <w:rPr>
      <w:rFonts w:ascii="Tahoma" w:hAnsi="Tahoma" w:cs="Tahoma"/>
      <w:sz w:val="16"/>
      <w:szCs w:val="16"/>
    </w:rPr>
  </w:style>
  <w:style w:type="paragraph" w:customStyle="1" w:styleId="Default">
    <w:name w:val="Default"/>
    <w:rsid w:val="005E6657"/>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8210C4"/>
    <w:rPr>
      <w:sz w:val="16"/>
      <w:szCs w:val="16"/>
    </w:rPr>
  </w:style>
  <w:style w:type="paragraph" w:styleId="CommentText">
    <w:name w:val="annotation text"/>
    <w:basedOn w:val="Normal"/>
    <w:link w:val="CommentTextChar"/>
    <w:uiPriority w:val="99"/>
    <w:semiHidden/>
    <w:unhideWhenUsed/>
    <w:rsid w:val="008210C4"/>
    <w:pPr>
      <w:spacing w:line="240" w:lineRule="auto"/>
    </w:pPr>
    <w:rPr>
      <w:szCs w:val="20"/>
    </w:rPr>
  </w:style>
  <w:style w:type="character" w:customStyle="1" w:styleId="CommentTextChar">
    <w:name w:val="Comment Text Char"/>
    <w:basedOn w:val="DefaultParagraphFont"/>
    <w:link w:val="CommentText"/>
    <w:uiPriority w:val="99"/>
    <w:semiHidden/>
    <w:rsid w:val="008210C4"/>
    <w:rPr>
      <w:sz w:val="20"/>
      <w:szCs w:val="20"/>
    </w:rPr>
  </w:style>
  <w:style w:type="paragraph" w:styleId="CommentSubject">
    <w:name w:val="annotation subject"/>
    <w:basedOn w:val="CommentText"/>
    <w:next w:val="CommentText"/>
    <w:link w:val="CommentSubjectChar"/>
    <w:uiPriority w:val="99"/>
    <w:semiHidden/>
    <w:unhideWhenUsed/>
    <w:rsid w:val="008210C4"/>
    <w:rPr>
      <w:b/>
      <w:bCs/>
    </w:rPr>
  </w:style>
  <w:style w:type="character" w:customStyle="1" w:styleId="CommentSubjectChar">
    <w:name w:val="Comment Subject Char"/>
    <w:basedOn w:val="CommentTextChar"/>
    <w:link w:val="CommentSubject"/>
    <w:uiPriority w:val="99"/>
    <w:semiHidden/>
    <w:rsid w:val="008210C4"/>
    <w:rPr>
      <w:b/>
      <w:bCs/>
      <w:sz w:val="20"/>
      <w:szCs w:val="20"/>
    </w:rPr>
  </w:style>
  <w:style w:type="paragraph" w:styleId="TOC4">
    <w:name w:val="toc 4"/>
    <w:basedOn w:val="Normal"/>
    <w:next w:val="Normal"/>
    <w:autoRedefine/>
    <w:uiPriority w:val="39"/>
    <w:unhideWhenUsed/>
    <w:rsid w:val="00A61D75"/>
    <w:pPr>
      <w:tabs>
        <w:tab w:val="left" w:pos="1440"/>
        <w:tab w:val="right" w:leader="dot" w:pos="8626"/>
      </w:tabs>
      <w:spacing w:after="0" w:line="240" w:lineRule="auto"/>
      <w:ind w:left="1080"/>
      <w:contextualSpacing/>
    </w:pPr>
    <w:rPr>
      <w:szCs w:val="20"/>
    </w:rPr>
  </w:style>
  <w:style w:type="paragraph" w:styleId="TOC5">
    <w:name w:val="toc 5"/>
    <w:basedOn w:val="Normal"/>
    <w:next w:val="Normal"/>
    <w:autoRedefine/>
    <w:uiPriority w:val="39"/>
    <w:unhideWhenUsed/>
    <w:rsid w:val="00A61D75"/>
    <w:pPr>
      <w:spacing w:after="240" w:line="240" w:lineRule="auto"/>
      <w:ind w:left="662"/>
      <w:contextualSpacing/>
    </w:pPr>
    <w:rPr>
      <w:szCs w:val="20"/>
    </w:rPr>
  </w:style>
  <w:style w:type="paragraph" w:styleId="TOC6">
    <w:name w:val="toc 6"/>
    <w:basedOn w:val="Normal"/>
    <w:next w:val="Normal"/>
    <w:autoRedefine/>
    <w:uiPriority w:val="39"/>
    <w:unhideWhenUsed/>
    <w:rsid w:val="006072D7"/>
    <w:pPr>
      <w:spacing w:after="240" w:line="240" w:lineRule="auto"/>
      <w:ind w:left="878"/>
      <w:contextualSpacing/>
    </w:pPr>
    <w:rPr>
      <w:szCs w:val="20"/>
    </w:rPr>
  </w:style>
  <w:style w:type="paragraph" w:styleId="TOC7">
    <w:name w:val="toc 7"/>
    <w:basedOn w:val="Normal"/>
    <w:next w:val="Normal"/>
    <w:autoRedefine/>
    <w:uiPriority w:val="39"/>
    <w:unhideWhenUsed/>
    <w:rsid w:val="006072D7"/>
    <w:pPr>
      <w:spacing w:after="240" w:line="240" w:lineRule="auto"/>
      <w:ind w:left="1094"/>
      <w:contextualSpacing/>
    </w:pPr>
    <w:rPr>
      <w:szCs w:val="20"/>
    </w:rPr>
  </w:style>
  <w:style w:type="paragraph" w:styleId="TOC8">
    <w:name w:val="toc 8"/>
    <w:basedOn w:val="Normal"/>
    <w:next w:val="Normal"/>
    <w:autoRedefine/>
    <w:uiPriority w:val="39"/>
    <w:unhideWhenUsed/>
    <w:rsid w:val="00E11AE6"/>
    <w:pPr>
      <w:spacing w:after="0"/>
      <w:ind w:left="1320"/>
    </w:pPr>
    <w:rPr>
      <w:szCs w:val="20"/>
    </w:rPr>
  </w:style>
  <w:style w:type="paragraph" w:styleId="TOC9">
    <w:name w:val="toc 9"/>
    <w:basedOn w:val="Normal"/>
    <w:next w:val="Normal"/>
    <w:autoRedefine/>
    <w:uiPriority w:val="39"/>
    <w:unhideWhenUsed/>
    <w:rsid w:val="00E11AE6"/>
    <w:pPr>
      <w:spacing w:after="0"/>
      <w:ind w:left="1540"/>
    </w:pPr>
    <w:rPr>
      <w:szCs w:val="20"/>
    </w:rPr>
  </w:style>
  <w:style w:type="character" w:customStyle="1" w:styleId="Heading2Char">
    <w:name w:val="Heading 2 Char"/>
    <w:basedOn w:val="DefaultParagraphFont"/>
    <w:link w:val="Heading2"/>
    <w:uiPriority w:val="9"/>
    <w:rsid w:val="00F97B2D"/>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uiPriority w:val="9"/>
    <w:rsid w:val="00F97B2D"/>
    <w:rPr>
      <w:rFonts w:ascii="Times New Roman" w:eastAsiaTheme="majorEastAsia" w:hAnsi="Times New Roman" w:cs="Times New Roman"/>
      <w:b/>
      <w:bCs/>
      <w:sz w:val="24"/>
      <w:szCs w:val="24"/>
    </w:rPr>
  </w:style>
  <w:style w:type="character" w:customStyle="1" w:styleId="Heading4Char">
    <w:name w:val="Heading 4 Char"/>
    <w:basedOn w:val="DefaultParagraphFont"/>
    <w:link w:val="Heading4"/>
    <w:uiPriority w:val="9"/>
    <w:rsid w:val="00AC5F51"/>
    <w:rPr>
      <w:rFonts w:ascii="Times New Roman" w:eastAsiaTheme="majorEastAsia" w:hAnsi="Times New Roman" w:cstheme="majorBidi"/>
      <w:b/>
      <w:bCs/>
      <w:iCs/>
      <w:sz w:val="24"/>
      <w:szCs w:val="24"/>
    </w:rPr>
  </w:style>
  <w:style w:type="character" w:customStyle="1" w:styleId="Heading5Char">
    <w:name w:val="Heading 5 Char"/>
    <w:basedOn w:val="DefaultParagraphFont"/>
    <w:link w:val="Heading5"/>
    <w:uiPriority w:val="9"/>
    <w:semiHidden/>
    <w:rsid w:val="00D10C11"/>
    <w:rPr>
      <w:rFonts w:asciiTheme="majorHAnsi" w:eastAsiaTheme="majorEastAsia" w:hAnsiTheme="majorHAnsi" w:cstheme="majorBidi"/>
      <w:b/>
      <w:bCs/>
      <w:color w:val="7F7F7F" w:themeColor="text1" w:themeTint="80"/>
      <w:sz w:val="20"/>
    </w:rPr>
  </w:style>
  <w:style w:type="character" w:customStyle="1" w:styleId="Heading6Char">
    <w:name w:val="Heading 6 Char"/>
    <w:basedOn w:val="DefaultParagraphFont"/>
    <w:link w:val="Heading6"/>
    <w:uiPriority w:val="9"/>
    <w:semiHidden/>
    <w:rsid w:val="00D10C11"/>
    <w:rPr>
      <w:rFonts w:asciiTheme="majorHAnsi" w:eastAsiaTheme="majorEastAsia" w:hAnsiTheme="majorHAnsi" w:cstheme="majorBidi"/>
      <w:b/>
      <w:bCs/>
      <w:i/>
      <w:iCs/>
      <w:color w:val="7F7F7F" w:themeColor="text1" w:themeTint="80"/>
      <w:sz w:val="20"/>
    </w:rPr>
  </w:style>
  <w:style w:type="character" w:customStyle="1" w:styleId="Heading7Char">
    <w:name w:val="Heading 7 Char"/>
    <w:basedOn w:val="DefaultParagraphFont"/>
    <w:link w:val="Heading7"/>
    <w:uiPriority w:val="9"/>
    <w:semiHidden/>
    <w:rsid w:val="00D10C11"/>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semiHidden/>
    <w:rsid w:val="00D10C1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10C1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rsid w:val="00D10C11"/>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10C1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rsid w:val="00D10C11"/>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10C11"/>
    <w:rPr>
      <w:rFonts w:asciiTheme="majorHAnsi" w:eastAsiaTheme="majorEastAsia" w:hAnsiTheme="majorHAnsi" w:cstheme="majorBidi"/>
      <w:i/>
      <w:iCs/>
      <w:spacing w:val="13"/>
      <w:sz w:val="24"/>
      <w:szCs w:val="24"/>
    </w:rPr>
  </w:style>
  <w:style w:type="character" w:styleId="Strong">
    <w:name w:val="Strong"/>
    <w:uiPriority w:val="22"/>
    <w:rsid w:val="00D10C11"/>
    <w:rPr>
      <w:b/>
      <w:bCs/>
    </w:rPr>
  </w:style>
  <w:style w:type="character" w:styleId="Emphasis">
    <w:name w:val="Emphasis"/>
    <w:uiPriority w:val="20"/>
    <w:rsid w:val="00D10C11"/>
    <w:rPr>
      <w:b/>
      <w:bCs/>
      <w:i/>
      <w:iCs/>
      <w:spacing w:val="10"/>
      <w:bdr w:val="none" w:sz="0" w:space="0" w:color="auto"/>
      <w:shd w:val="clear" w:color="auto" w:fill="auto"/>
    </w:rPr>
  </w:style>
  <w:style w:type="paragraph" w:styleId="Quote">
    <w:name w:val="Quote"/>
    <w:basedOn w:val="Normal"/>
    <w:next w:val="Normal"/>
    <w:link w:val="QuoteChar"/>
    <w:uiPriority w:val="29"/>
    <w:rsid w:val="00D10C11"/>
    <w:pPr>
      <w:spacing w:before="200" w:after="0"/>
      <w:ind w:left="360" w:right="360"/>
    </w:pPr>
    <w:rPr>
      <w:i/>
      <w:iCs/>
    </w:rPr>
  </w:style>
  <w:style w:type="character" w:customStyle="1" w:styleId="QuoteChar">
    <w:name w:val="Quote Char"/>
    <w:basedOn w:val="DefaultParagraphFont"/>
    <w:link w:val="Quote"/>
    <w:uiPriority w:val="29"/>
    <w:rsid w:val="00D10C11"/>
    <w:rPr>
      <w:i/>
      <w:iCs/>
    </w:rPr>
  </w:style>
  <w:style w:type="paragraph" w:styleId="IntenseQuote">
    <w:name w:val="Intense Quote"/>
    <w:basedOn w:val="Normal"/>
    <w:next w:val="Normal"/>
    <w:link w:val="IntenseQuoteChar"/>
    <w:uiPriority w:val="30"/>
    <w:rsid w:val="00D10C1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10C11"/>
    <w:rPr>
      <w:b/>
      <w:bCs/>
      <w:i/>
      <w:iCs/>
    </w:rPr>
  </w:style>
  <w:style w:type="character" w:styleId="SubtleEmphasis">
    <w:name w:val="Subtle Emphasis"/>
    <w:uiPriority w:val="19"/>
    <w:rsid w:val="00D10C11"/>
    <w:rPr>
      <w:i/>
      <w:iCs/>
    </w:rPr>
  </w:style>
  <w:style w:type="character" w:styleId="IntenseEmphasis">
    <w:name w:val="Intense Emphasis"/>
    <w:uiPriority w:val="21"/>
    <w:rsid w:val="00D10C11"/>
    <w:rPr>
      <w:b/>
      <w:bCs/>
    </w:rPr>
  </w:style>
  <w:style w:type="character" w:styleId="SubtleReference">
    <w:name w:val="Subtle Reference"/>
    <w:uiPriority w:val="31"/>
    <w:rsid w:val="00D10C11"/>
    <w:rPr>
      <w:smallCaps/>
    </w:rPr>
  </w:style>
  <w:style w:type="character" w:styleId="IntenseReference">
    <w:name w:val="Intense Reference"/>
    <w:uiPriority w:val="32"/>
    <w:rsid w:val="00D10C11"/>
    <w:rPr>
      <w:smallCaps/>
      <w:spacing w:val="5"/>
      <w:u w:val="single"/>
    </w:rPr>
  </w:style>
  <w:style w:type="character" w:styleId="BookTitle">
    <w:name w:val="Book Title"/>
    <w:uiPriority w:val="33"/>
    <w:rsid w:val="00D10C11"/>
    <w:rPr>
      <w:i/>
      <w:iCs/>
      <w:smallCaps/>
      <w:spacing w:val="5"/>
    </w:rPr>
  </w:style>
  <w:style w:type="character" w:customStyle="1" w:styleId="NoSpacingChar">
    <w:name w:val="No Spacing Char"/>
    <w:basedOn w:val="DefaultParagraphFont"/>
    <w:link w:val="NoSpacing"/>
    <w:uiPriority w:val="1"/>
    <w:rsid w:val="00D10C11"/>
  </w:style>
  <w:style w:type="numbering" w:customStyle="1" w:styleId="Style1">
    <w:name w:val="Style1"/>
    <w:uiPriority w:val="99"/>
    <w:rsid w:val="00D44205"/>
    <w:pPr>
      <w:numPr>
        <w:numId w:val="29"/>
      </w:numPr>
    </w:pPr>
  </w:style>
  <w:style w:type="character" w:customStyle="1" w:styleId="TOC1Char">
    <w:name w:val="TOC 1 Char"/>
    <w:basedOn w:val="DefaultParagraphFont"/>
    <w:link w:val="TOC1"/>
    <w:uiPriority w:val="39"/>
    <w:rsid w:val="00D661C3"/>
    <w:rPr>
      <w:rFonts w:ascii="Times New Roman" w:hAnsi="Times New Roman"/>
      <w:bCs/>
      <w:caps/>
      <w:sz w:val="24"/>
      <w:szCs w:val="24"/>
    </w:rPr>
  </w:style>
  <w:style w:type="paragraph" w:styleId="Bibliography">
    <w:name w:val="Bibliography"/>
    <w:basedOn w:val="Normal"/>
    <w:next w:val="Normal"/>
    <w:uiPriority w:val="37"/>
    <w:unhideWhenUsed/>
    <w:rsid w:val="00595F04"/>
  </w:style>
  <w:style w:type="paragraph" w:styleId="TableofAuthorities">
    <w:name w:val="table of authorities"/>
    <w:basedOn w:val="Normal"/>
    <w:next w:val="Normal"/>
    <w:uiPriority w:val="99"/>
    <w:semiHidden/>
    <w:unhideWhenUsed/>
    <w:rsid w:val="00C749BC"/>
    <w:pPr>
      <w:spacing w:after="0"/>
      <w:ind w:left="200" w:hanging="200"/>
    </w:pPr>
  </w:style>
  <w:style w:type="character" w:customStyle="1" w:styleId="InTextCitation">
    <w:name w:val="In Text Citation"/>
    <w:basedOn w:val="DefaultParagraphFont"/>
    <w:uiPriority w:val="1"/>
    <w:qFormat/>
    <w:rsid w:val="00AC5F51"/>
    <w:rPr>
      <w:rFonts w:ascii="Times New Roman" w:hAnsi="Times New Roman"/>
      <w:sz w:val="24"/>
      <w:vertAlign w:val="superscript"/>
    </w:rPr>
  </w:style>
  <w:style w:type="character" w:customStyle="1" w:styleId="In-TextCitation">
    <w:name w:val="In-Text Citation"/>
    <w:basedOn w:val="DefaultParagraphFont"/>
    <w:rsid w:val="0072494B"/>
    <w:rPr>
      <w:vertAlign w:val="superscript"/>
    </w:rPr>
  </w:style>
  <w:style w:type="paragraph" w:styleId="NormalWeb">
    <w:name w:val="Normal (Web)"/>
    <w:basedOn w:val="Normal"/>
    <w:uiPriority w:val="99"/>
    <w:semiHidden/>
    <w:unhideWhenUsed/>
    <w:rsid w:val="009864B9"/>
    <w:pPr>
      <w:spacing w:before="100" w:beforeAutospacing="1" w:after="100" w:afterAutospacing="1" w:line="240" w:lineRule="auto"/>
    </w:pPr>
    <w:rPr>
      <w:rFonts w:ascii="Times" w:hAnsi="Times" w:cs="Times New Roman"/>
      <w:szCs w:val="20"/>
      <w:lang w:bidi="ar-SA"/>
    </w:rPr>
  </w:style>
  <w:style w:type="paragraph" w:styleId="FootnoteText">
    <w:name w:val="footnote text"/>
    <w:basedOn w:val="Normal"/>
    <w:link w:val="FootnoteTextChar"/>
    <w:uiPriority w:val="99"/>
    <w:semiHidden/>
    <w:unhideWhenUsed/>
    <w:rsid w:val="00CA38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38DC"/>
    <w:rPr>
      <w:rFonts w:ascii="Times New Roman" w:hAnsi="Times New Roman"/>
      <w:sz w:val="20"/>
      <w:szCs w:val="20"/>
    </w:rPr>
  </w:style>
  <w:style w:type="character" w:styleId="FootnoteReference">
    <w:name w:val="footnote reference"/>
    <w:basedOn w:val="DefaultParagraphFont"/>
    <w:uiPriority w:val="99"/>
    <w:semiHidden/>
    <w:unhideWhenUsed/>
    <w:rsid w:val="00CA38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04647">
      <w:bodyDiv w:val="1"/>
      <w:marLeft w:val="0"/>
      <w:marRight w:val="0"/>
      <w:marTop w:val="0"/>
      <w:marBottom w:val="0"/>
      <w:divBdr>
        <w:top w:val="none" w:sz="0" w:space="0" w:color="auto"/>
        <w:left w:val="none" w:sz="0" w:space="0" w:color="auto"/>
        <w:bottom w:val="none" w:sz="0" w:space="0" w:color="auto"/>
        <w:right w:val="none" w:sz="0" w:space="0" w:color="auto"/>
      </w:divBdr>
    </w:div>
    <w:div w:id="122315995">
      <w:bodyDiv w:val="1"/>
      <w:marLeft w:val="0"/>
      <w:marRight w:val="0"/>
      <w:marTop w:val="0"/>
      <w:marBottom w:val="0"/>
      <w:divBdr>
        <w:top w:val="none" w:sz="0" w:space="0" w:color="auto"/>
        <w:left w:val="none" w:sz="0" w:space="0" w:color="auto"/>
        <w:bottom w:val="none" w:sz="0" w:space="0" w:color="auto"/>
        <w:right w:val="none" w:sz="0" w:space="0" w:color="auto"/>
      </w:divBdr>
    </w:div>
    <w:div w:id="137263811">
      <w:bodyDiv w:val="1"/>
      <w:marLeft w:val="0"/>
      <w:marRight w:val="0"/>
      <w:marTop w:val="0"/>
      <w:marBottom w:val="0"/>
      <w:divBdr>
        <w:top w:val="none" w:sz="0" w:space="0" w:color="auto"/>
        <w:left w:val="none" w:sz="0" w:space="0" w:color="auto"/>
        <w:bottom w:val="none" w:sz="0" w:space="0" w:color="auto"/>
        <w:right w:val="none" w:sz="0" w:space="0" w:color="auto"/>
      </w:divBdr>
    </w:div>
    <w:div w:id="150607813">
      <w:bodyDiv w:val="1"/>
      <w:marLeft w:val="0"/>
      <w:marRight w:val="0"/>
      <w:marTop w:val="0"/>
      <w:marBottom w:val="0"/>
      <w:divBdr>
        <w:top w:val="none" w:sz="0" w:space="0" w:color="auto"/>
        <w:left w:val="none" w:sz="0" w:space="0" w:color="auto"/>
        <w:bottom w:val="none" w:sz="0" w:space="0" w:color="auto"/>
        <w:right w:val="none" w:sz="0" w:space="0" w:color="auto"/>
      </w:divBdr>
    </w:div>
    <w:div w:id="200286316">
      <w:bodyDiv w:val="1"/>
      <w:marLeft w:val="0"/>
      <w:marRight w:val="0"/>
      <w:marTop w:val="0"/>
      <w:marBottom w:val="0"/>
      <w:divBdr>
        <w:top w:val="none" w:sz="0" w:space="0" w:color="auto"/>
        <w:left w:val="none" w:sz="0" w:space="0" w:color="auto"/>
        <w:bottom w:val="none" w:sz="0" w:space="0" w:color="auto"/>
        <w:right w:val="none" w:sz="0" w:space="0" w:color="auto"/>
      </w:divBdr>
    </w:div>
    <w:div w:id="289483484">
      <w:bodyDiv w:val="1"/>
      <w:marLeft w:val="0"/>
      <w:marRight w:val="0"/>
      <w:marTop w:val="0"/>
      <w:marBottom w:val="0"/>
      <w:divBdr>
        <w:top w:val="none" w:sz="0" w:space="0" w:color="auto"/>
        <w:left w:val="none" w:sz="0" w:space="0" w:color="auto"/>
        <w:bottom w:val="none" w:sz="0" w:space="0" w:color="auto"/>
        <w:right w:val="none" w:sz="0" w:space="0" w:color="auto"/>
      </w:divBdr>
    </w:div>
    <w:div w:id="328094386">
      <w:bodyDiv w:val="1"/>
      <w:marLeft w:val="0"/>
      <w:marRight w:val="0"/>
      <w:marTop w:val="0"/>
      <w:marBottom w:val="0"/>
      <w:divBdr>
        <w:top w:val="none" w:sz="0" w:space="0" w:color="auto"/>
        <w:left w:val="none" w:sz="0" w:space="0" w:color="auto"/>
        <w:bottom w:val="none" w:sz="0" w:space="0" w:color="auto"/>
        <w:right w:val="none" w:sz="0" w:space="0" w:color="auto"/>
      </w:divBdr>
    </w:div>
    <w:div w:id="339937516">
      <w:bodyDiv w:val="1"/>
      <w:marLeft w:val="0"/>
      <w:marRight w:val="0"/>
      <w:marTop w:val="0"/>
      <w:marBottom w:val="0"/>
      <w:divBdr>
        <w:top w:val="none" w:sz="0" w:space="0" w:color="auto"/>
        <w:left w:val="none" w:sz="0" w:space="0" w:color="auto"/>
        <w:bottom w:val="none" w:sz="0" w:space="0" w:color="auto"/>
        <w:right w:val="none" w:sz="0" w:space="0" w:color="auto"/>
      </w:divBdr>
    </w:div>
    <w:div w:id="340206102">
      <w:bodyDiv w:val="1"/>
      <w:marLeft w:val="0"/>
      <w:marRight w:val="0"/>
      <w:marTop w:val="0"/>
      <w:marBottom w:val="0"/>
      <w:divBdr>
        <w:top w:val="none" w:sz="0" w:space="0" w:color="auto"/>
        <w:left w:val="none" w:sz="0" w:space="0" w:color="auto"/>
        <w:bottom w:val="none" w:sz="0" w:space="0" w:color="auto"/>
        <w:right w:val="none" w:sz="0" w:space="0" w:color="auto"/>
      </w:divBdr>
    </w:div>
    <w:div w:id="352221159">
      <w:bodyDiv w:val="1"/>
      <w:marLeft w:val="0"/>
      <w:marRight w:val="0"/>
      <w:marTop w:val="0"/>
      <w:marBottom w:val="0"/>
      <w:divBdr>
        <w:top w:val="none" w:sz="0" w:space="0" w:color="auto"/>
        <w:left w:val="none" w:sz="0" w:space="0" w:color="auto"/>
        <w:bottom w:val="none" w:sz="0" w:space="0" w:color="auto"/>
        <w:right w:val="none" w:sz="0" w:space="0" w:color="auto"/>
      </w:divBdr>
    </w:div>
    <w:div w:id="368723361">
      <w:bodyDiv w:val="1"/>
      <w:marLeft w:val="0"/>
      <w:marRight w:val="0"/>
      <w:marTop w:val="0"/>
      <w:marBottom w:val="0"/>
      <w:divBdr>
        <w:top w:val="none" w:sz="0" w:space="0" w:color="auto"/>
        <w:left w:val="none" w:sz="0" w:space="0" w:color="auto"/>
        <w:bottom w:val="none" w:sz="0" w:space="0" w:color="auto"/>
        <w:right w:val="none" w:sz="0" w:space="0" w:color="auto"/>
      </w:divBdr>
    </w:div>
    <w:div w:id="390347101">
      <w:bodyDiv w:val="1"/>
      <w:marLeft w:val="0"/>
      <w:marRight w:val="0"/>
      <w:marTop w:val="0"/>
      <w:marBottom w:val="0"/>
      <w:divBdr>
        <w:top w:val="none" w:sz="0" w:space="0" w:color="auto"/>
        <w:left w:val="none" w:sz="0" w:space="0" w:color="auto"/>
        <w:bottom w:val="none" w:sz="0" w:space="0" w:color="auto"/>
        <w:right w:val="none" w:sz="0" w:space="0" w:color="auto"/>
      </w:divBdr>
    </w:div>
    <w:div w:id="425083102">
      <w:bodyDiv w:val="1"/>
      <w:marLeft w:val="0"/>
      <w:marRight w:val="0"/>
      <w:marTop w:val="0"/>
      <w:marBottom w:val="0"/>
      <w:divBdr>
        <w:top w:val="none" w:sz="0" w:space="0" w:color="auto"/>
        <w:left w:val="none" w:sz="0" w:space="0" w:color="auto"/>
        <w:bottom w:val="none" w:sz="0" w:space="0" w:color="auto"/>
        <w:right w:val="none" w:sz="0" w:space="0" w:color="auto"/>
      </w:divBdr>
    </w:div>
    <w:div w:id="439108962">
      <w:bodyDiv w:val="1"/>
      <w:marLeft w:val="0"/>
      <w:marRight w:val="0"/>
      <w:marTop w:val="0"/>
      <w:marBottom w:val="0"/>
      <w:divBdr>
        <w:top w:val="none" w:sz="0" w:space="0" w:color="auto"/>
        <w:left w:val="none" w:sz="0" w:space="0" w:color="auto"/>
        <w:bottom w:val="none" w:sz="0" w:space="0" w:color="auto"/>
        <w:right w:val="none" w:sz="0" w:space="0" w:color="auto"/>
      </w:divBdr>
    </w:div>
    <w:div w:id="499538837">
      <w:bodyDiv w:val="1"/>
      <w:marLeft w:val="0"/>
      <w:marRight w:val="0"/>
      <w:marTop w:val="0"/>
      <w:marBottom w:val="0"/>
      <w:divBdr>
        <w:top w:val="none" w:sz="0" w:space="0" w:color="auto"/>
        <w:left w:val="none" w:sz="0" w:space="0" w:color="auto"/>
        <w:bottom w:val="none" w:sz="0" w:space="0" w:color="auto"/>
        <w:right w:val="none" w:sz="0" w:space="0" w:color="auto"/>
      </w:divBdr>
    </w:div>
    <w:div w:id="509417258">
      <w:bodyDiv w:val="1"/>
      <w:marLeft w:val="0"/>
      <w:marRight w:val="0"/>
      <w:marTop w:val="0"/>
      <w:marBottom w:val="0"/>
      <w:divBdr>
        <w:top w:val="none" w:sz="0" w:space="0" w:color="auto"/>
        <w:left w:val="none" w:sz="0" w:space="0" w:color="auto"/>
        <w:bottom w:val="none" w:sz="0" w:space="0" w:color="auto"/>
        <w:right w:val="none" w:sz="0" w:space="0" w:color="auto"/>
      </w:divBdr>
    </w:div>
    <w:div w:id="597180016">
      <w:bodyDiv w:val="1"/>
      <w:marLeft w:val="0"/>
      <w:marRight w:val="0"/>
      <w:marTop w:val="0"/>
      <w:marBottom w:val="0"/>
      <w:divBdr>
        <w:top w:val="none" w:sz="0" w:space="0" w:color="auto"/>
        <w:left w:val="none" w:sz="0" w:space="0" w:color="auto"/>
        <w:bottom w:val="none" w:sz="0" w:space="0" w:color="auto"/>
        <w:right w:val="none" w:sz="0" w:space="0" w:color="auto"/>
      </w:divBdr>
    </w:div>
    <w:div w:id="632907143">
      <w:bodyDiv w:val="1"/>
      <w:marLeft w:val="0"/>
      <w:marRight w:val="0"/>
      <w:marTop w:val="0"/>
      <w:marBottom w:val="0"/>
      <w:divBdr>
        <w:top w:val="none" w:sz="0" w:space="0" w:color="auto"/>
        <w:left w:val="none" w:sz="0" w:space="0" w:color="auto"/>
        <w:bottom w:val="none" w:sz="0" w:space="0" w:color="auto"/>
        <w:right w:val="none" w:sz="0" w:space="0" w:color="auto"/>
      </w:divBdr>
    </w:div>
    <w:div w:id="650256665">
      <w:bodyDiv w:val="1"/>
      <w:marLeft w:val="0"/>
      <w:marRight w:val="0"/>
      <w:marTop w:val="0"/>
      <w:marBottom w:val="0"/>
      <w:divBdr>
        <w:top w:val="none" w:sz="0" w:space="0" w:color="auto"/>
        <w:left w:val="none" w:sz="0" w:space="0" w:color="auto"/>
        <w:bottom w:val="none" w:sz="0" w:space="0" w:color="auto"/>
        <w:right w:val="none" w:sz="0" w:space="0" w:color="auto"/>
      </w:divBdr>
    </w:div>
    <w:div w:id="684553199">
      <w:bodyDiv w:val="1"/>
      <w:marLeft w:val="0"/>
      <w:marRight w:val="0"/>
      <w:marTop w:val="0"/>
      <w:marBottom w:val="0"/>
      <w:divBdr>
        <w:top w:val="none" w:sz="0" w:space="0" w:color="auto"/>
        <w:left w:val="none" w:sz="0" w:space="0" w:color="auto"/>
        <w:bottom w:val="none" w:sz="0" w:space="0" w:color="auto"/>
        <w:right w:val="none" w:sz="0" w:space="0" w:color="auto"/>
      </w:divBdr>
    </w:div>
    <w:div w:id="746078997">
      <w:bodyDiv w:val="1"/>
      <w:marLeft w:val="0"/>
      <w:marRight w:val="0"/>
      <w:marTop w:val="0"/>
      <w:marBottom w:val="0"/>
      <w:divBdr>
        <w:top w:val="none" w:sz="0" w:space="0" w:color="auto"/>
        <w:left w:val="none" w:sz="0" w:space="0" w:color="auto"/>
        <w:bottom w:val="none" w:sz="0" w:space="0" w:color="auto"/>
        <w:right w:val="none" w:sz="0" w:space="0" w:color="auto"/>
      </w:divBdr>
    </w:div>
    <w:div w:id="748580847">
      <w:bodyDiv w:val="1"/>
      <w:marLeft w:val="0"/>
      <w:marRight w:val="0"/>
      <w:marTop w:val="0"/>
      <w:marBottom w:val="0"/>
      <w:divBdr>
        <w:top w:val="none" w:sz="0" w:space="0" w:color="auto"/>
        <w:left w:val="none" w:sz="0" w:space="0" w:color="auto"/>
        <w:bottom w:val="none" w:sz="0" w:space="0" w:color="auto"/>
        <w:right w:val="none" w:sz="0" w:space="0" w:color="auto"/>
      </w:divBdr>
    </w:div>
    <w:div w:id="753089599">
      <w:bodyDiv w:val="1"/>
      <w:marLeft w:val="0"/>
      <w:marRight w:val="0"/>
      <w:marTop w:val="0"/>
      <w:marBottom w:val="0"/>
      <w:divBdr>
        <w:top w:val="none" w:sz="0" w:space="0" w:color="auto"/>
        <w:left w:val="none" w:sz="0" w:space="0" w:color="auto"/>
        <w:bottom w:val="none" w:sz="0" w:space="0" w:color="auto"/>
        <w:right w:val="none" w:sz="0" w:space="0" w:color="auto"/>
      </w:divBdr>
    </w:div>
    <w:div w:id="764769826">
      <w:bodyDiv w:val="1"/>
      <w:marLeft w:val="0"/>
      <w:marRight w:val="0"/>
      <w:marTop w:val="0"/>
      <w:marBottom w:val="0"/>
      <w:divBdr>
        <w:top w:val="none" w:sz="0" w:space="0" w:color="auto"/>
        <w:left w:val="none" w:sz="0" w:space="0" w:color="auto"/>
        <w:bottom w:val="none" w:sz="0" w:space="0" w:color="auto"/>
        <w:right w:val="none" w:sz="0" w:space="0" w:color="auto"/>
      </w:divBdr>
    </w:div>
    <w:div w:id="772556540">
      <w:bodyDiv w:val="1"/>
      <w:marLeft w:val="0"/>
      <w:marRight w:val="0"/>
      <w:marTop w:val="0"/>
      <w:marBottom w:val="0"/>
      <w:divBdr>
        <w:top w:val="none" w:sz="0" w:space="0" w:color="auto"/>
        <w:left w:val="none" w:sz="0" w:space="0" w:color="auto"/>
        <w:bottom w:val="none" w:sz="0" w:space="0" w:color="auto"/>
        <w:right w:val="none" w:sz="0" w:space="0" w:color="auto"/>
      </w:divBdr>
    </w:div>
    <w:div w:id="799541505">
      <w:bodyDiv w:val="1"/>
      <w:marLeft w:val="0"/>
      <w:marRight w:val="0"/>
      <w:marTop w:val="0"/>
      <w:marBottom w:val="0"/>
      <w:divBdr>
        <w:top w:val="none" w:sz="0" w:space="0" w:color="auto"/>
        <w:left w:val="none" w:sz="0" w:space="0" w:color="auto"/>
        <w:bottom w:val="none" w:sz="0" w:space="0" w:color="auto"/>
        <w:right w:val="none" w:sz="0" w:space="0" w:color="auto"/>
      </w:divBdr>
    </w:div>
    <w:div w:id="823202018">
      <w:bodyDiv w:val="1"/>
      <w:marLeft w:val="0"/>
      <w:marRight w:val="0"/>
      <w:marTop w:val="0"/>
      <w:marBottom w:val="0"/>
      <w:divBdr>
        <w:top w:val="none" w:sz="0" w:space="0" w:color="auto"/>
        <w:left w:val="none" w:sz="0" w:space="0" w:color="auto"/>
        <w:bottom w:val="none" w:sz="0" w:space="0" w:color="auto"/>
        <w:right w:val="none" w:sz="0" w:space="0" w:color="auto"/>
      </w:divBdr>
    </w:div>
    <w:div w:id="835610143">
      <w:bodyDiv w:val="1"/>
      <w:marLeft w:val="0"/>
      <w:marRight w:val="0"/>
      <w:marTop w:val="0"/>
      <w:marBottom w:val="0"/>
      <w:divBdr>
        <w:top w:val="none" w:sz="0" w:space="0" w:color="auto"/>
        <w:left w:val="none" w:sz="0" w:space="0" w:color="auto"/>
        <w:bottom w:val="none" w:sz="0" w:space="0" w:color="auto"/>
        <w:right w:val="none" w:sz="0" w:space="0" w:color="auto"/>
      </w:divBdr>
    </w:div>
    <w:div w:id="843860857">
      <w:bodyDiv w:val="1"/>
      <w:marLeft w:val="0"/>
      <w:marRight w:val="0"/>
      <w:marTop w:val="0"/>
      <w:marBottom w:val="0"/>
      <w:divBdr>
        <w:top w:val="none" w:sz="0" w:space="0" w:color="auto"/>
        <w:left w:val="none" w:sz="0" w:space="0" w:color="auto"/>
        <w:bottom w:val="none" w:sz="0" w:space="0" w:color="auto"/>
        <w:right w:val="none" w:sz="0" w:space="0" w:color="auto"/>
      </w:divBdr>
    </w:div>
    <w:div w:id="853804344">
      <w:bodyDiv w:val="1"/>
      <w:marLeft w:val="0"/>
      <w:marRight w:val="0"/>
      <w:marTop w:val="0"/>
      <w:marBottom w:val="0"/>
      <w:divBdr>
        <w:top w:val="none" w:sz="0" w:space="0" w:color="auto"/>
        <w:left w:val="none" w:sz="0" w:space="0" w:color="auto"/>
        <w:bottom w:val="none" w:sz="0" w:space="0" w:color="auto"/>
        <w:right w:val="none" w:sz="0" w:space="0" w:color="auto"/>
      </w:divBdr>
    </w:div>
    <w:div w:id="877476765">
      <w:bodyDiv w:val="1"/>
      <w:marLeft w:val="0"/>
      <w:marRight w:val="0"/>
      <w:marTop w:val="0"/>
      <w:marBottom w:val="0"/>
      <w:divBdr>
        <w:top w:val="none" w:sz="0" w:space="0" w:color="auto"/>
        <w:left w:val="none" w:sz="0" w:space="0" w:color="auto"/>
        <w:bottom w:val="none" w:sz="0" w:space="0" w:color="auto"/>
        <w:right w:val="none" w:sz="0" w:space="0" w:color="auto"/>
      </w:divBdr>
    </w:div>
    <w:div w:id="885721651">
      <w:bodyDiv w:val="1"/>
      <w:marLeft w:val="0"/>
      <w:marRight w:val="0"/>
      <w:marTop w:val="0"/>
      <w:marBottom w:val="0"/>
      <w:divBdr>
        <w:top w:val="none" w:sz="0" w:space="0" w:color="auto"/>
        <w:left w:val="none" w:sz="0" w:space="0" w:color="auto"/>
        <w:bottom w:val="none" w:sz="0" w:space="0" w:color="auto"/>
        <w:right w:val="none" w:sz="0" w:space="0" w:color="auto"/>
      </w:divBdr>
    </w:div>
    <w:div w:id="916746534">
      <w:bodyDiv w:val="1"/>
      <w:marLeft w:val="0"/>
      <w:marRight w:val="0"/>
      <w:marTop w:val="0"/>
      <w:marBottom w:val="0"/>
      <w:divBdr>
        <w:top w:val="none" w:sz="0" w:space="0" w:color="auto"/>
        <w:left w:val="none" w:sz="0" w:space="0" w:color="auto"/>
        <w:bottom w:val="none" w:sz="0" w:space="0" w:color="auto"/>
        <w:right w:val="none" w:sz="0" w:space="0" w:color="auto"/>
      </w:divBdr>
    </w:div>
    <w:div w:id="993340324">
      <w:bodyDiv w:val="1"/>
      <w:marLeft w:val="0"/>
      <w:marRight w:val="0"/>
      <w:marTop w:val="0"/>
      <w:marBottom w:val="0"/>
      <w:divBdr>
        <w:top w:val="none" w:sz="0" w:space="0" w:color="auto"/>
        <w:left w:val="none" w:sz="0" w:space="0" w:color="auto"/>
        <w:bottom w:val="none" w:sz="0" w:space="0" w:color="auto"/>
        <w:right w:val="none" w:sz="0" w:space="0" w:color="auto"/>
      </w:divBdr>
    </w:div>
    <w:div w:id="1023673078">
      <w:bodyDiv w:val="1"/>
      <w:marLeft w:val="0"/>
      <w:marRight w:val="0"/>
      <w:marTop w:val="0"/>
      <w:marBottom w:val="0"/>
      <w:divBdr>
        <w:top w:val="none" w:sz="0" w:space="0" w:color="auto"/>
        <w:left w:val="none" w:sz="0" w:space="0" w:color="auto"/>
        <w:bottom w:val="none" w:sz="0" w:space="0" w:color="auto"/>
        <w:right w:val="none" w:sz="0" w:space="0" w:color="auto"/>
      </w:divBdr>
    </w:div>
    <w:div w:id="1180776026">
      <w:bodyDiv w:val="1"/>
      <w:marLeft w:val="0"/>
      <w:marRight w:val="0"/>
      <w:marTop w:val="0"/>
      <w:marBottom w:val="0"/>
      <w:divBdr>
        <w:top w:val="none" w:sz="0" w:space="0" w:color="auto"/>
        <w:left w:val="none" w:sz="0" w:space="0" w:color="auto"/>
        <w:bottom w:val="none" w:sz="0" w:space="0" w:color="auto"/>
        <w:right w:val="none" w:sz="0" w:space="0" w:color="auto"/>
      </w:divBdr>
    </w:div>
    <w:div w:id="1193156728">
      <w:bodyDiv w:val="1"/>
      <w:marLeft w:val="0"/>
      <w:marRight w:val="0"/>
      <w:marTop w:val="0"/>
      <w:marBottom w:val="0"/>
      <w:divBdr>
        <w:top w:val="none" w:sz="0" w:space="0" w:color="auto"/>
        <w:left w:val="none" w:sz="0" w:space="0" w:color="auto"/>
        <w:bottom w:val="none" w:sz="0" w:space="0" w:color="auto"/>
        <w:right w:val="none" w:sz="0" w:space="0" w:color="auto"/>
      </w:divBdr>
    </w:div>
    <w:div w:id="1193618327">
      <w:bodyDiv w:val="1"/>
      <w:marLeft w:val="0"/>
      <w:marRight w:val="0"/>
      <w:marTop w:val="0"/>
      <w:marBottom w:val="0"/>
      <w:divBdr>
        <w:top w:val="none" w:sz="0" w:space="0" w:color="auto"/>
        <w:left w:val="none" w:sz="0" w:space="0" w:color="auto"/>
        <w:bottom w:val="none" w:sz="0" w:space="0" w:color="auto"/>
        <w:right w:val="none" w:sz="0" w:space="0" w:color="auto"/>
      </w:divBdr>
    </w:div>
    <w:div w:id="1223295071">
      <w:bodyDiv w:val="1"/>
      <w:marLeft w:val="0"/>
      <w:marRight w:val="0"/>
      <w:marTop w:val="0"/>
      <w:marBottom w:val="0"/>
      <w:divBdr>
        <w:top w:val="none" w:sz="0" w:space="0" w:color="auto"/>
        <w:left w:val="none" w:sz="0" w:space="0" w:color="auto"/>
        <w:bottom w:val="none" w:sz="0" w:space="0" w:color="auto"/>
        <w:right w:val="none" w:sz="0" w:space="0" w:color="auto"/>
      </w:divBdr>
    </w:div>
    <w:div w:id="1230851058">
      <w:bodyDiv w:val="1"/>
      <w:marLeft w:val="0"/>
      <w:marRight w:val="0"/>
      <w:marTop w:val="0"/>
      <w:marBottom w:val="0"/>
      <w:divBdr>
        <w:top w:val="none" w:sz="0" w:space="0" w:color="auto"/>
        <w:left w:val="none" w:sz="0" w:space="0" w:color="auto"/>
        <w:bottom w:val="none" w:sz="0" w:space="0" w:color="auto"/>
        <w:right w:val="none" w:sz="0" w:space="0" w:color="auto"/>
      </w:divBdr>
    </w:div>
    <w:div w:id="1232495964">
      <w:bodyDiv w:val="1"/>
      <w:marLeft w:val="0"/>
      <w:marRight w:val="0"/>
      <w:marTop w:val="0"/>
      <w:marBottom w:val="0"/>
      <w:divBdr>
        <w:top w:val="none" w:sz="0" w:space="0" w:color="auto"/>
        <w:left w:val="none" w:sz="0" w:space="0" w:color="auto"/>
        <w:bottom w:val="none" w:sz="0" w:space="0" w:color="auto"/>
        <w:right w:val="none" w:sz="0" w:space="0" w:color="auto"/>
      </w:divBdr>
    </w:div>
    <w:div w:id="1322468330">
      <w:bodyDiv w:val="1"/>
      <w:marLeft w:val="0"/>
      <w:marRight w:val="0"/>
      <w:marTop w:val="0"/>
      <w:marBottom w:val="0"/>
      <w:divBdr>
        <w:top w:val="none" w:sz="0" w:space="0" w:color="auto"/>
        <w:left w:val="none" w:sz="0" w:space="0" w:color="auto"/>
        <w:bottom w:val="none" w:sz="0" w:space="0" w:color="auto"/>
        <w:right w:val="none" w:sz="0" w:space="0" w:color="auto"/>
      </w:divBdr>
    </w:div>
    <w:div w:id="1355497296">
      <w:bodyDiv w:val="1"/>
      <w:marLeft w:val="0"/>
      <w:marRight w:val="0"/>
      <w:marTop w:val="0"/>
      <w:marBottom w:val="0"/>
      <w:divBdr>
        <w:top w:val="none" w:sz="0" w:space="0" w:color="auto"/>
        <w:left w:val="none" w:sz="0" w:space="0" w:color="auto"/>
        <w:bottom w:val="none" w:sz="0" w:space="0" w:color="auto"/>
        <w:right w:val="none" w:sz="0" w:space="0" w:color="auto"/>
      </w:divBdr>
    </w:div>
    <w:div w:id="1449088358">
      <w:bodyDiv w:val="1"/>
      <w:marLeft w:val="0"/>
      <w:marRight w:val="0"/>
      <w:marTop w:val="0"/>
      <w:marBottom w:val="0"/>
      <w:divBdr>
        <w:top w:val="none" w:sz="0" w:space="0" w:color="auto"/>
        <w:left w:val="none" w:sz="0" w:space="0" w:color="auto"/>
        <w:bottom w:val="none" w:sz="0" w:space="0" w:color="auto"/>
        <w:right w:val="none" w:sz="0" w:space="0" w:color="auto"/>
      </w:divBdr>
    </w:div>
    <w:div w:id="1486362595">
      <w:bodyDiv w:val="1"/>
      <w:marLeft w:val="0"/>
      <w:marRight w:val="0"/>
      <w:marTop w:val="0"/>
      <w:marBottom w:val="0"/>
      <w:divBdr>
        <w:top w:val="none" w:sz="0" w:space="0" w:color="auto"/>
        <w:left w:val="none" w:sz="0" w:space="0" w:color="auto"/>
        <w:bottom w:val="none" w:sz="0" w:space="0" w:color="auto"/>
        <w:right w:val="none" w:sz="0" w:space="0" w:color="auto"/>
      </w:divBdr>
    </w:div>
    <w:div w:id="1528525792">
      <w:bodyDiv w:val="1"/>
      <w:marLeft w:val="0"/>
      <w:marRight w:val="0"/>
      <w:marTop w:val="0"/>
      <w:marBottom w:val="0"/>
      <w:divBdr>
        <w:top w:val="none" w:sz="0" w:space="0" w:color="auto"/>
        <w:left w:val="none" w:sz="0" w:space="0" w:color="auto"/>
        <w:bottom w:val="none" w:sz="0" w:space="0" w:color="auto"/>
        <w:right w:val="none" w:sz="0" w:space="0" w:color="auto"/>
      </w:divBdr>
    </w:div>
    <w:div w:id="1537886390">
      <w:bodyDiv w:val="1"/>
      <w:marLeft w:val="0"/>
      <w:marRight w:val="0"/>
      <w:marTop w:val="0"/>
      <w:marBottom w:val="0"/>
      <w:divBdr>
        <w:top w:val="none" w:sz="0" w:space="0" w:color="auto"/>
        <w:left w:val="none" w:sz="0" w:space="0" w:color="auto"/>
        <w:bottom w:val="none" w:sz="0" w:space="0" w:color="auto"/>
        <w:right w:val="none" w:sz="0" w:space="0" w:color="auto"/>
      </w:divBdr>
    </w:div>
    <w:div w:id="1542747167">
      <w:bodyDiv w:val="1"/>
      <w:marLeft w:val="0"/>
      <w:marRight w:val="0"/>
      <w:marTop w:val="0"/>
      <w:marBottom w:val="0"/>
      <w:divBdr>
        <w:top w:val="none" w:sz="0" w:space="0" w:color="auto"/>
        <w:left w:val="none" w:sz="0" w:space="0" w:color="auto"/>
        <w:bottom w:val="none" w:sz="0" w:space="0" w:color="auto"/>
        <w:right w:val="none" w:sz="0" w:space="0" w:color="auto"/>
      </w:divBdr>
    </w:div>
    <w:div w:id="1608660217">
      <w:bodyDiv w:val="1"/>
      <w:marLeft w:val="0"/>
      <w:marRight w:val="0"/>
      <w:marTop w:val="0"/>
      <w:marBottom w:val="0"/>
      <w:divBdr>
        <w:top w:val="none" w:sz="0" w:space="0" w:color="auto"/>
        <w:left w:val="none" w:sz="0" w:space="0" w:color="auto"/>
        <w:bottom w:val="none" w:sz="0" w:space="0" w:color="auto"/>
        <w:right w:val="none" w:sz="0" w:space="0" w:color="auto"/>
      </w:divBdr>
    </w:div>
    <w:div w:id="1646735670">
      <w:bodyDiv w:val="1"/>
      <w:marLeft w:val="0"/>
      <w:marRight w:val="0"/>
      <w:marTop w:val="0"/>
      <w:marBottom w:val="0"/>
      <w:divBdr>
        <w:top w:val="none" w:sz="0" w:space="0" w:color="auto"/>
        <w:left w:val="none" w:sz="0" w:space="0" w:color="auto"/>
        <w:bottom w:val="none" w:sz="0" w:space="0" w:color="auto"/>
        <w:right w:val="none" w:sz="0" w:space="0" w:color="auto"/>
      </w:divBdr>
    </w:div>
    <w:div w:id="1728871748">
      <w:bodyDiv w:val="1"/>
      <w:marLeft w:val="0"/>
      <w:marRight w:val="0"/>
      <w:marTop w:val="0"/>
      <w:marBottom w:val="0"/>
      <w:divBdr>
        <w:top w:val="none" w:sz="0" w:space="0" w:color="auto"/>
        <w:left w:val="none" w:sz="0" w:space="0" w:color="auto"/>
        <w:bottom w:val="none" w:sz="0" w:space="0" w:color="auto"/>
        <w:right w:val="none" w:sz="0" w:space="0" w:color="auto"/>
      </w:divBdr>
    </w:div>
    <w:div w:id="1740903210">
      <w:bodyDiv w:val="1"/>
      <w:marLeft w:val="0"/>
      <w:marRight w:val="0"/>
      <w:marTop w:val="0"/>
      <w:marBottom w:val="0"/>
      <w:divBdr>
        <w:top w:val="none" w:sz="0" w:space="0" w:color="auto"/>
        <w:left w:val="none" w:sz="0" w:space="0" w:color="auto"/>
        <w:bottom w:val="none" w:sz="0" w:space="0" w:color="auto"/>
        <w:right w:val="none" w:sz="0" w:space="0" w:color="auto"/>
      </w:divBdr>
    </w:div>
    <w:div w:id="1752048258">
      <w:bodyDiv w:val="1"/>
      <w:marLeft w:val="0"/>
      <w:marRight w:val="0"/>
      <w:marTop w:val="0"/>
      <w:marBottom w:val="0"/>
      <w:divBdr>
        <w:top w:val="none" w:sz="0" w:space="0" w:color="auto"/>
        <w:left w:val="none" w:sz="0" w:space="0" w:color="auto"/>
        <w:bottom w:val="none" w:sz="0" w:space="0" w:color="auto"/>
        <w:right w:val="none" w:sz="0" w:space="0" w:color="auto"/>
      </w:divBdr>
    </w:div>
    <w:div w:id="1794908074">
      <w:bodyDiv w:val="1"/>
      <w:marLeft w:val="0"/>
      <w:marRight w:val="0"/>
      <w:marTop w:val="0"/>
      <w:marBottom w:val="0"/>
      <w:divBdr>
        <w:top w:val="none" w:sz="0" w:space="0" w:color="auto"/>
        <w:left w:val="none" w:sz="0" w:space="0" w:color="auto"/>
        <w:bottom w:val="none" w:sz="0" w:space="0" w:color="auto"/>
        <w:right w:val="none" w:sz="0" w:space="0" w:color="auto"/>
      </w:divBdr>
    </w:div>
    <w:div w:id="1828474347">
      <w:bodyDiv w:val="1"/>
      <w:marLeft w:val="0"/>
      <w:marRight w:val="0"/>
      <w:marTop w:val="0"/>
      <w:marBottom w:val="0"/>
      <w:divBdr>
        <w:top w:val="none" w:sz="0" w:space="0" w:color="auto"/>
        <w:left w:val="none" w:sz="0" w:space="0" w:color="auto"/>
        <w:bottom w:val="none" w:sz="0" w:space="0" w:color="auto"/>
        <w:right w:val="none" w:sz="0" w:space="0" w:color="auto"/>
      </w:divBdr>
    </w:div>
    <w:div w:id="1863472654">
      <w:bodyDiv w:val="1"/>
      <w:marLeft w:val="0"/>
      <w:marRight w:val="0"/>
      <w:marTop w:val="0"/>
      <w:marBottom w:val="0"/>
      <w:divBdr>
        <w:top w:val="none" w:sz="0" w:space="0" w:color="auto"/>
        <w:left w:val="none" w:sz="0" w:space="0" w:color="auto"/>
        <w:bottom w:val="none" w:sz="0" w:space="0" w:color="auto"/>
        <w:right w:val="none" w:sz="0" w:space="0" w:color="auto"/>
      </w:divBdr>
    </w:div>
    <w:div w:id="1877160149">
      <w:bodyDiv w:val="1"/>
      <w:marLeft w:val="0"/>
      <w:marRight w:val="0"/>
      <w:marTop w:val="0"/>
      <w:marBottom w:val="0"/>
      <w:divBdr>
        <w:top w:val="none" w:sz="0" w:space="0" w:color="auto"/>
        <w:left w:val="none" w:sz="0" w:space="0" w:color="auto"/>
        <w:bottom w:val="none" w:sz="0" w:space="0" w:color="auto"/>
        <w:right w:val="none" w:sz="0" w:space="0" w:color="auto"/>
      </w:divBdr>
    </w:div>
    <w:div w:id="1886601017">
      <w:bodyDiv w:val="1"/>
      <w:marLeft w:val="0"/>
      <w:marRight w:val="0"/>
      <w:marTop w:val="0"/>
      <w:marBottom w:val="0"/>
      <w:divBdr>
        <w:top w:val="none" w:sz="0" w:space="0" w:color="auto"/>
        <w:left w:val="none" w:sz="0" w:space="0" w:color="auto"/>
        <w:bottom w:val="none" w:sz="0" w:space="0" w:color="auto"/>
        <w:right w:val="none" w:sz="0" w:space="0" w:color="auto"/>
      </w:divBdr>
    </w:div>
    <w:div w:id="1890144984">
      <w:bodyDiv w:val="1"/>
      <w:marLeft w:val="0"/>
      <w:marRight w:val="0"/>
      <w:marTop w:val="0"/>
      <w:marBottom w:val="0"/>
      <w:divBdr>
        <w:top w:val="none" w:sz="0" w:space="0" w:color="auto"/>
        <w:left w:val="none" w:sz="0" w:space="0" w:color="auto"/>
        <w:bottom w:val="none" w:sz="0" w:space="0" w:color="auto"/>
        <w:right w:val="none" w:sz="0" w:space="0" w:color="auto"/>
      </w:divBdr>
    </w:div>
    <w:div w:id="1917670239">
      <w:bodyDiv w:val="1"/>
      <w:marLeft w:val="0"/>
      <w:marRight w:val="0"/>
      <w:marTop w:val="0"/>
      <w:marBottom w:val="0"/>
      <w:divBdr>
        <w:top w:val="none" w:sz="0" w:space="0" w:color="auto"/>
        <w:left w:val="none" w:sz="0" w:space="0" w:color="auto"/>
        <w:bottom w:val="none" w:sz="0" w:space="0" w:color="auto"/>
        <w:right w:val="none" w:sz="0" w:space="0" w:color="auto"/>
      </w:divBdr>
    </w:div>
    <w:div w:id="1958943953">
      <w:bodyDiv w:val="1"/>
      <w:marLeft w:val="0"/>
      <w:marRight w:val="0"/>
      <w:marTop w:val="0"/>
      <w:marBottom w:val="0"/>
      <w:divBdr>
        <w:top w:val="none" w:sz="0" w:space="0" w:color="auto"/>
        <w:left w:val="none" w:sz="0" w:space="0" w:color="auto"/>
        <w:bottom w:val="none" w:sz="0" w:space="0" w:color="auto"/>
        <w:right w:val="none" w:sz="0" w:space="0" w:color="auto"/>
      </w:divBdr>
    </w:div>
    <w:div w:id="2023970830">
      <w:bodyDiv w:val="1"/>
      <w:marLeft w:val="0"/>
      <w:marRight w:val="0"/>
      <w:marTop w:val="0"/>
      <w:marBottom w:val="0"/>
      <w:divBdr>
        <w:top w:val="none" w:sz="0" w:space="0" w:color="auto"/>
        <w:left w:val="none" w:sz="0" w:space="0" w:color="auto"/>
        <w:bottom w:val="none" w:sz="0" w:space="0" w:color="auto"/>
        <w:right w:val="none" w:sz="0" w:space="0" w:color="auto"/>
      </w:divBdr>
    </w:div>
    <w:div w:id="2098205291">
      <w:bodyDiv w:val="1"/>
      <w:marLeft w:val="0"/>
      <w:marRight w:val="0"/>
      <w:marTop w:val="0"/>
      <w:marBottom w:val="0"/>
      <w:divBdr>
        <w:top w:val="none" w:sz="0" w:space="0" w:color="auto"/>
        <w:left w:val="none" w:sz="0" w:space="0" w:color="auto"/>
        <w:bottom w:val="none" w:sz="0" w:space="0" w:color="auto"/>
        <w:right w:val="none" w:sz="0" w:space="0" w:color="auto"/>
      </w:divBdr>
    </w:div>
    <w:div w:id="2129423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oleObject" Target="embeddings/oleObject4.bin"/><Relationship Id="rId39" Type="http://schemas.openxmlformats.org/officeDocument/2006/relationships/image" Target="media/image19.png"/><Relationship Id="rId21" Type="http://schemas.openxmlformats.org/officeDocument/2006/relationships/image" Target="media/image8.wmf"/><Relationship Id="rId34" Type="http://schemas.openxmlformats.org/officeDocument/2006/relationships/image" Target="media/image15.wmf"/><Relationship Id="rId42" Type="http://schemas.openxmlformats.org/officeDocument/2006/relationships/oleObject" Target="embeddings/oleObject9.bin"/><Relationship Id="rId47" Type="http://schemas.openxmlformats.org/officeDocument/2006/relationships/image" Target="media/image24.wmf"/><Relationship Id="rId50" Type="http://schemas.openxmlformats.org/officeDocument/2006/relationships/oleObject" Target="embeddings/oleObject13.bin"/><Relationship Id="rId55" Type="http://schemas.openxmlformats.org/officeDocument/2006/relationships/image" Target="media/image28.wmf"/><Relationship Id="rId63"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oleObject" Target="embeddings/oleObject1.bin"/><Relationship Id="rId29" Type="http://schemas.openxmlformats.org/officeDocument/2006/relationships/image" Target="media/image12.wmf"/><Relationship Id="rId41" Type="http://schemas.openxmlformats.org/officeDocument/2006/relationships/image" Target="media/image21.wmf"/><Relationship Id="rId54" Type="http://schemas.openxmlformats.org/officeDocument/2006/relationships/oleObject" Target="embeddings/oleObject15.bin"/><Relationship Id="rId62"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oleObject" Target="embeddings/oleObject3.bin"/><Relationship Id="rId32" Type="http://schemas.openxmlformats.org/officeDocument/2006/relationships/image" Target="media/image14.wmf"/><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oleObject" Target="embeddings/oleObject17.bin"/><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wmf"/><Relationship Id="rId28" Type="http://schemas.openxmlformats.org/officeDocument/2006/relationships/oleObject" Target="embeddings/oleObject5.bin"/><Relationship Id="rId36" Type="http://schemas.openxmlformats.org/officeDocument/2006/relationships/image" Target="media/image16.jpeg"/><Relationship Id="rId49" Type="http://schemas.openxmlformats.org/officeDocument/2006/relationships/image" Target="media/image25.wmf"/><Relationship Id="rId57" Type="http://schemas.openxmlformats.org/officeDocument/2006/relationships/image" Target="media/image29.wmf"/><Relationship Id="rId61" Type="http://schemas.openxmlformats.org/officeDocument/2006/relationships/image" Target="media/image31.jpeg"/><Relationship Id="rId10" Type="http://schemas.openxmlformats.org/officeDocument/2006/relationships/footer" Target="footer2.xml"/><Relationship Id="rId19" Type="http://schemas.openxmlformats.org/officeDocument/2006/relationships/image" Target="media/image7.wmf"/><Relationship Id="rId31" Type="http://schemas.openxmlformats.org/officeDocument/2006/relationships/image" Target="media/image13.jpeg"/><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oleObject" Target="embeddings/oleObject2.bin"/><Relationship Id="rId27" Type="http://schemas.openxmlformats.org/officeDocument/2006/relationships/image" Target="media/image11.wmf"/><Relationship Id="rId30" Type="http://schemas.openxmlformats.org/officeDocument/2006/relationships/oleObject" Target="embeddings/oleObject6.bin"/><Relationship Id="rId35" Type="http://schemas.openxmlformats.org/officeDocument/2006/relationships/oleObject" Target="embeddings/oleObject8.bin"/><Relationship Id="rId43" Type="http://schemas.openxmlformats.org/officeDocument/2006/relationships/image" Target="media/image22.w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wmf"/><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image" Target="media/image10.wmf"/><Relationship Id="rId33" Type="http://schemas.openxmlformats.org/officeDocument/2006/relationships/oleObject" Target="embeddings/oleObject7.bin"/><Relationship Id="rId38" Type="http://schemas.openxmlformats.org/officeDocument/2006/relationships/image" Target="media/image18.png"/><Relationship Id="rId46" Type="http://schemas.openxmlformats.org/officeDocument/2006/relationships/oleObject" Target="embeddings/oleObject11.bin"/><Relationship Id="rId59" Type="http://schemas.openxmlformats.org/officeDocument/2006/relationships/image" Target="media/image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umana.XSL" StyleName="Humana Press">
  <b:Source>
    <b:Tag>SZw10</b:Tag>
    <b:SourceType>JournalArticle</b:SourceType>
    <b:Guid>{08140C87-592F-4676-BD7A-C7C9CC960F0B}</b:Guid>
    <b:Author>
      <b:Author>
        <b:NameList>
          <b:Person>
            <b:Last>Zwingenberger</b:Last>
            <b:First>S.</b:First>
          </b:Person>
          <b:Person>
            <b:Last>Pietsch</b:Last>
            <b:First>J.</b:First>
          </b:Person>
          <b:Person>
            <b:Last>Hommola</b:Last>
            <b:First>A.</b:First>
          </b:Person>
          <b:Person>
            <b:Last>Drebler</b:Last>
            <b:First>J.</b:First>
          </b:Person>
        </b:NameList>
      </b:Author>
    </b:Author>
    <b:Title>Illegal drug-related deaths in East Germany between 1995 and 2004</b:Title>
    <b:JournalName>Forensic Sci. Int.</b:JournalName>
    <b:Year>2010</b:Year>
    <b:Pages>58-62</b:Pages>
    <b:Volume>199</b:Volume>
    <b:RefOrder>10</b:RefOrder>
  </b:Source>
  <b:Source>
    <b:Tag>Zub12</b:Tag>
    <b:SourceType>JournalArticle</b:SourceType>
    <b:Guid>{D4194FBC-01E0-47D6-AEB7-FD698375DD83}</b:Guid>
    <b:Author>
      <b:Author>
        <b:NameList>
          <b:Person>
            <b:Last>Zuba</b:Last>
            <b:First>D.</b:First>
          </b:Person>
          <b:Person>
            <b:Last>Adamowicz</b:Last>
            <b:First>P.</b:First>
          </b:Person>
          <b:Person>
            <b:Last>Byrska</b:Last>
            <b:First>B.</b:First>
          </b:Person>
        </b:NameList>
      </b:Author>
    </b:Author>
    <b:Title>Detection of buphedrone in biological and non-biological material - Two case reports</b:Title>
    <b:JournalName>Forensic Sci. Int.</b:JournalName>
    <b:Year>2012</b:Year>
    <b:Volume>227</b:Volume>
    <b:Pages>15</b:Pages>
    <b:RefOrder>15</b:RefOrder>
  </b:Source>
  <b:Source>
    <b:Tag>MWi10</b:Tag>
    <b:SourceType>JournalArticle</b:SourceType>
    <b:Guid>{C34AC80D-9CBD-4F91-A4A5-9DB6D47CEA22}</b:Guid>
    <b:Author>
      <b:Author>
        <b:NameList>
          <b:Person>
            <b:Last>Wikstrom</b:Last>
            <b:First>M.</b:First>
          </b:Person>
          <b:Person>
            <b:Last>Thelander</b:Last>
            <b:First>G.</b:First>
          </b:Person>
          <b:Person>
            <b:Last>Nystrom</b:Last>
            <b:First>I.</b:First>
          </b:Person>
          <b:Person>
            <b:Last>Kronstrand</b:Last>
            <b:First>R.</b:First>
          </b:Person>
        </b:NameList>
      </b:Author>
    </b:Author>
    <b:Title>Two fatal intoxications with the new designer drug methedrone (4-methoxymethcathinone)</b:Title>
    <b:JournalName>J. Anal. Toxicol.</b:JournalName>
    <b:Year>2010</b:Year>
    <b:Pages>594-598</b:Pages>
    <b:Volume>34</b:Volume>
    <b:RefOrder>9</b:RefOrder>
  </b:Source>
  <b:Source>
    <b:Tag>War12</b:Tag>
    <b:SourceType>JournalArticle</b:SourceType>
    <b:Guid>{63D800F0-A9B7-4E6A-934B-97A41A4558C7}</b:Guid>
    <b:Author>
      <b:Author>
        <b:NameList>
          <b:Person>
            <b:Last>Warrick</b:Last>
            <b:First>B.</b:First>
            <b:Middle>J.</b:Middle>
          </b:Person>
          <b:Person>
            <b:Last>Wilson</b:Last>
            <b:First>J.</b:First>
          </b:Person>
          <b:Person>
            <b:Last>Hedge</b:Last>
            <b:First>M.</b:First>
          </b:Person>
          <b:Person>
            <b:Last>Freeman</b:Last>
            <b:First>S.</b:First>
          </b:Person>
          <b:Person>
            <b:Last>Leonard</b:Last>
            <b:First>K.</b:First>
          </b:Person>
          <b:Person>
            <b:Last>Aaron</b:Last>
            <b:First>C.</b:First>
          </b:Person>
        </b:NameList>
      </b:Author>
    </b:Author>
    <b:Title>Lethal serotonin syndrome after methylone and butylone ingestion</b:Title>
    <b:JournalName>J. Med. Toxicol.</b:JournalName>
    <b:Year>2012</b:Year>
    <b:Pages>65</b:Pages>
    <b:Volume>8</b:Volume>
    <b:RefOrder>11</b:RefOrder>
  </b:Source>
  <b:Source>
    <b:Tag>MVe07</b:Tag>
    <b:SourceType>JournalArticle</b:SourceType>
    <b:Guid>{61119DA8-6C3C-4562-A9E2-70DB75E1B271}</b:Guid>
    <b:Author>
      <b:Author>
        <b:NameList>
          <b:Person>
            <b:Last>Verschraagen</b:Last>
            <b:First>M.</b:First>
          </b:Person>
          <b:Person>
            <b:Last>Maes</b:Last>
            <b:First>A.</b:First>
          </b:Person>
          <b:Person>
            <b:Last>Ruiter</b:Last>
            <b:First>B.</b:First>
          </b:Person>
          <b:Person>
            <b:Last>Bosman</b:Last>
            <b:First>I.</b:First>
            <b:Middle>J.</b:Middle>
          </b:Person>
          <b:Person>
            <b:Last>Smink</b:Last>
            <b:First>B.</b:First>
            <b:Middle>E.</b:Middle>
          </b:Person>
          <b:Person>
            <b:Last>Lusthof</b:Last>
            <b:First>K.</b:First>
            <b:Middle>J.</b:Middle>
          </b:Person>
        </b:NameList>
      </b:Author>
    </b:Author>
    <b:Title>Post-mortem cases involving amphetamine-based drugs in the Netherlands - Comparison with driving under the influence cases</b:Title>
    <b:JournalName>Forensic Sci. Int.</b:JournalName>
    <b:Year>2007</b:Year>
    <b:Pages>163-170</b:Pages>
    <b:Volume>170</b:Volume>
    <b:RefOrder>8</b:RefOrder>
  </b:Source>
  <b:Source>
    <b:Tag>HTo10</b:Tag>
    <b:SourceType>JournalArticle</b:SourceType>
    <b:Guid>{9F2040AD-A251-4D3E-BE29-BC7E766071AA}</b:Guid>
    <b:Author>
      <b:Author>
        <b:NameList>
          <b:Person>
            <b:Last>Torrance</b:Last>
            <b:First>H.</b:First>
          </b:Person>
          <b:Person>
            <b:Last>Cooper</b:Last>
            <b:First>G.</b:First>
          </b:Person>
        </b:NameList>
      </b:Author>
    </b:Author>
    <b:Title>The detection of mephedrone (4-methylmethcathinone) in 4 fatalities in Scotland</b:Title>
    <b:JournalName>Forensic Sci. Int.</b:JournalName>
    <b:Year>2010</b:Year>
    <b:Pages>e62-e63</b:Pages>
    <b:Volume>202</b:Volume>
    <b:RefOrder>7</b:RefOrder>
  </b:Source>
  <b:Source>
    <b:Tag>Tho12</b:Tag>
    <b:SourceType>JournalArticle</b:SourceType>
    <b:Guid>{694D8201-B8BE-48A3-9AB1-0291389E8788}</b:Guid>
    <b:Author>
      <b:Author>
        <b:NameList>
          <b:Person>
            <b:Last>Thornton</b:Last>
            <b:First>S.</b:First>
            <b:Middle>L.</b:Middle>
          </b:Person>
          <b:Person>
            <b:Last>Lo</b:Last>
            <b:First>J.</b:First>
          </b:Person>
          <b:Person>
            <b:Last>Clark</b:Last>
            <b:First>R.</b:First>
            <b:Middle>F.</b:Middle>
          </b:Person>
          <b:Person>
            <b:Last>Wu</b:Last>
            <b:First>A.</b:First>
            <b:Middle>H. B.</b:Middle>
          </b:Person>
          <b:Person>
            <b:Last>Gerona</b:Last>
            <b:First>R.</b:First>
            <b:Middle>R.</b:Middle>
          </b:Person>
        </b:NameList>
      </b:Author>
    </b:Author>
    <b:Title>Simultaneous detection of multiple designer drugs in serum, urine, and CSF in a patient with prolonged psychosis</b:Title>
    <b:JournalName>Clin. Toxicol.</b:JournalName>
    <b:Year>2012</b:Year>
    <b:Pages>1165-1168</b:Pages>
    <b:Volume>50</b:Volume>
    <b:Issue>10</b:Issue>
    <b:RefOrder>19</b:RefOrder>
  </b:Source>
  <b:Source>
    <b:Tag>ETa06</b:Tag>
    <b:SourceType>JournalArticle</b:SourceType>
    <b:Guid>{FF867FD5-1175-4227-A4E2-D6036EAD8F87}</b:Guid>
    <b:Author>
      <b:Author>
        <b:NameList>
          <b:Person>
            <b:Last>Tanaka</b:Last>
            <b:First>E.</b:First>
          </b:Person>
          <b:Person>
            <b:Last>Kamata</b:Last>
            <b:First>T.</b:First>
          </b:Person>
          <b:Person>
            <b:Last>Katagi</b:Last>
            <b:First>M.</b:First>
          </b:Person>
          <b:Person>
            <b:Last>Tsuchihashi</b:Last>
            <b:First>H.</b:First>
          </b:Person>
          <b:Person>
            <b:Last>Honda</b:Last>
            <b:First>K.</b:First>
          </b:Person>
        </b:NameList>
      </b:Author>
    </b:Author>
    <b:Title>A fatal poisoning with 5-methoxy-N,N-diisopropyltryptamine, Foxy</b:Title>
    <b:JournalName>Forensic. Sci. Int.</b:JournalName>
    <b:Year>2006</b:Year>
    <b:Pages>152-154</b:Pages>
    <b:Volume>163</b:Volume>
    <b:Issue>1-2</b:Issue>
    <b:RefOrder>6</b:RefOrder>
  </b:Source>
  <b:Source>
    <b:Tag>Sto12</b:Tag>
    <b:SourceType>JournalArticle</b:SourceType>
    <b:Guid>{F7F3D536-FC26-4054-882C-9DD2FA03EEFB}</b:Guid>
    <b:Author>
      <b:Author>
        <b:NameList>
          <b:Person>
            <b:Last>Stoica</b:Last>
            <b:First>M.</b:First>
            <b:Middle>V.</b:Middle>
          </b:Person>
          <b:Person>
            <b:Last>Felthouse</b:Last>
            <b:First>A.</b:First>
            <b:Middle>R.</b:Middle>
          </b:Person>
        </b:NameList>
      </b:Author>
    </b:Author>
    <b:Title>Acute psychosis induced by bath salts: A case report with clinical and forensic implications</b:Title>
    <b:JournalName>J. Forensic Sci.</b:JournalName>
    <b:Year>2012</b:Year>
    <b:Volume>Ahead of print</b:Volume>
    <b:RefOrder>12</b:RefOrder>
  </b:Source>
  <b:Source>
    <b:Tag>Sad13</b:Tag>
    <b:SourceType>JournalArticle</b:SourceType>
    <b:Guid>{E114C07E-8C73-4FA3-85B9-26E4A81598A2}</b:Guid>
    <b:Title>Case report of cathinone-like designer drug intoxication psychosis and addiction with serum identification</b:Title>
    <b:JournalName>Addict. Disord. Their Treat.</b:JournalName>
    <b:Year>2013</b:Year>
    <b:Volume>Ahead of print</b:Volume>
    <b:Author>
      <b:Author>
        <b:NameList>
          <b:Person>
            <b:Last>Sadeg</b:Last>
            <b:First>N.</b:First>
          </b:Person>
          <b:Person>
            <b:Last>Darie</b:Last>
            <b:First>A.</b:First>
          </b:Person>
          <b:Person>
            <b:Last>Vilamot</b:Last>
            <b:First>B.</b:First>
          </b:Person>
          <b:Person>
            <b:Last>Passamar</b:Last>
            <b:First>M.</b:First>
          </b:Person>
          <b:Person>
            <b:Last>Frances</b:Last>
            <b:First>B.</b:First>
          </b:Person>
          <b:Person>
            <b:Last>Belhadj-Tahar</b:Last>
            <b:First>H.</b:First>
          </b:Person>
        </b:NameList>
      </b:Author>
    </b:Author>
    <b:RefOrder>16</b:RefOrder>
  </b:Source>
  <b:Source>
    <b:Tag>Roj12</b:Tag>
    <b:SourceType>JournalArticle</b:SourceType>
    <b:Guid>{27186A49-20BC-497F-A52F-4AE47DBD3E21}</b:Guid>
    <b:Author>
      <b:Author>
        <b:NameList>
          <b:Person>
            <b:Last>Rojek</b:Last>
            <b:First>S.</b:First>
          </b:Person>
          <b:Person>
            <b:Last>Klys</b:Last>
            <b:First>M.</b:First>
          </b:Person>
          <b:Person>
            <b:Last>Strona</b:Last>
            <b:First>M.</b:First>
          </b:Person>
          <b:Person>
            <b:Last>Maciow</b:Last>
            <b:First>M.</b:First>
          </b:Person>
          <b:Person>
            <b:Last>Kula</b:Last>
            <b:First>K.</b:First>
          </b:Person>
        </b:NameList>
      </b:Author>
    </b:Author>
    <b:Title>"Legal highs" - Toxicity in the clinical and medico-legal aspect as exemplified suicide with bk-MBDB administration</b:Title>
    <b:JournalName>Forensic Sci. Int.</b:JournalName>
    <b:Year>2012</b:Year>
    <b:Pages>e1-6</b:Pages>
    <b:Volume>222</b:Volume>
    <b:Issue>1-3</b:Issue>
    <b:RefOrder>14</b:RefOrder>
  </b:Source>
  <b:Source>
    <b:Tag>Reg12</b:Tag>
    <b:SourceType>JournalArticle</b:SourceType>
    <b:Guid>{59735DC3-AD0F-4191-9BB3-365A85285E18}</b:Guid>
    <b:Author>
      <b:Author>
        <b:NameList>
          <b:Person>
            <b:Last>Regunath</b:Last>
            <b:First>H.</b:First>
          </b:Person>
          <b:Person>
            <b:Last>Ariyamuthu</b:Last>
            <b:First>V.</b:First>
            <b:Middle>K.</b:Middle>
          </b:Person>
          <b:Person>
            <b:Last>Dalal</b:Last>
            <b:First>P.</b:First>
          </b:Person>
          <b:Person>
            <b:Last>Misra</b:Last>
            <b:First>M.</b:First>
          </b:Person>
        </b:NameList>
      </b:Author>
    </b:Author>
    <b:Title>Bath salt intoxication causing acute kidney injury requiring hemodialysis</b:Title>
    <b:JournalName>Hemodial. Int.</b:JournalName>
    <b:Year>2012</b:Year>
    <b:Pages>S47-S49</b:Pages>
    <b:Volume>16</b:Volume>
    <b:RefOrder>13</b:RefOrder>
  </b:Source>
  <b:Source>
    <b:Tag>BLM12</b:Tag>
    <b:SourceType>JournalArticle</b:SourceType>
    <b:Guid>{21C2F987-E9BE-42D7-B963-2E686F582545}</b:Guid>
    <b:Author>
      <b:Author>
        <b:NameList>
          <b:Person>
            <b:Last>Murray</b:Last>
            <b:First>B.</b:First>
            <b:Middle>L.</b:Middle>
          </b:Person>
          <b:Person>
            <b:Last>Murphy</b:Last>
            <b:First>C.</b:First>
            <b:Middle>M.</b:Middle>
          </b:Person>
          <b:Person>
            <b:Last>Beuhler</b:Last>
            <b:First>M.</b:First>
            <b:Middle>C.</b:Middle>
          </b:Person>
        </b:NameList>
      </b:Author>
    </b:Author>
    <b:Title>Death following recreational use of designer drug 'bath salts' containing 3,4-methylenedioxypyrovalerone (MDPV)</b:Title>
    <b:JournalName>J. Med. Toxicol.</b:JournalName>
    <b:Year>2012</b:Year>
    <b:Pages>69-75</b:Pages>
    <b:Volume>8</b:Volume>
    <b:Issue>1</b:Issue>
    <b:RefOrder>5</b:RefOrder>
  </b:Source>
  <b:Source>
    <b:Tag>JMM</b:Tag>
    <b:SourceType>JournalArticle</b:SourceType>
    <b:Guid>{548872DB-A702-4856-9B88-C17A90CF1A84}</b:Guid>
    <b:Author>
      <b:Author>
        <b:NameList>
          <b:Person>
            <b:Last>McClean</b:Last>
            <b:First>J.</b:First>
            <b:Middle>M.</b:Middle>
          </b:Person>
          <b:Person>
            <b:Last>Anspikian</b:Last>
            <b:First>A.</b:First>
          </b:Person>
          <b:Person>
            <b:Last>Tsuang</b:Last>
            <b:First>J.</b:First>
            <b:Middle>W.</b:Middle>
          </b:Person>
        </b:NameList>
      </b:Author>
    </b:Author>
    <b:Title>Bath Salt Use: A case report and review of the literature</b:Title>
    <b:JournalName>J. Dual Diagnosis</b:JournalName>
    <b:Year>2012</b:Year>
    <b:Pages>250-256</b:Pages>
    <b:Volume>8</b:Volume>
    <b:Issue>3</b:Issue>
    <b:RefOrder>4</b:RefOrder>
  </b:Source>
  <b:Source>
    <b:Tag>KJL11</b:Tag>
    <b:SourceType>JournalArticle</b:SourceType>
    <b:Guid>{065ADC5D-AB29-4169-B5BB-D7EFF2CF670E}</b:Guid>
    <b:Author>
      <b:Author>
        <b:NameList>
          <b:Person>
            <b:Last>Lusthof</b:Last>
            <b:First>K.</b:First>
            <b:Middle>J.</b:Middle>
          </b:Person>
          <b:Person>
            <b:Last>Oosting</b:Last>
            <b:First>R.</b:First>
          </b:Person>
          <b:Person>
            <b:Last>Maes</b:Last>
            <b:First>A.</b:First>
          </b:Person>
          <b:Person>
            <b:Last>Verschraagen</b:Last>
            <b:First>M.</b:First>
          </b:Person>
          <b:Person>
            <b:Last>Dijkhuizen</b:Last>
            <b:First>A.</b:First>
          </b:Person>
          <b:Person>
            <b:Last>Sprong</b:Last>
            <b:First>A.</b:First>
            <b:Middle>G. A.</b:Middle>
          </b:Person>
        </b:NameList>
      </b:Author>
    </b:Author>
    <b:Title>A case of extreme agitation and death after the use of mephedrone in The Netherlands</b:Title>
    <b:JournalName>Forensic. Sci. Int.</b:JournalName>
    <b:Year>2011</b:Year>
    <b:Pages>e93-e95</b:Pages>
    <b:Volume>206</b:Volume>
    <b:Issue>1</b:Issue>
    <b:RefOrder>3</b:RefOrder>
  </b:Source>
  <b:Source>
    <b:Tag>Gai13</b:Tag>
    <b:SourceType>JournalArticle</b:SourceType>
    <b:Guid>{70836785-32E0-462A-93B6-D7E3A05F720F}</b:Guid>
    <b:Author>
      <b:Author>
        <b:NameList>
          <b:Person>
            <b:Last>Gaillard</b:Last>
            <b:First>Y.</b:First>
            <b:Middle>P.</b:Middle>
          </b:Person>
          <b:Person>
            <b:Last>Cuquel</b:Last>
            <b:First>A.</b:First>
          </b:Person>
          <b:Person>
            <b:Last>Boucher</b:Last>
            <b:First>A.</b:First>
          </b:Person>
          <b:Person>
            <b:Last>Romeuf</b:Last>
            <b:First>L.</b:First>
          </b:Person>
          <b:Person>
            <b:Last>Bevalot</b:Last>
            <b:First>F.</b:First>
          </b:Person>
          <b:Person>
            <b:Last>Prevosto</b:Last>
            <b:First>J.</b:First>
          </b:Person>
          <b:Person>
            <b:Last>Menard</b:Last>
            <b:First>J.</b:First>
          </b:Person>
        </b:NameList>
      </b:Author>
    </b:Author>
    <b:Title>A fatality following ingestion of the designer drug meta-chlorophenylpiperazine (mCPP) in an asthmatic - HPLC-MS/MS detection in biofluids and hair</b:Title>
    <b:JournalName>J. Forensic Sci.</b:JournalName>
    <b:Year>2013</b:Year>
    <b:Pages>263-269</b:Pages>
    <b:Volume>58</b:Volume>
    <b:Issue>1</b:Issue>
    <b:RefOrder>17</b:RefOrder>
  </b:Source>
  <b:Source>
    <b:Tag>SEl08</b:Tag>
    <b:SourceType>JournalArticle</b:SourceType>
    <b:Guid>{DA07EF3A-698F-4091-8F33-23C8AB3B65E1}</b:Guid>
    <b:Author>
      <b:Author>
        <b:NameList>
          <b:Person>
            <b:Last>Elliott</b:Last>
            <b:First>S.</b:First>
          </b:Person>
          <b:Person>
            <b:Last>Smith</b:Last>
            <b:First>C.</b:First>
          </b:Person>
        </b:NameList>
      </b:Author>
    </b:Author>
    <b:Title>Investigation of the first deaths in the United Kingdom involving the detection and quantitation of the piperazines BZP and 3-TFMPP</b:Title>
    <b:JournalName>J. Anal. Toxicol.</b:JournalName>
    <b:Year>2008</b:Year>
    <b:Pages>172-177</b:Pages>
    <b:Volume>32</b:Volume>
    <b:RefOrder>2</b:RefOrder>
  </b:Source>
  <b:Source>
    <b:Tag>MCo12</b:Tag>
    <b:SourceType>JournalArticle</b:SourceType>
    <b:Guid>{F0945549-68F3-4BA1-A34D-16DE4885C748}</b:Guid>
    <b:Author>
      <b:Author>
        <b:NameList>
          <b:Person>
            <b:Last>Coppola</b:Last>
            <b:First>M.</b:First>
          </b:Person>
          <b:Person>
            <b:Last>Mondola</b:Last>
            <b:First>R.</b:First>
          </b:Person>
        </b:NameList>
      </b:Author>
    </b:Author>
    <b:Title>Synthetic cathinones: Chemistry, pharmacology and toxicology of a new class of designer drugs of abuse marketed as 'bath salts' or 'plant food'</b:Title>
    <b:JournalName>Toxicol. Lett.</b:JournalName>
    <b:Year>2012</b:Year>
    <b:Pages>144-149</b:Pages>
    <b:Volume>211</b:Volume>
    <b:RefOrder>1</b:RefOrder>
  </b:Source>
  <b:Source>
    <b:Tag>Bos13</b:Tag>
    <b:SourceType>JournalArticle</b:SourceType>
    <b:Guid>{1D1FE7ED-80A3-4CD0-B956-5AA3AD0332C9}</b:Guid>
    <b:Author>
      <b:Author>
        <b:NameList>
          <b:Person>
            <b:Last>Bosak</b:Last>
            <b:First>A.</b:First>
          </b:Person>
          <b:Person>
            <b:Last>LoVecchio</b:Last>
            <b:First>F.</b:First>
          </b:Person>
          <b:Person>
            <b:Last>Levine</b:Last>
            <b:First>M.</b:First>
          </b:Person>
        </b:NameList>
      </b:Author>
    </b:Author>
    <b:Title>Recurrent seizures and serotonin syndrome following "2C-I" ingestion</b:Title>
    <b:JournalName>J. Med. Toxicol.</b:JournalName>
    <b:Year>2013</b:Year>
    <b:Volume>Ahead of print</b:Volume>
    <b:RefOrder>18</b:RefOrder>
  </b:Source>
  <b:Source>
    <b:Tag>Pet10</b:Tag>
    <b:SourceType>JournalArticle</b:SourceType>
    <b:Guid>{5C2745C9-F468-400B-93E0-B9BB8576A353}</b:Guid>
    <b:Author>
      <b:Author>
        <b:NameList>
          <b:Person>
            <b:Last>Peters</b:Last>
            <b:First>F.</b:First>
            <b:Middle>T.</b:Middle>
          </b:Person>
          <b:Person>
            <b:Last>Martinez-Ramirez</b:Last>
            <b:First>J.</b:First>
            <b:Middle>A.</b:Middle>
          </b:Person>
        </b:NameList>
      </b:Author>
    </b:Author>
    <b:Title>Analytical toxicology of emerging drugs of abuse</b:Title>
    <b:Year>2010</b:Year>
    <b:Pages>532-539</b:Pages>
    <b:Volume>32</b:Volume>
    <b:JournalName>Ther. Drug Monitor.</b:JournalName>
    <b:RefOrder>66</b:RefOrder>
  </b:Source>
  <b:Source>
    <b:Tag>Pet03</b:Tag>
    <b:SourceType>JournalArticle</b:SourceType>
    <b:Guid>{E5E7A295-15F8-4CC8-ADEF-2538362D5E4C}</b:Guid>
    <b:Author>
      <b:Author>
        <b:NameList>
          <b:Person>
            <b:Last>Peters</b:Last>
            <b:First>F.</b:First>
            <b:Middle>T.</b:Middle>
          </b:Person>
          <b:Person>
            <b:Last>Schaefer</b:Last>
            <b:First>S.</b:First>
          </b:Person>
          <b:Person>
            <b:Last>Staack</b:Last>
            <b:First>R.</b:First>
            <b:Middle>F.</b:Middle>
          </b:Person>
          <b:Person>
            <b:Last>Kraemer</b:Last>
            <b:First>T.</b:First>
          </b:Person>
          <b:Person>
            <b:Last>Maurer</b:Last>
            <b:First>H.</b:First>
            <b:Middle>H.</b:Middle>
          </b:Person>
        </b:NameList>
      </b:Author>
    </b:Author>
    <b:Title>Screening for and validated quantification of amphetamines and of amphetamine- and piperazine-derived designer drugs in human blood plasma by gas chromatography/mass spectrometry</b:Title>
    <b:Year>2003</b:Year>
    <b:Pages>659-676</b:Pages>
    <b:Volume>38</b:Volume>
    <b:JournalName>J. Mass Spectrom.</b:JournalName>
    <b:RefOrder>67</b:RefOrder>
  </b:Source>
  <b:Source>
    <b:Tag>Kud07</b:Tag>
    <b:SourceType>JournalArticle</b:SourceType>
    <b:Guid>{C4C73B66-BB38-40C3-8F62-5250648FFDEA}</b:Guid>
    <b:Author>
      <b:Author>
        <b:NameList>
          <b:Person>
            <b:Last>Kudo</b:Last>
            <b:First>K.</b:First>
          </b:Person>
          <b:Person>
            <b:Last>Ishisa</b:Last>
            <b:First>T.</b:First>
          </b:Person>
          <b:Person>
            <b:Last>Hara</b:Last>
            <b:First>K.</b:First>
          </b:Person>
          <b:Person>
            <b:Last>Kashimura</b:Last>
            <b:First>S.</b:First>
          </b:Person>
          <b:Person>
            <b:Last>Tsuji</b:Last>
            <b:First>A.</b:First>
          </b:Person>
          <b:Person>
            <b:Last>Ikeda</b:Last>
            <b:First>N.</b:First>
          </b:Person>
        </b:NameList>
      </b:Author>
    </b:Author>
    <b:Title>Simultaneous determination of 13 amphetamine related drugs in human whole blood using an enhanced polymer column and gas chromatography-mass spectrometry</b:Title>
    <b:Year>2007</b:Year>
    <b:Pages>115-120</b:Pages>
    <b:Volume>855</b:Volume>
    <b:JournalName>J. Chromatogr. B</b:JournalName>
    <b:RefOrder>68</b:RefOrder>
  </b:Source>
  <b:Source>
    <b:Tag>Tak08</b:Tag>
    <b:SourceType>JournalArticle</b:SourceType>
    <b:Guid>{395CBAF6-EE41-4A24-AB13-F71BD65B82E7}</b:Guid>
    <b:Author>
      <b:Author>
        <b:NameList>
          <b:Person>
            <b:Last>Takahashi</b:Last>
            <b:First>M.</b:First>
          </b:Person>
          <b:Person>
            <b:Last>Nagashima</b:Last>
            <b:First>M.</b:First>
          </b:Person>
          <b:Person>
            <b:Last>Suzuki</b:Last>
            <b:First>J.</b:First>
          </b:Person>
          <b:Person>
            <b:Last>Seto</b:Last>
            <b:First>T.</b:First>
          </b:Person>
          <b:Person>
            <b:Last>Yasuda</b:Last>
            <b:First>I.</b:First>
          </b:Person>
          <b:Person>
            <b:Last>Yoshida</b:Last>
            <b:First>T.</b:First>
          </b:Person>
        </b:NameList>
      </b:Author>
    </b:Author>
    <b:Title>Analysis of phenethylamines and tryptamines in designer drugs using gas chromatography-mass spectrometry</b:Title>
    <b:Year>2008</b:Year>
    <b:Pages>89-96</b:Pages>
    <b:Volume>54</b:Volume>
    <b:JournalName>J. Health Sci.</b:JournalName>
    <b:RefOrder>69</b:RefOrder>
  </b:Source>
  <b:Source>
    <b:Tag>Spr03</b:Tag>
    <b:SourceType>JournalArticle</b:SourceType>
    <b:Guid>{24D06219-F55E-4422-91ED-C361262E4D74}</b:Guid>
    <b:Author>
      <b:Author>
        <b:NameList>
          <b:Person>
            <b:Last>Springer</b:Last>
            <b:First>D.</b:First>
          </b:Person>
          <b:Person>
            <b:Last>Fritschi</b:Last>
            <b:First>G.</b:First>
          </b:Person>
          <b:Person>
            <b:Last>Maurer</b:Last>
            <b:First>H.</b:First>
            <b:Middle>H.</b:Middle>
          </b:Person>
        </b:NameList>
      </b:Author>
    </b:Author>
    <b:Title>Mtabolism of the new designer drug alpha-pyrrolidinopropiophenone (PPP) and the toxicological detection of PPP and 4'-methyl-alpha-pyrrolidinopropiophenone (MPPP) studied in rat urine using gas chromatography-mass spectrometry</b:Title>
    <b:Year>2003</b:Year>
    <b:Pages>253-266</b:Pages>
    <b:Volume>796</b:Volume>
    <b:JournalName>J. Chromatogr. B</b:JournalName>
    <b:RefOrder>70</b:RefOrder>
  </b:Source>
  <b:Source>
    <b:Tag>Sta03</b:Tag>
    <b:SourceType>JournalArticle</b:SourceType>
    <b:Guid>{420B7D74-3C9A-4EB7-9142-2F24B2BEFA8B}</b:Guid>
    <b:Author>
      <b:Author>
        <b:NameList>
          <b:Person>
            <b:Last>Staack</b:Last>
            <b:First>R.</b:First>
            <b:Middle>F.</b:Middle>
          </b:Person>
          <b:Person>
            <b:Last>Fritschi</b:Last>
            <b:First>G.</b:First>
          </b:Person>
          <b:Person>
            <b:Last>Maurer</b:Last>
            <b:First>H.</b:First>
            <b:Middle>H.</b:Middle>
          </b:Person>
        </b:NameList>
      </b:Author>
    </b:Author>
    <b:Title>New designer drug 1-(3-trifluoromethylphenyl)piperazine (TFMPP): gas chromatography/mass spectrometry and liquid chromatography/mass spectrometry studies on its phase I and phase II metabolism and on its toxicological detection in rat urine</b:Title>
    <b:Year>2003</b:Year>
    <b:Pages>971-981</b:Pages>
    <b:Volume>38</b:Volume>
    <b:JournalName>J. Mass Spectrom.</b:JournalName>
    <b:RefOrder>71</b:RefOrder>
  </b:Source>
  <b:Source>
    <b:Tag>Tsu05</b:Tag>
    <b:SourceType>JournalArticle</b:SourceType>
    <b:Guid>{4ECA9D9D-0E3A-4BDB-AB1D-F35AF65A4963}</b:Guid>
    <b:Author>
      <b:Author>
        <b:NameList>
          <b:Person>
            <b:Last>Tsutsumi</b:Last>
            <b:First>H.</b:First>
          </b:Person>
          <b:Person>
            <b:Last>Katagi</b:Last>
            <b:First>M.</b:First>
          </b:Person>
          <b:Person>
            <b:Last>Miki</b:Last>
            <b:First>A.</b:First>
          </b:Person>
          <b:Person>
            <b:Last>Shima</b:Last>
            <b:First>N.</b:First>
          </b:Person>
          <b:Person>
            <b:Last>Kamata</b:Last>
            <b:First>T.</b:First>
          </b:Person>
          <b:Person>
            <b:Last>Nishikawa</b:Last>
            <b:First>M.</b:First>
          </b:Person>
          <b:Person>
            <b:Last>Nakajima</b:Last>
            <b:First>K.</b:First>
          </b:Person>
          <b:Person>
            <b:Last>Tsuchihashi</b:Last>
            <b:First>H.</b:First>
          </b:Person>
        </b:NameList>
      </b:Author>
    </b:Author>
    <b:Title>Development of simultaneous gas chromatography-mass spectrometric and liquid chromatography-electrospray ionization mass spectrometric determination method for the new designer drugs BZP, TFMPP, and their main metabolites in urine</b:Title>
    <b:Year>2005</b:Year>
    <b:Pages>315-322</b:Pages>
    <b:Volume>819</b:Volume>
    <b:JournalName>J. Chromatogr. B</b:JournalName>
    <b:RefOrder>72</b:RefOrder>
  </b:Source>
  <b:Source>
    <b:Tag>The06</b:Tag>
    <b:SourceType>JournalArticle</b:SourceType>
    <b:Guid>{36EC1DEF-3B3F-4345-A7E5-16EAB44DA252}</b:Guid>
    <b:Author>
      <b:Author>
        <b:NameList>
          <b:Person>
            <b:Last>Theobald</b:Last>
            <b:First>D.</b:First>
            <b:Middle>S.</b:Middle>
          </b:Person>
          <b:Person>
            <b:Last>Maurer</b:Last>
            <b:First>H.</b:First>
            <b:Middle>H.</b:Middle>
          </b:Person>
        </b:NameList>
      </b:Author>
    </b:Author>
    <b:Title>Studies on the metabolism and toxicological detection of the designer drug 2,5-dimethoxy-4-methyl-beta-phenethylamine (2C-D) in rat urine using gas chromatography/mass spectrometric techniques</b:Title>
    <b:Year>2006</b:Year>
    <b:Pages>1509-1519</b:Pages>
    <b:Volume>41</b:Volume>
    <b:JournalName>J. Mass Spectrom.</b:JournalName>
    <b:RefOrder>73</b:RefOrder>
  </b:Source>
  <b:Source>
    <b:Tag>Zai08</b:Tag>
    <b:SourceType>JournalArticle</b:SourceType>
    <b:Guid>{9F871C25-E7B5-4350-91DC-C358DAABE93F}</b:Guid>
    <b:Author>
      <b:Author>
        <b:NameList>
          <b:Person>
            <b:Last>Zaitsu</b:Last>
            <b:First>K.</b:First>
          </b:Person>
          <b:Person>
            <b:Last>Katagi</b:Last>
            <b:First>M.</b:First>
          </b:Person>
          <b:Person>
            <b:Last>Kamata</b:Last>
            <b:First>T.</b:First>
          </b:Person>
          <b:Person>
            <b:Last>Kamata</b:Last>
            <b:First>H.</b:First>
          </b:Person>
          <b:Person>
            <b:Last>Shima</b:Last>
            <b:First>N.</b:First>
          </b:Person>
          <b:Person>
            <b:Last>Tsuchihashi</b:Last>
            <b:First>H.</b:First>
          </b:Person>
          <b:Person>
            <b:Last>Hayashi</b:Last>
            <b:First>T.</b:First>
          </b:Person>
          <b:Person>
            <b:Last>Kuroki</b:Last>
            <b:First>H.</b:First>
          </b:Person>
          <b:Person>
            <b:Last>Matoba</b:Last>
            <b:First>R.</b:First>
          </b:Person>
        </b:NameList>
      </b:Author>
    </b:Author>
    <b:Title>Determination of a newly encountered designer drug "p-methoxyethylamphetamine" and its metabolites in human urine and blood</b:Title>
    <b:Year>2008</b:Year>
    <b:Pages>77-84</b:Pages>
    <b:Volume>177</b:Volume>
    <b:JournalName>Forensic Sci. Int.</b:JournalName>
    <b:RefOrder>74</b:RefOrder>
  </b:Source>
  <b:Source>
    <b:Tag>DMB05</b:Tag>
    <b:SourceType>JournalArticle</b:SourceType>
    <b:Guid>{C2A49744-9B5D-4BC8-AA2B-14B29D183A71}</b:Guid>
    <b:Author>
      <b:Author>
        <b:NameList>
          <b:Person>
            <b:Last>Boland</b:Last>
            <b:First>D.</b:First>
            <b:Middle>M.</b:Middle>
          </b:Person>
          <b:Person>
            <b:Last>Andollo</b:Last>
            <b:First>W.</b:First>
          </b:Person>
          <b:Person>
            <b:Last>Hime</b:Last>
            <b:First>G.</b:First>
            <b:Middle>W.</b:Middle>
          </b:Person>
          <b:Person>
            <b:Last>Hearn</b:Last>
            <b:First>W.</b:First>
            <b:Middle>L.</b:Middle>
          </b:Person>
        </b:NameList>
      </b:Author>
    </b:Author>
    <b:Title>Fatality due to acute alpha-methyltryptamine intoxication</b:Title>
    <b:JournalName>J. Anal. Toxicol.</b:JournalName>
    <b:Year>2005</b:Year>
    <b:Pages>394-397</b:Pages>
    <b:Volume>29</b:Volume>
    <b:RefOrder>25</b:RefOrder>
  </b:Source>
  <b:Source>
    <b:Tag>SPV04</b:Tag>
    <b:SourceType>JournalArticle</b:SourceType>
    <b:Guid>{3EEF575F-D570-47F5-AFB7-208E1C10A849}</b:Guid>
    <b:Author>
      <b:Author>
        <b:NameList>
          <b:Person>
            <b:Last>Vorce</b:Last>
            <b:First>S.</b:First>
            <b:Middle>P.</b:Middle>
          </b:Person>
          <b:Person>
            <b:Last>Sklerov</b:Last>
            <b:First>J.</b:First>
            <b:Middle>H.</b:Middle>
          </b:Person>
        </b:NameList>
      </b:Author>
    </b:Author>
    <b:Title>A general screening and confirmation approach to the analysis of designer tryptamines and phenethylamines in blood and urine using GC-EI-MS and HPLC-electrospray-MS</b:Title>
    <b:JournalName>J. Anal. Toxicol.</b:JournalName>
    <b:Year>2004</b:Year>
    <b:Pages>407-410</b:Pages>
    <b:Volume>28</b:Volume>
    <b:RefOrder>96</b:RefOrder>
  </b:Source>
  <b:Source>
    <b:Tag>Pel02</b:Tag>
    <b:SourceType>JournalArticle</b:SourceType>
    <b:Guid>{5B280B60-01F4-4EA0-A52B-F2B2CA7E0915}</b:Guid>
    <b:Author>
      <b:Author>
        <b:NameList>
          <b:Person>
            <b:Last>Pellegrini</b:Last>
            <b:First>M.</b:First>
          </b:Person>
          <b:Person>
            <b:Last>Rosati</b:Last>
            <b:First>R.</b:First>
          </b:Person>
          <b:Person>
            <b:Last>Zuccaro</b:Last>
            <b:First>P.</b:First>
          </b:Person>
          <b:Person>
            <b:Last>Romolo</b:Last>
            <b:First>F.</b:First>
            <b:Middle>S.</b:Middle>
          </b:Person>
          <b:Person>
            <b:Last>Lopez</b:Last>
            <b:First>A.</b:First>
          </b:Person>
        </b:NameList>
      </b:Author>
    </b:Author>
    <b:Title>Rapid screening method for determination of Ecstasy and amphetamines in urine samples using gas chromatography-chemical ionization mass spectrometry</b:Title>
    <b:Year>2002</b:Year>
    <b:Pages>243-251</b:Pages>
    <b:Volume>769</b:Volume>
    <b:JournalName>J. Chromatrogr. B</b:JournalName>
    <b:RefOrder>75</b:RefOrder>
  </b:Source>
  <b:Source>
    <b:Tag>Hab05</b:Tag>
    <b:SourceType>JournalArticle</b:SourceType>
    <b:Guid>{66E3D6EE-AE06-435B-83E6-1E81ED552398}</b:Guid>
    <b:Author>
      <b:Author>
        <b:NameList>
          <b:Person>
            <b:Last>Habrdova</b:Last>
            <b:First>V.</b:First>
          </b:Person>
          <b:Person>
            <b:Last>Peters</b:Last>
            <b:First>F.</b:First>
            <b:Middle>T.</b:Middle>
          </b:Person>
          <b:Person>
            <b:Last>Theobald</b:Last>
            <b:First>D.</b:First>
            <b:Middle>S.</b:Middle>
          </b:Person>
          <b:Person>
            <b:Last>Maurer</b:Last>
            <b:First>H.</b:First>
            <b:Middle>H.</b:Middle>
          </b:Person>
        </b:NameList>
      </b:Author>
    </b:Author>
    <b:Title>Screening for and validated quantification of phenethylamine-type designer drugs and mescaline in human blood plasma by gas chromatography/mass spectrometry</b:Title>
    <b:Year>2005</b:Year>
    <b:Pages>785-795</b:Pages>
    <b:Volume>40</b:Volume>
    <b:JournalName>J. Mass Spectrom.</b:JournalName>
    <b:RefOrder>76</b:RefOrder>
  </b:Source>
  <b:Source>
    <b:Tag>Pir06</b:Tag>
    <b:SourceType>JournalArticle</b:SourceType>
    <b:Guid>{D49C1A9A-5B93-4029-8E0B-D783706676D0}</b:Guid>
    <b:Author>
      <b:Author>
        <b:NameList>
          <b:Person>
            <b:Last>Pirnay</b:Last>
            <b:First>S.</b:First>
            <b:Middle>O.</b:Middle>
          </b:Person>
          <b:Person>
            <b:Last>Abraham</b:Last>
            <b:First>T.</b:First>
            <b:Middle>T.</b:Middle>
          </b:Person>
          <b:Person>
            <b:Last>Huestis</b:Last>
            <b:First>M.</b:First>
            <b:Middle>A.</b:Middle>
          </b:Person>
        </b:NameList>
      </b:Author>
    </b:Author>
    <b:Title>Sensitive gas chromatography-mass spectrometry method for simultaneous meansurement of MDEA, MDMA, and metabolites HMA, MDA, and HMMA in human urine </b:Title>
    <b:Year>2006</b:Year>
    <b:Pages>1728-1734</b:Pages>
    <b:Volume>52</b:Volume>
    <b:JournalName>Clin. Chem.</b:JournalName>
    <b:RefOrder>77</b:RefOrder>
  </b:Source>
  <b:Source>
    <b:Tag>Mar06</b:Tag>
    <b:SourceType>JournalArticle</b:SourceType>
    <b:Guid>{EBA48607-666F-4D11-AC9C-DF83DEB42FB3}</b:Guid>
    <b:Author>
      <b:Author>
        <b:NameList>
          <b:Person>
            <b:Last>Maresova</b:Last>
            <b:First>V.</b:First>
          </b:Person>
          <b:Person>
            <b:Last>Chadt</b:Last>
            <b:First>J.</b:First>
          </b:Person>
          <b:Person>
            <b:Last>Prikryl</b:Last>
            <b:First>L.</b:First>
          </b:Person>
        </b:NameList>
      </b:Author>
    </b:Author>
    <b:Title>Simultaneous determination of amphetamines and amphetamine-derived designer drugs in human urine by GC-MS</b:Title>
    <b:Year>2006</b:Year>
    <b:Pages>121-124</b:Pages>
    <b:Volume>27</b:Volume>
    <b:JournalName>Neuroendocrin. Lett.</b:JournalName>
    <b:RefOrder>78</b:RefOrder>
  </b:Source>
  <b:Source>
    <b:Tag>Kan08</b:Tag>
    <b:SourceType>JournalArticle</b:SourceType>
    <b:Guid>{DD1AAE03-B6F4-4660-82FF-A85D3D2D98FF}</b:Guid>
    <b:Author>
      <b:Author>
        <b:NameList>
          <b:Person>
            <b:Last>Kanai</b:Last>
            <b:First>K.</b:First>
          </b:Person>
          <b:Person>
            <b:Last>Takekawa</b:Last>
            <b:First>K.</b:First>
          </b:Person>
          <b:Person>
            <b:Last>Jumamoto</b:Last>
            <b:First>T.</b:First>
          </b:Person>
          <b:Person>
            <b:Last>Ishikawa</b:Last>
            <b:First>T.</b:First>
          </b:Person>
          <b:Person>
            <b:Last>Ohmori</b:Last>
            <b:First>T.</b:First>
          </b:Person>
        </b:NameList>
      </b:Author>
    </b:Author>
    <b:Title>Simultaneous analysis of six phenethylamine-type designer drugs by TLC, LC-MS, and GC-MS</b:Title>
    <b:Year>2008</b:Year>
    <b:Pages>6-12</b:Pages>
    <b:Volume>26</b:Volume>
    <b:JournalName>Forensic. Toxicol.</b:JournalName>
    <b:RefOrder>79</b:RefOrder>
  </b:Source>
  <b:Source>
    <b:Tag>Kud09</b:Tag>
    <b:SourceType>JournalArticle</b:SourceType>
    <b:Guid>{8DDC485B-6515-4B00-9EDE-1036C16F3F71}</b:Guid>
    <b:Author>
      <b:Author>
        <b:NameList>
          <b:Person>
            <b:Last>Kudo</b:Last>
            <b:First>K.</b:First>
          </b:Person>
          <b:Person>
            <b:Last>Ishia</b:Last>
            <b:First>T.</b:First>
          </b:Person>
          <b:Person>
            <b:Last>Hikiji</b:Last>
            <b:First>W.</b:First>
          </b:Person>
          <b:Person>
            <b:Last>Hayashida</b:Last>
            <b:First>M.</b:First>
          </b:Person>
          <b:Person>
            <b:Last>Uekusa</b:Last>
            <b:First>K.</b:First>
          </b:Person>
          <b:Person>
            <b:Last>Usumoto</b:Last>
            <b:First>Y.</b:First>
          </b:Person>
          <b:Person>
            <b:Last>Tsuji</b:Last>
            <b:First>A.</b:First>
          </b:Person>
          <b:Person>
            <b:Last>Ikeda</b:Last>
            <b:First>N.</b:First>
          </b:Person>
        </b:NameList>
      </b:Author>
    </b:Author>
    <b:Title>Construction of calibration-locking databases for rapid and reliable drug screening by gas chromatography-mass spectrometry</b:Title>
    <b:Year>2009</b:Year>
    <b:Pages>27-31</b:Pages>
    <b:Volume>27</b:Volume>
    <b:JournalName>Forensic Toxicol.</b:JournalName>
    <b:RefOrder>80</b:RefOrder>
  </b:Source>
  <b:Source>
    <b:Tag>Tak09</b:Tag>
    <b:SourceType>JournalArticle</b:SourceType>
    <b:Guid>{379ABB43-0D12-47BB-B2DE-7062A6A3D60F}</b:Guid>
    <b:Author>
      <b:Author>
        <b:NameList>
          <b:Person>
            <b:Last>Takahashi</b:Last>
            <b:First>M.</b:First>
          </b:Person>
          <b:Person>
            <b:Last>Nagashima</b:Last>
            <b:First>M.</b:First>
          </b:Person>
          <b:Person>
            <b:Last>Suzuki</b:Last>
            <b:First>J.</b:First>
          </b:Person>
          <b:Person>
            <b:Last>Seto</b:Last>
            <b:First>T.</b:First>
          </b:Person>
          <b:Person>
            <b:Last>Yasuda</b:Last>
            <b:First>I.</b:First>
          </b:Person>
          <b:Person>
            <b:Last>Yoshida</b:Last>
            <b:First>T.</b:First>
          </b:Person>
        </b:NameList>
      </b:Author>
    </b:Author>
    <b:Title>Creation and application of psychoactive designer drugs data library using liquid chromatography with photodiode array spectrophotometry detector and gas chromatography-mass spectrometry</b:Title>
    <b:Year>2009</b:Year>
    <b:Pages>1245-1272</b:Pages>
    <b:Volume>77</b:Volume>
    <b:JournalName>Talanta</b:JournalName>
    <b:RefOrder>81</b:RefOrder>
  </b:Source>
  <b:Source>
    <b:Tag>Kol08</b:Tag>
    <b:SourceType>JournalArticle</b:SourceType>
    <b:Guid>{180D9C94-D04E-4809-9270-76283AB7DDE4}</b:Guid>
    <b:Author>
      <b:Author>
        <b:NameList>
          <b:Person>
            <b:Last>Kolbrich</b:Last>
            <b:First>E.</b:First>
            <b:Middle>A.</b:Middle>
          </b:Person>
          <b:Person>
            <b:Last>Lowe</b:Last>
            <b:First>R.</b:First>
            <b:Middle>H.</b:Middle>
          </b:Person>
          <b:Person>
            <b:Last>Huestis</b:Last>
            <b:First>M.</b:First>
            <b:Middle>A.</b:Middle>
          </b:Person>
        </b:NameList>
      </b:Author>
    </b:Author>
    <b:Title>Two-dimensional gas chromatography/electron-impact mass spectrometry with cryofocusing for simultaneous quantification of MDMA, MDA, HMMA, HMA, and MDEA in human plasma</b:Title>
    <b:Year>2008</b:Year>
    <b:Pages>279-287</b:Pages>
    <b:Volume>54</b:Volume>
    <b:JournalName>Clin. Chem.</b:JournalName>
    <b:RefOrder>82</b:RefOrder>
  </b:Source>
  <b:Source>
    <b:Tag>Mau00</b:Tag>
    <b:SourceType>JournalArticle</b:SourceType>
    <b:Guid>{4BA86CAF-3C02-41C1-8C76-7198CA6BE16D}</b:Guid>
    <b:Author>
      <b:Author>
        <b:NameList>
          <b:Person>
            <b:Last>Maurer</b:Last>
            <b:First>H.</b:First>
            <b:Middle>H.</b:Middle>
          </b:Person>
          <b:Person>
            <b:Last>Bickeboeller-Friedrich</b:Last>
            <b:First>J.</b:First>
          </b:Person>
          <b:Person>
            <b:Last>Kraemer</b:Last>
            <b:First>T.</b:First>
          </b:Person>
          <b:Person>
            <b:Last>Peters</b:Last>
            <b:First>F.</b:First>
            <b:Middle>T.</b:Middle>
          </b:Person>
        </b:NameList>
      </b:Author>
    </b:Author>
    <b:Title>Toxicokinetics and analytical toxicology of amphetamine-derived designer drugs</b:Title>
    <b:Year>2000</b:Year>
    <b:Pages>133-142</b:Pages>
    <b:Volume>112-113</b:Volume>
    <b:JournalName>Toxicol. Lett.</b:JournalName>
    <b:RefOrder>83</b:RefOrder>
  </b:Source>
  <b:Source>
    <b:Tag>Mau09</b:Tag>
    <b:SourceType>JournalArticle</b:SourceType>
    <b:Guid>{1F759DEE-C1DA-4174-B125-13113FE0B13D}</b:Guid>
    <b:Author>
      <b:Author>
        <b:NameList>
          <b:Person>
            <b:Last>Maurer</b:Last>
            <b:First>H.</b:First>
            <b:Middle>H.</b:Middle>
          </b:Person>
        </b:NameList>
      </b:Author>
    </b:Author>
    <b:Title>Mass spectrometric approaches in impaired driving toxicology</b:Title>
    <b:Year>2009</b:Year>
    <b:Pages>97-107</b:Pages>
    <b:Volume>393</b:Volume>
    <b:JournalName>Anal. Bioanal. Chem.</b:JournalName>
    <b:RefOrder>42</b:RefOrder>
  </b:Source>
  <b:Source>
    <b:Tag>Nam11</b:Tag>
    <b:SourceType>JournalArticle</b:SourceType>
    <b:Guid>{6621962E-0263-4B7E-AAB7-DD4382519AB9}</b:Guid>
    <b:Author>
      <b:Author>
        <b:NameList>
          <b:Person>
            <b:Last>Namera</b:Last>
            <b:First>A.</b:First>
          </b:Person>
          <b:Person>
            <b:Last>Nakamoto</b:Last>
            <b:First>A.</b:First>
          </b:Person>
          <b:Person>
            <b:Last>Saito</b:Last>
            <b:First>T.</b:First>
          </b:Person>
          <b:Person>
            <b:Last>Nagao</b:Last>
            <b:First>M.</b:First>
          </b:Person>
        </b:NameList>
      </b:Author>
    </b:Author>
    <b:Title>Colorimetric detection and chromatographic analyses of designer drugs in biological materials: a comprehensive review</b:Title>
    <b:Year>2011</b:Year>
    <b:Pages>1-24</b:Pages>
    <b:Volume>29</b:Volume>
    <b:JournalName>Forensic Toxicol.</b:JournalName>
    <b:RefOrder>84</b:RefOrder>
  </b:Source>
  <b:Source>
    <b:Tag>Dru99</b:Tag>
    <b:SourceType>JournalArticle</b:SourceType>
    <b:Guid>{3B6C2248-764E-4369-AF5A-7AAFE26ED886}</b:Guid>
    <b:Author>
      <b:Author>
        <b:NameList>
          <b:Person>
            <b:Last>Drummer</b:Last>
            <b:First>O.</b:First>
            <b:Middle>H.</b:Middle>
          </b:Person>
        </b:NameList>
      </b:Author>
    </b:Author>
    <b:Title>Chromatographic screening techniques in systematic toxicological analysis</b:Title>
    <b:Year>1999</b:Year>
    <b:Pages>27-45</b:Pages>
    <b:Volume>733</b:Volume>
    <b:JournalName>J. Chromatogr. B</b:JournalName>
    <b:RefOrder>85</b:RefOrder>
  </b:Source>
  <b:Source>
    <b:Tag>Yah06</b:Tag>
    <b:SourceType>JournalArticle</b:SourceType>
    <b:Guid>{1CDFD526-8682-4AD8-B9E5-2ED514D5F94C}</b:Guid>
    <b:Author>
      <b:Author>
        <b:NameList>
          <b:Person>
            <b:Last>Yahata</b:Last>
            <b:First>M.</b:First>
          </b:Person>
          <b:Person>
            <b:Last>Namera</b:Last>
            <b:First>A.</b:First>
          </b:Person>
          <b:Person>
            <b:Last>Nishida</b:Last>
            <b:First>M.</b:First>
          </b:Person>
          <b:Person>
            <b:Last>Yashiki</b:Last>
            <b:First>M.</b:First>
          </b:Person>
          <b:Person>
            <b:Last>Kuramoto</b:Last>
            <b:First>T.</b:First>
          </b:Person>
          <b:Person>
            <b:Last>Kimura</b:Last>
            <b:First>K.</b:First>
          </b:Person>
        </b:NameList>
      </b:Author>
    </b:Author>
    <b:Title>In-matrix derivatization and automated headspace solid-phase microextraction for GC-MS determination of amphetamine-related drugs in human hair</b:Title>
    <b:Year>2006</b:Year>
    <b:Pages>51-57</b:Pages>
    <b:Volume>24</b:Volume>
    <b:JournalName>Forensic Toxicol.</b:JournalName>
    <b:RefOrder>86</b:RefOrder>
  </b:Source>
  <b:Source>
    <b:Tag>Lei94</b:Tag>
    <b:SourceType>JournalArticle</b:SourceType>
    <b:Guid>{C78646FC-2B19-4D17-B1F6-3DDED34B9BC3}</b:Guid>
    <b:Author>
      <b:Author>
        <b:NameList>
          <b:Person>
            <b:Last>Leis</b:Last>
            <b:First>H.</b:First>
            <b:Middle>J.</b:Middle>
          </b:Person>
          <b:Person>
            <b:Last>Windischofer</b:Last>
            <b:First>W.</b:First>
          </b:Person>
          <b:Person>
            <b:Last>Wintersteiger</b:Last>
            <b:First>R.</b:First>
          </b:Person>
        </b:NameList>
      </b:Author>
    </b:Author>
    <b:Title>Quantitative meansurement of amphetamine in human plasma by gas chromatography/negative ion chemical ionization mass spectrometry</b:Title>
    <b:Year>1994</b:Year>
    <b:Pages>637-641</b:Pages>
    <b:Volume>23</b:Volume>
    <b:JournalName>Biol. Mass Spectrom.</b:JournalName>
    <b:RefOrder>87</b:RefOrder>
  </b:Source>
  <b:Source>
    <b:Tag>Uhl00</b:Tag>
    <b:SourceType>JournalArticle</b:SourceType>
    <b:Guid>{C5CD61EF-734A-44AC-A45C-A86C800193FD}</b:Guid>
    <b:Author>
      <b:Author>
        <b:NameList>
          <b:Person>
            <b:Last>Uhl</b:Last>
            <b:First>M.</b:First>
          </b:Person>
        </b:NameList>
      </b:Author>
    </b:Author>
    <b:Title>Tandem mass spectrometry: a helpful tool in hair analysis for the forensic expert</b:Title>
    <b:Year>2000</b:Year>
    <b:Pages>169-179</b:Pages>
    <b:Volume>107</b:Volume>
    <b:JournalName>Forensic Sci. Int.</b:JournalName>
    <b:RefOrder>88</b:RefOrder>
  </b:Source>
  <b:Source>
    <b:Tag>Str09</b:Tag>
    <b:SourceType>JournalArticle</b:SourceType>
    <b:Guid>{0F31280A-AAB8-4B9E-81BD-3E6D0EE732C3}</b:Guid>
    <b:Author>
      <b:Author>
        <b:NameList>
          <b:Person>
            <b:Last>Strano-Rossi</b:Last>
            <b:First>S.</b:First>
          </b:Person>
          <b:Person>
            <b:Last>Botre</b:Last>
            <b:First>F.</b:First>
          </b:Person>
          <b:Person>
            <b:Last>Bermejo</b:Last>
            <b:First>A.</b:First>
            <b:Middle>M.</b:Middle>
          </b:Person>
          <b:Person>
            <b:Last>Tabernero</b:Last>
            <b:First>M.</b:First>
            <b:Middle>J.</b:Middle>
          </b:Person>
        </b:NameList>
      </b:Author>
      <b:Editor>
        <b:NameList>
          <b:Person>
            <b:Last>95-100</b:Last>
          </b:Person>
        </b:NameList>
      </b:Editor>
    </b:Author>
    <b:Title>A rapid method for the extraction, enantiomeric separation and quantification of amphetamines in hair</b:Title>
    <b:Year>2009</b:Year>
    <b:Issue>193</b:Issue>
    <b:JournalName>Forensic Sci. Int.</b:JournalName>
    <b:RefOrder>89</b:RefOrder>
  </b:Source>
  <b:Source>
    <b:Tag>Kol04</b:Tag>
    <b:SourceType>JournalArticle</b:SourceType>
    <b:Guid>{3D6D3312-25ED-4A7F-AA76-46BAEC307680}</b:Guid>
    <b:Author>
      <b:Author>
        <b:NameList>
          <b:Person>
            <b:Last>Kolliker</b:Last>
            <b:First>S.</b:First>
          </b:Person>
          <b:Person>
            <b:Last>Oehme</b:Last>
            <b:First>M.</b:First>
          </b:Person>
        </b:NameList>
      </b:Author>
    </b:Author>
    <b:Title>Structure elucidation of nanogram quantities of unknown designer drugs based on phenalkylamine derivatives by ion trap multiple mass spectrometry</b:Title>
    <b:Year>2004</b:Year>
    <b:Pages>1294-1304</b:Pages>
    <b:Volume>378</b:Volume>
    <b:JournalName>Anal. Bioanal. Chem.</b:JournalName>
    <b:RefOrder>91</b:RefOrder>
  </b:Source>
  <b:Source>
    <b:Tag>Apo06</b:Tag>
    <b:SourceType>JournalArticle</b:SourceType>
    <b:Guid>{35B896F8-5EED-40F2-B17C-FE4137CD20B0}</b:Guid>
    <b:Author>
      <b:Author>
        <b:NameList>
          <b:Person>
            <b:Last>Apollonio</b:Last>
            <b:First>L.</b:First>
            <b:Middle>G.</b:Middle>
          </b:Person>
          <b:Person>
            <b:Last>Pianca</b:Last>
            <b:First>D.</b:First>
            <b:Middle>J.</b:Middle>
          </b:Person>
          <b:Person>
            <b:Last>Whittall</b:Last>
            <b:First>I.</b:First>
            <b:Middle>R.</b:Middle>
          </b:Person>
          <b:Person>
            <b:Last>maher</b:Last>
            <b:First>W.</b:First>
            <b:Middle>A.</b:Middle>
          </b:Person>
          <b:Person>
            <b:Last>Kyd</b:Last>
            <b:First>J.</b:First>
            <b:Middle>M.</b:Middle>
          </b:Person>
        </b:NameList>
      </b:Author>
    </b:Author>
    <b:Title>A demonstration of the use of ultra-performance liquid chromatography-mass spectrometry in the determination of amphetamine-type substances and ketamine in forensic and toxicological analysis</b:Title>
    <b:Year>2006</b:Year>
    <b:Pages>111-115</b:Pages>
    <b:Volume>836</b:Volume>
    <b:JournalName>J. Chromatogr. B</b:JournalName>
    <b:RefOrder>41</b:RefOrder>
  </b:Source>
  <b:Source>
    <b:Tag>Con07</b:Tag>
    <b:SourceType>JournalArticle</b:SourceType>
    <b:Guid>{AE7F40DA-8FAD-450A-917C-7F882AD9EAEC}</b:Guid>
    <b:Author>
      <b:Author>
        <b:NameList>
          <b:Person>
            <b:Last>Concheiro</b:Last>
            <b:First>M.</b:First>
          </b:Person>
          <b:Person>
            <b:Last>de Castro</b:Last>
            <b:First>A.</b:First>
          </b:Person>
          <b:Person>
            <b:Last>Quintela</b:Last>
            <b:First>O.</b:First>
          </b:Person>
          <b:Person>
            <b:Last>Cruz</b:Last>
            <b:First>A.</b:First>
          </b:Person>
          <b:Person>
            <b:Last>Lopez-Rivadulla</b:Last>
            <b:First>M.</b:First>
          </b:Person>
        </b:NameList>
      </b:Author>
    </b:Author>
    <b:Title>Determination of illicit drugs and their metabolites in human urine by liquid chromatography tandem mass spectrometry including relative ion intensity criterion</b:Title>
    <b:Year>2007</b:Year>
    <b:Pages>573-580</b:Pages>
    <b:Volume>31</b:Volume>
    <b:JournalName>J. Anal. Toxicol.</b:JournalName>
    <b:RefOrder>92</b:RefOrder>
  </b:Source>
  <b:Source>
    <b:Tag>Mor02</b:Tag>
    <b:SourceType>JournalArticle</b:SourceType>
    <b:Guid>{1FE6FBF8-58C8-43AA-B5AD-EA7A4A3204A6}</b:Guid>
    <b:Author>
      <b:Author>
        <b:NameList>
          <b:Person>
            <b:Last>Mortier</b:Last>
            <b:First>K.</b:First>
            <b:Middle>A.</b:Middle>
          </b:Person>
          <b:Person>
            <b:Last>Dams</b:Last>
            <b:First>R.</b:First>
          </b:Person>
          <b:Person>
            <b:Last>Lambert</b:Last>
            <b:First>W.</b:First>
            <b:Middle>E.</b:Middle>
          </b:Person>
          <b:Person>
            <b:Last>de Letter</b:Last>
            <b:First>E.</b:First>
            <b:Middle>A.</b:Middle>
          </b:Person>
          <b:Person>
            <b:Last>van Calenbergh</b:Last>
            <b:First>S.</b:First>
          </b:Person>
          <b:Person>
            <b:Last>de Leenheer</b:Last>
            <b:First>A.</b:First>
            <b:Middle>P.</b:Middle>
          </b:Person>
        </b:NameList>
      </b:Author>
    </b:Author>
    <b:Title>Determination of paramethoxyampheatmine and other amphetamine-related designer drugs by liquid chromatography/sonic spray ionization mass spectrometry</b:Title>
    <b:Year>2002</b:Year>
    <b:Pages>865-870</b:Pages>
    <b:Volume>16</b:Volume>
    <b:JournalName>Rapid Comm. Mass Spectrom.</b:JournalName>
    <b:RefOrder>93</b:RefOrder>
  </b:Source>
  <b:Source>
    <b:Tag>Con06</b:Tag>
    <b:SourceType>JournalArticle</b:SourceType>
    <b:Guid>{CCD6E6BE-B168-48A6-8D0C-A56F6781B38B}</b:Guid>
    <b:Author>
      <b:Author>
        <b:NameList>
          <b:Person>
            <b:Last>Concheiro</b:Last>
            <b:First>M.</b:First>
          </b:Person>
          <b:Person>
            <b:Last>de Castro</b:Last>
            <b:First>A.</b:First>
          </b:Person>
          <b:Person>
            <b:Last>Quintela</b:Last>
            <b:First>O.</b:First>
          </b:Person>
          <b:Person>
            <b:Last>Lopez-Rivadulla</b:Last>
            <b:First>M.</b:First>
          </b:Person>
          <b:Person>
            <b:Last>Cruz</b:Last>
            <b:First>A.</b:First>
          </b:Person>
        </b:NameList>
      </b:Author>
    </b:Author>
    <b:Title>Determination of drugs of abuse and their metabolites in human plasma by liquid chromatography-mass spectrometry: An application to 156 road fatalities</b:Title>
    <b:Year>2006</b:Year>
    <b:Pages>81-89</b:Pages>
    <b:Volume>832</b:Volume>
    <b:JournalName>J. Chromatrogr. B</b:JournalName>
    <b:RefOrder>39</b:RefOrder>
  </b:Source>
  <b:Source>
    <b:Tag>Nie08</b:Tag>
    <b:SourceType>JournalArticle</b:SourceType>
    <b:Guid>{7179D488-EC84-41FB-B562-5176794E6E7A}</b:Guid>
    <b:Author>
      <b:Author>
        <b:NameList>
          <b:Person>
            <b:Last>Nieddu</b:Last>
            <b:First>M.</b:First>
          </b:Person>
          <b:Person>
            <b:Last>Boatto</b:Last>
            <b:First>G.</b:First>
          </b:Person>
          <b:Person>
            <b:Last>Pirisi</b:Last>
            <b:First>M.</b:First>
            <b:Middle>A.</b:Middle>
          </b:Person>
          <b:Person>
            <b:Last>Azara</b:Last>
            <b:First>E.</b:First>
          </b:Person>
          <b:Person>
            <b:Last>Marchetti</b:Last>
            <b:First>M.</b:First>
          </b:Person>
        </b:NameList>
      </b:Author>
    </b:Author>
    <b:Title>LC-MS analysis of trimethoxyamphetamine designer drugs (TMA series) from urine samples</b:Title>
    <b:Year>2008</b:Year>
    <b:Pages>126-130</b:Pages>
    <b:Volume>867</b:Volume>
    <b:JournalName>J. Chromatogr. B</b:JournalName>
    <b:RefOrder>94</b:RefOrder>
  </b:Source>
  <b:Source>
    <b:Tag>Stu10</b:Tag>
    <b:SourceType>JournalArticle</b:SourceType>
    <b:Guid>{63F6C4DA-513F-47EE-B02A-82FA0791D99D}</b:Guid>
    <b:Author>
      <b:Author>
        <b:NameList>
          <b:Person>
            <b:Last>Sturm</b:Last>
            <b:First>S.</b:First>
          </b:Person>
          <b:Person>
            <b:Last>Hammann</b:Last>
            <b:First>F.</b:First>
          </b:Person>
          <b:Person>
            <b:Last>Drewe</b:Last>
            <b:First>J.</b:First>
          </b:Person>
          <b:Person>
            <b:Last>Maurer</b:Last>
            <b:First>H.</b:First>
            <b:Middle>H.</b:Middle>
          </b:Person>
          <b:Person>
            <b:Last>Scholer</b:Last>
            <b:First>A.</b:First>
          </b:Person>
        </b:NameList>
      </b:Author>
    </b:Author>
    <b:Title>An automated screening method for drugs and toxic compounds in human serum and urine using liquid chromatography-tandem mass spectrometry</b:Title>
    <b:Year>2010</b:Year>
    <b:Pages>2726-2732</b:Pages>
    <b:Volume>878</b:Volume>
    <b:JournalName>J. Chromatogr. B</b:JournalName>
    <b:RefOrder>95</b:RefOrder>
  </b:Source>
  <b:Source>
    <b:Tag>Nor04</b:Tag>
    <b:SourceType>JournalArticle</b:SourceType>
    <b:Guid>{C4702F61-E53E-461D-91CB-40FD365D4033}</b:Guid>
    <b:Author>
      <b:Author>
        <b:NameList>
          <b:Person>
            <b:Last>Nordgren</b:Last>
            <b:First>H.</b:First>
            <b:Middle>K.</b:Middle>
          </b:Person>
          <b:Person>
            <b:Last>Beck</b:Last>
            <b:First>O.</b:First>
          </b:Person>
        </b:NameList>
      </b:Author>
    </b:Author>
    <b:Title>Multicomponent screenings for drugs of abuse</b:Title>
    <b:Year>2004</b:Year>
    <b:Pages>90-97</b:Pages>
    <b:Volume>26</b:Volume>
    <b:JournalName>Ther. Drug Monit.</b:JournalName>
    <b:RefOrder>97</b:RefOrder>
  </b:Source>
  <b:Source>
    <b:Tag>Kik05</b:Tag>
    <b:SourceType>JournalArticle</b:SourceType>
    <b:Guid>{B604EA42-12A7-416E-A383-A11035363D1E}</b:Guid>
    <b:Author>
      <b:Author>
        <b:NameList>
          <b:Person>
            <b:Last>Kikura-Hanajiri</b:Last>
            <b:First>R.</b:First>
          </b:Person>
          <b:Person>
            <b:Last>Hayashi</b:Last>
            <b:First>M.</b:First>
          </b:Person>
          <b:Person>
            <b:Last>Saisho</b:Last>
            <b:First>K.</b:First>
          </b:Person>
          <b:Person>
            <b:Last>Goda</b:Last>
            <b:First>Y.</b:First>
          </b:Person>
        </b:NameList>
      </b:Author>
    </b:Author>
    <b:Title>Simultaneous determination of nineteen hallucinogenic tryptamines/b-calbolines and phenethylamines using gas chromatography-mass spectrometry and liquid chromatography-electrospray ionization-mass spectrometry</b:Title>
    <b:Year>2005</b:Year>
    <b:Pages>29-37</b:Pages>
    <b:Volume>825</b:Volume>
    <b:JournalName>J. Chromatogr. B</b:JournalName>
    <b:RefOrder>98</b:RefOrder>
  </b:Source>
  <b:Source>
    <b:Tag>Pic08</b:Tag>
    <b:SourceType>JournalArticle</b:SourceType>
    <b:Guid>{2294325C-783E-4783-A5FE-F629732E4BEE}</b:Guid>
    <b:Author>
      <b:Author>
        <b:NameList>
          <b:Person>
            <b:Last>Pichini</b:Last>
            <b:First>S.</b:First>
          </b:Person>
          <b:Person>
            <b:Last>Pujadas</b:Last>
            <b:First>M.</b:First>
          </b:Person>
          <b:Person>
            <b:Last>Marchei</b:Last>
            <b:First>E.</b:First>
          </b:Person>
          <b:Person>
            <b:Last>Pellegrini</b:Last>
            <b:First>M.</b:First>
          </b:Person>
          <b:Person>
            <b:Last>Fiz</b:Last>
            <b:First>J.</b:First>
          </b:Person>
          <b:Person>
            <b:Last>Pacifici</b:Last>
            <b:First>R.</b:First>
          </b:Person>
          <b:Person>
            <b:Last>Zuccaro</b:Last>
            <b:First>P.</b:First>
          </b:Person>
          <b:Person>
            <b:Last>Farre</b:Last>
            <b:First>M.</b:First>
          </b:Person>
          <b:Person>
            <b:Last>de la Torre</b:Last>
            <b:First>R.</b:First>
          </b:Person>
        </b:NameList>
      </b:Author>
    </b:Author>
    <b:Title>Liquid chromatography-atmospheric pressure ionization electrospray mass spectrometry determination of "hallucinogenic designer drugs" in urine of consumers</b:Title>
    <b:Year>2008</b:Year>
    <b:Pages>335-342</b:Pages>
    <b:Volume>47</b:Volume>
    <b:JournalName>J. Pharm. Biomed. Analysis</b:JournalName>
    <b:RefOrder>99</b:RefOrder>
  </b:Source>
  <b:Source>
    <b:Tag>Woh10</b:Tag>
    <b:SourceType>JournalArticle</b:SourceType>
    <b:Guid>{8D6DFF8D-DD51-4752-8EDE-ED9FB34784D2}</b:Guid>
    <b:Author>
      <b:Author>
        <b:NameList>
          <b:Person>
            <b:Last>Wohlfarth</b:Last>
            <b:First>A.</b:First>
          </b:Person>
          <b:Person>
            <b:Last>Weinman</b:Last>
            <b:First>W.</b:First>
          </b:Person>
          <b:Person>
            <b:Last>Dresen</b:Last>
            <b:First>S.</b:First>
          </b:Person>
        </b:NameList>
      </b:Author>
    </b:Author>
    <b:Title>LC-MS/MS screening method for designer amphetamines, tryptamines, and piperazines in serum</b:Title>
    <b:Year>2010</b:Year>
    <b:Pages>2403-2414</b:Pages>
    <b:Volume>396</b:Volume>
    <b:JournalName>Anal. Bioanal. Chem.</b:JournalName>
    <b:RefOrder>53</b:RefOrder>
  </b:Source>
  <b:Source>
    <b:Tag>van05</b:Tag>
    <b:SourceType>JournalArticle</b:SourceType>
    <b:Guid>{406DAB88-8DF3-433C-A352-BBF2173DDDF6}</b:Guid>
    <b:Author>
      <b:Author>
        <b:NameList>
          <b:Person>
            <b:Last>van de Casteele</b:Last>
            <b:First>S.</b:First>
            <b:Middle>R.</b:Middle>
          </b:Person>
          <b:Person>
            <b:Last>Bouche</b:Last>
            <b:First>M.</b:First>
            <b:Middle>L.</b:Middle>
          </b:Person>
          <b:Person>
            <b:Last>van Bocxlaer</b:Last>
            <b:First>J.</b:First>
            <b:Middle>F.</b:Middle>
          </b:Person>
        </b:NameList>
      </b:Author>
    </b:Author>
    <b:Title>LC-MS/MS in the elucidation of an isomer of the recreational drug methylenedioxy ethylamphetamine: methylenedioxy dimethylamphetamine</b:Title>
    <b:Year>2005</b:Year>
    <b:Pages>1729-1734</b:Pages>
    <b:Volume>28</b:Volume>
    <b:JournalName>J. Sep. Sci.</b:JournalName>
    <b:RefOrder>100</b:RefOrder>
  </b:Source>
  <b:Source>
    <b:Tag>Ant10</b:Tag>
    <b:SourceType>JournalArticle</b:SourceType>
    <b:Guid>{211DAC5B-1EF3-4FB2-B2B7-1418EA040E9A}</b:Guid>
    <b:Author>
      <b:Author>
        <b:NameList>
          <b:Person>
            <b:Last>Antia</b:Last>
            <b:First>U.</b:First>
          </b:Person>
          <b:Person>
            <b:Last>Tingle</b:Last>
            <b:First>M.</b:First>
            <b:Middle>D.</b:Middle>
          </b:Person>
          <b:Person>
            <b:Last>Russell</b:Last>
            <b:First>B.</b:First>
            <b:Middle>R.</b:Middle>
          </b:Person>
        </b:NameList>
      </b:Author>
    </b:Author>
    <b:Title>Validation of an LC-MS method for the detection and quantification of BZP and TMFPP and their hydroxylated metabolites in human plasma and its application to the pharmacokinetic study of TFMPP in humans</b:Title>
    <b:Year>2010</b:Year>
    <b:Pages>1311-1318</b:Pages>
    <b:Volume>55</b:Volume>
    <b:JournalName>J. Forensic Sci.</b:JournalName>
    <b:RefOrder>40</b:RefOrder>
  </b:Source>
  <b:Source>
    <b:Tag>Men10</b:Tag>
    <b:SourceType>JournalArticle</b:SourceType>
    <b:Guid>{AFCE4EBC-62AE-419D-BB24-04A2C61CCF06}</b:Guid>
    <b:Author>
      <b:Author>
        <b:NameList>
          <b:Person>
            <b:Last>Menet</b:Last>
            <b:First>M.</b:First>
          </b:Person>
          <b:Person>
            <b:Last>Fonsart</b:Last>
            <b:First>J.</b:First>
          </b:Person>
          <b:Person>
            <b:Last>Herve</b:Last>
            <b:First>F.</b:First>
          </b:Person>
          <b:Person>
            <b:Last>Fompeydie</b:Last>
            <b:First>D.</b:First>
          </b:Person>
          <b:Person>
            <b:Last>Gaillot-Guilley</b:Last>
            <b:First>M.</b:First>
          </b:Person>
          <b:Person>
            <b:Last>Noble</b:Last>
            <b:First>F.</b:First>
          </b:Person>
          <b:Person>
            <b:Last>Schermann</b:Last>
            <b:First>J.</b:First>
          </b:Person>
        </b:NameList>
      </b:Author>
    </b:Author>
    <b:Title>Determination of 3,4-methylenedioxymethamphetamine and its five main metabolites in rat urine by solid-phase extraction and high performance liquid chromatography with on-line mass spectrometry</b:Title>
    <b:Year>2010</b:Year>
    <b:Pages>2905-2910</b:Pages>
    <b:Volume>878</b:Volume>
    <b:JournalName>J. Chromatogr. B</b:JournalName>
    <b:RefOrder>101</b:RefOrder>
  </b:Source>
  <b:Source>
    <b:Tag>Mey10</b:Tag>
    <b:SourceType>JournalArticle</b:SourceType>
    <b:Guid>{90AE7A3C-5C44-4866-B071-6F79B20FED00}</b:Guid>
    <b:Author>
      <b:Author>
        <b:NameList>
          <b:Person>
            <b:Last>Meyer</b:Last>
            <b:First>M.</b:First>
            <b:Middle>R.</b:Middle>
          </b:Person>
          <b:Person>
            <b:Last>Du</b:Last>
            <b:First>P.</b:First>
          </b:Person>
          <b:Person>
            <b:Last>Schuster</b:Last>
            <b:First>F.</b:First>
          </b:Person>
          <b:Person>
            <b:Last>Maurer</b:Last>
            <b:First>H.</b:First>
            <b:Middle>H.</b:Middle>
          </b:Person>
        </b:NameList>
      </b:Author>
    </b:Author>
    <b:Title>Studies on the metabolism of the alpha-pyrrolidinophenone designer drug MDPV in rat and human urine and human liver microsomes using GC-MS and LC-high resolution MS and its detectability in urine by GC-MS</b:Title>
    <b:Year>2010</b:Year>
    <b:Pages>1426-1442</b:Pages>
    <b:Volume>45</b:Volume>
    <b:JournalName>J. Mass Spectrom.</b:JournalName>
    <b:RefOrder>102</b:RefOrder>
  </b:Source>
  <b:Source>
    <b:Tag>Min08</b:Tag>
    <b:SourceType>JournalArticle</b:SourceType>
    <b:Guid>{72C15F2F-E17F-4448-A56B-5521FD75D3D6}</b:Guid>
    <b:Author>
      <b:Author>
        <b:NameList>
          <b:Person>
            <b:Last>Min</b:Last>
            <b:First>J.</b:First>
            <b:Middle>Z.</b:Middle>
          </b:Person>
          <b:Person>
            <b:Last>Shimizu</b:Last>
            <b:First>Y,</b:First>
          </b:Person>
          <b:Person>
            <b:Last>Toyo'oka</b:Last>
            <b:First>T.</b:First>
          </b:Person>
          <b:Person>
            <b:Last>Inagaki</b:Last>
            <b:First>S.</b:First>
          </b:Person>
          <b:Person>
            <b:Last>Kikura-Hanajiri</b:Last>
            <b:First>R.</b:First>
          </b:Person>
          <b:Person>
            <b:Last>Goda</b:Last>
            <b:First>Y.</b:First>
          </b:Person>
        </b:NameList>
      </b:Author>
    </b:Author>
    <b:Title>Simultaneous determination of 11 designated hallucinogenic phenethylamines by ultra-fast liquid chromatography with fluorescence detection</b:Title>
    <b:Year>2008</b:Year>
    <b:Pages>187-194</b:Pages>
    <b:Volume>873</b:Volume>
    <b:JournalName>J. Chromatogr. B</b:JournalName>
    <b:RefOrder>103</b:RefOrder>
  </b:Source>
  <b:Source>
    <b:Tag>Pel03</b:Tag>
    <b:SourceType>JournalArticle</b:SourceType>
    <b:Guid>{627F93CF-874B-4E0B-88A2-0090476305E2}</b:Guid>
    <b:Author>
      <b:Author>
        <b:NameList>
          <b:Person>
            <b:Last>Pelander</b:Last>
            <b:First>A.</b:First>
          </b:Person>
          <b:Person>
            <b:Last>Ojanpera</b:Last>
            <b:First>I.</b:First>
          </b:Person>
          <b:Person>
            <b:Last>Laks</b:Last>
            <b:First>S.</b:First>
          </b:Person>
          <b:Person>
            <b:Last>Rasanen</b:Last>
            <b:First>I.</b:First>
          </b:Person>
          <b:Person>
            <b:Last>Vuori</b:Last>
            <b:First>E.</b:First>
          </b:Person>
        </b:NameList>
      </b:Author>
    </b:Author>
    <b:Title>Toxicological screening with formula-based metabolite identification by liquid chromatography/time-of-flight mass spectrometry</b:Title>
    <b:Year>2003</b:Year>
    <b:Pages>5710-5718</b:Pages>
    <b:Volume>75</b:Volume>
    <b:JournalName>Anal. Chem.</b:JournalName>
    <b:RefOrder>111</b:RefOrder>
  </b:Source>
  <b:Source>
    <b:Tag>Che08</b:Tag>
    <b:SourceType>JournalArticle</b:SourceType>
    <b:Guid>{C0A0C1E1-7673-4AFE-983C-5972F7EEE1AA}</b:Guid>
    <b:Author>
      <b:Author>
        <b:NameList>
          <b:Person>
            <b:Last>Chen</b:Last>
            <b:First>B.</b:First>
            <b:Middle>H.</b:Middle>
          </b:Person>
          <b:Person>
            <b:Last>Liu</b:Last>
            <b:First>J.</b:First>
            <b:Middle>T.</b:Middle>
          </b:Person>
          <b:Person>
            <b:Last>Chen</b:Last>
            <b:First>W.</b:First>
            <b:Middle>X.</b:Middle>
          </b:Person>
          <b:Person>
            <b:Last>Chen</b:Last>
            <b:First>H.</b:First>
            <b:Middle>M.</b:Middle>
          </b:Person>
          <b:Person>
            <b:Last>Lin</b:Last>
            <b:First>C.</b:First>
            <b:Middle>H.</b:Middle>
          </b:Person>
        </b:NameList>
      </b:Author>
    </b:Author>
    <b:Title>A general approach to the screening and confirmation of tryptamines and phenethylamines by mass spectral fragmentation</b:Title>
    <b:Year>2008</b:Year>
    <b:Pages>512-517</b:Pages>
    <b:Volume>74</b:Volume>
    <b:JournalName>Talanta</b:JournalName>
    <b:RefOrder>112</b:RefOrder>
  </b:Source>
  <b:Source>
    <b:Tag>Nie09</b:Tag>
    <b:SourceType>JournalArticle</b:SourceType>
    <b:Guid>{25D7E9B6-279E-41A0-9DE9-E4E3B44FC989}</b:Guid>
    <b:Author>
      <b:Author>
        <b:NameList>
          <b:Person>
            <b:Last>Nieddu</b:Last>
            <b:First>M.</b:First>
          </b:Person>
          <b:Person>
            <b:Last>Boatto</b:Last>
            <b:First>G.</b:First>
          </b:Person>
          <b:Person>
            <b:Last>Pirisi</b:Last>
            <b:First>M.</b:First>
            <b:Middle>A.</b:Middle>
          </b:Person>
          <b:Person>
            <b:Last>Baralla</b:Last>
            <b:First>E.</b:First>
          </b:Person>
        </b:NameList>
      </b:Author>
    </b:Author>
    <b:Title>Multi-residue analysis of eight thioamphetamine designer drugs in human urine by liquid chromatography/mass spectrometry</b:Title>
    <b:Year>2009</b:Year>
    <b:Pages>3051-3056</b:Pages>
    <b:Volume>23</b:Volume>
    <b:JournalName>Rapid Comm. Mass Spectrom.</b:JournalName>
    <b:RefOrder>104</b:RefOrder>
  </b:Source>
  <b:Source>
    <b:Tag>Bla09</b:Tag>
    <b:SourceType>JournalArticle</b:SourceType>
    <b:Guid>{D61D1751-D72D-4E14-8A49-26197A77962B}</b:Guid>
    <b:Author>
      <b:Author>
        <b:NameList>
          <b:Person>
            <b:Last>Blachut</b:Last>
            <b:First>D.</b:First>
          </b:Person>
          <b:Person>
            <b:Last>Wojtasiewicz</b:Last>
            <b:First>K.</b:First>
          </b:Person>
          <b:Person>
            <b:Last>Czarnocki</b:Last>
            <b:First>Z.</b:First>
          </b:Person>
          <b:Person>
            <b:Last>Szukalski</b:Last>
            <b:First>B.</b:First>
          </b:Person>
        </b:NameList>
      </b:Author>
    </b:Author>
    <b:Title>The analytical profile of some 4-methylthioamphetamine (4-MTA) homologues</b:Title>
    <b:Year>2009</b:Year>
    <b:Pages>98-114</b:Pages>
    <b:Volume>2009</b:Volume>
    <b:JournalName>Forensic Sci. Int.</b:JournalName>
    <b:RefOrder>105</b:RefOrder>
  </b:Source>
  <b:Source>
    <b:Tag>Bra10</b:Tag>
    <b:SourceType>JournalArticle</b:SourceType>
    <b:Guid>{A4FDF486-BFD9-4ACF-8073-287D0288A51B}</b:Guid>
    <b:Author>
      <b:Author>
        <b:NameList>
          <b:Person>
            <b:Last>Brandt</b:Last>
            <b:First>S.</b:First>
            <b:Middle>D.</b:Middle>
          </b:Person>
          <b:Person>
            <b:Last>Martins</b:Last>
            <b:First>C.</b:First>
            <b:Middle>P. B.</b:Middle>
          </b:Person>
        </b:NameList>
      </b:Author>
    </b:Author>
    <b:Title>Analytical methods for psychoactive N,N-dialkylated tryptamines</b:Title>
    <b:Year>2010</b:Year>
    <b:Pages>858-869</b:Pages>
    <b:Volume>29</b:Volume>
    <b:JournalName>Trends Anal. Chem.</b:JournalName>
    <b:RefOrder>106</b:RefOrder>
  </b:Source>
  <b:Source>
    <b:Tag>KRA05</b:Tag>
    <b:SourceType>JournalArticle</b:SourceType>
    <b:Guid>{41251B47-F777-4321-BCBD-EA582584B9FE}</b:Guid>
    <b:Author>
      <b:Author>
        <b:NameList>
          <b:Person>
            <b:Last>Allen</b:Last>
            <b:First>K.</b:First>
            <b:Middle>R.</b:Middle>
          </b:Person>
          <b:Person>
            <b:Last>Azad</b:Last>
            <b:First>R.</b:First>
          </b:Person>
          <b:Person>
            <b:Last>Field</b:Last>
            <b:First>H.</b:First>
            <b:Middle>P.</b:Middle>
          </b:Person>
          <b:Person>
            <b:Last>Blake</b:Last>
            <b:First>D.</b:First>
            <b:Middle>K.</b:Middle>
          </b:Person>
        </b:NameList>
      </b:Author>
    </b:Author>
    <b:Title>Replacement of immunoassay by LC tandem mass spectrometry for the routine measurement of drugs of abuse in oral fluid</b:Title>
    <b:JournalName>Annals. Clin. Biochem.</b:JournalName>
    <b:Year>2005</b:Year>
    <b:Pages>277-284</b:Pages>
    <b:Volume>42</b:Volume>
    <b:RefOrder>61</b:RefOrder>
  </b:Source>
  <b:Source>
    <b:Tag>Con05</b:Tag>
    <b:SourceType>JournalArticle</b:SourceType>
    <b:Guid>{7FF635EC-6F57-4510-BDDF-87E9B7A1EE7B}</b:Guid>
    <b:Author>
      <b:Author>
        <b:NameList>
          <b:Person>
            <b:Last>Concheiro</b:Last>
            <b:First>M.</b:First>
          </b:Person>
          <b:Person>
            <b:Last>de Castro</b:Last>
            <b:First>A.</b:First>
          </b:Person>
          <b:Person>
            <b:Last>Quintela</b:Last>
            <b:First>O.</b:First>
          </b:Person>
          <b:Person>
            <b:Last>Lopez-Rivadulla</b:Last>
            <b:First>M.</b:First>
          </b:Person>
          <b:Person>
            <b:Last>Cruz</b:Last>
            <b:First>A.</b:First>
          </b:Person>
        </b:NameList>
      </b:Author>
    </b:Author>
    <b:Title>Determination of MDMA, MDA, MDEA, and MBDB in oral fluid using high performance liquid chromatography with native fluorescence detection</b:Title>
    <b:Year>2005</b:Year>
    <b:Pages>221-226</b:Pages>
    <b:Volume>150</b:Volume>
    <b:JournalName>Forensic Sci. Int.</b:JournalName>
    <b:RefOrder>113</b:RefOrder>
  </b:Source>
  <b:Source>
    <b:Tag>Fri09</b:Tag>
    <b:SourceType>JournalArticle</b:SourceType>
    <b:Guid>{CC575532-0EE7-413D-B33F-1C9B8E544150}</b:Guid>
    <b:Author>
      <b:Author>
        <b:NameList>
          <b:Person>
            <b:Last>Fritch</b:Last>
            <b:First>D.</b:First>
          </b:Person>
          <b:Person>
            <b:Last>Blum</b:Last>
            <b:First>K.</b:First>
          </b:Person>
          <b:Person>
            <b:Last>Nonnemacher</b:Last>
            <b:First>S.</b:First>
          </b:Person>
          <b:Person>
            <b:Last>Haggerty</b:Last>
            <b:First>B.</b:First>
            <b:Middle>J.</b:Middle>
          </b:Person>
          <b:Person>
            <b:Last>Sullivan</b:Last>
            <b:First>M.</b:First>
            <b:Middle>P.</b:Middle>
          </b:Person>
          <b:Person>
            <b:Last>Cone</b:Last>
            <b:First>E.</b:First>
            <b:Middle>J.</b:Middle>
          </b:Person>
        </b:NameList>
      </b:Author>
    </b:Author>
    <b:Title>Identification and quantitation of amphetamines, cocaine, opitates, and phencyclidine in oral fluid by liquid chromatography-tandem mass spectrometry</b:Title>
    <b:Year>2009</b:Year>
    <b:Pages>569-577</b:Pages>
    <b:Volume>33</b:Volume>
    <b:JournalName>J. Anal. Toxicol.</b:JournalName>
    <b:RefOrder>45</b:RefOrder>
  </b:Source>
  <b:Source>
    <b:Tag>Pel10</b:Tag>
    <b:SourceType>JournalArticle</b:SourceType>
    <b:Guid>{298A3F31-CC13-4E09-929B-027287A87B20}</b:Guid>
    <b:Author>
      <b:Author>
        <b:NameList>
          <b:Person>
            <b:Last>Pelander</b:Last>
            <b:First>A&gt;</b:First>
          </b:Person>
          <b:Person>
            <b:Last>Ristimaa</b:Last>
            <b:First>J.</b:First>
          </b:Person>
          <b:Person>
            <b:Last>Ojanpera</b:Last>
            <b:First>I.</b:First>
          </b:Person>
        </b:NameList>
      </b:Author>
    </b:Author>
    <b:Title>Vitreous humor as an alternative matrix for comprehensive drug screening in postmortem toxicology by liquid chromatography-time-of-flight mass spectrometry</b:Title>
    <b:Year>2010</b:Year>
    <b:Pages>312-318</b:Pages>
    <b:Volume>34</b:Volume>
    <b:JournalName>J. Anal. Toxicol.</b:JournalName>
    <b:RefOrder>114</b:RefOrder>
  </b:Source>
  <b:Source>
    <b:Tag>Rem10</b:Tag>
    <b:SourceType>JournalArticle</b:SourceType>
    <b:Guid>{AE5C09BC-8B30-428D-B7C9-7DC56E6254AA}</b:Guid>
    <b:Author>
      <b:Author>
        <b:NameList>
          <b:Person>
            <b:Last>Remane</b:Last>
            <b:First>D.</b:First>
          </b:Person>
          <b:Person>
            <b:Last>Meyer</b:Last>
            <b:First>M.</b:First>
            <b:Middle>R.</b:Middle>
          </b:Person>
          <b:Person>
            <b:Last>Peters</b:Last>
            <b:First>F.</b:First>
            <b:Middle>T.</b:Middle>
          </b:Person>
          <b:Person>
            <b:Last>Wissenbach</b:Last>
            <b:First>D.</b:First>
            <b:Middle>K.</b:Middle>
          </b:Person>
          <b:Person>
            <b:Last>Maurer</b:Last>
            <b:First>H.</b:First>
            <b:Middle>H.</b:Middle>
          </b:Person>
        </b:NameList>
      </b:Author>
    </b:Author>
    <b:Title>Fast and simple procedure for liquid-liquid extraction of 136 analytes from different drug classes for development of a liquid chromatographic-tandem mass spectrometric quantification method in human blood plasma</b:Title>
    <b:Year>2010</b:Year>
    <b:Pages>2303-2314</b:Pages>
    <b:Volume>397</b:Volume>
    <b:JournalName>Anal. Bioanal. Chem.</b:JournalName>
    <b:RefOrder>51</b:RefOrder>
  </b:Source>
  <b:Source>
    <b:Tag>Fer09</b:Tag>
    <b:SourceType>JournalArticle</b:SourceType>
    <b:Guid>{7CF8D880-942B-482A-B805-FC5BCB268CEE}</b:Guid>
    <b:Author>
      <b:Author>
        <b:NameList>
          <b:Person>
            <b:Last>Fernandez</b:Last>
            <b:First>M.</b:First>
            <b:Middle>D. R.</b:Middle>
          </b:Person>
          <b:Person>
            <b:Last>Wille</b:Last>
            <b:First>S.</b:First>
            <b:Middle>M. R.</b:Middle>
          </b:Person>
          <b:Person>
            <b:Last>Samyn</b:Last>
            <b:First>N.</b:First>
          </b:Person>
          <b:Person>
            <b:Last>Wood</b:Last>
            <b:First>M.</b:First>
          </b:Person>
          <b:Person>
            <b:Last>Lopez-Rivadulla</b:Last>
            <b:First>M.</b:First>
          </b:Person>
        </b:NameList>
      </b:Author>
    </b:Author>
    <b:Title>High-throughput analysis of amphetamines in blood and urine with online solid-phase extraction-liquid chromatography-tandem mass spectrometry</b:Title>
    <b:Year>2009</b:Year>
    <b:Pages>578-587</b:Pages>
    <b:Volume>33</b:Volume>
    <b:JournalName>J. Anal. Toxicol.</b:JournalName>
    <b:RefOrder>48</b:RefOrder>
  </b:Source>
  <b:Source>
    <b:Tag>Pet09</b:Tag>
    <b:SourceType>JournalArticle</b:SourceType>
    <b:Guid>{B6F4AFDB-8247-47EA-B11B-D0D8D357011E}</b:Guid>
    <b:Author>
      <b:Author>
        <b:NameList>
          <b:Person>
            <b:Last>Peters</b:Last>
            <b:First>F.</b:First>
            <b:Middle>T.</b:Middle>
          </b:Person>
          <b:Person>
            <b:Last>Drvarov</b:Last>
            <b:First>O.</b:First>
          </b:Person>
          <b:Person>
            <b:Last>Lottner</b:Last>
            <b:First>S.</b:First>
          </b:Person>
          <b:Person>
            <b:Last>Spellmeier</b:Last>
            <b:First>A.</b:First>
          </b:Person>
          <b:Person>
            <b:Last>Rieger</b:Last>
            <b:First>K.</b:First>
          </b:Person>
          <b:Person>
            <b:Last>Haefeli</b:Last>
            <b:First>W.</b:First>
            <b:Middle>E.</b:Middle>
          </b:Person>
          <b:Person>
            <b:Last>Maurer</b:Last>
            <b:First>H.</b:First>
            <b:Middle>H.</b:Middle>
          </b:Person>
        </b:NameList>
      </b:Author>
    </b:Author>
    <b:Title>A systematic comparison of four different workup procedures for systematic toxicological analysis of urine samples using gas chromatography-mass spectrometry</b:Title>
    <b:Year>2009</b:Year>
    <b:Pages>735-745</b:Pages>
    <b:Volume>393</b:Volume>
    <b:JournalName>Anal. Bional. Chem.</b:JournalName>
    <b:RefOrder>49</b:RefOrder>
  </b:Source>
  <b:Source>
    <b:Tag>Chi10</b:Tag>
    <b:SourceType>JournalArticle</b:SourceType>
    <b:Guid>{10067157-31C4-43DF-A3E1-AEA2E1C58E26}</b:Guid>
    <b:Author>
      <b:Author>
        <b:NameList>
          <b:Person>
            <b:Last>Chiuminatto</b:Last>
            <b:First>U.</b:First>
          </b:Person>
          <b:Person>
            <b:Last>Gosetti</b:Last>
            <b:First>F.</b:First>
          </b:Person>
          <b:Person>
            <b:Last>Dossetto</b:Last>
            <b:First>P.</b:First>
          </b:Person>
          <b:Person>
            <b:Last>Mazzucco</b:Last>
            <b:First>E.</b:First>
          </b:Person>
          <b:Person>
            <b:Last>Zampieri</b:Last>
            <b:First>D.</b:First>
          </b:Person>
          <b:Person>
            <b:Last>Robotti</b:Last>
            <b:First>E.</b:First>
          </b:Person>
          <b:Person>
            <b:Last>Gennaro</b:Last>
            <b:First>M.</b:First>
            <b:Middle>C.</b:Middle>
          </b:Person>
          <b:Person>
            <b:Last>Marengo</b:Last>
            <b:First>E.</b:First>
          </b:Person>
        </b:NameList>
      </b:Author>
    </b:Author>
    <b:Title>Automated online solid phase extraction ultra high performance liquid chromatography method coupled with tandem mass spectrometry for determination of forty-two therapeutic drugs and drugs of abuse in human urine</b:Title>
    <b:Year>2010</b:Year>
    <b:Pages>5636-5645</b:Pages>
    <b:Volume>82</b:Volume>
    <b:JournalName>Anal. Chem.</b:JournalName>
    <b:RefOrder>50</b:RefOrder>
  </b:Source>
  <b:Source>
    <b:Tag>Bjo10</b:Tag>
    <b:SourceType>JournalArticle</b:SourceType>
    <b:Guid>{65976AC9-F318-407D-95C6-4789D8613C35}</b:Guid>
    <b:Author>
      <b:Author>
        <b:NameList>
          <b:Person>
            <b:Last>Bjork</b:Last>
            <b:First>M.</b:First>
            <b:Middle>K.</b:Middle>
          </b:Person>
          <b:Person>
            <b:Last>Nielsen</b:Last>
            <b:First>M.</b:First>
            <b:Middle>K. K.</b:Middle>
          </b:Person>
          <b:Person>
            <b:Last>Markussen</b:Last>
            <b:First>L.</b:First>
            <b:Middle>O.</b:Middle>
          </b:Person>
          <b:Person>
            <b:Last>Klinke</b:Last>
            <b:First>H.</b:First>
            <b:Middle>B.</b:Middle>
          </b:Person>
          <b:Person>
            <b:Last>Linnet</b:Last>
            <b:First>K.</b:First>
          </b:Person>
        </b:NameList>
      </b:Author>
    </b:Author>
    <b:Title>Determination of 19 drugs of abuse and metabolites in whole blood by high-performance liquid chromatography-tandem mass spectrometry</b:Title>
    <b:Year>2010</b:Year>
    <b:Pages>2393-2401</b:Pages>
    <b:Volume>396</b:Volume>
    <b:JournalName>Anal. Bioanal. Chem.</b:JournalName>
    <b:RefOrder>115</b:RefOrder>
  </b:Source>
  <b:Source>
    <b:Tag>Kra07</b:Tag>
    <b:SourceType>JournalArticle</b:SourceType>
    <b:Guid>{58360811-E053-4E5E-A85B-88E10349F936}</b:Guid>
    <b:Author>
      <b:Author>
        <b:NameList>
          <b:Person>
            <b:Last>Kraemer</b:Last>
            <b:First>T.</b:First>
          </b:Person>
          <b:Person>
            <b:Last>Paul</b:Last>
            <b:First>L.</b:First>
            <b:Middle>D.</b:Middle>
          </b:Person>
        </b:NameList>
      </b:Author>
    </b:Author>
    <b:Title>Bioanalytical procedures for determination of drugs of abuse in blood</b:Title>
    <b:Year>2007</b:Year>
    <b:Pages>1415-1435</b:Pages>
    <b:Volume>388</b:Volume>
    <b:JournalName>Anal. Bioanal. Chem.</b:JournalName>
    <b:RefOrder>116</b:RefOrder>
  </b:Source>
  <b:Source>
    <b:Tag>Jia10</b:Tag>
    <b:SourceType>JournalArticle</b:SourceType>
    <b:Guid>{E3E77468-2E43-4D2C-806C-27BCEC349408}</b:Guid>
    <b:Author>
      <b:Author>
        <b:NameList>
          <b:Person>
            <b:Last>Jian</b:Last>
            <b:First>W.</b:First>
          </b:Person>
          <b:Person>
            <b:Last>Edom</b:Last>
            <b:First>R.</b:First>
            <b:Middle>W.</b:Middle>
          </b:Person>
          <b:Person>
            <b:Last>Xu</b:Last>
            <b:First>Y.</b:First>
          </b:Person>
          <b:Person>
            <b:Last>Gallagher</b:Last>
            <b:First>J.</b:First>
          </b:Person>
          <b:Person>
            <b:Last>Weng</b:Last>
            <b:First>N.</b:First>
          </b:Person>
        </b:NameList>
      </b:Author>
    </b:Author>
    <b:Title>Potential bias and mitigations when using stable isotope labeled parent drug as internal standard for LC-MS/MS quantitation of metabolites</b:Title>
    <b:Year>2010</b:Year>
    <b:Pages>3267-3276</b:Pages>
    <b:Volume>878</b:Volume>
    <b:JournalName>J. Chromatogr. B</b:JournalName>
    <b:RefOrder>117</b:RefOrder>
  </b:Source>
  <b:Source>
    <b:Tag>Bro11</b:Tag>
    <b:SourceType>JournalArticle</b:SourceType>
    <b:Guid>{B6B3CC16-C562-4DD7-B88A-BB0164616024}</b:Guid>
    <b:Author>
      <b:Author>
        <b:NameList>
          <b:Person>
            <b:Last>Brown</b:Last>
            <b:First>S.</b:First>
            <b:Middle>D.</b:Middle>
          </b:Person>
          <b:Person>
            <b:Last>Melton</b:Last>
            <b:First>T.</b:First>
            <b:Middle>C.</b:Middle>
          </b:Person>
        </b:NameList>
      </b:Author>
    </b:Author>
    <b:Title>Trends in bioanalytical methods for the determination and quantification of club drugs: 2000-2010</b:Title>
    <b:Year>2011</b:Year>
    <b:Pages>300-321</b:Pages>
    <b:Volume>25</b:Volume>
    <b:JournalName>Biomed. Chromatogr.</b:JournalName>
    <b:RefOrder>118</b:RefOrder>
  </b:Source>
  <b:Source>
    <b:Tag>del10</b:Tag>
    <b:SourceType>JournalArticle</b:SourceType>
    <b:Guid>{7EF36A5D-5951-49E0-9CA6-719492C4C18C}</b:Guid>
    <b:Author>
      <b:Author>
        <b:NameList>
          <b:Person>
            <b:Last>del mar Ramirez Fernandez</b:Last>
            <b:First>M.</b:First>
          </b:Person>
          <b:Person>
            <b:Last>Wille</b:Last>
            <b:First>S.</b:First>
            <b:Middle>M. R.</b:Middle>
          </b:Person>
          <b:Person>
            <b:Last>di Fazio</b:Last>
            <b:First>V.</b:First>
          </b:Person>
          <b:Person>
            <b:Last>Gosselin</b:Last>
            <b:First>M.</b:First>
          </b:Person>
          <b:Person>
            <b:Last>Samyn</b:Last>
            <b:First>N.</b:First>
          </b:Person>
        </b:NameList>
      </b:Author>
    </b:Author>
    <b:Title>Analysis of amphetamines and metabolites in urine with ultra performance liquid chromatography tandem mass spectrometry</b:Title>
    <b:Year>2010</b:Year>
    <b:Pages>1616-1622</b:Pages>
    <b:Volume>878</b:Volume>
    <b:JournalName>J. Chromatogr. B</b:JournalName>
    <b:RefOrder>119</b:RefOrder>
  </b:Source>
  <b:Source>
    <b:Tag>AWo10</b:Tag>
    <b:SourceType>JournalArticle</b:SourceType>
    <b:Guid>{665271FD-9823-4C9C-B810-C8B831F689A3}</b:Guid>
    <b:Author>
      <b:Author>
        <b:NameList>
          <b:Person>
            <b:Last>Wohlfarth</b:Last>
            <b:First>A.</b:First>
          </b:Person>
          <b:Person>
            <b:Last>Weinmann</b:Last>
            <b:First>W.</b:First>
          </b:Person>
        </b:NameList>
      </b:Author>
    </b:Author>
    <b:Title>Bioanalysis of new designer drugs</b:Title>
    <b:JournalName>Bioanalysis</b:JournalName>
    <b:Year>2010</b:Year>
    <b:Pages>965-979</b:Pages>
    <b:Volume>2</b:Volume>
    <b:RefOrder>20</b:RefOrder>
  </b:Source>
  <b:Source>
    <b:Tag>ASC00</b:Tag>
    <b:SourceType>JournalArticle</b:SourceType>
    <b:Guid>{13F69F7F-CF85-4C62-A070-C006161EE9D9}</b:Guid>
    <b:Author>
      <b:Author>
        <b:NameList>
          <b:Person>
            <b:Last>Christophersen</b:Last>
            <b:First>A.</b:First>
            <b:Middle>S.</b:Middle>
          </b:Person>
        </b:NameList>
      </b:Author>
    </b:Author>
    <b:Title>Amphetamine designer drugs - an overview and epidemiology</b:Title>
    <b:JournalName>Toxicol. Lett.</b:JournalName>
    <b:Year>2000</b:Year>
    <b:Pages>127-131</b:Pages>
    <b:Volume>112-113</b:Volume>
    <b:RefOrder>60</b:RefOrder>
  </b:Source>
  <b:Source>
    <b:Tag>MPa03</b:Tag>
    <b:SourceType>JournalArticle</b:SourceType>
    <b:Guid>{0A0BA103-E8E5-4D3E-84D3-341CCF5CF626}</b:Guid>
    <b:Author>
      <b:Author>
        <b:NameList>
          <b:Person>
            <b:Last>Park</b:Last>
            <b:First>M.</b:First>
          </b:Person>
          <b:Person>
            <b:Last>Choi</b:Last>
            <b:First>H.</b:First>
          </b:Person>
          <b:Person>
            <b:Last>Son</b:Last>
            <b:First>H.</b:First>
          </b:Person>
          <b:Person>
            <b:Last>Lim</b:Last>
            <b:First>M.</b:First>
          </b:Person>
          <b:Person>
            <b:Last>Chung</b:Last>
            <b:First>H.</b:First>
          </b:Person>
        </b:NameList>
      </b:Author>
    </b:Author>
    <b:Title>Cross-reactivity of amphetamine analogues in various immunoassays</b:Title>
    <b:JournalName>J. Pharm. Soc. Korea</b:JournalName>
    <b:Year>2003</b:Year>
    <b:Pages>266-270</b:Pages>
    <b:Volume>47</b:Volume>
    <b:RefOrder>57</b:RefOrder>
  </b:Source>
  <b:Source>
    <b:Tag>CRC10</b:Tag>
    <b:SourceType>JournalArticle</b:SourceType>
    <b:Guid>{F98B8414-17AE-43FE-966B-BF8EAAF04593}</b:Guid>
    <b:Author>
      <b:Author>
        <b:NameList>
          <b:Person>
            <b:Last>Crooks</b:Last>
            <b:First>C.</b:First>
            <b:Middle>R.</b:Middle>
          </b:Person>
          <b:Person>
            <b:Last>Brown</b:Last>
            <b:First>S.</b:First>
          </b:Person>
        </b:NameList>
      </b:Author>
    </b:Author>
    <b:Title>Roche DAT immunoassay: Sensitivity and specificity testing for amphetamines, cocaine, and opiates in oral fluid</b:Title>
    <b:JournalName>J. Anal. Toxicol.</b:JournalName>
    <b:Year>2010</b:Year>
    <b:Pages>103-109</b:Pages>
    <b:Volume>34</b:Volume>
    <b:RefOrder>59</b:RefOrder>
  </b:Source>
  <b:Source>
    <b:Tag>JTC93</b:Tag>
    <b:SourceType>JournalArticle</b:SourceType>
    <b:Guid>{D005119E-FD87-4095-B112-A2F184640BE3}</b:Guid>
    <b:Author>
      <b:Author>
        <b:NameList>
          <b:Person>
            <b:Last>Cody</b:Last>
            <b:First>J.</b:First>
            <b:Middle>T.</b:Middle>
          </b:Person>
          <b:Person>
            <b:Last>Schwarzhoff</b:Last>
            <b:First>R.</b:First>
          </b:Person>
        </b:NameList>
      </b:Author>
    </b:Author>
    <b:Title>Fluorescence polarization immunoassay detection of amphetamine, methamphetamine, and illicit amphetamine analogs</b:Title>
    <b:JournalName>J. Anal. Toxicol.</b:JournalName>
    <b:Year>1993</b:Year>
    <b:Pages>26-30</b:Pages>
    <b:Volume>17</b:Volume>
    <b:RefOrder>120</b:RefOrder>
  </b:Source>
  <b:Source>
    <b:Tag>LGA07</b:Tag>
    <b:SourceType>JournalArticle</b:SourceType>
    <b:Guid>{15FCE93A-1B42-49AB-976F-1C248CDC6CC1}</b:Guid>
    <b:Author>
      <b:Author>
        <b:NameList>
          <b:Person>
            <b:Last>Apollonio</b:Last>
            <b:First>L.</b:First>
            <b:Middle>G.</b:Middle>
          </b:Person>
          <b:Person>
            <b:Last>Whittall</b:Last>
            <b:First>I.</b:First>
            <b:Middle>R.</b:Middle>
          </b:Person>
          <b:Person>
            <b:Last>Pianca</b:Last>
            <b:First>D.</b:First>
            <b:Middle>J.</b:Middle>
          </b:Person>
          <b:Person>
            <b:Last>Kyd</b:Last>
            <b:First>J.</b:First>
            <b:Middle>M.</b:Middle>
          </b:Person>
          <b:Person>
            <b:Last>Maher</b:Last>
            <b:First>W.</b:First>
            <b:Middle>A.</b:Middle>
          </b:Person>
        </b:NameList>
      </b:Author>
    </b:Author>
    <b:Title>Matrix effect and cross-reactivity of select amphetamine-type substances, designer analogues, and putrefactive amines using the Bio-Quant Direct ELISA presumptive assays for amphetamine and methamphetamine</b:Title>
    <b:JournalName>J. Anal. Toxicol. </b:JournalName>
    <b:Year>2007</b:Year>
    <b:Pages>208-213</b:Pages>
    <b:Volume>31</b:Volume>
    <b:RefOrder>55</b:RefOrder>
  </b:Source>
  <b:Source>
    <b:Tag>SKe11</b:Tag>
    <b:SourceType>JournalArticle</b:SourceType>
    <b:Guid>{829348D8-C505-4534-B4F1-8858C989709B}</b:Guid>
    <b:Author>
      <b:Author>
        <b:NameList>
          <b:Person>
            <b:Last>Kerrigan</b:Last>
            <b:First>S.</b:First>
          </b:Person>
          <b:Person>
            <b:Last>Mellon</b:Last>
            <b:First>M.</b:First>
            <b:Middle>B.</b:Middle>
          </b:Person>
          <b:Person>
            <b:Last>Banuelos</b:Last>
            <b:First>S.</b:First>
          </b:Person>
          <b:Person>
            <b:Last>Arndt</b:Last>
            <b:First>C.</b:First>
          </b:Person>
        </b:NameList>
      </b:Author>
    </b:Author>
    <b:Title>Evaluation of commercial enzyme-linked immunosorbent assays to identify psychedelic phenethylamines</b:Title>
    <b:JournalName>J. Anal. Toxicol.</b:JournalName>
    <b:Year>2011</b:Year>
    <b:Pages>444-451</b:Pages>
    <b:Volume>35</b:Volume>
    <b:RefOrder>121</b:RefOrder>
  </b:Source>
  <b:Source>
    <b:Tag>KNa12</b:Tag>
    <b:SourceType>JournalArticle</b:SourceType>
    <b:Guid>{286B70E2-7D19-47AE-AEEF-EE6459FACD3A}</b:Guid>
    <b:Author>
      <b:Author>
        <b:NameList>
          <b:Person>
            <b:Last>Nakanishi</b:Last>
            <b:First>K.</b:First>
          </b:Person>
          <b:Person>
            <b:Last>Miki</b:Last>
            <b:First>A.</b:First>
          </b:Person>
          <b:Person>
            <b:Last>Zaitsu</b:Last>
            <b:First>K.</b:First>
          </b:Person>
          <b:Person>
            <b:Last>Kamata</b:Last>
            <b:First>H.</b:First>
          </b:Person>
          <b:Person>
            <b:Last>Shima</b:Last>
            <b:First>N.</b:First>
          </b:Person>
          <b:Person>
            <b:Last>Kamata</b:Last>
            <b:First>T.</b:First>
          </b:Person>
          <b:Person>
            <b:Last>katagi</b:Last>
            <b:First>M.</b:First>
          </b:Person>
          <b:Person>
            <b:Last>Tatsuno</b:Last>
            <b:First>M.</b:First>
          </b:Person>
          <b:Person>
            <b:Last>Tsuchihashi</b:Last>
            <b:First>H.</b:First>
          </b:Person>
          <b:Person>
            <b:Last>Suzuki</b:Last>
            <b:First>K.</b:First>
          </b:Person>
        </b:NameList>
      </b:Author>
    </b:Author>
    <b:Title>Cross-reactivities of various phenethylamine-type designer drugs to immunoassays for amphetamines, with special attention to the evaluation of the one-step urine drug test Instant-View(TM), and the Emit(R) assays for use in drug enforcement</b:Title>
    <b:JournalName>Forensic Sci. Int.</b:JournalName>
    <b:Year>2012</b:Year>
    <b:Pages>174-181</b:Pages>
    <b:Volume>217</b:Volume>
    <b:RefOrder>63</b:RefOrder>
  </b:Source>
  <b:Source>
    <b:Tag>SPV08</b:Tag>
    <b:SourceType>JournalArticle</b:SourceType>
    <b:Guid>{B33972F7-F1D9-4A7F-9D27-55F2B5AE6801}</b:Guid>
    <b:Author>
      <b:Author>
        <b:NameList>
          <b:Person>
            <b:Last>Vorce</b:Last>
            <b:First>S.</b:First>
            <b:Middle>P.</b:Middle>
          </b:Person>
          <b:Person>
            <b:Last>Holler</b:Last>
            <b:First>J.</b:First>
            <b:Middle>M.</b:Middle>
          </b:Person>
          <b:Person>
            <b:Last>Levine</b:Last>
            <b:First>B.</b:First>
          </b:Person>
          <b:Person>
            <b:Last>Past</b:Last>
            <b:First>M.</b:First>
            <b:Middle>R.</b:Middle>
          </b:Person>
        </b:NameList>
      </b:Author>
    </b:Author>
    <b:Title>Detection of 1-benzylpiperazine and 1-(3-trifluoromethylphenyl)-piperazine in urine analysis specimens using GC-MS and LC-ESI-MS</b:Title>
    <b:JournalName>J. Anal. Toxicol.</b:JournalName>
    <b:Year>2008</b:Year>
    <b:Pages>444-450</b:Pages>
    <b:Volume>32</b:Volume>
    <b:RefOrder>123</b:RefOrder>
  </b:Source>
  <b:Source>
    <b:Tag>BKL10</b:Tag>
    <b:SourceType>JournalArticle</b:SourceType>
    <b:Guid>{79B1B9A3-42CC-464D-9186-B1C5C98A0AC4}</b:Guid>
    <b:Author>
      <b:Author>
        <b:NameList>
          <b:Person>
            <b:Last>Logan</b:Last>
            <b:First>B.</b:First>
            <b:Middle>K.</b:Middle>
          </b:Person>
          <b:Person>
            <b:Last>Constantino</b:Last>
            <b:First>A.</b:First>
            <b:Middle>G.</b:Middle>
          </b:Person>
          <b:Person>
            <b:Last>Rieders</b:Last>
            <b:First>E.</b:First>
            <b:Middle>F.</b:Middle>
          </b:Person>
          <b:Person>
            <b:Last>Sanders</b:Last>
            <b:First>D.</b:First>
          </b:Person>
        </b:NameList>
      </b:Author>
    </b:Author>
    <b:Title>Trazodone, meta-chlorophenylpiperazine (an hallucinogenic drug and trazodone metabolite), and the hallucinogenic trifluoromethylphenylpiperazine cross-react with the EMIT(R)II Ecstasy immunoassay in urine</b:Title>
    <b:JournalName>J. Anal. Toxicol.</b:JournalName>
    <b:Year>2010</b:Year>
    <b:Pages>587-589</b:Pages>
    <b:Volume>34</b:Volume>
    <b:RefOrder>124</b:RefOrder>
  </b:Source>
  <b:Source>
    <b:Tag>Dde01</b:Tag>
    <b:SourceType>JournalArticle</b:SourceType>
    <b:Guid>{F8C591D4-C503-4128-9C20-3D4A6E35C551}</b:Guid>
    <b:Author>
      <b:Author>
        <b:NameList>
          <b:Person>
            <b:Last>de Boer</b:Last>
            <b:First>D.</b:First>
          </b:Person>
          <b:Person>
            <b:Last>Bosman</b:Last>
            <b:First>I.</b:First>
            <b:Middle>J.</b:Middle>
          </b:Person>
          <b:Person>
            <b:Last>Hidvegi</b:Last>
            <b:First>E.</b:First>
          </b:Person>
          <b:Person>
            <b:Last>Manzoni</b:Last>
            <b:First>C.</b:First>
          </b:Person>
          <b:Person>
            <b:Last>Benko</b:Last>
            <b:First>A.</b:First>
            <b:Middle>A.</b:Middle>
          </b:Person>
          <b:Person>
            <b:Last>Reys</b:Last>
            <b:First>L.</b:First>
            <b:Middle>J. A. L. dos</b:Middle>
          </b:Person>
          <b:Person>
            <b:Last>Maes</b:Last>
            <b:First>R.</b:First>
            <b:Middle>A. A.</b:Middle>
          </b:Person>
        </b:NameList>
      </b:Author>
    </b:Author>
    <b:Title>Piperazine-like compounds: a new group of designer drugs-of-abuse on the European market</b:Title>
    <b:JournalName>Forensic Sci. Int. </b:JournalName>
    <b:Year>2001</b:Year>
    <b:Pages>47-56</b:Pages>
    <b:Volume>121</b:Volume>
    <b:RefOrder>122</b:RefOrder>
  </b:Source>
  <b:Source>
    <b:Tag>SJM09</b:Tag>
    <b:SourceType>JournalArticle</b:SourceType>
    <b:Guid>{55300A03-8DEC-474E-8759-09327573A3CC}</b:Guid>
    <b:Author>
      <b:Author>
        <b:NameList>
          <b:Person>
            <b:Last>Marin</b:Last>
            <b:First>S.</b:First>
            <b:Middle>J.</b:Middle>
          </b:Person>
          <b:Person>
            <b:Last>Moore</b:Last>
            <b:First>C.</b:First>
          </b:Person>
          <b:Person>
            <b:Last>McMillin</b:Last>
            <b:First>G.</b:First>
            <b:Middle>A.</b:Middle>
          </b:Person>
        </b:NameList>
      </b:Author>
    </b:Author>
    <b:Title>Cross-reactivity of phentermine with an immunoassay designed to detect amphetamine in a meconium specimen</b:Title>
    <b:JournalName>Clin. Chem.</b:JournalName>
    <b:Year>2009</b:Year>
    <b:Pages>589-590</b:Pages>
    <b:Volume>55</b:Volume>
    <b:RefOrder>58</b:RefOrder>
  </b:Source>
  <b:Source>
    <b:Tag>MBa05</b:Tag>
    <b:SourceType>JournalArticle</b:SourceType>
    <b:Guid>{2AC0DDEF-FBC5-4A21-9D8C-BC1ABB317940}</b:Guid>
    <b:Author>
      <b:Author>
        <b:NameList>
          <b:Person>
            <b:Last>Balikova</b:Last>
            <b:First>M.</b:First>
          </b:Person>
        </b:NameList>
      </b:Author>
    </b:Author>
    <b:Title>Nonfatal and fatal DOB (2,5-dimethoxy-4-bromoamphetamine) overdose</b:Title>
    <b:JournalName>Forensic Sci. Int.</b:JournalName>
    <b:Year>2005</b:Year>
    <b:Pages>85-91</b:Pages>
    <b:Volume>153</b:Volume>
    <b:RefOrder>125</b:RefOrder>
  </b:Source>
  <b:Source>
    <b:Tag>MMi08</b:Tag>
    <b:SourceType>JournalArticle</b:SourceType>
    <b:Guid>{949FE471-C631-4937-9153-068F323A7910}</b:Guid>
    <b:Author>
      <b:Author>
        <b:NameList>
          <b:Person>
            <b:Last>Miyajima</b:Last>
            <b:First>M.</b:First>
          </b:Person>
          <b:Person>
            <b:Last>Matsumoto</b:Last>
            <b:First>T.</b:First>
          </b:Person>
          <b:Person>
            <b:Last>Ito</b:Last>
            <b:First>S.</b:First>
          </b:Person>
        </b:NameList>
      </b:Author>
    </b:Author>
    <b:Title>2C-T-4 intoxication: Acute psychosis caused by a designer drug</b:Title>
    <b:JournalName>Psych. Clin. Neurosci.</b:JournalName>
    <b:Year>2008</b:Year>
    <b:Pages>243</b:Pages>
    <b:Volume>62</b:Volume>
    <b:RefOrder>126</b:RefOrder>
  </b:Source>
  <b:Source>
    <b:Tag>AJD10</b:Tag>
    <b:SourceType>JournalArticle</b:SourceType>
    <b:Guid>{E822E6B7-0E63-4961-8441-5174CD76717A}</b:Guid>
    <b:Author>
      <b:Author>
        <b:NameList>
          <b:Person>
            <b:Last>Dickson</b:Last>
            <b:First>A.</b:First>
            <b:Middle>J.</b:Middle>
          </b:Person>
          <b:Person>
            <b:Last>Vorce</b:Last>
            <b:First>S.</b:First>
            <b:Middle>P.</b:Middle>
          </b:Person>
          <b:Person>
            <b:Last>Levine</b:Last>
            <b:First>B.</b:First>
          </b:Person>
          <b:Person>
            <b:Last>Past</b:Last>
            <b:First>M.</b:First>
            <b:Middle>R.</b:Middle>
          </b:Person>
        </b:NameList>
      </b:Author>
    </b:Author>
    <b:Title>Multiple-drug toxicity caused by coadministration of 4-methylmethcathinone (mephedrone) and heroin</b:Title>
    <b:JournalName>J. Anal. Toxicol.</b:JournalName>
    <b:Year>2010</b:Year>
    <b:Pages>162-168</b:Pages>
    <b:Volume>34</b:Volume>
    <b:RefOrder>127</b:RefOrder>
  </b:Source>
  <b:Source>
    <b:Tag>CBe11</b:Tag>
    <b:SourceType>JournalArticle</b:SourceType>
    <b:Guid>{19A61213-C8F2-416A-9BE2-05CCE50D8461}</b:Guid>
    <b:Author>
      <b:Author>
        <b:NameList>
          <b:Person>
            <b:Last>Bell</b:Last>
            <b:First>C.</b:First>
          </b:Person>
          <b:Person>
            <b:Last>George</b:Last>
            <b:First>C.</b:First>
          </b:Person>
          <b:Person>
            <b:Last>Kicman</b:Last>
            <b:First>A.</b:First>
            <b:Middle>T.</b:Middle>
          </b:Person>
          <b:Person>
            <b:Last>Traynor</b:Last>
            <b:First>A.</b:First>
          </b:Person>
        </b:NameList>
      </b:Author>
    </b:Author>
    <b:Title>Development of a rapid LC-MS/MS method for direct urinalysis of designer drugs</b:Title>
    <b:JournalName>Drug Test. Anal.</b:JournalName>
    <b:Year>2011</b:Year>
    <b:Pages>496</b:Pages>
    <b:Volume>3</b:Volume>
    <b:RefOrder>128</b:RefOrder>
  </b:Source>
  <b:Source>
    <b:Tag>AMM12</b:Tag>
    <b:SourceType>JournalArticle</b:SourceType>
    <b:Guid>{990D8CFB-D926-42D9-ACA6-F6E1866D7C94}</b:Guid>
    <b:Author>
      <b:Author>
        <b:NameList>
          <b:Person>
            <b:Last>Macher</b:Last>
            <b:First>A.</b:First>
            <b:Middle>M.</b:Middle>
          </b:Person>
          <b:Person>
            <b:Last>Penders</b:Last>
            <b:First>T.</b:First>
            <b:Middle>M.</b:Middle>
          </b:Person>
        </b:NameList>
      </b:Author>
    </b:Author>
    <b:Title>False-positive phencyclidine immunoassay results caused by 3,4-methylenedioxypyrovalerone (MDPV)</b:Title>
    <b:JournalName>Drug Test. Anal.</b:JournalName>
    <b:Year>2012</b:Year>
    <b:Pages>online</b:Pages>
    <b:RefOrder>129</b:RefOrder>
  </b:Source>
  <b:Source>
    <b:Tag>Amm12</b:Tag>
    <b:SourceType>JournalArticle</b:SourceType>
    <b:Guid>{C2742E07-6183-4D9C-A74C-DF986ABC2F62}</b:Guid>
    <b:Author>
      <b:Author>
        <b:NameList>
          <b:Person>
            <b:Last>Ammann</b:Last>
            <b:First>D.</b:First>
          </b:Person>
          <b:Person>
            <b:Last>McClaren</b:Last>
            <b:First>J.</b:First>
            <b:Middle>M.</b:Middle>
          </b:Person>
          <b:Person>
            <b:Last>Gerostamoulos</b:Last>
            <b:First>D.</b:First>
          </b:Person>
          <b:Person>
            <b:Last>Beyer</b:Last>
            <b:First>J.</b:First>
          </b:Person>
        </b:NameList>
      </b:Author>
    </b:Author>
    <b:Title>Detection and quantification of new designer drugs in human blood: Part 2 - Designer cathinones</b:Title>
    <b:Year>2012</b:Year>
    <b:Pages>381-389</b:Pages>
    <b:Volume>36</b:Volume>
    <b:JournalName>J. Anal. Toxicol.</b:JournalName>
    <b:RefOrder>130</b:RefOrder>
  </b:Source>
  <b:Source>
    <b:Tag>Ker11</b:Tag>
    <b:SourceType>JournalArticle</b:SourceType>
    <b:Guid>{1221BDAC-F1A3-4D7A-B967-79DBC078BE23}</b:Guid>
    <b:Author>
      <b:Author>
        <b:NameList>
          <b:Person>
            <b:Last>Kerrigan</b:Last>
            <b:First>S.</b:First>
          </b:Person>
          <b:Person>
            <b:Last>Banuelos</b:Last>
            <b:First>S.</b:First>
          </b:Person>
          <b:Person>
            <b:Last>Perrella</b:Last>
            <b:First>L.</b:First>
          </b:Person>
          <b:Person>
            <b:Last>Hardy</b:Last>
            <b:First>B.</b:First>
          </b:Person>
        </b:NameList>
      </b:Author>
    </b:Author>
    <b:Title>Simultaneous detection of ten psychedelic phenethylamines in urine by gas chromatography-mass spectrometry</b:Title>
    <b:Year>2011</b:Year>
    <b:Pages>459-469</b:Pages>
    <b:Volume>35</b:Volume>
    <b:JournalName>J. Anal. Toxicol.</b:JournalName>
    <b:RefOrder>131</b:RefOrder>
  </b:Source>
  <b:Source>
    <b:Tag>Sor11</b:Tag>
    <b:SourceType>JournalArticle</b:SourceType>
    <b:Guid>{5CFEE31E-5006-49DE-BC0E-16A79970C4D6}</b:Guid>
    <b:Author>
      <b:Author>
        <b:NameList>
          <b:Person>
            <b:Last>Sorensen</b:Last>
            <b:First>L.</b:First>
            <b:Middle>K.</b:Middle>
          </b:Person>
        </b:NameList>
      </b:Author>
    </b:Author>
    <b:Title>Determination of cathinones and related ephedrines in forensic whole-blood samples by liquid-chromatography-electrospray tandem mass spectrometry</b:Title>
    <b:Year>2011</b:Year>
    <b:Pages>727-736</b:Pages>
    <b:Volume>879</b:Volume>
    <b:JournalName>J. Chromatogr. B</b:JournalName>
    <b:RefOrder>132</b:RefOrder>
  </b:Source>
  <b:Source>
    <b:Tag>Pet07</b:Tag>
    <b:SourceType>JournalArticle</b:SourceType>
    <b:Guid>{D5D0AB40-A370-47C9-8E03-0C89BCCB034D}</b:Guid>
    <b:Author>
      <b:Author>
        <b:NameList>
          <b:Person>
            <b:Last>Peters</b:Last>
            <b:First>F.</b:First>
            <b:Middle>T.</b:Middle>
          </b:Person>
          <b:Person>
            <b:Last>Drummer</b:Last>
            <b:First>O.</b:First>
            <b:Middle>H.</b:Middle>
          </b:Person>
          <b:Person>
            <b:Last>Musshoff</b:Last>
            <b:First>F.</b:First>
          </b:Person>
        </b:NameList>
      </b:Author>
    </b:Author>
    <b:Title>Validation of new methods</b:Title>
    <b:Year>2007</b:Year>
    <b:Pages>216-224</b:Pages>
    <b:Volume>165</b:Volume>
    <b:RefOrder>133</b:RefOrder>
  </b:Source>
  <b:Source>
    <b:Tag>Mat03</b:Tag>
    <b:SourceType>JournalArticle</b:SourceType>
    <b:Guid>{F0EE4A4E-1F91-41EB-9A52-05CC7586F97F}</b:Guid>
    <b:Author>
      <b:Author>
        <b:NameList>
          <b:Person>
            <b:Last>Matuszewski</b:Last>
            <b:First>B.</b:First>
            <b:Middle>K.</b:Middle>
          </b:Person>
          <b:Person>
            <b:Last>Constanzer</b:Last>
            <b:First>M.</b:First>
            <b:Middle>L.</b:Middle>
          </b:Person>
          <b:Person>
            <b:Last>Chavez-Eng</b:Last>
            <b:First>C.</b:First>
            <b:Middle>M.</b:Middle>
          </b:Person>
        </b:NameList>
      </b:Author>
    </b:Author>
    <b:Title>Strategies for the assessment of matrix effect in quantitative bioanalytical methods based on HPLC-MS/MS</b:Title>
    <b:Year>2003</b:Year>
    <b:Pages>3019-3030</b:Pages>
    <b:Volume>75</b:Volume>
    <b:JournalName>Anal. Chem.</b:JournalName>
    <b:RefOrder>134</b:RefOrder>
  </b:Source>
  <b:Source>
    <b:Tag>Ara09</b:Tag>
    <b:SourceType>JournalArticle</b:SourceType>
    <b:Guid>{19829701-B46B-4D97-8E5E-1AB14EF22BDD}</b:Guid>
    <b:Author>
      <b:Author>
        <b:NameList>
          <b:Person>
            <b:Last>Araujo</b:Last>
            <b:First>P.</b:First>
          </b:Person>
        </b:NameList>
      </b:Author>
    </b:Author>
    <b:Title>Key aspects of analytical method validation and linearity evaluation</b:Title>
    <b:Year>2009</b:Year>
    <b:Pages>2224-2234</b:Pages>
    <b:Volume>877</b:Volume>
    <b:JournalName>J. Chromatogr. B</b:JournalName>
    <b:RefOrder>135</b:RefOrder>
  </b:Source>
  <b:Source>
    <b:Tag>Pet12</b:Tag>
    <b:SourceType>JournalArticle</b:SourceType>
    <b:Guid>{30A3AB65-5BE4-4114-991F-2BBFDF7432E1}</b:Guid>
    <b:Author>
      <b:Author>
        <b:NameList>
          <b:Person>
            <b:Last>Peters</b:Last>
            <b:First>F.</b:First>
            <b:Middle>T.</b:Middle>
          </b:Person>
          <b:Person>
            <b:Last>Remane</b:Last>
            <b:First>D.</b:First>
          </b:Person>
        </b:NameList>
      </b:Author>
    </b:Author>
    <b:Title>Aspects of matrix effects in applications of liquid chromatography-mass spectrometry to forensic and clinical toxicology - a review</b:Title>
    <b:Year>2012</b:Year>
    <b:Pages>2155-2172</b:Pages>
    <b:Volume>403</b:Volume>
    <b:JournalName>Anal. Bioanal. Chem.</b:JournalName>
    <b:RefOrder>136</b:RefOrder>
  </b:Source>
  <b:Source>
    <b:Tag>Wie96</b:Tag>
    <b:SourceType>JournalArticle</b:SourceType>
    <b:Guid>{094D7031-90F2-4542-BC5A-A9BB02D83841}</b:Guid>
    <b:Author>
      <b:Author>
        <b:NameList>
          <b:Person>
            <b:Last>Wieling</b:Last>
            <b:First>J.</b:First>
          </b:Person>
          <b:Person>
            <b:Last>Hendriks</b:Last>
            <b:First>G.</b:First>
          </b:Person>
          <b:Person>
            <b:Last>Tamminga</b:Last>
            <b:First>W.</b:First>
            <b:Middle>J.</b:Middle>
          </b:Person>
          <b:Person>
            <b:Last>Hempenius</b:Last>
            <b:First>J.</b:First>
          </b:Person>
          <b:Person>
            <b:Last>Mensink</b:Last>
            <b:First>C.</b:First>
            <b:Middle>K.</b:Middle>
          </b:Person>
          <b:Person>
            <b:Last>Oosterhuis</b:Last>
            <b:First>B.</b:First>
          </b:Person>
          <b:Person>
            <b:Last>Jonkman</b:Last>
            <b:First>J.</b:First>
            <b:Middle>H. G.</b:Middle>
          </b:Person>
        </b:NameList>
      </b:Author>
    </b:Author>
    <b:Title>Rational experimental design for bioanalytical methods validation illustration using an assay method for total captopril in plasma</b:Title>
    <b:Year>1996</b:Year>
    <b:Pages>381-394</b:Pages>
    <b:Issue>730</b:Issue>
    <b:JournalName>J. Chromatogr. A</b:JournalName>
    <b:RefOrder>137</b:RefOrder>
  </b:Source>
  <b:Source>
    <b:Tag>Coh11</b:Tag>
    <b:SourceType>JournalArticle</b:SourceType>
    <b:Guid>{47C60DB1-8EE8-4CCC-B18C-7E1B856CF2ED}</b:Guid>
    <b:Author>
      <b:Author>
        <b:NameList>
          <b:Person>
            <b:Last>Cohen</b:Last>
            <b:First>B.</b:First>
            <b:Middle>M. Z.</b:Middle>
          </b:Person>
          <b:Person>
            <b:Last>Butler</b:Last>
            <b:First>R.</b:First>
          </b:Person>
        </b:NameList>
      </b:Author>
    </b:Author>
    <b:Title>BZP-party pills: A reivew of reserach on benzylpiperazine as a recreational drug</b:Title>
    <b:Year>2011</b:Year>
    <b:Pages>95-101</b:Pages>
    <b:Volume>22</b:Volume>
    <b:JournalName>Int. J. Drug Policy</b:JournalName>
    <b:RefOrder>138</b:RefOrder>
  </b:Source>
  <b:Source>
    <b:Tag>Hen88</b:Tag>
    <b:SourceType>JournalArticle</b:SourceType>
    <b:Guid>{F0B56965-812C-456C-86FB-5AF19D021764}</b:Guid>
    <b:Author>
      <b:Author>
        <b:NameList>
          <b:Person>
            <b:Last>Henderson</b:Last>
            <b:First>G.</b:First>
            <b:Middle>L.</b:Middle>
          </b:Person>
        </b:NameList>
      </b:Author>
    </b:Author>
    <b:Title>Designer drugs: past history and future prospects</b:Title>
    <b:Year>1988</b:Year>
    <b:Pages>569-575</b:Pages>
    <b:Volume>33</b:Volume>
    <b:JournalName>J. Forensic Sci.</b:JournalName>
    <b:RefOrder>21</b:RefOrder>
  </b:Source>
  <b:Source>
    <b:Tag>Car12</b:Tag>
    <b:SourceType>JournalArticle</b:SourceType>
    <b:Guid>{4AFB2713-7B25-4325-93A6-56B62FEF6B24}</b:Guid>
    <b:Author>
      <b:Author>
        <b:NameList>
          <b:Person>
            <b:Last>Carroll</b:Last>
            <b:First>F.</b:First>
            <b:Middle>I.</b:Middle>
          </b:Person>
          <b:Person>
            <b:Last>Lewin</b:Last>
            <b:First>A.</b:First>
            <b:Middle>H.</b:Middle>
          </b:Person>
          <b:Person>
            <b:Last>Mascarella</b:Last>
            <b:First>S.</b:First>
            <b:Middle>W.</b:Middle>
          </b:Person>
          <b:Person>
            <b:Last>Seltzman</b:Last>
            <b:First>H.</b:First>
            <b:Middle>H.</b:Middle>
          </b:Person>
          <b:Person>
            <b:Last>Reddy</b:Last>
            <b:First>P.</b:First>
            <b:Middle>A.</b:Middle>
          </b:Person>
        </b:NameList>
      </b:Author>
    </b:Author>
    <b:Title>Designer drugs: a medicinal chemistry perspective</b:Title>
    <b:Year>2012</b:Year>
    <b:Pages>18-38</b:Pages>
    <b:Volume>1248</b:Volume>
    <b:JournalName>Ann. NY Acad. Sci.</b:JournalName>
    <b:RefOrder>22</b:RefOrder>
  </b:Source>
  <b:Source>
    <b:Tag>McG11</b:Tag>
    <b:SourceType>JournalArticle</b:SourceType>
    <b:Guid>{78405A0C-37E3-4A1C-A13A-8B823ABBED8C}</b:Guid>
    <b:Author>
      <b:Author>
        <b:NameList>
          <b:Person>
            <b:Last>McGrane</b:Last>
            <b:First>O.</b:First>
          </b:Person>
          <b:Person>
            <b:Last>Simmons</b:Last>
            <b:First>J.</b:First>
          </b:Person>
          <b:Person>
            <b:Last>Jacobson</b:Last>
            <b:First>E.</b:First>
          </b:Person>
          <b:Person>
            <b:Last>Skinner</b:Last>
            <b:First>C.</b:First>
          </b:Person>
        </b:NameList>
      </b:Author>
    </b:Author>
    <b:Title>Alarming trends in a novel class of designer drugs</b:Title>
    <b:Year>2011</b:Year>
    <b:Volume>1</b:Volume>
    <b:Issue>2</b:Issue>
    <b:JournalName>J. Clin. Toxicol.</b:JournalName>
    <b:RefOrder>23</b:RefOrder>
  </b:Source>
  <b:Source>
    <b:Tag>Pro12</b:Tag>
    <b:SourceType>JournalArticle</b:SourceType>
    <b:Guid>{524C8607-93AD-4FB2-B0DA-6CDD019DB8A3}</b:Guid>
    <b:Author>
      <b:Author>
        <b:NameList>
          <b:Person>
            <b:Last>Prosser</b:Last>
            <b:First>J.</b:First>
            <b:Middle>M.</b:Middle>
          </b:Person>
          <b:Person>
            <b:Last>Nelson</b:Last>
            <b:First>L.</b:First>
            <b:Middle>S.</b:Middle>
          </b:Person>
        </b:NameList>
      </b:Author>
    </b:Author>
    <b:Title>The toxicology of bath salts: a review of synthetic cathinones</b:Title>
    <b:Year>2012</b:Year>
    <b:Pages>33-42</b:Pages>
    <b:Volume>8</b:Volume>
    <b:JournalName>J. Med. Toxicol.</b:JournalName>
    <b:RefOrder>24</b:RefOrder>
  </b:Source>
  <b:Source>
    <b:Tag>Hil11</b:Tag>
    <b:SourceType>JournalArticle</b:SourceType>
    <b:Guid>{266D23B7-C1A4-4248-8D0E-D8C863C2EAB8}</b:Guid>
    <b:Author>
      <b:Author>
        <b:NameList>
          <b:Person>
            <b:Last>Hill</b:Last>
            <b:First>S.</b:First>
            <b:Middle>L.</b:Middle>
          </b:Person>
          <b:Person>
            <b:Last>Thomas</b:Last>
            <b:First>S.</b:First>
            <b:Middle>H.</b:Middle>
          </b:Person>
        </b:NameList>
      </b:Author>
    </b:Author>
    <b:Title>Clinical toxicology of newer recreational drugs</b:Title>
    <b:Year>2011</b:Year>
    <b:Pages>705-719</b:Pages>
    <b:Volume>49</b:Volume>
    <b:JournalName>Clin. Toxicol.</b:JournalName>
    <b:RefOrder>26</b:RefOrder>
  </b:Source>
  <b:Source>
    <b:Tag>Bru11</b:Tag>
    <b:SourceType>JournalArticle</b:SourceType>
    <b:Guid>{01A3C036-EA89-4853-AD9D-F1E8B2045348}</b:Guid>
    <b:Author>
      <b:Author>
        <b:NameList>
          <b:Person>
            <b:Last>Brunt</b:Last>
            <b:First>T.</b:First>
            <b:Middle>M.</b:Middle>
          </b:Person>
          <b:Person>
            <b:Last>Poortman</b:Last>
            <b:First>A.</b:First>
          </b:Person>
          <b:Person>
            <b:Last>Niesink</b:Last>
            <b:First>R.</b:First>
            <b:Middle>J. M.</b:Middle>
          </b:Person>
          <b:Person>
            <b:Last>van den Brink</b:Last>
            <b:First>W.</b:First>
          </b:Person>
        </b:NameList>
      </b:Author>
    </b:Author>
    <b:Title>Instability of the ecstasy market and a new kid on the block: mephedrone</b:Title>
    <b:Year>2011</b:Year>
    <b:Pages>1543-1547</b:Pages>
    <b:Volume>25</b:Volume>
    <b:JournalName>J. Psychopharm.</b:JournalName>
    <b:RefOrder>27</b:RefOrder>
  </b:Source>
  <b:Source>
    <b:Tag>McC12</b:Tag>
    <b:SourceType>JournalArticle</b:SourceType>
    <b:Guid>{0F50E7C7-085A-4C58-8E0E-A8EC85B1C124}</b:Guid>
    <b:Author>
      <b:Author>
        <b:NameList>
          <b:Person>
            <b:Last>McClean</b:Last>
            <b:First>J.</b:First>
            <b:Middle>M.</b:Middle>
          </b:Person>
          <b:Person>
            <b:Last>Anspikian</b:Last>
            <b:First>A.</b:First>
          </b:Person>
          <b:Person>
            <b:Last>Tsuang</b:Last>
            <b:First>J.</b:First>
            <b:Middle>W.</b:Middle>
          </b:Person>
        </b:NameList>
      </b:Author>
    </b:Author>
    <b:Title>Bath salt use: A case report and review of the literature</b:Title>
    <b:Year>2012</b:Year>
    <b:Pages>250-256</b:Pages>
    <b:Volume>8</b:Volume>
    <b:JournalName>J. Dual Diagn.</b:JournalName>
    <b:RefOrder>28</b:RefOrder>
  </b:Source>
  <b:Source>
    <b:Tag>Bor12</b:Tag>
    <b:SourceType>JournalArticle</b:SourceType>
    <b:Guid>{D890DF7E-3A69-4A31-8662-8F32E01F348B}</b:Guid>
    <b:Author>
      <b:Author>
        <b:NameList>
          <b:Person>
            <b:Last>Borek</b:Last>
            <b:First>H.</b:First>
            <b:Middle>A.</b:Middle>
          </b:Person>
          <b:Person>
            <b:Last>Holstege</b:Last>
            <b:First>C.</b:First>
            <b:Middle>P.</b:Middle>
          </b:Person>
        </b:NameList>
      </b:Author>
    </b:Author>
    <b:Title>Hyperthermia and multiorgan failure after abuse of "bath salts" containing 3,4-methylenedioxypyrovalerone</b:Title>
    <b:Year>2012</b:Year>
    <b:Pages>103-105</b:Pages>
    <b:Volume>60</b:Volume>
    <b:JournalName>Ann. Emerg. Med.</b:JournalName>
    <b:RefOrder>29</b:RefOrder>
  </b:Source>
  <b:Source>
    <b:Tag>You12</b:Tag>
    <b:SourceType>JournalArticle</b:SourceType>
    <b:Guid>{00CCAEF0-0E69-4909-B32D-1ACA2A4F7E91}</b:Guid>
    <b:Author>
      <b:Author>
        <b:NameList>
          <b:Person>
            <b:Last>Young</b:Last>
            <b:First>A.</b:First>
            <b:Middle>C.</b:Middle>
          </b:Person>
          <b:Person>
            <b:Last>Schwarz</b:Last>
            <b:First>E.</b:First>
            <b:Middle>S.</b:Middle>
          </b:Person>
          <b:Person>
            <b:Last>Velez</b:Last>
            <b:First>L.</b:First>
            <b:Middle>I.</b:Middle>
          </b:Person>
        </b:NameList>
      </b:Author>
    </b:Author>
    <b:Title>Two cases of disseminated intravascular coagulation due to "bath salts" resulting in fatalities, with laboratory confirmation</b:Title>
    <b:Year>2012</b:Year>
    <b:Pages>445.e3-445.e5</b:Pages>
    <b:Volume>31</b:Volume>
    <b:JournalName>Amer. J. Emerg. Med.</b:JournalName>
    <b:RefOrder>30</b:RefOrder>
  </b:Source>
  <b:Source>
    <b:Tag>Pea12</b:Tag>
    <b:SourceType>JournalArticle</b:SourceType>
    <b:Guid>{17559693-84C8-46F7-A1CC-8BD48468663D}</b:Guid>
    <b:Author>
      <b:Author>
        <b:NameList>
          <b:Person>
            <b:Last>Pearson</b:Last>
            <b:First>J.</b:First>
            <b:Middle>M.</b:Middle>
          </b:Person>
          <b:Person>
            <b:Last>Hargraves</b:Last>
            <b:First>T.</b:First>
            <b:Middle>L.</b:Middle>
          </b:Person>
          <b:Person>
            <b:Last>Hair</b:Last>
            <b:First>L.</b:First>
            <b:Middle>S.</b:Middle>
          </b:Person>
          <b:Person>
            <b:Last>Massucci</b:Last>
            <b:First>C.</b:First>
            <b:Middle>J.</b:Middle>
          </b:Person>
          <b:Person>
            <b:Last>Frazee</b:Last>
            <b:First>C.</b:First>
            <b:Middle>C.</b:Middle>
          </b:Person>
          <b:Person>
            <b:Last>Garg</b:Last>
            <b:First>U.</b:First>
          </b:Person>
          <b:Person>
            <b:Last>Pietak</b:Last>
            <b:First>B.</b:First>
            <b:Middle>R.</b:Middle>
          </b:Person>
        </b:NameList>
      </b:Author>
    </b:Author>
    <b:Title>Three fatal intoxications due to methylone</b:Title>
    <b:Year>2012</b:Year>
    <b:Pages>444-451</b:Pages>
    <b:Volume>36</b:Volume>
    <b:JournalName>J. Anal. Toxicol.</b:JournalName>
    <b:RefOrder>31</b:RefOrder>
  </b:Source>
  <b:Source>
    <b:Tag>van13</b:Tag>
    <b:SourceType>JournalArticle</b:SourceType>
    <b:Guid>{BA29E3EA-C5F0-4830-994A-19F8D8B47AB1}</b:Guid>
    <b:Author>
      <b:Author>
        <b:NameList>
          <b:Person>
            <b:Last>van Vrancken</b:Last>
            <b:First>M.</b:First>
            <b:Middle>J.</b:Middle>
          </b:Person>
          <b:Person>
            <b:Last>Benavides</b:Last>
            <b:First>R.</b:First>
          </b:Person>
          <b:Person>
            <b:Last>Wians</b:Last>
            <b:First>F.</b:First>
            <b:Middle>H.</b:Middle>
          </b:Person>
        </b:NameList>
      </b:Author>
    </b:Author>
    <b:Title>Identification of designer drug 2C-E in urine following a drug overdose</b:Title>
    <b:Year>2013</b:Year>
    <b:Pages>58-61</b:Pages>
    <b:Volume>26</b:Volume>
    <b:JournalName>Proc. (Bayl. Univ. Med. Cent.)</b:JournalName>
    <b:RefOrder>32</b:RefOrder>
  </b:Source>
  <b:Source>
    <b:Tag>Pet11</b:Tag>
    <b:SourceType>JournalArticle</b:SourceType>
    <b:Guid>{4CD941B8-4B1E-4DC5-A3A4-C9895AE1E52B}</b:Guid>
    <b:Author>
      <b:Author>
        <b:NameList>
          <b:Person>
            <b:Last>Peters</b:Last>
            <b:First>F.</b:First>
            <b:Middle>T.</b:Middle>
          </b:Person>
          <b:Person>
            <b:Last>Maurer</b:Last>
            <b:First>H.</b:First>
            <b:Middle>H.</b:Middle>
          </b:Person>
          <b:Person>
            <b:Last>Musshoff</b:Last>
            <b:First>F.</b:First>
          </b:Person>
        </b:NameList>
      </b:Author>
    </b:Author>
    <b:Title>Forensic Toxicology</b:Title>
    <b:Year>2011</b:Year>
    <b:Pages>7-8</b:Pages>
    <b:Volume>400</b:Volume>
    <b:JournalName>Anal. Bioanal. Chem.</b:JournalName>
    <b:RefOrder>33</b:RefOrder>
  </b:Source>
  <b:Source>
    <b:Tag>Rus12</b:Tag>
    <b:SourceType>JournalArticle</b:SourceType>
    <b:Guid>{542A69A9-F360-41E5-8CD5-97A15A0C9DBC}</b:Guid>
    <b:Author>
      <b:Author>
        <b:NameList>
          <b:Person>
            <b:Last>Rust</b:Last>
            <b:First>K.</b:First>
            <b:Middle>Y.</b:Middle>
          </b:Person>
          <b:Person>
            <b:Last>Baumgartner</b:Last>
            <b:First>M.</b:First>
            <b:Middle>R.</b:Middle>
          </b:Person>
          <b:Person>
            <b:Last>Dally</b:Last>
            <b:First>A.</b:First>
            <b:Middle>M.</b:Middle>
          </b:Person>
          <b:Person>
            <b:Last>Kraemer</b:Last>
            <b:First>T.</b:First>
          </b:Person>
        </b:NameList>
      </b:Author>
      <b:Editor>
        <b:NameList>
          <b:Person>
            <b:Last>402-408</b:Last>
          </b:Person>
        </b:NameList>
      </b:Editor>
    </b:Author>
    <b:Title>Prevalence of new psychoactive substances: A retrospective study in hair</b:Title>
    <b:Year>2012</b:Year>
    <b:Volume>4</b:Volume>
    <b:JournalName>Drug Test. Analysis</b:JournalName>
    <b:RefOrder>34</b:RefOrder>
  </b:Source>
  <b:Source>
    <b:Tag>Mar12</b:Tag>
    <b:SourceType>JournalArticle</b:SourceType>
    <b:Guid>{DCFB93D7-5582-4477-834A-40DF0D0C5DC2}</b:Guid>
    <b:Author>
      <b:Author>
        <b:NameList>
          <b:Person>
            <b:Last>Martin</b:Last>
            <b:First>M.</b:First>
          </b:Person>
          <b:Person>
            <b:Last>Muller</b:Last>
            <b:First>J.</b:First>
            <b:Middle>F.</b:Middle>
          </b:Person>
          <b:Person>
            <b:Last>Turner</b:Last>
            <b:First>K.</b:First>
          </b:Person>
          <b:Person>
            <b:Last>Duez</b:Last>
            <b:First>M.</b:First>
          </b:Person>
          <b:Person>
            <b:Last>Cirimele</b:Last>
            <b:First>V.</b:First>
          </b:Person>
        </b:NameList>
      </b:Author>
    </b:Author>
    <b:Title>Evidence of mephedrone chronic abuse through hair analysis using GC/MS</b:Title>
    <b:Year>2012</b:Year>
    <b:Pages>44-48</b:Pages>
    <b:Volume>218</b:Volume>
    <b:JournalName>Forensic Sci. Int.</b:JournalName>
    <b:RefOrder>35</b:RefOrder>
  </b:Source>
  <b:Source>
    <b:Tag>Sha12</b:Tag>
    <b:SourceType>JournalArticle</b:SourceType>
    <b:Guid>{84269C34-93A8-4FBE-A278-357D4F725810}</b:Guid>
    <b:Author>
      <b:Author>
        <b:NameList>
          <b:Person>
            <b:Last>Shah</b:Last>
            <b:First>S.</b:First>
            <b:Middle>A. B.</b:Middle>
          </b:Person>
          <b:Person>
            <b:Last>Deshmukh</b:Last>
            <b:First>N.</b:First>
            <b:Middle>I. K.</b:Middle>
          </b:Person>
          <b:Person>
            <b:Last>Barker</b:Last>
            <b:First>J.</b:First>
          </b:Person>
          <b:Person>
            <b:Last>Petroczi</b:Last>
            <b:First>A.</b:First>
          </b:Person>
          <b:Person>
            <b:Last>Cross</b:Last>
            <b:First>P.</b:First>
          </b:Person>
          <b:Person>
            <b:Last>Archer</b:Last>
            <b:First>R.</b:First>
          </b:Person>
          <b:Person>
            <b:Last>Naughton</b:Last>
            <b:First>D.</b:First>
            <b:Middle>P.</b:Middle>
          </b:Person>
        </b:NameList>
      </b:Author>
      <b:Editor>
        <b:NameList>
          <b:Person>
            <b:Last>64-69</b:Last>
          </b:Person>
        </b:NameList>
      </b:Editor>
    </b:Author>
    <b:Title>Quantitative analysis of mephedrone using liquid chromatography tandem mass spectrometry: Application to human hair</b:Title>
    <b:Year>2012</b:Year>
    <b:Volume>61</b:Volume>
    <b:JournalName>Analysis</b:JournalName>
    <b:RefOrder>36</b:RefOrder>
  </b:Source>
  <b:Source>
    <b:Tag>Str12</b:Tag>
    <b:SourceType>JournalArticle</b:SourceType>
    <b:Guid>{5772EC01-3672-443C-B222-650819352492}</b:Guid>
    <b:Author>
      <b:Author>
        <b:NameList>
          <b:Person>
            <b:Last>Strano-Rossi</b:Last>
            <b:First>S.</b:First>
          </b:Person>
          <b:Person>
            <b:Last>Anzillotti</b:Last>
            <b:First>L.</b:First>
          </b:Person>
          <b:Person>
            <b:Last>Castrignano</b:Last>
            <b:First>E.</b:First>
          </b:Person>
          <b:Person>
            <b:Last>Romolo</b:Last>
            <b:First>F.</b:First>
            <b:Middle>S.</b:Middle>
          </b:Person>
          <b:Person>
            <b:Last>Chiarotti</b:Last>
            <b:First>M.</b:First>
          </b:Person>
        </b:NameList>
      </b:Author>
      <b:Editor>
        <b:NameList>
          <b:Person>
            <b:Last>37-42</b:Last>
          </b:Person>
        </b:NameList>
      </b:Editor>
    </b:Author>
    <b:Title>Ultra high performance liquid chromatography-electrospray ionization-tandem mass spectrometry method for direct analysis of designer drugs, "spice" and stimulants in oral fluid</b:Title>
    <b:Year>2012</b:Year>
    <b:Volume>1258</b:Volume>
    <b:JournalName>J. Chromatogr. A</b:JournalName>
    <b:RefOrder>37</b:RefOrder>
  </b:Source>
  <b:Source>
    <b:Tag>Moo13</b:Tag>
    <b:SourceType>JournalArticle</b:SourceType>
    <b:Guid>{BCE3961F-7FD3-4FA7-BE03-7C86FC7AB772}</b:Guid>
    <b:Author>
      <b:Author>
        <b:NameList>
          <b:Person>
            <b:Last>Moore</b:Last>
            <b:First>C.</b:First>
          </b:Person>
          <b:Person>
            <b:Last>Crouch</b:Last>
            <b:First>D.</b:First>
          </b:Person>
        </b:NameList>
      </b:Author>
    </b:Author>
    <b:Title>Oral fluid for the detection of drugs of abuse using immunoassay and LC-MS/MS</b:Title>
    <b:Year>2013</b:Year>
    <b:Pages>1555-1569</b:Pages>
    <b:Volume>5</b:Volume>
    <b:JournalName>Bioanalysis</b:JournalName>
    <b:RefOrder>38</b:RefOrder>
  </b:Source>
  <b:Source>
    <b:Tag>Buc09</b:Tag>
    <b:SourceType>JournalArticle</b:SourceType>
    <b:Guid>{A5D9B1A5-9AD9-4FF4-BBE0-5AA43246691E}</b:Guid>
    <b:Author>
      <b:Author>
        <b:NameList>
          <b:Person>
            <b:Last>Bucelli</b:Last>
            <b:First>F.</b:First>
          </b:Person>
          <b:Person>
            <b:Last>Fratini</b:Last>
            <b:First>A.</b:First>
          </b:Person>
          <b:Person>
            <b:Last>Bavazzano</b:Last>
            <b:First>P.</b:First>
          </b:Person>
          <b:Person>
            <b:Last>Comodo</b:Last>
            <b:First>N.</b:First>
          </b:Person>
        </b:NameList>
      </b:Author>
    </b:Author>
    <b:Title>Quantification of drugs of abuse and some stimulants in hair samples by liquid chromatography-electrospray ionization ion trap mass spectrometry</b:Title>
    <b:Year>2009</b:Year>
    <b:Pages>3931-3936</b:Pages>
    <b:Volume>877</b:Volume>
    <b:JournalName>J. Chromatogr. B</b:JournalName>
    <b:RefOrder>43</b:RefOrder>
  </b:Source>
  <b:Source>
    <b:Tag>Far07</b:Tag>
    <b:SourceType>JournalArticle</b:SourceType>
    <b:Guid>{BDDF4762-F3DC-4D6C-BF19-85890F278C38}</b:Guid>
    <b:Author>
      <b:Author>
        <b:NameList>
          <b:Person>
            <b:Last>Farrell</b:Last>
            <b:First>L.</b:First>
            <b:Middle>J.</b:Middle>
          </b:Person>
          <b:Person>
            <b:Last>Kerrigan</b:Last>
            <b:First>S.</b:First>
          </b:Person>
          <b:Person>
            <b:Last>Logan</b:Last>
            <b:First>B.</b:First>
            <b:Middle>K.</b:Middle>
          </b:Person>
        </b:NameList>
      </b:Author>
    </b:Author>
    <b:Title>Recommendations for toxicological investigation of drug impaired driving</b:Title>
    <b:Year>2007</b:Year>
    <b:Pages>1214-1218</b:Pages>
    <b:Volume>52</b:Volume>
    <b:JournalName>J. Forensic Sci.</b:JournalName>
    <b:RefOrder>46</b:RefOrder>
  </b:Source>
  <b:Source>
    <b:Tag>Nak05</b:Tag>
    <b:SourceType>JournalArticle</b:SourceType>
    <b:Guid>{BA4F8FA5-DE01-4297-9C03-5C93A3E6BA30}</b:Guid>
    <b:Author>
      <b:Author>
        <b:NameList>
          <b:Person>
            <b:Last>Nakashima</b:Last>
            <b:First>K.</b:First>
          </b:Person>
        </b:NameList>
      </b:Author>
    </b:Author>
    <b:Title>High-performance liquid chromatographic analysis of drugs of abuse in biologic samples</b:Title>
    <b:Year>2005</b:Year>
    <b:Pages>272-277</b:Pages>
    <b:Volume>51</b:Volume>
    <b:JournalName>J. Health Sci.</b:JournalName>
    <b:RefOrder>47</b:RefOrder>
  </b:Source>
  <b:Source>
    <b:Tag>Bij09</b:Tag>
    <b:SourceType>JournalArticle</b:SourceType>
    <b:Guid>{1CDC7786-D96B-4FA7-8012-8A6870FFB7B9}</b:Guid>
    <b:Author>
      <b:Author>
        <b:NameList>
          <b:Person>
            <b:Last>Bijlsma</b:Last>
            <b:First>L.</b:First>
          </b:Person>
          <b:Person>
            <b:Last>Sancho</b:Last>
            <b:First>J.</b:First>
            <b:Middle>V.</b:Middle>
          </b:Person>
          <b:Person>
            <b:Last>Pitarch</b:Last>
            <b:First>E.</b:First>
          </b:Person>
          <b:Person>
            <b:Last>Ibanez</b:Last>
            <b:First>M.</b:First>
          </b:Person>
          <b:Person>
            <b:Last>Hernandez</b:Last>
            <b:First>F.</b:First>
          </b:Person>
        </b:NameList>
      </b:Author>
    </b:Author>
    <b:Title>Simultaneous ultra-high-pressure liquid chromatography-tandem mass spectrometry determination of amphetamine and amphetamine-like stimulants, cocaine and its metabolites, and a cannabis metabolite in surface water and urban wastewater</b:Title>
    <b:Year>2009</b:Year>
    <b:Pages>3078-3089</b:Pages>
    <b:Volume>1216</b:Volume>
    <b:JournalName>J. Chromatogr. A</b:JournalName>
    <b:RefOrder>52</b:RefOrder>
  </b:Source>
  <b:Source>
    <b:Tag>Dru07</b:Tag>
    <b:SourceType>JournalArticle</b:SourceType>
    <b:Guid>{6A175D0F-76DE-4860-BDBB-0FB0EBDC8136}</b:Guid>
    <b:Author>
      <b:Author>
        <b:NameList>
          <b:Person>
            <b:Last>Drummer</b:Last>
            <b:First>O.</b:First>
            <b:Middle>H.</b:Middle>
          </b:Person>
        </b:NameList>
      </b:Author>
    </b:Author>
    <b:Title>Requirements for bioanalytical procedures in postmortem toxicology</b:Title>
    <b:Year>2007</b:Year>
    <b:Pages>208-213</b:Pages>
    <b:Volume>31</b:Volume>
    <b:JournalName>Anal. Bioanal. Chem.</b:JournalName>
    <b:RefOrder>56</b:RefOrder>
  </b:Source>
  <b:Source>
    <b:Tag>Cro08</b:Tag>
    <b:SourceType>BookSection</b:SourceType>
    <b:Guid>{FB2CCE0A-B0F2-4434-A811-ED8AB3719A33}</b:Guid>
    <b:Author>
      <b:Author>
        <b:NameList>
          <b:Person>
            <b:Last>Crowther</b:Last>
            <b:First>J.</b:First>
          </b:Person>
        </b:NameList>
      </b:Author>
      <b:Editor>
        <b:NameList>
          <b:Person>
            <b:Last>Walker</b:Last>
            <b:First>J.</b:First>
            <b:Middle>M.</b:Middle>
          </b:Person>
          <b:Person>
            <b:Last>Rapley</b:Last>
            <b:First>R.</b:First>
          </b:Person>
        </b:NameList>
      </b:Editor>
    </b:Author>
    <b:Title>Enzyme linked immunosorbent assay (ELISA)</b:Title>
    <b:Year>2008</b:Year>
    <b:Pages>657-682</b:Pages>
    <b:BookTitle>Molecular Biomethods Handbook</b:BookTitle>
    <b:City>Totowa</b:City>
    <b:Publisher>Humana Press</b:Publisher>
    <b:Edition>2nd</b:Edition>
    <b:StateProvince>NJ</b:StateProvince>
    <b:RefOrder>62</b:RefOrder>
  </b:Source>
  <b:Source>
    <b:Tag>Ull05</b:Tag>
    <b:SourceType>BookSection</b:SourceType>
    <b:Guid>{E8CB40EF-7AB7-48F7-8156-93E28A67E64C}</b:Guid>
    <b:Author>
      <b:Author>
        <b:NameList>
          <b:Person>
            <b:Last>Ullman</b:Last>
            <b:First>E.</b:First>
            <b:Middle>F.</b:Middle>
          </b:Person>
        </b:NameList>
      </b:Author>
      <b:Editor>
        <b:NameList>
          <b:Person>
            <b:Last>Wild</b:Last>
            <b:First>D.</b:First>
          </b:Person>
        </b:NameList>
      </b:Editor>
    </b:Author>
    <b:Title>Homogeneous Immunoassays</b:Title>
    <b:BookTitle>The Immunoassay Handbook</b:BookTitle>
    <b:Year>2005</b:Year>
    <b:City>San Diego</b:City>
    <b:Publisher>Elsevier Ltd.</b:Publisher>
    <b:Pages>212-232</b:Pages>
    <b:StateProvince>CA</b:StateProvince>
    <b:RefOrder>64</b:RefOrder>
  </b:Source>
  <b:Source>
    <b:Tag>Koi06</b:Tag>
    <b:SourceType>JournalArticle</b:SourceType>
    <b:Guid>{D0DF517B-0E30-43E2-965A-7E141E6D4585}</b:Guid>
    <b:Author>
      <b:Author>
        <b:NameList>
          <b:Person>
            <b:Last>Koivunen</b:Last>
            <b:First>M.</b:First>
            <b:Middle>E.</b:Middle>
          </b:Person>
          <b:Person>
            <b:Last>Krogsrud</b:Last>
            <b:First>R.</b:First>
            <b:Middle>L.</b:Middle>
          </b:Person>
        </b:NameList>
      </b:Author>
    </b:Author>
    <b:Title>Principles of immunochemical techniques used in clinical laboratories</b:Title>
    <b:Year>2006</b:Year>
    <b:Volume>37</b:Volume>
    <b:Pages>490-497</b:Pages>
    <b:JournalName>Lab. Med.</b:JournalName>
    <b:RefOrder>65</b:RefOrder>
  </b:Source>
  <b:Source>
    <b:Tag>AlS13</b:Tag>
    <b:SourceType>JournalArticle</b:SourceType>
    <b:Guid>{FB95A071-DF41-4DE4-B833-8FCA679FF55F}</b:Guid>
    <b:Author>
      <b:Author>
        <b:NameList>
          <b:Person>
            <b:Last>Al-Saffar</b:Last>
            <b:First>Y.</b:First>
          </b:Person>
          <b:Person>
            <b:Last>Stephanson</b:Last>
            <b:First>N.</b:First>
            <b:Middle>N.</b:Middle>
          </b:Person>
          <b:Person>
            <b:Last>Beck</b:Last>
            <b:First>O.</b:First>
          </b:Person>
        </b:NameList>
      </b:Author>
    </b:Author>
    <b:Title>Multicomponent LC-MS/MS screening method for the detection of new psychoactive drugs, legal highs, in urine: Experience from the Swedish population</b:Title>
    <b:Year>2013</b:Year>
    <b:Pages>112-120</b:Pages>
    <b:Volume>930</b:Volume>
    <b:JournalName>J. Chromatogr. A</b:JournalName>
    <b:RefOrder>107</b:RefOrder>
  </b:Source>
  <b:Source>
    <b:Tag>Amb13</b:Tag>
    <b:SourceType>JournalArticle</b:SourceType>
    <b:Guid>{5B64D412-639C-4DA7-8688-71CDD3E7CCB5}</b:Guid>
    <b:Author>
      <b:Author>
        <b:NameList>
          <b:Person>
            <b:Last>Ambach</b:Last>
            <b:First>L.</b:First>
          </b:Person>
          <b:Person>
            <b:Last>Redondo</b:Last>
            <b:First>A.</b:First>
            <b:Middle>H.</b:Middle>
          </b:Person>
          <b:Person>
            <b:Last>Konig</b:Last>
            <b:First>S.</b:First>
          </b:Person>
          <b:Person>
            <b:Last>Weinmann</b:Last>
            <b:First>W.</b:First>
          </b:Person>
        </b:NameList>
      </b:Author>
    </b:Author>
    <b:Title>Rapid and simple LC-MS/MS screening of 64 novel psychoactive substances using dried blood spots</b:Title>
    <b:Year>2013</b:Year>
    <b:Volume>Early View</b:Volume>
    <b:JournalName>Drug Test. Analysis</b:JournalName>
    <b:DOI>10.1002/dta.1505</b:DOI>
    <b:RefOrder>108</b:RefOrder>
  </b:Source>
  <b:Source>
    <b:Tag>Gua13</b:Tag>
    <b:SourceType>JournalArticle</b:SourceType>
    <b:Guid>{4BB4B017-B86A-47FE-BA03-4FA7F7EAE355}</b:Guid>
    <b:Author>
      <b:Author>
        <b:NameList>
          <b:Person>
            <b:Last>Guale</b:Last>
            <b:First>F.</b:First>
          </b:Person>
          <b:Person>
            <b:Last>Shahreza</b:Last>
            <b:First>S.</b:First>
          </b:Person>
          <b:Person>
            <b:Last>Walterscheid</b:Last>
            <b:First>J.</b:First>
            <b:Middle>P.</b:Middle>
          </b:Person>
          <b:Person>
            <b:Last>Chen</b:Last>
            <b:First>H.</b:First>
            <b:Middle>H.</b:Middle>
          </b:Person>
          <b:Person>
            <b:Last>Arndt</b:Last>
            <b:First>C.</b:First>
          </b:Person>
          <b:Person>
            <b:Last>Kelly</b:Last>
            <b:First>A.</b:First>
            <b:Middle>T.</b:Middle>
          </b:Person>
          <b:Person>
            <b:Last>Mozayani</b:Last>
            <b:First>A.</b:First>
          </b:Person>
        </b:NameList>
      </b:Author>
    </b:Author>
    <b:Title>Validation of LC-TOF-MS screening for drugs, metabolites, and collateral compounds in forensic toxicology specimens</b:Title>
    <b:Year>2013</b:Year>
    <b:Pages>17-24</b:Pages>
    <b:Volume>37</b:Volume>
    <b:JournalName>J. Anal. Toxicol.</b:JournalName>
    <b:RefOrder>109</b:RefOrder>
  </b:Source>
  <b:Source>
    <b:Tag>Sun13</b:Tag>
    <b:SourceType>JournalArticle</b:SourceType>
    <b:Guid>{BEB5CC71-191E-43D7-B1AB-31BC3101006B}</b:Guid>
    <b:Author>
      <b:Author>
        <b:NameList>
          <b:Person>
            <b:Last>Sundstrom</b:Last>
            <b:First>M.</b:First>
          </b:Person>
          <b:Person>
            <b:Last>Pelander</b:Last>
            <b:First>A.</b:First>
          </b:Person>
          <b:Person>
            <b:Last>Angerer</b:Last>
            <b:First>V.</b:First>
          </b:Person>
          <b:Person>
            <b:Last>Hutter</b:Last>
            <b:First>M.</b:First>
          </b:Person>
          <b:Person>
            <b:Last>Kneisel</b:Last>
            <b:First>S.</b:First>
          </b:Person>
          <b:Person>
            <b:Last>Ojanpera</b:Last>
            <b:First>I.</b:First>
          </b:Person>
        </b:NameList>
      </b:Author>
    </b:Author>
    <b:Title>A high-sensitivity ultra-high performance liquid chromatography/high-resolution time-of-flight mass spectrometry method for screening synthetic cannabinoids and other drugs of abuse in urine</b:Title>
    <b:Year>2013</b:Year>
    <b:Volume>Online</b:Volume>
    <b:DOI>10.1007/s00216-013-7272-8</b:DOI>
    <b:RefOrder>110</b:RefOrder>
  </b:Source>
  <b:Source>
    <b:Tag>Jic08</b:Tag>
    <b:SourceType>Book</b:SourceType>
    <b:Guid>{D73EB0B7-9140-4516-BF92-235A95988A71}</b:Guid>
    <b:Author>
      <b:Editor>
        <b:NameList>
          <b:Person>
            <b:Last>Jickells</b:Last>
            <b:First>Sue</b:First>
          </b:Person>
          <b:Person>
            <b:Last>Negrusz</b:Last>
            <b:First>Adam</b:First>
          </b:Person>
        </b:NameList>
      </b:Editor>
    </b:Author>
    <b:Title>Clarke's Analytical Forensic Toxicology</b:Title>
    <b:Year>2008</b:Year>
    <b:Publisher>Pharmaceutical Press</b:Publisher>
    <b:RefOrder>54</b:RefOrder>
  </b:Source>
  <b:Source>
    <b:Tag>Mau07</b:Tag>
    <b:SourceType>JournalArticle</b:SourceType>
    <b:Guid>{849A758D-B087-4E88-B798-B32F0320B4D5}</b:Guid>
    <b:Author>
      <b:Author>
        <b:NameList>
          <b:Person>
            <b:Last>Maurer</b:Last>
            <b:First>H.</b:First>
            <b:Middle>H.</b:Middle>
          </b:Person>
        </b:NameList>
      </b:Author>
    </b:Author>
    <b:Title>Current role of liquid chromatography–mass spectrometry in clinical and forensic toxicology</b:Title>
    <b:Year>2007</b:Year>
    <b:Volume>388</b:Volume>
    <b:Pages>1315-1325</b:Pages>
    <b:JournalName>Anal. Bional.  Chem.</b:JournalName>
    <b:RefOrder>90</b:RefOrder>
  </b:Source>
  <b:Source>
    <b:Tag>Bec10</b:Tag>
    <b:SourceType>JournalArticle</b:SourceType>
    <b:Guid>{B9454D02-5EDE-49D3-A853-1235F5341A57}</b:Guid>
    <b:Author>
      <b:Author>
        <b:NameList>
          <b:Person>
            <b:Last>Beck</b:Last>
            <b:First>O.</b:First>
          </b:Person>
          <b:Person>
            <b:Last>Leine</b:Last>
            <b:First>K.</b:First>
          </b:Person>
          <b:Person>
            <b:Last>Palmskog</b:Last>
            <b:First>G.</b:First>
          </b:Person>
          <b:Person>
            <b:Last>Franck</b:Last>
            <b:First>J.</b:First>
          </b:Person>
        </b:NameList>
      </b:Author>
    </b:Author>
    <b:Title>Amphetamines detected in exhaled breath from drug addicts: A new possible method for drugs-of-abuse testing</b:Title>
    <b:Year>2010</b:Year>
    <b:Pages>233-237</b:Pages>
    <b:Volume>34</b:Volume>
    <b:JournalName>J. Anal. Toxicol.</b:JournalName>
    <b:RefOrder>44</b:RefOrder>
  </b:Source>
</b:Sources>
</file>

<file path=customXml/itemProps1.xml><?xml version="1.0" encoding="utf-8"?>
<ds:datastoreItem xmlns:ds="http://schemas.openxmlformats.org/officeDocument/2006/customXml" ds:itemID="{54F1D39B-93C9-4BFC-A936-282EC8EB7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142</Pages>
  <Words>33255</Words>
  <Characters>189559</Characters>
  <Application>Microsoft Office Word</Application>
  <DocSecurity>0</DocSecurity>
  <Lines>1579</Lines>
  <Paragraphs>444</Paragraphs>
  <ScaleCrop>false</ScaleCrop>
  <HeadingPairs>
    <vt:vector size="2" baseType="variant">
      <vt:variant>
        <vt:lpstr>Title</vt:lpstr>
      </vt:variant>
      <vt:variant>
        <vt:i4>1</vt:i4>
      </vt:variant>
    </vt:vector>
  </HeadingPairs>
  <TitlesOfParts>
    <vt:vector size="1" baseType="lpstr">
      <vt:lpstr/>
    </vt:vector>
  </TitlesOfParts>
  <Company>Medical Examiner Dept./Miami-Dade County</Company>
  <LinksUpToDate>false</LinksUpToDate>
  <CharactersWithSpaces>222370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Swortwood</dc:creator>
  <cp:lastModifiedBy>Philip Bolton Jr</cp:lastModifiedBy>
  <cp:revision>2</cp:revision>
  <cp:lastPrinted>2013-11-18T16:53:00Z</cp:lastPrinted>
  <dcterms:created xsi:type="dcterms:W3CDTF">2013-12-11T02:06:00Z</dcterms:created>
  <dcterms:modified xsi:type="dcterms:W3CDTF">2013-12-11T02:06:00Z</dcterms:modified>
</cp:coreProperties>
</file>