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37239" w14:textId="77777777" w:rsidR="00062E28" w:rsidRPr="006A048E" w:rsidRDefault="00062E28" w:rsidP="00062E28">
      <w:pPr>
        <w:spacing w:line="480" w:lineRule="auto"/>
        <w:jc w:val="center"/>
        <w:rPr>
          <w:color w:val="000000"/>
          <w:sz w:val="24"/>
          <w:szCs w:val="24"/>
        </w:rPr>
      </w:pPr>
      <w:r w:rsidRPr="006A048E">
        <w:rPr>
          <w:color w:val="000000"/>
          <w:sz w:val="24"/>
          <w:szCs w:val="24"/>
        </w:rPr>
        <w:t>FLORIDA INTERNATIONAL UNIVERSITY</w:t>
      </w:r>
    </w:p>
    <w:p w14:paraId="2F11CE8C" w14:textId="77777777" w:rsidR="00062E28" w:rsidRPr="006A048E" w:rsidRDefault="00062E28" w:rsidP="00062E28">
      <w:pPr>
        <w:spacing w:line="480" w:lineRule="auto"/>
        <w:jc w:val="center"/>
        <w:rPr>
          <w:color w:val="000000"/>
          <w:sz w:val="24"/>
          <w:szCs w:val="24"/>
        </w:rPr>
      </w:pPr>
      <w:r w:rsidRPr="006A048E">
        <w:rPr>
          <w:color w:val="000000"/>
          <w:sz w:val="24"/>
          <w:szCs w:val="24"/>
        </w:rPr>
        <w:t>Miami, Florida</w:t>
      </w:r>
    </w:p>
    <w:p w14:paraId="592DA288" w14:textId="77777777" w:rsidR="00062E28" w:rsidRPr="006A048E" w:rsidRDefault="00062E28" w:rsidP="00062E28">
      <w:pPr>
        <w:spacing w:line="480" w:lineRule="auto"/>
        <w:jc w:val="center"/>
        <w:rPr>
          <w:color w:val="000000"/>
          <w:sz w:val="24"/>
          <w:szCs w:val="24"/>
        </w:rPr>
      </w:pPr>
    </w:p>
    <w:p w14:paraId="46C114CC" w14:textId="77777777" w:rsidR="00062E28" w:rsidRPr="006A048E" w:rsidRDefault="00062E28" w:rsidP="00062E28">
      <w:pPr>
        <w:spacing w:line="480" w:lineRule="auto"/>
        <w:jc w:val="center"/>
        <w:rPr>
          <w:color w:val="000000"/>
          <w:sz w:val="24"/>
          <w:szCs w:val="24"/>
        </w:rPr>
      </w:pPr>
    </w:p>
    <w:p w14:paraId="7847A455" w14:textId="77777777" w:rsidR="00062E28" w:rsidRPr="006A048E" w:rsidRDefault="00062E28" w:rsidP="00062E28">
      <w:pPr>
        <w:spacing w:line="480" w:lineRule="auto"/>
        <w:jc w:val="center"/>
        <w:rPr>
          <w:color w:val="000000"/>
          <w:sz w:val="24"/>
          <w:szCs w:val="24"/>
        </w:rPr>
      </w:pPr>
    </w:p>
    <w:p w14:paraId="6F7842FE" w14:textId="77777777" w:rsidR="00062E28" w:rsidRPr="006A048E" w:rsidRDefault="00062E28" w:rsidP="00062E28">
      <w:pPr>
        <w:spacing w:line="480" w:lineRule="auto"/>
        <w:jc w:val="center"/>
        <w:rPr>
          <w:color w:val="000000"/>
          <w:sz w:val="24"/>
          <w:szCs w:val="24"/>
        </w:rPr>
      </w:pPr>
      <w:r w:rsidRPr="006A048E">
        <w:rPr>
          <w:color w:val="000000"/>
          <w:sz w:val="24"/>
          <w:szCs w:val="24"/>
        </w:rPr>
        <w:t>FOREIGN SUBSIDIARY MANAGEMENT IN THE CONTEMPORARY MULTINATIONAL ENTERPRISE</w:t>
      </w:r>
    </w:p>
    <w:p w14:paraId="73AEFCB0" w14:textId="77777777" w:rsidR="00062E28" w:rsidRPr="006A048E" w:rsidRDefault="00062E28" w:rsidP="00062E28">
      <w:pPr>
        <w:spacing w:line="480" w:lineRule="auto"/>
        <w:jc w:val="center"/>
        <w:rPr>
          <w:color w:val="000000"/>
          <w:sz w:val="24"/>
          <w:szCs w:val="24"/>
        </w:rPr>
      </w:pPr>
    </w:p>
    <w:p w14:paraId="1B20D3DE" w14:textId="77777777" w:rsidR="00062E28" w:rsidRPr="006A048E" w:rsidRDefault="00062E28" w:rsidP="00062E28">
      <w:pPr>
        <w:spacing w:line="480" w:lineRule="auto"/>
        <w:jc w:val="center"/>
        <w:rPr>
          <w:color w:val="000000"/>
          <w:sz w:val="24"/>
          <w:szCs w:val="24"/>
        </w:rPr>
      </w:pPr>
    </w:p>
    <w:p w14:paraId="556C9CBA" w14:textId="77777777" w:rsidR="00062E28" w:rsidRPr="006A048E" w:rsidRDefault="00062E28" w:rsidP="00062E28">
      <w:pPr>
        <w:spacing w:line="480" w:lineRule="auto"/>
        <w:jc w:val="center"/>
        <w:rPr>
          <w:color w:val="000000"/>
          <w:sz w:val="24"/>
          <w:szCs w:val="24"/>
        </w:rPr>
      </w:pPr>
      <w:r w:rsidRPr="006A048E">
        <w:rPr>
          <w:color w:val="000000"/>
          <w:sz w:val="24"/>
          <w:szCs w:val="24"/>
        </w:rPr>
        <w:t>A dissertation submitted in partial fulfillment of</w:t>
      </w:r>
    </w:p>
    <w:p w14:paraId="42C5646F" w14:textId="77777777" w:rsidR="00062E28" w:rsidRPr="006A048E" w:rsidRDefault="00062E28" w:rsidP="00062E28">
      <w:pPr>
        <w:spacing w:line="480" w:lineRule="auto"/>
        <w:jc w:val="center"/>
        <w:rPr>
          <w:color w:val="000000"/>
          <w:sz w:val="24"/>
          <w:szCs w:val="24"/>
        </w:rPr>
      </w:pPr>
      <w:r w:rsidRPr="006A048E">
        <w:rPr>
          <w:color w:val="000000"/>
          <w:sz w:val="24"/>
          <w:szCs w:val="24"/>
        </w:rPr>
        <w:t>the requirements for the degree of</w:t>
      </w:r>
    </w:p>
    <w:p w14:paraId="29AAE080" w14:textId="77777777" w:rsidR="00062E28" w:rsidRPr="006A048E" w:rsidRDefault="00062E28" w:rsidP="00062E28">
      <w:pPr>
        <w:spacing w:line="480" w:lineRule="auto"/>
        <w:jc w:val="center"/>
        <w:rPr>
          <w:color w:val="000000"/>
          <w:sz w:val="24"/>
          <w:szCs w:val="24"/>
        </w:rPr>
      </w:pPr>
      <w:r w:rsidRPr="006A048E">
        <w:rPr>
          <w:color w:val="000000"/>
          <w:sz w:val="24"/>
          <w:szCs w:val="24"/>
        </w:rPr>
        <w:t xml:space="preserve">DOCTOR OF PHILOSOPHY </w:t>
      </w:r>
    </w:p>
    <w:p w14:paraId="1B7350BD" w14:textId="77777777" w:rsidR="00062E28" w:rsidRPr="006A048E" w:rsidRDefault="00062E28" w:rsidP="00062E28">
      <w:pPr>
        <w:spacing w:line="480" w:lineRule="auto"/>
        <w:jc w:val="center"/>
        <w:rPr>
          <w:color w:val="000000"/>
          <w:sz w:val="24"/>
          <w:szCs w:val="24"/>
        </w:rPr>
      </w:pPr>
      <w:r w:rsidRPr="006A048E">
        <w:rPr>
          <w:color w:val="000000"/>
          <w:sz w:val="24"/>
          <w:szCs w:val="24"/>
        </w:rPr>
        <w:t>in</w:t>
      </w:r>
    </w:p>
    <w:p w14:paraId="31ED2C04" w14:textId="1FCB1F54" w:rsidR="00062E28" w:rsidRPr="006A048E" w:rsidRDefault="00D81F15" w:rsidP="00062E28">
      <w:pPr>
        <w:spacing w:line="480" w:lineRule="auto"/>
        <w:jc w:val="center"/>
        <w:rPr>
          <w:color w:val="000000"/>
          <w:sz w:val="24"/>
          <w:szCs w:val="24"/>
        </w:rPr>
      </w:pPr>
      <w:r w:rsidRPr="006A048E">
        <w:rPr>
          <w:color w:val="000000"/>
          <w:sz w:val="24"/>
          <w:szCs w:val="24"/>
        </w:rPr>
        <w:t>BUSINESS ADMINISTRATION</w:t>
      </w:r>
    </w:p>
    <w:p w14:paraId="72BE689F" w14:textId="77777777" w:rsidR="00062E28" w:rsidRPr="006A048E" w:rsidRDefault="00062E28" w:rsidP="00062E28">
      <w:pPr>
        <w:spacing w:line="480" w:lineRule="auto"/>
        <w:jc w:val="center"/>
        <w:rPr>
          <w:color w:val="000000"/>
          <w:sz w:val="24"/>
          <w:szCs w:val="24"/>
        </w:rPr>
      </w:pPr>
      <w:r w:rsidRPr="006A048E">
        <w:rPr>
          <w:color w:val="000000"/>
          <w:sz w:val="24"/>
          <w:szCs w:val="24"/>
        </w:rPr>
        <w:t>by</w:t>
      </w:r>
    </w:p>
    <w:p w14:paraId="0DC08D6E" w14:textId="79C3EC18" w:rsidR="00062E28" w:rsidRPr="006A048E" w:rsidRDefault="00062E28" w:rsidP="00062E28">
      <w:pPr>
        <w:spacing w:line="480" w:lineRule="auto"/>
        <w:jc w:val="center"/>
        <w:rPr>
          <w:color w:val="000000"/>
          <w:sz w:val="24"/>
          <w:szCs w:val="24"/>
        </w:rPr>
      </w:pPr>
      <w:r w:rsidRPr="006A048E">
        <w:rPr>
          <w:color w:val="000000"/>
          <w:sz w:val="24"/>
          <w:szCs w:val="24"/>
        </w:rPr>
        <w:t xml:space="preserve">Daniel </w:t>
      </w:r>
      <w:r w:rsidR="002C76C2">
        <w:rPr>
          <w:color w:val="000000"/>
          <w:sz w:val="24"/>
          <w:szCs w:val="24"/>
        </w:rPr>
        <w:t>S.</w:t>
      </w:r>
      <w:r w:rsidRPr="006A048E">
        <w:rPr>
          <w:color w:val="000000"/>
          <w:sz w:val="24"/>
          <w:szCs w:val="24"/>
        </w:rPr>
        <w:t xml:space="preserve"> Andrews</w:t>
      </w:r>
    </w:p>
    <w:p w14:paraId="2EFE7D91" w14:textId="77777777" w:rsidR="00062E28" w:rsidRPr="006A048E" w:rsidRDefault="00062E28" w:rsidP="00062E28">
      <w:pPr>
        <w:spacing w:line="480" w:lineRule="auto"/>
        <w:jc w:val="center"/>
        <w:rPr>
          <w:color w:val="000000"/>
          <w:sz w:val="24"/>
          <w:szCs w:val="24"/>
        </w:rPr>
      </w:pPr>
    </w:p>
    <w:p w14:paraId="7423FDE3" w14:textId="77777777" w:rsidR="00062E28" w:rsidRPr="006A048E" w:rsidRDefault="00062E28" w:rsidP="00062E28">
      <w:pPr>
        <w:spacing w:line="480" w:lineRule="auto"/>
        <w:rPr>
          <w:color w:val="000000"/>
          <w:sz w:val="24"/>
          <w:szCs w:val="24"/>
        </w:rPr>
      </w:pPr>
    </w:p>
    <w:p w14:paraId="23CFE1FB" w14:textId="77777777" w:rsidR="00062E28" w:rsidRPr="006A048E" w:rsidRDefault="00062E28" w:rsidP="00062E28">
      <w:pPr>
        <w:spacing w:line="480" w:lineRule="auto"/>
        <w:jc w:val="center"/>
        <w:rPr>
          <w:color w:val="000000"/>
          <w:sz w:val="24"/>
          <w:szCs w:val="24"/>
        </w:rPr>
      </w:pPr>
      <w:r w:rsidRPr="006A048E">
        <w:rPr>
          <w:color w:val="000000"/>
          <w:sz w:val="24"/>
          <w:szCs w:val="24"/>
        </w:rPr>
        <w:t>2021</w:t>
      </w:r>
    </w:p>
    <w:p w14:paraId="791D1F0A" w14:textId="77777777" w:rsidR="00062E28" w:rsidRPr="006A048E" w:rsidRDefault="00062E28" w:rsidP="00062E28">
      <w:pPr>
        <w:spacing w:line="480" w:lineRule="auto"/>
        <w:jc w:val="center"/>
        <w:rPr>
          <w:color w:val="000000"/>
          <w:sz w:val="24"/>
          <w:szCs w:val="24"/>
        </w:rPr>
      </w:pPr>
    </w:p>
    <w:p w14:paraId="6D3CC00F" w14:textId="77777777" w:rsidR="00062E28" w:rsidRPr="006A048E" w:rsidRDefault="00062E28" w:rsidP="00062E28">
      <w:pPr>
        <w:spacing w:line="480" w:lineRule="auto"/>
        <w:rPr>
          <w:color w:val="000000"/>
        </w:rPr>
      </w:pPr>
    </w:p>
    <w:p w14:paraId="7D98903C" w14:textId="3EC5E308" w:rsidR="00062E28" w:rsidRDefault="00062E28">
      <w:pPr>
        <w:widowControl/>
        <w:overflowPunct/>
        <w:autoSpaceDE/>
        <w:autoSpaceDN/>
        <w:adjustRightInd/>
      </w:pPr>
      <w:r>
        <w:br w:type="page"/>
      </w:r>
    </w:p>
    <w:p w14:paraId="6C6D0B65" w14:textId="77777777" w:rsidR="00BD6184" w:rsidRDefault="00BD6184" w:rsidP="00BD6184">
      <w:pPr>
        <w:pStyle w:val="PlainText"/>
        <w:tabs>
          <w:tab w:val="left" w:pos="540"/>
        </w:tabs>
        <w:rPr>
          <w:rFonts w:ascii="Times New Roman" w:hAnsi="Times New Roman"/>
          <w:sz w:val="24"/>
        </w:rPr>
      </w:pPr>
      <w:r>
        <w:rPr>
          <w:rFonts w:ascii="Times New Roman" w:hAnsi="Times New Roman"/>
          <w:sz w:val="24"/>
        </w:rPr>
        <w:lastRenderedPageBreak/>
        <w:t xml:space="preserve">To: </w:t>
      </w:r>
      <w:r>
        <w:rPr>
          <w:rFonts w:ascii="Times New Roman" w:hAnsi="Times New Roman"/>
          <w:sz w:val="24"/>
        </w:rPr>
        <w:tab/>
      </w:r>
      <w:r>
        <w:rPr>
          <w:rFonts w:ascii="Times New Roman" w:hAnsi="Times New Roman"/>
          <w:sz w:val="24"/>
          <w:szCs w:val="24"/>
        </w:rPr>
        <w:fldChar w:fldCharType="begin">
          <w:ffData>
            <w:name w:val="Dropdown1"/>
            <w:enabled/>
            <w:calcOnExit w:val="0"/>
            <w:ddList>
              <w:result w:val="1"/>
              <w:listEntry w:val="Dean Michael R. Heithaus"/>
              <w:listEntry w:val="Dean Joanne Li"/>
              <w:listEntry w:val="Dean John L. Volakis"/>
              <w:listEntry w:val="Dean John F. Stack, Jr."/>
              <w:listEntry w:val="Dean Robert Sackstein"/>
              <w:listEntry w:val="Dean Ora Strickland"/>
              <w:listEntry w:val="Dean Tomás R. Guilarte"/>
            </w:ddList>
          </w:ffData>
        </w:fldChar>
      </w:r>
      <w:bookmarkStart w:id="0" w:name="Dropdown1"/>
      <w:r>
        <w:rPr>
          <w:rFonts w:ascii="Times New Roman" w:hAnsi="Times New Roman"/>
          <w:sz w:val="24"/>
          <w:szCs w:val="24"/>
        </w:rPr>
        <w:instrText xml:space="preserve"> FORMDROPDOWN </w:instrText>
      </w:r>
      <w:r w:rsidR="001030A9">
        <w:rPr>
          <w:rFonts w:ascii="Times New Roman" w:hAnsi="Times New Roman"/>
          <w:sz w:val="24"/>
          <w:szCs w:val="24"/>
        </w:rPr>
      </w:r>
      <w:r w:rsidR="001030A9">
        <w:rPr>
          <w:rFonts w:ascii="Times New Roman" w:hAnsi="Times New Roman"/>
          <w:sz w:val="24"/>
          <w:szCs w:val="24"/>
        </w:rPr>
        <w:fldChar w:fldCharType="separate"/>
      </w:r>
      <w:r>
        <w:rPr>
          <w:rFonts w:ascii="Times New Roman" w:hAnsi="Times New Roman"/>
          <w:sz w:val="24"/>
          <w:szCs w:val="24"/>
        </w:rPr>
        <w:fldChar w:fldCharType="end"/>
      </w:r>
      <w:bookmarkEnd w:id="0"/>
      <w:r>
        <w:rPr>
          <w:rFonts w:ascii="Times New Roman" w:hAnsi="Times New Roman"/>
          <w:sz w:val="24"/>
        </w:rPr>
        <w:t xml:space="preserve">    </w:t>
      </w:r>
      <w:r>
        <w:rPr>
          <w:rFonts w:ascii="Times New Roman" w:hAnsi="Times New Roman"/>
          <w:color w:val="FFFFFF"/>
        </w:rPr>
        <w:fldChar w:fldCharType="begin">
          <w:ffData>
            <w:name w:val="Text1"/>
            <w:enabled/>
            <w:calcOnExit w:val="0"/>
            <w:statusText w:type="text" w:val="sfsfosjfsfjkskfljsf s  sfsfsdfsdf   sdfsdfsdfsdf"/>
            <w:textInput>
              <w:default w:val="choose the name of dean of your college/school "/>
            </w:textInput>
          </w:ffData>
        </w:fldChar>
      </w:r>
      <w:bookmarkStart w:id="1" w:name="Text1"/>
      <w:r>
        <w:rPr>
          <w:rFonts w:ascii="Times New Roman" w:hAnsi="Times New Roman"/>
          <w:color w:val="FFFFFF"/>
        </w:rPr>
        <w:instrText xml:space="preserve"> FORMTEXT </w:instrText>
      </w:r>
      <w:r>
        <w:rPr>
          <w:rFonts w:ascii="Times New Roman" w:hAnsi="Times New Roman"/>
          <w:color w:val="FFFFFF"/>
        </w:rPr>
      </w:r>
      <w:r>
        <w:rPr>
          <w:rFonts w:ascii="Times New Roman" w:hAnsi="Times New Roman"/>
          <w:color w:val="FFFFFF"/>
        </w:rPr>
        <w:fldChar w:fldCharType="separate"/>
      </w:r>
      <w:r>
        <w:rPr>
          <w:rFonts w:ascii="Times New Roman" w:hAnsi="Times New Roman"/>
          <w:noProof/>
          <w:color w:val="FFFFFF"/>
        </w:rPr>
        <w:t xml:space="preserve">choose the name of dean of your college/school </w:t>
      </w:r>
      <w:r>
        <w:rPr>
          <w:rFonts w:ascii="Times New Roman" w:hAnsi="Times New Roman"/>
          <w:color w:val="FFFFFF"/>
        </w:rPr>
        <w:fldChar w:fldCharType="end"/>
      </w:r>
      <w:bookmarkEnd w:id="1"/>
      <w:r>
        <w:rPr>
          <w:rFonts w:ascii="Times New Roman" w:hAnsi="Times New Roman"/>
          <w:color w:val="FFFFFF"/>
          <w:sz w:val="24"/>
        </w:rPr>
        <w:t xml:space="preserve"> </w:t>
      </w:r>
      <w:r>
        <w:rPr>
          <w:rFonts w:ascii="Times New Roman" w:hAnsi="Times New Roman"/>
          <w:color w:val="FFFFFF"/>
          <w:sz w:val="24"/>
        </w:rPr>
        <w:fldChar w:fldCharType="begin"/>
      </w:r>
      <w:r>
        <w:rPr>
          <w:rFonts w:ascii="Times New Roman" w:hAnsi="Times New Roman"/>
          <w:color w:val="FFFFFF"/>
          <w:sz w:val="24"/>
        </w:rPr>
        <w:instrText xml:space="preserve"> GOTOBUTTON </w:instrText>
      </w:r>
      <w:r>
        <w:rPr>
          <w:rFonts w:ascii="Times New Roman" w:hAnsi="Times New Roman"/>
          <w:color w:val="FFFFFF"/>
          <w:sz w:val="24"/>
        </w:rPr>
        <w:fldChar w:fldCharType="end"/>
      </w:r>
      <w:r>
        <w:rPr>
          <w:rFonts w:ascii="Times New Roman" w:hAnsi="Times New Roman"/>
          <w:color w:val="FFFFFF"/>
          <w:sz w:val="24"/>
        </w:rPr>
        <w:fldChar w:fldCharType="begin"/>
      </w:r>
      <w:r>
        <w:rPr>
          <w:rFonts w:ascii="Times New Roman" w:hAnsi="Times New Roman"/>
          <w:color w:val="FFFFFF"/>
          <w:sz w:val="24"/>
        </w:rPr>
        <w:instrText xml:space="preserve"> AUTOTEXTLIST  \* MERGEFORMAT </w:instrText>
      </w:r>
      <w:r>
        <w:rPr>
          <w:rFonts w:ascii="Times New Roman" w:hAnsi="Times New Roman"/>
          <w:color w:val="FFFFFF"/>
          <w:sz w:val="24"/>
        </w:rPr>
        <w:fldChar w:fldCharType="end"/>
      </w:r>
    </w:p>
    <w:p w14:paraId="2E5B1BD3" w14:textId="77777777" w:rsidR="00BD6184" w:rsidRDefault="00BD6184" w:rsidP="00BD6184">
      <w:pPr>
        <w:pStyle w:val="PlainText"/>
        <w:tabs>
          <w:tab w:val="left" w:pos="540"/>
        </w:tabs>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Dropdown2"/>
            <w:enabled/>
            <w:calcOnExit w:val="0"/>
            <w:ddList>
              <w:result w:val="1"/>
              <w:listEntry w:val="College of Arts, Sciences and Education"/>
              <w:listEntry w:val="College of Business"/>
              <w:listEntry w:val="College of Engineering and Computing"/>
              <w:listEntry w:val="Green School of International and Public Affairs"/>
              <w:listEntry w:val="College of Medicine"/>
              <w:listEntry w:val="College of Nursing and Health Sciences"/>
              <w:listEntry w:val="R.Stempel College of Public Health and Social Work"/>
            </w:ddList>
          </w:ffData>
        </w:fldChar>
      </w:r>
      <w:bookmarkStart w:id="2" w:name="Dropdown2"/>
      <w:r>
        <w:rPr>
          <w:rFonts w:ascii="Times New Roman" w:hAnsi="Times New Roman"/>
          <w:sz w:val="24"/>
        </w:rPr>
        <w:instrText xml:space="preserve"> FORMDROPDOWN </w:instrText>
      </w:r>
      <w:r w:rsidR="001030A9">
        <w:rPr>
          <w:rFonts w:ascii="Times New Roman" w:hAnsi="Times New Roman"/>
          <w:sz w:val="24"/>
        </w:rPr>
      </w:r>
      <w:r w:rsidR="001030A9">
        <w:rPr>
          <w:rFonts w:ascii="Times New Roman" w:hAnsi="Times New Roman"/>
          <w:sz w:val="24"/>
        </w:rPr>
        <w:fldChar w:fldCharType="separate"/>
      </w:r>
      <w:r>
        <w:rPr>
          <w:rFonts w:ascii="Times New Roman" w:hAnsi="Times New Roman"/>
          <w:sz w:val="24"/>
        </w:rPr>
        <w:fldChar w:fldCharType="end"/>
      </w:r>
      <w:bookmarkEnd w:id="2"/>
      <w:r>
        <w:rPr>
          <w:rFonts w:ascii="Times New Roman" w:hAnsi="Times New Roman"/>
          <w:sz w:val="24"/>
        </w:rPr>
        <w:t xml:space="preserve">    </w:t>
      </w:r>
      <w:r>
        <w:rPr>
          <w:rFonts w:ascii="Times New Roman" w:hAnsi="Times New Roman"/>
          <w:color w:val="FFFFFF"/>
        </w:rPr>
        <w:fldChar w:fldCharType="begin">
          <w:ffData>
            <w:name w:val="Text2"/>
            <w:enabled/>
            <w:calcOnExit w:val="0"/>
            <w:textInput>
              <w:default w:val="choose the name of your college/school "/>
            </w:textInput>
          </w:ffData>
        </w:fldChar>
      </w:r>
      <w:bookmarkStart w:id="3" w:name="Text2"/>
      <w:r>
        <w:rPr>
          <w:rFonts w:ascii="Times New Roman" w:hAnsi="Times New Roman"/>
          <w:color w:val="FFFFFF"/>
        </w:rPr>
        <w:instrText xml:space="preserve"> FORMTEXT </w:instrText>
      </w:r>
      <w:r>
        <w:rPr>
          <w:rFonts w:ascii="Times New Roman" w:hAnsi="Times New Roman"/>
          <w:color w:val="FFFFFF"/>
        </w:rPr>
      </w:r>
      <w:r>
        <w:rPr>
          <w:rFonts w:ascii="Times New Roman" w:hAnsi="Times New Roman"/>
          <w:color w:val="FFFFFF"/>
        </w:rPr>
        <w:fldChar w:fldCharType="separate"/>
      </w:r>
      <w:r>
        <w:rPr>
          <w:rFonts w:ascii="Times New Roman" w:hAnsi="Times New Roman"/>
          <w:noProof/>
          <w:color w:val="FFFFFF"/>
        </w:rPr>
        <w:t xml:space="preserve">choose the name of your college/school </w:t>
      </w:r>
      <w:r>
        <w:rPr>
          <w:rFonts w:ascii="Times New Roman" w:hAnsi="Times New Roman"/>
          <w:color w:val="FFFFFF"/>
        </w:rPr>
        <w:fldChar w:fldCharType="end"/>
      </w:r>
      <w:bookmarkEnd w:id="3"/>
    </w:p>
    <w:p w14:paraId="78474A7C" w14:textId="77777777" w:rsidR="00BD6184" w:rsidRDefault="00BD6184" w:rsidP="00BD6184">
      <w:pPr>
        <w:pStyle w:val="PlainText"/>
        <w:ind w:left="720"/>
        <w:jc w:val="both"/>
        <w:rPr>
          <w:rFonts w:ascii="Times New Roman" w:hAnsi="Times New Roman"/>
          <w:sz w:val="24"/>
        </w:rPr>
      </w:pPr>
    </w:p>
    <w:p w14:paraId="62017945" w14:textId="5AC73950" w:rsidR="00BD6184" w:rsidRDefault="00BD6184" w:rsidP="00BD6184">
      <w:pPr>
        <w:pStyle w:val="PlainText"/>
        <w:jc w:val="both"/>
        <w:rPr>
          <w:rFonts w:ascii="Times New Roman" w:hAnsi="Times New Roman"/>
          <w:sz w:val="24"/>
        </w:rPr>
      </w:pPr>
      <w:r>
        <w:rPr>
          <w:rFonts w:ascii="Times New Roman" w:hAnsi="Times New Roman"/>
          <w:sz w:val="24"/>
        </w:rPr>
        <w:t xml:space="preserve">This dissertation, written by </w:t>
      </w:r>
      <w:r>
        <w:rPr>
          <w:rFonts w:ascii="Times New Roman" w:hAnsi="Times New Roman"/>
          <w:sz w:val="24"/>
        </w:rPr>
        <w:fldChar w:fldCharType="begin">
          <w:ffData>
            <w:name w:val="Text3"/>
            <w:enabled/>
            <w:calcOnExit w:val="0"/>
            <w:textInput>
              <w:default w:val="type your full name here"/>
            </w:textInput>
          </w:ffData>
        </w:fldChar>
      </w:r>
      <w:bookmarkStart w:id="4" w:name="Text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Daniel S. Andrews</w:t>
      </w:r>
      <w:r>
        <w:rPr>
          <w:rFonts w:ascii="Times New Roman" w:hAnsi="Times New Roman"/>
          <w:sz w:val="24"/>
        </w:rPr>
        <w:fldChar w:fldCharType="end"/>
      </w:r>
      <w:bookmarkEnd w:id="4"/>
      <w:r>
        <w:rPr>
          <w:rFonts w:ascii="Times New Roman" w:hAnsi="Times New Roman"/>
          <w:sz w:val="24"/>
        </w:rPr>
        <w:t>, and entitled</w:t>
      </w:r>
      <w:r w:rsidR="006A7E1B">
        <w:rPr>
          <w:rFonts w:ascii="Times New Roman" w:hAnsi="Times New Roman"/>
          <w:sz w:val="24"/>
        </w:rPr>
        <w:t xml:space="preserve"> Foreign Subsidiary Management in the Contemporary Multinational Enterprise</w:t>
      </w:r>
      <w:r>
        <w:rPr>
          <w:rFonts w:ascii="Times New Roman" w:hAnsi="Times New Roman"/>
          <w:sz w:val="24"/>
        </w:rPr>
        <w:t>, having been approved in respect to style and intellectual content, is referred to you for judgment.</w:t>
      </w:r>
    </w:p>
    <w:p w14:paraId="6D964094" w14:textId="77777777" w:rsidR="00BD6184" w:rsidRDefault="00BD6184" w:rsidP="00BD6184">
      <w:pPr>
        <w:pStyle w:val="PlainText"/>
        <w:ind w:left="720"/>
        <w:jc w:val="both"/>
        <w:rPr>
          <w:rFonts w:ascii="Times New Roman" w:hAnsi="Times New Roman"/>
          <w:sz w:val="24"/>
        </w:rPr>
      </w:pPr>
    </w:p>
    <w:p w14:paraId="383858EA" w14:textId="77777777" w:rsidR="00BD6184" w:rsidRDefault="00BD6184" w:rsidP="00BD6184">
      <w:pPr>
        <w:pStyle w:val="PlainText"/>
        <w:jc w:val="both"/>
        <w:outlineLvl w:val="0"/>
        <w:rPr>
          <w:rFonts w:ascii="Times New Roman" w:hAnsi="Times New Roman"/>
          <w:sz w:val="24"/>
        </w:rPr>
      </w:pPr>
      <w:r>
        <w:rPr>
          <w:rFonts w:ascii="Times New Roman" w:hAnsi="Times New Roman"/>
          <w:sz w:val="24"/>
        </w:rPr>
        <w:t>We have read this dissertation and recommend that it be approved.</w:t>
      </w:r>
    </w:p>
    <w:p w14:paraId="64B7D941" w14:textId="77777777" w:rsidR="00BD6184" w:rsidRDefault="00BD6184" w:rsidP="00BD6184">
      <w:pPr>
        <w:pStyle w:val="PlainText"/>
        <w:ind w:left="720"/>
        <w:jc w:val="both"/>
        <w:rPr>
          <w:rFonts w:ascii="Times New Roman" w:hAnsi="Times New Roman"/>
          <w:sz w:val="24"/>
        </w:rPr>
      </w:pPr>
    </w:p>
    <w:p w14:paraId="7C16810E" w14:textId="77777777" w:rsidR="00BD6184" w:rsidRDefault="00BD6184" w:rsidP="00BD6184">
      <w:pPr>
        <w:pStyle w:val="PlainText"/>
        <w:ind w:left="720"/>
        <w:jc w:val="both"/>
        <w:rPr>
          <w:rFonts w:ascii="Times New Roman" w:hAnsi="Times New Roman"/>
          <w:sz w:val="24"/>
        </w:rPr>
      </w:pPr>
    </w:p>
    <w:p w14:paraId="0661EC40" w14:textId="77777777" w:rsidR="00BD6184" w:rsidRDefault="00BD6184" w:rsidP="00BD6184">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75B117F5" w14:textId="77777777" w:rsidR="00BD6184" w:rsidRDefault="00BD6184" w:rsidP="00BD6184">
      <w:pPr>
        <w:pStyle w:val="PlainText"/>
        <w:ind w:left="720"/>
        <w:jc w:val="right"/>
        <w:rPr>
          <w:rFonts w:ascii="Times New Roman" w:hAnsi="Times New Roman"/>
          <w:sz w:val="24"/>
        </w:rPr>
      </w:pPr>
      <w:r>
        <w:rPr>
          <w:rFonts w:ascii="Times New Roman" w:hAnsi="Times New Roman"/>
          <w:sz w:val="24"/>
        </w:rPr>
        <w:fldChar w:fldCharType="begin">
          <w:ffData>
            <w:name w:val="Text5"/>
            <w:enabled/>
            <w:calcOnExit w:val="0"/>
            <w:textInput>
              <w:default w:val="type the name of committee member here"/>
            </w:textInput>
          </w:ffData>
        </w:fldChar>
      </w:r>
      <w:bookmarkStart w:id="5" w:name="Text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William Newburry</w:t>
      </w:r>
      <w:r>
        <w:rPr>
          <w:rFonts w:ascii="Times New Roman" w:hAnsi="Times New Roman"/>
          <w:sz w:val="24"/>
        </w:rPr>
        <w:fldChar w:fldCharType="end"/>
      </w:r>
      <w:bookmarkEnd w:id="5"/>
    </w:p>
    <w:p w14:paraId="25F10180" w14:textId="77777777" w:rsidR="00BD6184" w:rsidRDefault="00BD6184" w:rsidP="00BD6184">
      <w:pPr>
        <w:pStyle w:val="PlainText"/>
        <w:rPr>
          <w:rFonts w:ascii="Times New Roman" w:hAnsi="Times New Roman"/>
          <w:sz w:val="24"/>
        </w:rPr>
      </w:pPr>
    </w:p>
    <w:p w14:paraId="29D349C4" w14:textId="77777777" w:rsidR="00BD6184" w:rsidRDefault="00BD6184" w:rsidP="00BD6184">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29C1BBDF" w14:textId="77777777" w:rsidR="00BD6184" w:rsidRDefault="00BD6184" w:rsidP="00BD6184">
      <w:pPr>
        <w:pStyle w:val="PlainText"/>
        <w:ind w:left="720"/>
        <w:jc w:val="right"/>
        <w:rPr>
          <w:rFonts w:ascii="Times New Roman" w:hAnsi="Times New Roman"/>
          <w:sz w:val="24"/>
        </w:rPr>
      </w:pPr>
      <w:r>
        <w:rPr>
          <w:rFonts w:ascii="Times New Roman" w:hAnsi="Times New Roman"/>
          <w:sz w:val="24"/>
        </w:rPr>
        <w:fldChar w:fldCharType="begin">
          <w:ffData>
            <w:name w:val="Text5"/>
            <w:enabled/>
            <w:calcOnExit w:val="0"/>
            <w:textInput>
              <w:default w:val="type the name of committee member here"/>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Sumit Kundu</w:t>
      </w:r>
      <w:r>
        <w:rPr>
          <w:rFonts w:ascii="Times New Roman" w:hAnsi="Times New Roman"/>
          <w:sz w:val="24"/>
        </w:rPr>
        <w:fldChar w:fldCharType="end"/>
      </w:r>
    </w:p>
    <w:p w14:paraId="0851216C" w14:textId="77777777" w:rsidR="00BD6184" w:rsidRDefault="00BD6184" w:rsidP="00BD6184">
      <w:pPr>
        <w:pStyle w:val="PlainText"/>
        <w:ind w:left="720"/>
        <w:jc w:val="right"/>
        <w:rPr>
          <w:rFonts w:ascii="Times New Roman" w:hAnsi="Times New Roman"/>
          <w:sz w:val="24"/>
        </w:rPr>
      </w:pPr>
    </w:p>
    <w:p w14:paraId="2B7BE3AF" w14:textId="77777777" w:rsidR="00BD6184" w:rsidRDefault="00BD6184" w:rsidP="00BD6184">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4ADA73EF" w14:textId="77777777" w:rsidR="00BD6184" w:rsidRDefault="00BD6184" w:rsidP="00BD6184">
      <w:pPr>
        <w:pStyle w:val="PlainText"/>
        <w:ind w:left="720"/>
        <w:jc w:val="right"/>
        <w:rPr>
          <w:rFonts w:ascii="Times New Roman" w:hAnsi="Times New Roman"/>
          <w:sz w:val="24"/>
        </w:rPr>
      </w:pPr>
      <w:r>
        <w:rPr>
          <w:rFonts w:ascii="Times New Roman" w:hAnsi="Times New Roman"/>
          <w:sz w:val="24"/>
        </w:rPr>
        <w:fldChar w:fldCharType="begin">
          <w:ffData>
            <w:name w:val="Text5"/>
            <w:enabled/>
            <w:calcOnExit w:val="0"/>
            <w:textInput>
              <w:default w:val="type the name of committee member here"/>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Nathan Hiller</w:t>
      </w:r>
      <w:r>
        <w:rPr>
          <w:rFonts w:ascii="Times New Roman" w:hAnsi="Times New Roman"/>
          <w:sz w:val="24"/>
        </w:rPr>
        <w:fldChar w:fldCharType="end"/>
      </w:r>
    </w:p>
    <w:p w14:paraId="399E7CFA" w14:textId="77777777" w:rsidR="00BD6184" w:rsidRDefault="00BD6184" w:rsidP="00BD6184">
      <w:pPr>
        <w:pStyle w:val="PlainText"/>
        <w:ind w:left="720"/>
        <w:jc w:val="right"/>
        <w:rPr>
          <w:rFonts w:ascii="Times New Roman" w:hAnsi="Times New Roman"/>
          <w:sz w:val="24"/>
        </w:rPr>
      </w:pPr>
    </w:p>
    <w:p w14:paraId="102D64E8" w14:textId="77777777" w:rsidR="00BD6184" w:rsidRDefault="00BD6184" w:rsidP="00BD6184">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3884C2D7" w14:textId="77777777" w:rsidR="00BD6184" w:rsidRDefault="00BD6184" w:rsidP="00BD6184">
      <w:pPr>
        <w:pStyle w:val="PlainText"/>
        <w:ind w:left="720"/>
        <w:jc w:val="right"/>
        <w:rPr>
          <w:rFonts w:ascii="Times New Roman" w:hAnsi="Times New Roman"/>
          <w:sz w:val="24"/>
        </w:rPr>
      </w:pPr>
      <w:r>
        <w:rPr>
          <w:rFonts w:ascii="Times New Roman" w:hAnsi="Times New Roman"/>
          <w:sz w:val="24"/>
        </w:rPr>
        <w:fldChar w:fldCharType="begin">
          <w:ffData>
            <w:name w:val="Text6"/>
            <w:enabled/>
            <w:calcOnExit w:val="0"/>
            <w:textInput>
              <w:default w:val="type the name of committee member here"/>
            </w:textInput>
          </w:ffData>
        </w:fldChar>
      </w:r>
      <w:bookmarkStart w:id="6" w:name="Text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Ajai Gaur</w:t>
      </w:r>
      <w:r>
        <w:rPr>
          <w:rFonts w:ascii="Times New Roman" w:hAnsi="Times New Roman"/>
          <w:sz w:val="24"/>
        </w:rPr>
        <w:fldChar w:fldCharType="end"/>
      </w:r>
      <w:bookmarkEnd w:id="6"/>
    </w:p>
    <w:p w14:paraId="58339289" w14:textId="77777777" w:rsidR="00BD6184" w:rsidRDefault="00BD6184" w:rsidP="00BD6184">
      <w:pPr>
        <w:pStyle w:val="PlainText"/>
        <w:rPr>
          <w:rFonts w:ascii="Times New Roman" w:hAnsi="Times New Roman"/>
          <w:sz w:val="24"/>
        </w:rPr>
      </w:pPr>
    </w:p>
    <w:p w14:paraId="4D898934" w14:textId="77777777" w:rsidR="00BD6184" w:rsidRDefault="00BD6184" w:rsidP="00BD6184">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30617E43" w14:textId="77777777" w:rsidR="00BD6184" w:rsidRDefault="00BD6184" w:rsidP="00BD6184">
      <w:pPr>
        <w:pStyle w:val="PlainText"/>
        <w:ind w:left="720" w:firstLine="720"/>
        <w:jc w:val="right"/>
        <w:rPr>
          <w:rFonts w:ascii="Times New Roman" w:hAnsi="Times New Roman"/>
          <w:sz w:val="24"/>
        </w:rPr>
      </w:pPr>
      <w:r>
        <w:rPr>
          <w:rFonts w:ascii="Times New Roman" w:hAnsi="Times New Roman"/>
          <w:sz w:val="24"/>
        </w:rPr>
        <w:fldChar w:fldCharType="begin">
          <w:ffData>
            <w:name w:val="Text7"/>
            <w:enabled/>
            <w:calcOnExit w:val="0"/>
            <w:textInput>
              <w:default w:val="type the name of major professor here"/>
            </w:textInput>
          </w:ffData>
        </w:fldChar>
      </w:r>
      <w:bookmarkStart w:id="7" w:name="Text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Stav Fainshmidt</w:t>
      </w:r>
      <w:r>
        <w:rPr>
          <w:rFonts w:ascii="Times New Roman" w:hAnsi="Times New Roman"/>
          <w:sz w:val="24"/>
        </w:rPr>
        <w:fldChar w:fldCharType="end"/>
      </w:r>
      <w:bookmarkEnd w:id="7"/>
      <w:r>
        <w:rPr>
          <w:rFonts w:ascii="Times New Roman" w:hAnsi="Times New Roman"/>
          <w:sz w:val="24"/>
        </w:rPr>
        <w:t>, Co-Major Professor</w:t>
      </w:r>
    </w:p>
    <w:p w14:paraId="2735992C" w14:textId="77777777" w:rsidR="00BD6184" w:rsidRDefault="00BD6184" w:rsidP="00BD6184">
      <w:pPr>
        <w:pStyle w:val="PlainText"/>
        <w:ind w:left="720" w:firstLine="720"/>
        <w:jc w:val="right"/>
        <w:rPr>
          <w:rFonts w:ascii="Times New Roman" w:hAnsi="Times New Roman"/>
          <w:sz w:val="24"/>
        </w:rPr>
      </w:pPr>
    </w:p>
    <w:p w14:paraId="4E41F5BD" w14:textId="77777777" w:rsidR="00BD6184" w:rsidRDefault="00BD6184" w:rsidP="00BD6184">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537D3BCF" w14:textId="77777777" w:rsidR="00BD6184" w:rsidRDefault="00BD6184" w:rsidP="00BD6184">
      <w:pPr>
        <w:pStyle w:val="PlainText"/>
        <w:ind w:left="720" w:firstLine="720"/>
        <w:jc w:val="right"/>
        <w:rPr>
          <w:rFonts w:ascii="Times New Roman" w:hAnsi="Times New Roman"/>
          <w:sz w:val="24"/>
        </w:rPr>
      </w:pPr>
      <w:r>
        <w:rPr>
          <w:rFonts w:ascii="Times New Roman" w:hAnsi="Times New Roman"/>
          <w:sz w:val="24"/>
        </w:rPr>
        <w:fldChar w:fldCharType="begin">
          <w:ffData>
            <w:name w:val="Text7"/>
            <w:enabled/>
            <w:calcOnExit w:val="0"/>
            <w:textInput>
              <w:default w:val="type the name of major professor here"/>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Ronaldo Parente</w:t>
      </w:r>
      <w:r>
        <w:rPr>
          <w:rFonts w:ascii="Times New Roman" w:hAnsi="Times New Roman"/>
          <w:sz w:val="24"/>
        </w:rPr>
        <w:fldChar w:fldCharType="end"/>
      </w:r>
      <w:r>
        <w:rPr>
          <w:rFonts w:ascii="Times New Roman" w:hAnsi="Times New Roman"/>
          <w:sz w:val="24"/>
        </w:rPr>
        <w:t>, Co-Major Professor</w:t>
      </w:r>
    </w:p>
    <w:p w14:paraId="066C6079" w14:textId="77777777" w:rsidR="00BD6184" w:rsidRDefault="00BD6184" w:rsidP="00BD6184">
      <w:pPr>
        <w:pStyle w:val="PlainText"/>
        <w:ind w:left="720"/>
        <w:jc w:val="right"/>
        <w:rPr>
          <w:rFonts w:ascii="Times New Roman" w:hAnsi="Times New Roman"/>
          <w:sz w:val="24"/>
        </w:rPr>
      </w:pPr>
    </w:p>
    <w:p w14:paraId="06BDC77F" w14:textId="77777777" w:rsidR="00BD6184" w:rsidRDefault="00BD6184" w:rsidP="00BD6184">
      <w:pPr>
        <w:pStyle w:val="PlainText"/>
        <w:ind w:left="720"/>
        <w:jc w:val="both"/>
        <w:rPr>
          <w:rFonts w:ascii="Times New Roman" w:hAnsi="Times New Roman"/>
          <w:sz w:val="24"/>
        </w:rPr>
      </w:pPr>
    </w:p>
    <w:p w14:paraId="399AF5D4" w14:textId="77777777" w:rsidR="00BD6184" w:rsidRDefault="00BD6184" w:rsidP="00BD6184">
      <w:pPr>
        <w:pStyle w:val="PlainText"/>
        <w:jc w:val="both"/>
        <w:outlineLvl w:val="0"/>
        <w:rPr>
          <w:rFonts w:ascii="Times New Roman" w:hAnsi="Times New Roman"/>
          <w:sz w:val="24"/>
        </w:rPr>
      </w:pPr>
      <w:r>
        <w:rPr>
          <w:rFonts w:ascii="Times New Roman" w:hAnsi="Times New Roman"/>
          <w:sz w:val="24"/>
        </w:rPr>
        <w:t xml:space="preserve">Date of Defense: </w:t>
      </w:r>
      <w:r>
        <w:rPr>
          <w:rFonts w:ascii="Times New Roman" w:hAnsi="Times New Roman"/>
          <w:sz w:val="24"/>
        </w:rPr>
        <w:fldChar w:fldCharType="begin">
          <w:ffData>
            <w:name w:val="Text8"/>
            <w:enabled/>
            <w:calcOnExit w:val="0"/>
            <w:textInput>
              <w:default w:val="type date of defense here (month day, year). Example: August 8, 2001"/>
            </w:textInput>
          </w:ffData>
        </w:fldChar>
      </w:r>
      <w:bookmarkStart w:id="8" w:name="Text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February 17, 2021</w:t>
      </w:r>
      <w:r>
        <w:rPr>
          <w:rFonts w:ascii="Times New Roman" w:hAnsi="Times New Roman"/>
          <w:sz w:val="24"/>
        </w:rPr>
        <w:fldChar w:fldCharType="end"/>
      </w:r>
      <w:bookmarkEnd w:id="8"/>
    </w:p>
    <w:p w14:paraId="08D5A3AE" w14:textId="77777777" w:rsidR="00BD6184" w:rsidRDefault="00BD6184" w:rsidP="00BD6184">
      <w:pPr>
        <w:pStyle w:val="PlainText"/>
        <w:ind w:left="720"/>
        <w:jc w:val="both"/>
        <w:rPr>
          <w:rFonts w:ascii="Times New Roman" w:hAnsi="Times New Roman"/>
          <w:sz w:val="24"/>
        </w:rPr>
      </w:pPr>
    </w:p>
    <w:p w14:paraId="06F4FFA3" w14:textId="77777777" w:rsidR="00BD6184" w:rsidRDefault="00BD6184" w:rsidP="00BD6184">
      <w:pPr>
        <w:pStyle w:val="PlainText"/>
        <w:jc w:val="both"/>
        <w:outlineLvl w:val="0"/>
        <w:rPr>
          <w:rFonts w:ascii="Times New Roman" w:hAnsi="Times New Roman"/>
          <w:sz w:val="24"/>
        </w:rPr>
      </w:pPr>
      <w:r>
        <w:rPr>
          <w:rFonts w:ascii="Times New Roman" w:hAnsi="Times New Roman"/>
          <w:sz w:val="24"/>
        </w:rPr>
        <w:t xml:space="preserve">The dissertation of </w:t>
      </w:r>
      <w:r>
        <w:rPr>
          <w:rFonts w:ascii="Times New Roman" w:hAnsi="Times New Roman"/>
          <w:sz w:val="24"/>
        </w:rPr>
        <w:fldChar w:fldCharType="begin">
          <w:ffData>
            <w:name w:val="Text9"/>
            <w:enabled/>
            <w:calcOnExit w:val="0"/>
            <w:textInput>
              <w:default w:val="type your full name here"/>
            </w:textInput>
          </w:ffData>
        </w:fldChar>
      </w:r>
      <w:bookmarkStart w:id="9" w:name="Text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Daniel S. Andrews</w:t>
      </w:r>
      <w:r>
        <w:rPr>
          <w:rFonts w:ascii="Times New Roman" w:hAnsi="Times New Roman"/>
          <w:sz w:val="24"/>
        </w:rPr>
        <w:fldChar w:fldCharType="end"/>
      </w:r>
      <w:bookmarkEnd w:id="9"/>
      <w:r>
        <w:rPr>
          <w:rFonts w:ascii="Times New Roman" w:hAnsi="Times New Roman"/>
          <w:sz w:val="24"/>
        </w:rPr>
        <w:t xml:space="preserve"> is approved.</w:t>
      </w:r>
    </w:p>
    <w:p w14:paraId="7FFFD73E" w14:textId="77777777" w:rsidR="00BD6184" w:rsidRDefault="00BD6184" w:rsidP="00BD6184">
      <w:pPr>
        <w:pStyle w:val="PlainText"/>
        <w:ind w:left="720"/>
        <w:jc w:val="both"/>
        <w:rPr>
          <w:rFonts w:ascii="Times New Roman" w:hAnsi="Times New Roman"/>
          <w:sz w:val="24"/>
        </w:rPr>
      </w:pPr>
    </w:p>
    <w:p w14:paraId="14F16D39" w14:textId="77777777" w:rsidR="00BD6184" w:rsidRDefault="00BD6184" w:rsidP="00BD6184">
      <w:pPr>
        <w:pStyle w:val="PlainText"/>
        <w:ind w:left="720"/>
        <w:jc w:val="both"/>
        <w:rPr>
          <w:rFonts w:ascii="Times New Roman" w:hAnsi="Times New Roman"/>
          <w:sz w:val="24"/>
        </w:rPr>
      </w:pPr>
    </w:p>
    <w:p w14:paraId="0CF7D563" w14:textId="77777777" w:rsidR="00BD6184" w:rsidRDefault="00BD6184" w:rsidP="00BD6184">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1AC1FADA" w14:textId="77777777" w:rsidR="00BD6184" w:rsidRDefault="00BD6184" w:rsidP="00BD6184">
      <w:pPr>
        <w:pStyle w:val="PlainText"/>
        <w:jc w:val="right"/>
        <w:rPr>
          <w:rFonts w:ascii="Times New Roman" w:hAnsi="Times New Roman"/>
          <w:sz w:val="24"/>
        </w:rPr>
      </w:pPr>
      <w:r>
        <w:rPr>
          <w:rFonts w:ascii="Times New Roman" w:hAnsi="Times New Roman"/>
          <w:color w:val="FFFFFF"/>
        </w:rPr>
        <w:fldChar w:fldCharType="begin">
          <w:ffData>
            <w:name w:val=""/>
            <w:enabled/>
            <w:calcOnExit w:val="0"/>
            <w:textInput>
              <w:default w:val="choose the name of dean of your college/school "/>
            </w:textInput>
          </w:ffData>
        </w:fldChar>
      </w:r>
      <w:r>
        <w:rPr>
          <w:rFonts w:ascii="Times New Roman" w:hAnsi="Times New Roman"/>
          <w:color w:val="FFFFFF"/>
        </w:rPr>
        <w:instrText xml:space="preserve"> FORMTEXT </w:instrText>
      </w:r>
      <w:r>
        <w:rPr>
          <w:rFonts w:ascii="Times New Roman" w:hAnsi="Times New Roman"/>
          <w:color w:val="FFFFFF"/>
        </w:rPr>
      </w:r>
      <w:r>
        <w:rPr>
          <w:rFonts w:ascii="Times New Roman" w:hAnsi="Times New Roman"/>
          <w:color w:val="FFFFFF"/>
        </w:rPr>
        <w:fldChar w:fldCharType="separate"/>
      </w:r>
      <w:r>
        <w:rPr>
          <w:rFonts w:ascii="Times New Roman" w:hAnsi="Times New Roman"/>
          <w:noProof/>
          <w:color w:val="FFFFFF"/>
        </w:rPr>
        <w:t xml:space="preserve">choose the name of dean of your college/school </w:t>
      </w:r>
      <w:r>
        <w:rPr>
          <w:rFonts w:ascii="Times New Roman" w:hAnsi="Times New Roman"/>
          <w:color w:val="FFFFFF"/>
          <w:sz w:val="24"/>
        </w:rPr>
        <w:fldChar w:fldCharType="end"/>
      </w:r>
      <w:r>
        <w:rPr>
          <w:rFonts w:ascii="Times New Roman" w:hAnsi="Times New Roman"/>
          <w:color w:val="FFFFFF"/>
          <w:sz w:val="24"/>
        </w:rPr>
        <w:t xml:space="preserve">  </w:t>
      </w:r>
      <w:r>
        <w:rPr>
          <w:rFonts w:ascii="Times New Roman" w:hAnsi="Times New Roman"/>
          <w:sz w:val="24"/>
          <w:szCs w:val="24"/>
        </w:rPr>
        <w:fldChar w:fldCharType="begin">
          <w:ffData>
            <w:name w:val=""/>
            <w:enabled/>
            <w:calcOnExit w:val="0"/>
            <w:ddList>
              <w:result w:val="1"/>
              <w:listEntry w:val="Dean Michael R. Heithaus"/>
              <w:listEntry w:val="Dean Joanne Li"/>
              <w:listEntry w:val="Dean John L. Volakis"/>
              <w:listEntry w:val="Dean John F. Stack, Jr."/>
              <w:listEntry w:val="Dean Robert Sackstein"/>
              <w:listEntry w:val="Dean Ora Strickland"/>
              <w:listEntry w:val="Dean Tomás R. Guilarte"/>
            </w:ddList>
          </w:ffData>
        </w:fldChar>
      </w:r>
      <w:r>
        <w:rPr>
          <w:rFonts w:ascii="Times New Roman" w:hAnsi="Times New Roman"/>
          <w:sz w:val="24"/>
          <w:szCs w:val="24"/>
        </w:rPr>
        <w:instrText xml:space="preserve"> FORMDROPDOWN </w:instrText>
      </w:r>
      <w:r w:rsidR="001030A9">
        <w:rPr>
          <w:rFonts w:ascii="Times New Roman" w:hAnsi="Times New Roman"/>
          <w:sz w:val="24"/>
          <w:szCs w:val="24"/>
        </w:rPr>
      </w:r>
      <w:r w:rsidR="001030A9">
        <w:rPr>
          <w:rFonts w:ascii="Times New Roman" w:hAnsi="Times New Roman"/>
          <w:sz w:val="24"/>
          <w:szCs w:val="24"/>
        </w:rPr>
        <w:fldChar w:fldCharType="separate"/>
      </w:r>
      <w:r>
        <w:rPr>
          <w:rFonts w:ascii="Times New Roman" w:hAnsi="Times New Roman"/>
          <w:sz w:val="24"/>
          <w:szCs w:val="24"/>
        </w:rPr>
        <w:fldChar w:fldCharType="end"/>
      </w:r>
    </w:p>
    <w:p w14:paraId="1EC14667" w14:textId="77777777" w:rsidR="00BD6184" w:rsidRDefault="00BD6184" w:rsidP="00BD6184">
      <w:pPr>
        <w:pStyle w:val="PlainText"/>
        <w:jc w:val="right"/>
        <w:rPr>
          <w:rFonts w:ascii="Times New Roman" w:hAnsi="Times New Roman"/>
          <w:sz w:val="24"/>
        </w:rPr>
      </w:pPr>
      <w:r>
        <w:rPr>
          <w:rFonts w:ascii="Times New Roman" w:hAnsi="Times New Roman"/>
          <w:color w:val="FFFFFF"/>
        </w:rPr>
        <w:fldChar w:fldCharType="begin">
          <w:ffData>
            <w:name w:val=""/>
            <w:enabled/>
            <w:calcOnExit w:val="0"/>
            <w:textInput>
              <w:default w:val="choose the name of your college/school "/>
            </w:textInput>
          </w:ffData>
        </w:fldChar>
      </w:r>
      <w:r>
        <w:rPr>
          <w:rFonts w:ascii="Times New Roman" w:hAnsi="Times New Roman"/>
          <w:color w:val="FFFFFF"/>
        </w:rPr>
        <w:instrText xml:space="preserve"> FORMTEXT </w:instrText>
      </w:r>
      <w:r>
        <w:rPr>
          <w:rFonts w:ascii="Times New Roman" w:hAnsi="Times New Roman"/>
          <w:color w:val="FFFFFF"/>
        </w:rPr>
      </w:r>
      <w:r>
        <w:rPr>
          <w:rFonts w:ascii="Times New Roman" w:hAnsi="Times New Roman"/>
          <w:color w:val="FFFFFF"/>
        </w:rPr>
        <w:fldChar w:fldCharType="separate"/>
      </w:r>
      <w:r>
        <w:rPr>
          <w:rFonts w:ascii="Times New Roman" w:hAnsi="Times New Roman"/>
          <w:noProof/>
          <w:color w:val="FFFFFF"/>
        </w:rPr>
        <w:t xml:space="preserve">choose the name of your college/school </w:t>
      </w:r>
      <w:r>
        <w:rPr>
          <w:rFonts w:ascii="Times New Roman" w:hAnsi="Times New Roman"/>
          <w:color w:val="FFFFFF"/>
        </w:rPr>
        <w:fldChar w:fldCharType="end"/>
      </w:r>
      <w:r>
        <w:rPr>
          <w:rFonts w:ascii="Times New Roman" w:hAnsi="Times New Roman"/>
          <w:color w:val="FFFFFF"/>
        </w:rPr>
        <w:t xml:space="preserve">  </w:t>
      </w:r>
      <w:r>
        <w:rPr>
          <w:rFonts w:ascii="Times New Roman" w:hAnsi="Times New Roman"/>
          <w:sz w:val="24"/>
        </w:rPr>
        <w:fldChar w:fldCharType="begin">
          <w:ffData>
            <w:name w:val=""/>
            <w:enabled/>
            <w:calcOnExit w:val="0"/>
            <w:ddList>
              <w:result w:val="1"/>
              <w:listEntry w:val="College of Arts, Sciences and Education"/>
              <w:listEntry w:val="College of Business"/>
              <w:listEntry w:val="College of Engineering and Computing"/>
              <w:listEntry w:val="Green School of International and Public Affairs"/>
              <w:listEntry w:val="College of Medicine"/>
              <w:listEntry w:val="College of Nursing and Health Sciences"/>
              <w:listEntry w:val="R.Stempel College of Public Health and Social Work"/>
            </w:ddList>
          </w:ffData>
        </w:fldChar>
      </w:r>
      <w:r>
        <w:rPr>
          <w:rFonts w:ascii="Times New Roman" w:hAnsi="Times New Roman"/>
          <w:sz w:val="24"/>
        </w:rPr>
        <w:instrText xml:space="preserve"> FORMDROPDOWN </w:instrText>
      </w:r>
      <w:r w:rsidR="001030A9">
        <w:rPr>
          <w:rFonts w:ascii="Times New Roman" w:hAnsi="Times New Roman"/>
          <w:sz w:val="24"/>
        </w:rPr>
      </w:r>
      <w:r w:rsidR="001030A9">
        <w:rPr>
          <w:rFonts w:ascii="Times New Roman" w:hAnsi="Times New Roman"/>
          <w:sz w:val="24"/>
        </w:rPr>
        <w:fldChar w:fldCharType="separate"/>
      </w:r>
      <w:r>
        <w:rPr>
          <w:rFonts w:ascii="Times New Roman" w:hAnsi="Times New Roman"/>
          <w:sz w:val="24"/>
        </w:rPr>
        <w:fldChar w:fldCharType="end"/>
      </w:r>
    </w:p>
    <w:p w14:paraId="77B6A2A6" w14:textId="77777777" w:rsidR="00BD6184" w:rsidRDefault="00BD6184" w:rsidP="00BD6184">
      <w:pPr>
        <w:pStyle w:val="PlainText"/>
        <w:ind w:left="720"/>
        <w:rPr>
          <w:rFonts w:ascii="Times New Roman" w:hAnsi="Times New Roman"/>
          <w:sz w:val="24"/>
        </w:rPr>
      </w:pPr>
    </w:p>
    <w:p w14:paraId="348AB437" w14:textId="77777777" w:rsidR="00BD6184" w:rsidRDefault="00BD6184" w:rsidP="00BD6184">
      <w:pPr>
        <w:pStyle w:val="PlainText"/>
        <w:ind w:left="720"/>
        <w:rPr>
          <w:rFonts w:ascii="Times New Roman" w:hAnsi="Times New Roman"/>
          <w:sz w:val="24"/>
        </w:rPr>
      </w:pPr>
    </w:p>
    <w:p w14:paraId="483069D6" w14:textId="77777777" w:rsidR="00BD6184" w:rsidRDefault="00BD6184" w:rsidP="00BD6184">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04591801" w14:textId="77777777" w:rsidR="00BD6184" w:rsidRDefault="00BD6184" w:rsidP="00BD6184">
      <w:pPr>
        <w:pStyle w:val="PlainText"/>
        <w:ind w:left="720" w:firstLine="720"/>
        <w:jc w:val="right"/>
        <w:outlineLvl w:val="0"/>
        <w:rPr>
          <w:rFonts w:ascii="Times New Roman" w:hAnsi="Times New Roman"/>
          <w:sz w:val="24"/>
          <w:szCs w:val="24"/>
        </w:rPr>
      </w:pPr>
      <w:r>
        <w:rPr>
          <w:rFonts w:ascii="Times New Roman" w:hAnsi="Times New Roman"/>
          <w:sz w:val="24"/>
          <w:szCs w:val="24"/>
        </w:rPr>
        <w:t>Andrés G. Gil</w:t>
      </w:r>
    </w:p>
    <w:p w14:paraId="68FA88FF" w14:textId="77777777" w:rsidR="00BD6184" w:rsidRDefault="00BD6184" w:rsidP="00BD6184">
      <w:pPr>
        <w:pStyle w:val="PlainText"/>
        <w:ind w:left="720" w:firstLine="720"/>
        <w:jc w:val="right"/>
        <w:rPr>
          <w:rFonts w:ascii="Times New Roman" w:hAnsi="Times New Roman"/>
          <w:sz w:val="24"/>
        </w:rPr>
      </w:pPr>
      <w:r>
        <w:rPr>
          <w:rFonts w:ascii="Times New Roman" w:hAnsi="Times New Roman"/>
          <w:sz w:val="24"/>
        </w:rPr>
        <w:t xml:space="preserve">Vice President for Research and Economic Development </w:t>
      </w:r>
    </w:p>
    <w:p w14:paraId="6E30FA95" w14:textId="14B2EFB1" w:rsidR="00BD6184" w:rsidRDefault="00BD6184" w:rsidP="00BD6184">
      <w:pPr>
        <w:pStyle w:val="PlainText"/>
        <w:ind w:left="720" w:firstLine="720"/>
        <w:jc w:val="right"/>
        <w:rPr>
          <w:rFonts w:ascii="Times New Roman" w:hAnsi="Times New Roman"/>
          <w:sz w:val="24"/>
        </w:rPr>
      </w:pPr>
      <w:r>
        <w:rPr>
          <w:rFonts w:ascii="Times New Roman" w:hAnsi="Times New Roman"/>
          <w:sz w:val="24"/>
        </w:rPr>
        <w:t>and Dean of the University Graduate School</w:t>
      </w:r>
    </w:p>
    <w:p w14:paraId="77B6F59E" w14:textId="77777777" w:rsidR="00BD6184" w:rsidRDefault="00BD6184" w:rsidP="00BD6184">
      <w:pPr>
        <w:pStyle w:val="PlainText"/>
        <w:jc w:val="center"/>
        <w:rPr>
          <w:rFonts w:ascii="Times New Roman" w:hAnsi="Times New Roman"/>
          <w:sz w:val="24"/>
        </w:rPr>
      </w:pPr>
    </w:p>
    <w:p w14:paraId="65D27AA1" w14:textId="44F51726" w:rsidR="00BD6184" w:rsidRDefault="00BD6184" w:rsidP="00BD6184">
      <w:pPr>
        <w:pStyle w:val="PlainText"/>
        <w:jc w:val="center"/>
        <w:rPr>
          <w:rFonts w:ascii="Times New Roman" w:hAnsi="Times New Roman"/>
          <w:sz w:val="24"/>
        </w:rPr>
      </w:pPr>
      <w:r>
        <w:rPr>
          <w:rFonts w:ascii="Times New Roman" w:hAnsi="Times New Roman"/>
          <w:sz w:val="24"/>
        </w:rPr>
        <w:t>Florida International University, 202</w:t>
      </w:r>
      <w:r w:rsidR="00D81F15">
        <w:rPr>
          <w:rFonts w:ascii="Times New Roman" w:hAnsi="Times New Roman"/>
          <w:sz w:val="24"/>
        </w:rPr>
        <w:t>1</w:t>
      </w:r>
    </w:p>
    <w:p w14:paraId="48A37608" w14:textId="52637081" w:rsidR="00062E28" w:rsidRDefault="00062E28">
      <w:pPr>
        <w:widowControl/>
        <w:overflowPunct/>
        <w:autoSpaceDE/>
        <w:autoSpaceDN/>
        <w:adjustRightInd/>
      </w:pPr>
      <w:r>
        <w:br w:type="page"/>
      </w:r>
    </w:p>
    <w:p w14:paraId="6983D9B0" w14:textId="77777777" w:rsidR="00062E28" w:rsidRDefault="00062E28" w:rsidP="00062E28">
      <w:pPr>
        <w:pStyle w:val="PlainText"/>
        <w:spacing w:line="480" w:lineRule="auto"/>
        <w:jc w:val="center"/>
        <w:rPr>
          <w:rFonts w:ascii="Times New Roman" w:hAnsi="Times New Roman"/>
          <w:sz w:val="24"/>
          <w:szCs w:val="24"/>
        </w:rPr>
      </w:pPr>
    </w:p>
    <w:p w14:paraId="02432C4D" w14:textId="77777777" w:rsidR="00062E28" w:rsidRDefault="00062E28" w:rsidP="00062E28">
      <w:pPr>
        <w:pStyle w:val="PlainText"/>
        <w:spacing w:line="480" w:lineRule="auto"/>
        <w:jc w:val="center"/>
        <w:rPr>
          <w:rFonts w:ascii="Times New Roman" w:hAnsi="Times New Roman"/>
          <w:sz w:val="24"/>
          <w:szCs w:val="24"/>
        </w:rPr>
      </w:pPr>
    </w:p>
    <w:p w14:paraId="66074702" w14:textId="77777777" w:rsidR="00062E28" w:rsidRDefault="00062E28" w:rsidP="00062E28">
      <w:pPr>
        <w:pStyle w:val="PlainText"/>
        <w:spacing w:line="480" w:lineRule="auto"/>
        <w:jc w:val="center"/>
        <w:rPr>
          <w:rFonts w:ascii="Times New Roman" w:hAnsi="Times New Roman"/>
          <w:sz w:val="24"/>
          <w:szCs w:val="24"/>
        </w:rPr>
      </w:pPr>
    </w:p>
    <w:p w14:paraId="403C0B0B" w14:textId="77777777" w:rsidR="00062E28" w:rsidRDefault="00062E28" w:rsidP="00062E28">
      <w:pPr>
        <w:pStyle w:val="PlainText"/>
        <w:spacing w:line="480" w:lineRule="auto"/>
        <w:jc w:val="center"/>
        <w:rPr>
          <w:rFonts w:ascii="Times New Roman" w:hAnsi="Times New Roman"/>
          <w:sz w:val="24"/>
          <w:szCs w:val="24"/>
        </w:rPr>
      </w:pPr>
    </w:p>
    <w:p w14:paraId="5A808461" w14:textId="77777777" w:rsidR="00062E28" w:rsidRDefault="00062E28" w:rsidP="00062E28">
      <w:pPr>
        <w:pStyle w:val="PlainText"/>
        <w:spacing w:line="480" w:lineRule="auto"/>
        <w:jc w:val="center"/>
        <w:rPr>
          <w:rFonts w:ascii="Times New Roman" w:hAnsi="Times New Roman"/>
          <w:sz w:val="24"/>
          <w:szCs w:val="24"/>
        </w:rPr>
      </w:pPr>
    </w:p>
    <w:p w14:paraId="0F635FD9" w14:textId="77777777" w:rsidR="00062E28" w:rsidRDefault="00062E28" w:rsidP="00062E28">
      <w:pPr>
        <w:pStyle w:val="PlainText"/>
        <w:spacing w:line="480" w:lineRule="auto"/>
        <w:jc w:val="center"/>
        <w:rPr>
          <w:rFonts w:ascii="Times New Roman" w:hAnsi="Times New Roman"/>
          <w:sz w:val="24"/>
          <w:szCs w:val="24"/>
        </w:rPr>
      </w:pPr>
    </w:p>
    <w:p w14:paraId="7260BCCE" w14:textId="77777777" w:rsidR="00062E28" w:rsidRDefault="00062E28" w:rsidP="00062E28">
      <w:pPr>
        <w:pStyle w:val="PlainText"/>
        <w:spacing w:line="480" w:lineRule="auto"/>
        <w:jc w:val="center"/>
        <w:rPr>
          <w:rFonts w:ascii="Times New Roman" w:hAnsi="Times New Roman"/>
          <w:sz w:val="24"/>
          <w:szCs w:val="24"/>
        </w:rPr>
      </w:pPr>
    </w:p>
    <w:p w14:paraId="043814CA" w14:textId="77777777" w:rsidR="00062E28" w:rsidRDefault="00062E28" w:rsidP="00062E28">
      <w:pPr>
        <w:pStyle w:val="PlainText"/>
        <w:spacing w:line="480" w:lineRule="auto"/>
        <w:jc w:val="center"/>
        <w:rPr>
          <w:rFonts w:ascii="Times New Roman" w:hAnsi="Times New Roman"/>
          <w:sz w:val="24"/>
          <w:szCs w:val="24"/>
        </w:rPr>
      </w:pPr>
    </w:p>
    <w:p w14:paraId="768236DC" w14:textId="77777777" w:rsidR="00062E28" w:rsidRDefault="00062E28" w:rsidP="00062E28">
      <w:pPr>
        <w:pStyle w:val="PlainText"/>
        <w:spacing w:line="480" w:lineRule="auto"/>
        <w:jc w:val="center"/>
        <w:rPr>
          <w:rFonts w:ascii="Times New Roman" w:hAnsi="Times New Roman"/>
          <w:sz w:val="24"/>
          <w:szCs w:val="24"/>
        </w:rPr>
      </w:pPr>
    </w:p>
    <w:p w14:paraId="7C7F9FF0" w14:textId="49604CDE" w:rsidR="00062E28" w:rsidRPr="00196742" w:rsidRDefault="00062E28" w:rsidP="00062E28">
      <w:pPr>
        <w:pStyle w:val="PlainText"/>
        <w:spacing w:line="480" w:lineRule="auto"/>
        <w:jc w:val="center"/>
        <w:rPr>
          <w:rFonts w:ascii="Times New Roman" w:hAnsi="Times New Roman"/>
          <w:sz w:val="24"/>
          <w:szCs w:val="24"/>
        </w:rPr>
      </w:pPr>
      <w:r w:rsidRPr="00196742">
        <w:rPr>
          <w:rFonts w:ascii="Times New Roman" w:hAnsi="Times New Roman"/>
          <w:sz w:val="24"/>
          <w:szCs w:val="24"/>
        </w:rPr>
        <w:t xml:space="preserve">© Copyright </w:t>
      </w:r>
      <w:r w:rsidR="001854FB">
        <w:rPr>
          <w:rFonts w:ascii="Times New Roman" w:hAnsi="Times New Roman"/>
          <w:sz w:val="24"/>
          <w:szCs w:val="24"/>
        </w:rPr>
        <w:t>2021</w:t>
      </w:r>
      <w:r w:rsidRPr="00196742">
        <w:rPr>
          <w:rFonts w:ascii="Times New Roman" w:hAnsi="Times New Roman"/>
          <w:sz w:val="24"/>
          <w:szCs w:val="24"/>
        </w:rPr>
        <w:t xml:space="preserve"> by</w:t>
      </w:r>
      <w:r>
        <w:rPr>
          <w:rFonts w:ascii="Times New Roman" w:hAnsi="Times New Roman"/>
          <w:sz w:val="24"/>
          <w:szCs w:val="24"/>
        </w:rPr>
        <w:t xml:space="preserve"> Daniel S. Andrews</w:t>
      </w:r>
    </w:p>
    <w:p w14:paraId="4727AA81" w14:textId="77777777" w:rsidR="00062E28" w:rsidRDefault="00062E28" w:rsidP="00062E28">
      <w:pPr>
        <w:pStyle w:val="PlainText"/>
        <w:spacing w:line="480" w:lineRule="auto"/>
        <w:jc w:val="center"/>
        <w:rPr>
          <w:rFonts w:ascii="Times New Roman" w:hAnsi="Times New Roman"/>
          <w:sz w:val="24"/>
          <w:szCs w:val="24"/>
        </w:rPr>
      </w:pPr>
      <w:r w:rsidRPr="00196742">
        <w:rPr>
          <w:rFonts w:ascii="Times New Roman" w:hAnsi="Times New Roman"/>
          <w:sz w:val="24"/>
          <w:szCs w:val="24"/>
        </w:rPr>
        <w:t xml:space="preserve">All rights reserved. </w:t>
      </w:r>
    </w:p>
    <w:p w14:paraId="57C4FB7E" w14:textId="77777777" w:rsidR="00062E28" w:rsidRDefault="00062E28" w:rsidP="00062E28"/>
    <w:p w14:paraId="4BDFF27C" w14:textId="185BAC51" w:rsidR="00062E28" w:rsidRDefault="00062E28">
      <w:pPr>
        <w:widowControl/>
        <w:overflowPunct/>
        <w:autoSpaceDE/>
        <w:autoSpaceDN/>
        <w:adjustRightInd/>
      </w:pPr>
      <w:r>
        <w:br w:type="page"/>
      </w:r>
    </w:p>
    <w:p w14:paraId="772C8C06" w14:textId="77777777" w:rsidR="00C86C79" w:rsidRDefault="00C86C79" w:rsidP="00062E28">
      <w:pPr>
        <w:pStyle w:val="PlainText"/>
        <w:spacing w:line="480" w:lineRule="auto"/>
        <w:jc w:val="center"/>
        <w:rPr>
          <w:rFonts w:ascii="Times New Roman" w:hAnsi="Times New Roman"/>
          <w:sz w:val="24"/>
          <w:szCs w:val="24"/>
        </w:rPr>
      </w:pPr>
    </w:p>
    <w:p w14:paraId="65B97CC4" w14:textId="77777777" w:rsidR="00C86C79" w:rsidRDefault="00C86C79" w:rsidP="00062E28">
      <w:pPr>
        <w:pStyle w:val="PlainText"/>
        <w:spacing w:line="480" w:lineRule="auto"/>
        <w:jc w:val="center"/>
        <w:rPr>
          <w:rFonts w:ascii="Times New Roman" w:hAnsi="Times New Roman"/>
          <w:sz w:val="24"/>
          <w:szCs w:val="24"/>
        </w:rPr>
      </w:pPr>
    </w:p>
    <w:p w14:paraId="15B28A01" w14:textId="77777777" w:rsidR="00C86C79" w:rsidRDefault="00C86C79" w:rsidP="00062E28">
      <w:pPr>
        <w:pStyle w:val="PlainText"/>
        <w:spacing w:line="480" w:lineRule="auto"/>
        <w:jc w:val="center"/>
        <w:rPr>
          <w:rFonts w:ascii="Times New Roman" w:hAnsi="Times New Roman"/>
          <w:sz w:val="24"/>
          <w:szCs w:val="24"/>
        </w:rPr>
      </w:pPr>
    </w:p>
    <w:p w14:paraId="271B2D66" w14:textId="77777777" w:rsidR="00C86C79" w:rsidRDefault="00C86C79" w:rsidP="00062E28">
      <w:pPr>
        <w:pStyle w:val="PlainText"/>
        <w:spacing w:line="480" w:lineRule="auto"/>
        <w:jc w:val="center"/>
        <w:rPr>
          <w:rFonts w:ascii="Times New Roman" w:hAnsi="Times New Roman"/>
          <w:sz w:val="24"/>
          <w:szCs w:val="24"/>
        </w:rPr>
      </w:pPr>
    </w:p>
    <w:p w14:paraId="765C7062" w14:textId="77777777" w:rsidR="00C86C79" w:rsidRDefault="00C86C79" w:rsidP="00062E28">
      <w:pPr>
        <w:pStyle w:val="PlainText"/>
        <w:spacing w:line="480" w:lineRule="auto"/>
        <w:jc w:val="center"/>
        <w:rPr>
          <w:rFonts w:ascii="Times New Roman" w:hAnsi="Times New Roman"/>
          <w:sz w:val="24"/>
          <w:szCs w:val="24"/>
        </w:rPr>
      </w:pPr>
    </w:p>
    <w:p w14:paraId="49AC9F4B" w14:textId="77777777" w:rsidR="00C86C79" w:rsidRDefault="00C86C79" w:rsidP="00062E28">
      <w:pPr>
        <w:pStyle w:val="PlainText"/>
        <w:spacing w:line="480" w:lineRule="auto"/>
        <w:jc w:val="center"/>
        <w:rPr>
          <w:rFonts w:ascii="Times New Roman" w:hAnsi="Times New Roman"/>
          <w:sz w:val="24"/>
          <w:szCs w:val="24"/>
        </w:rPr>
      </w:pPr>
    </w:p>
    <w:p w14:paraId="73E68FFA" w14:textId="77777777" w:rsidR="00C86C79" w:rsidRDefault="00C86C79" w:rsidP="00062E28">
      <w:pPr>
        <w:pStyle w:val="PlainText"/>
        <w:spacing w:line="480" w:lineRule="auto"/>
        <w:jc w:val="center"/>
        <w:rPr>
          <w:rFonts w:ascii="Times New Roman" w:hAnsi="Times New Roman"/>
          <w:sz w:val="24"/>
          <w:szCs w:val="24"/>
        </w:rPr>
      </w:pPr>
    </w:p>
    <w:p w14:paraId="0342B55D" w14:textId="6F2E5D6F" w:rsidR="00062E28" w:rsidRDefault="00062E28" w:rsidP="00062E28">
      <w:pPr>
        <w:pStyle w:val="PlainText"/>
        <w:spacing w:line="480" w:lineRule="auto"/>
        <w:jc w:val="center"/>
        <w:rPr>
          <w:rFonts w:ascii="Times New Roman" w:hAnsi="Times New Roman"/>
          <w:sz w:val="24"/>
          <w:szCs w:val="24"/>
        </w:rPr>
      </w:pPr>
      <w:r w:rsidRPr="00777D6D">
        <w:rPr>
          <w:rFonts w:ascii="Times New Roman" w:hAnsi="Times New Roman"/>
          <w:sz w:val="24"/>
          <w:szCs w:val="24"/>
        </w:rPr>
        <w:t>DEDICATION</w:t>
      </w:r>
    </w:p>
    <w:p w14:paraId="31346E27" w14:textId="23E261E4" w:rsidR="00062E28" w:rsidRPr="00735394" w:rsidRDefault="00062E28" w:rsidP="00062E28">
      <w:pPr>
        <w:pStyle w:val="PlainText"/>
        <w:spacing w:line="480" w:lineRule="auto"/>
        <w:ind w:firstLine="720"/>
        <w:rPr>
          <w:rFonts w:ascii="Times New Roman" w:hAnsi="Times New Roman"/>
          <w:color w:val="FF0000"/>
          <w:sz w:val="24"/>
          <w:szCs w:val="24"/>
        </w:rPr>
      </w:pPr>
      <w:r>
        <w:rPr>
          <w:rFonts w:ascii="Times New Roman" w:hAnsi="Times New Roman"/>
          <w:sz w:val="24"/>
          <w:szCs w:val="24"/>
        </w:rPr>
        <w:t xml:space="preserve">This dissertation is dedicated to my mother, Mary, my father, </w:t>
      </w:r>
      <w:r w:rsidR="003874E4">
        <w:rPr>
          <w:rFonts w:ascii="Times New Roman" w:hAnsi="Times New Roman"/>
          <w:sz w:val="24"/>
          <w:szCs w:val="24"/>
        </w:rPr>
        <w:t>Tim</w:t>
      </w:r>
      <w:r>
        <w:rPr>
          <w:rFonts w:ascii="Times New Roman" w:hAnsi="Times New Roman"/>
          <w:sz w:val="24"/>
          <w:szCs w:val="24"/>
        </w:rPr>
        <w:t xml:space="preserve">, my brothers, </w:t>
      </w:r>
      <w:r w:rsidR="003874E4">
        <w:rPr>
          <w:rFonts w:ascii="Times New Roman" w:hAnsi="Times New Roman"/>
          <w:sz w:val="24"/>
          <w:szCs w:val="24"/>
        </w:rPr>
        <w:t>Tom</w:t>
      </w:r>
      <w:r>
        <w:rPr>
          <w:rFonts w:ascii="Times New Roman" w:hAnsi="Times New Roman"/>
          <w:sz w:val="24"/>
          <w:szCs w:val="24"/>
        </w:rPr>
        <w:t>, David, Alex, and my sister, Emily, and, most importantly, my better half, Jaclyn Jenkins, for their unconditional love and support. You all played an integral role in this journey – enabling my curiosity and inspiring me to be the best version of myself.</w:t>
      </w:r>
    </w:p>
    <w:p w14:paraId="43729EF1" w14:textId="77777777" w:rsidR="00062E28" w:rsidRDefault="00062E28" w:rsidP="00062E28">
      <w:pPr>
        <w:spacing w:line="480" w:lineRule="auto"/>
        <w:jc w:val="center"/>
        <w:rPr>
          <w:sz w:val="24"/>
          <w:szCs w:val="24"/>
        </w:rPr>
      </w:pPr>
    </w:p>
    <w:p w14:paraId="1F486D0D" w14:textId="77777777" w:rsidR="00062E28" w:rsidRDefault="00062E28" w:rsidP="00062E28"/>
    <w:p w14:paraId="0FEE62CA" w14:textId="5646A8EE" w:rsidR="00062E28" w:rsidRDefault="00062E28">
      <w:pPr>
        <w:widowControl/>
        <w:overflowPunct/>
        <w:autoSpaceDE/>
        <w:autoSpaceDN/>
        <w:adjustRightInd/>
      </w:pPr>
      <w:r>
        <w:br w:type="page"/>
      </w:r>
    </w:p>
    <w:p w14:paraId="33B5926A" w14:textId="77777777" w:rsidR="00062E28" w:rsidRDefault="00062E28" w:rsidP="00062E28">
      <w:pPr>
        <w:pStyle w:val="PlainText"/>
        <w:spacing w:line="480" w:lineRule="auto"/>
        <w:jc w:val="center"/>
        <w:rPr>
          <w:rFonts w:ascii="Times New Roman" w:hAnsi="Times New Roman"/>
          <w:sz w:val="24"/>
          <w:szCs w:val="24"/>
        </w:rPr>
      </w:pPr>
      <w:r>
        <w:rPr>
          <w:rFonts w:ascii="Times New Roman" w:hAnsi="Times New Roman"/>
          <w:sz w:val="24"/>
          <w:szCs w:val="24"/>
        </w:rPr>
        <w:lastRenderedPageBreak/>
        <w:t>ACKNOWLEDGMENTS</w:t>
      </w:r>
    </w:p>
    <w:p w14:paraId="57BEC659" w14:textId="345C0148" w:rsidR="00062E28" w:rsidRPr="00835BA3" w:rsidRDefault="00062E28" w:rsidP="00062E28">
      <w:pPr>
        <w:pStyle w:val="PlainText"/>
        <w:spacing w:line="480" w:lineRule="auto"/>
        <w:rPr>
          <w:rFonts w:ascii="Times New Roman" w:hAnsi="Times New Roman"/>
          <w:color w:val="000000"/>
          <w:sz w:val="24"/>
          <w:szCs w:val="24"/>
        </w:rPr>
      </w:pPr>
      <w:r>
        <w:rPr>
          <w:rFonts w:ascii="Times New Roman" w:hAnsi="Times New Roman"/>
          <w:sz w:val="24"/>
          <w:szCs w:val="24"/>
        </w:rPr>
        <w:tab/>
      </w:r>
      <w:r w:rsidRPr="00835BA3">
        <w:rPr>
          <w:rFonts w:ascii="Times New Roman" w:hAnsi="Times New Roman"/>
          <w:color w:val="000000"/>
          <w:sz w:val="24"/>
          <w:szCs w:val="24"/>
        </w:rPr>
        <w:t xml:space="preserve">This dissertation and my doctoral education were made possible and have benefited from the support of many people. First, I would like to express my utmost gratitude to Dr. Stav Fainshmidt, who has been my advisor, dissertation chair, and, </w:t>
      </w:r>
      <w:r>
        <w:rPr>
          <w:rFonts w:ascii="Times New Roman" w:hAnsi="Times New Roman"/>
          <w:color w:val="000000"/>
          <w:sz w:val="24"/>
          <w:szCs w:val="24"/>
        </w:rPr>
        <w:t>frankly</w:t>
      </w:r>
      <w:r w:rsidRPr="00835BA3">
        <w:rPr>
          <w:rFonts w:ascii="Times New Roman" w:hAnsi="Times New Roman"/>
          <w:color w:val="000000"/>
          <w:sz w:val="24"/>
          <w:szCs w:val="24"/>
        </w:rPr>
        <w:t xml:space="preserve">, my best friend throughout this journey. Stav not only was an excellent teacher but also instilled strong professional values, provided unwavering guidance and support, and </w:t>
      </w:r>
      <w:r>
        <w:rPr>
          <w:rFonts w:ascii="Times New Roman" w:hAnsi="Times New Roman"/>
          <w:color w:val="000000"/>
          <w:sz w:val="24"/>
          <w:szCs w:val="24"/>
        </w:rPr>
        <w:t>nurtured</w:t>
      </w:r>
      <w:r w:rsidRPr="00835BA3">
        <w:rPr>
          <w:rFonts w:ascii="Times New Roman" w:hAnsi="Times New Roman"/>
          <w:color w:val="000000"/>
          <w:sz w:val="24"/>
          <w:szCs w:val="24"/>
        </w:rPr>
        <w:t xml:space="preserve"> </w:t>
      </w:r>
      <w:r>
        <w:rPr>
          <w:rFonts w:ascii="Times New Roman" w:hAnsi="Times New Roman"/>
          <w:color w:val="000000"/>
          <w:sz w:val="24"/>
          <w:szCs w:val="24"/>
        </w:rPr>
        <w:t>my</w:t>
      </w:r>
      <w:r w:rsidRPr="00835BA3">
        <w:rPr>
          <w:rFonts w:ascii="Times New Roman" w:hAnsi="Times New Roman"/>
          <w:color w:val="000000"/>
          <w:sz w:val="24"/>
          <w:szCs w:val="24"/>
        </w:rPr>
        <w:t xml:space="preserve"> sense of curiosity. </w:t>
      </w:r>
      <w:r>
        <w:rPr>
          <w:rFonts w:ascii="Times New Roman" w:hAnsi="Times New Roman"/>
          <w:color w:val="000000"/>
          <w:sz w:val="24"/>
          <w:szCs w:val="24"/>
        </w:rPr>
        <w:t xml:space="preserve">Above all else, he is a </w:t>
      </w:r>
      <w:r w:rsidRPr="00835BA3">
        <w:rPr>
          <w:rFonts w:ascii="Times New Roman" w:hAnsi="Times New Roman"/>
          <w:color w:val="000000"/>
          <w:sz w:val="24"/>
          <w:szCs w:val="24"/>
        </w:rPr>
        <w:t>great friend</w:t>
      </w:r>
      <w:r>
        <w:rPr>
          <w:rFonts w:ascii="Times New Roman" w:hAnsi="Times New Roman"/>
          <w:color w:val="000000"/>
          <w:sz w:val="24"/>
          <w:szCs w:val="24"/>
        </w:rPr>
        <w:t xml:space="preserve"> – </w:t>
      </w:r>
      <w:r w:rsidRPr="00835BA3">
        <w:rPr>
          <w:rFonts w:ascii="Times New Roman" w:hAnsi="Times New Roman"/>
          <w:color w:val="000000"/>
          <w:sz w:val="24"/>
          <w:szCs w:val="24"/>
        </w:rPr>
        <w:t>investing substantial time in my personal growth and addressing challenges that arose</w:t>
      </w:r>
      <w:r w:rsidR="0003381D">
        <w:rPr>
          <w:rFonts w:ascii="Times New Roman" w:hAnsi="Times New Roman"/>
          <w:color w:val="000000"/>
          <w:sz w:val="24"/>
          <w:szCs w:val="24"/>
        </w:rPr>
        <w:t xml:space="preserve"> within and</w:t>
      </w:r>
      <w:r w:rsidRPr="00835BA3">
        <w:rPr>
          <w:rFonts w:ascii="Times New Roman" w:hAnsi="Times New Roman"/>
          <w:color w:val="000000"/>
          <w:sz w:val="24"/>
          <w:szCs w:val="24"/>
        </w:rPr>
        <w:t xml:space="preserve"> beyond the academic sphere.  His commitment to my success is humbling in the truest of sense. I was </w:t>
      </w:r>
      <w:r>
        <w:rPr>
          <w:rFonts w:ascii="Times New Roman" w:hAnsi="Times New Roman"/>
          <w:color w:val="000000"/>
          <w:sz w:val="24"/>
          <w:szCs w:val="24"/>
        </w:rPr>
        <w:t>and will always be</w:t>
      </w:r>
      <w:r w:rsidRPr="00835BA3">
        <w:rPr>
          <w:rFonts w:ascii="Times New Roman" w:hAnsi="Times New Roman"/>
          <w:color w:val="000000"/>
          <w:sz w:val="24"/>
          <w:szCs w:val="24"/>
        </w:rPr>
        <w:t xml:space="preserve"> fortunate to have worked with him, and words cannot adequately express my thanks for both he and </w:t>
      </w:r>
      <w:r w:rsidR="00E577B7">
        <w:rPr>
          <w:rFonts w:ascii="Times New Roman" w:hAnsi="Times New Roman"/>
          <w:color w:val="000000"/>
          <w:sz w:val="24"/>
          <w:szCs w:val="24"/>
        </w:rPr>
        <w:t>his wife, Casey.</w:t>
      </w:r>
      <w:r>
        <w:rPr>
          <w:rFonts w:ascii="Times New Roman" w:hAnsi="Times New Roman"/>
          <w:color w:val="000000"/>
          <w:sz w:val="24"/>
          <w:szCs w:val="24"/>
        </w:rPr>
        <w:t xml:space="preserve"> </w:t>
      </w:r>
    </w:p>
    <w:p w14:paraId="4CCC1601" w14:textId="256F5056" w:rsidR="00062E28" w:rsidRDefault="00062E28" w:rsidP="00062E28">
      <w:pPr>
        <w:pStyle w:val="PlainText"/>
        <w:spacing w:line="480" w:lineRule="auto"/>
        <w:rPr>
          <w:rFonts w:ascii="Times New Roman" w:hAnsi="Times New Roman"/>
          <w:color w:val="000000"/>
          <w:sz w:val="24"/>
          <w:szCs w:val="24"/>
        </w:rPr>
      </w:pPr>
      <w:r w:rsidRPr="00835BA3">
        <w:rPr>
          <w:rFonts w:ascii="Times New Roman" w:hAnsi="Times New Roman"/>
          <w:color w:val="000000"/>
          <w:sz w:val="24"/>
          <w:szCs w:val="24"/>
        </w:rPr>
        <w:tab/>
        <w:t xml:space="preserve">I also want to thank </w:t>
      </w:r>
      <w:r>
        <w:rPr>
          <w:rFonts w:ascii="Times New Roman" w:hAnsi="Times New Roman"/>
          <w:color w:val="000000"/>
          <w:sz w:val="24"/>
          <w:szCs w:val="24"/>
        </w:rPr>
        <w:t xml:space="preserve">my exceptional committee members. </w:t>
      </w:r>
      <w:r w:rsidRPr="00835BA3">
        <w:rPr>
          <w:rFonts w:ascii="Times New Roman" w:hAnsi="Times New Roman"/>
          <w:color w:val="000000"/>
          <w:sz w:val="24"/>
          <w:szCs w:val="24"/>
        </w:rPr>
        <w:t xml:space="preserve">Dr. William Newburry </w:t>
      </w:r>
      <w:r>
        <w:rPr>
          <w:rFonts w:ascii="Times New Roman" w:hAnsi="Times New Roman"/>
          <w:color w:val="000000"/>
          <w:sz w:val="24"/>
          <w:szCs w:val="24"/>
        </w:rPr>
        <w:t xml:space="preserve">was the initial reason I joined Florida International University (FIU) and later found a passion for academia. Without Dr. Newburry, I likely would not have embarked on this journey. Dr. Ronaldo Parente has played an instrumental role in my growth in the broader academic community. He was the bridge that connected me to a global community of scholars, some of whom later became my co-authors and dearest friends. Dr. Sumit Kundu has been generous with his time and effort, providing his undivided attention at a moment’s notice. He was exemplary in demonstrating how not only to be a good scholar but an even better colleague. </w:t>
      </w:r>
      <w:r w:rsidR="00A00D1C">
        <w:rPr>
          <w:rFonts w:ascii="Times New Roman" w:hAnsi="Times New Roman"/>
          <w:color w:val="000000"/>
          <w:sz w:val="24"/>
          <w:szCs w:val="24"/>
        </w:rPr>
        <w:t xml:space="preserve">I am especially grateful for Dr. Arun Kumaraswamy. He served as my Doctoral Program Coordinator for the better part of this journey. He invested substantial time in my growth and was genuinely committed to all that I undertook. His unparalleled humility is a trait that I admire </w:t>
      </w:r>
      <w:r w:rsidR="003E5CA7">
        <w:rPr>
          <w:rFonts w:ascii="Times New Roman" w:hAnsi="Times New Roman"/>
          <w:color w:val="000000"/>
          <w:sz w:val="24"/>
          <w:szCs w:val="24"/>
        </w:rPr>
        <w:t xml:space="preserve">and hope to emulate </w:t>
      </w:r>
      <w:r w:rsidR="003E5CA7">
        <w:rPr>
          <w:rFonts w:ascii="Times New Roman" w:hAnsi="Times New Roman"/>
          <w:color w:val="000000"/>
          <w:sz w:val="24"/>
          <w:szCs w:val="24"/>
        </w:rPr>
        <w:lastRenderedPageBreak/>
        <w:t>throughout my career</w:t>
      </w:r>
      <w:r w:rsidR="00A00D1C">
        <w:rPr>
          <w:rFonts w:ascii="Times New Roman" w:hAnsi="Times New Roman"/>
          <w:color w:val="000000"/>
          <w:sz w:val="24"/>
          <w:szCs w:val="24"/>
        </w:rPr>
        <w:t xml:space="preserve">. </w:t>
      </w:r>
      <w:r>
        <w:rPr>
          <w:rFonts w:ascii="Times New Roman" w:hAnsi="Times New Roman"/>
          <w:color w:val="000000"/>
          <w:sz w:val="24"/>
          <w:szCs w:val="24"/>
        </w:rPr>
        <w:t xml:space="preserve">Additional thanks to Dr. Nathan Hiller and Dr. Ajai Gaur, from whom I have learned so much. To my </w:t>
      </w:r>
      <w:r w:rsidR="00604487">
        <w:rPr>
          <w:rFonts w:ascii="Times New Roman" w:hAnsi="Times New Roman"/>
          <w:color w:val="000000"/>
          <w:sz w:val="24"/>
          <w:szCs w:val="24"/>
        </w:rPr>
        <w:t>core support system</w:t>
      </w:r>
      <w:r>
        <w:rPr>
          <w:rFonts w:ascii="Times New Roman" w:hAnsi="Times New Roman"/>
          <w:color w:val="000000"/>
          <w:sz w:val="24"/>
          <w:szCs w:val="24"/>
        </w:rPr>
        <w:t xml:space="preserve">: Thank you for empowering me to be the best version of myself. It took a village. </w:t>
      </w:r>
    </w:p>
    <w:p w14:paraId="3F37A357" w14:textId="38FDA79D" w:rsidR="00062E28" w:rsidRDefault="00062E28" w:rsidP="00062E28">
      <w:pPr>
        <w:pStyle w:val="PlainText"/>
        <w:spacing w:line="480" w:lineRule="auto"/>
        <w:rPr>
          <w:rFonts w:ascii="Times New Roman" w:hAnsi="Times New Roman"/>
          <w:color w:val="000000"/>
          <w:sz w:val="24"/>
          <w:szCs w:val="24"/>
        </w:rPr>
      </w:pPr>
      <w:r>
        <w:rPr>
          <w:rFonts w:ascii="Times New Roman" w:hAnsi="Times New Roman"/>
          <w:color w:val="000000"/>
          <w:sz w:val="24"/>
          <w:szCs w:val="24"/>
        </w:rPr>
        <w:tab/>
        <w:t>Many individuals at FIU have contributed to my success, including those faculty members that I have worked or attended seminars with: Dr. Orhun Guildiken, Dr. Mary Ann Von Glinow, Dr. Aya Chacar, and Dr. Hock Peng Sin. I must also give the utmost thanks to Rosa Celluci and Janite Grooms</w:t>
      </w:r>
      <w:r w:rsidR="00D81F15">
        <w:rPr>
          <w:rFonts w:ascii="Times New Roman" w:hAnsi="Times New Roman"/>
          <w:color w:val="000000"/>
          <w:sz w:val="24"/>
          <w:szCs w:val="24"/>
        </w:rPr>
        <w:t xml:space="preserve"> who were always </w:t>
      </w:r>
      <w:r>
        <w:rPr>
          <w:rFonts w:ascii="Times New Roman" w:hAnsi="Times New Roman"/>
          <w:color w:val="000000"/>
          <w:sz w:val="24"/>
          <w:szCs w:val="24"/>
        </w:rPr>
        <w:t>there to support me in my seemingly endless requests</w:t>
      </w:r>
      <w:r w:rsidR="00D81F15">
        <w:rPr>
          <w:rFonts w:ascii="Times New Roman" w:hAnsi="Times New Roman"/>
          <w:color w:val="000000"/>
          <w:sz w:val="24"/>
          <w:szCs w:val="24"/>
        </w:rPr>
        <w:t>.</w:t>
      </w:r>
      <w:r>
        <w:rPr>
          <w:rFonts w:ascii="Times New Roman" w:hAnsi="Times New Roman"/>
          <w:color w:val="000000"/>
          <w:sz w:val="24"/>
          <w:szCs w:val="24"/>
        </w:rPr>
        <w:t xml:space="preserve"> And to my fellow doctoral student</w:t>
      </w:r>
      <w:r w:rsidR="00040A68">
        <w:rPr>
          <w:rFonts w:ascii="Times New Roman" w:hAnsi="Times New Roman"/>
          <w:color w:val="000000"/>
          <w:sz w:val="24"/>
          <w:szCs w:val="24"/>
        </w:rPr>
        <w:t xml:space="preserve"> – </w:t>
      </w:r>
      <w:r>
        <w:rPr>
          <w:rFonts w:ascii="Times New Roman" w:hAnsi="Times New Roman"/>
          <w:color w:val="000000"/>
          <w:sz w:val="24"/>
          <w:szCs w:val="24"/>
        </w:rPr>
        <w:t>Kira Hänsel, Maria Laperia, Magdalena Viktora-Jones, Dasol Sim</w:t>
      </w:r>
      <w:r w:rsidR="00604487">
        <w:rPr>
          <w:rFonts w:ascii="Times New Roman" w:hAnsi="Times New Roman"/>
          <w:color w:val="000000"/>
          <w:sz w:val="24"/>
          <w:szCs w:val="24"/>
        </w:rPr>
        <w:t>, and Le Xu</w:t>
      </w:r>
      <w:r w:rsidR="00040A68">
        <w:rPr>
          <w:rFonts w:ascii="Times New Roman" w:hAnsi="Times New Roman"/>
          <w:color w:val="000000"/>
          <w:sz w:val="24"/>
          <w:szCs w:val="24"/>
        </w:rPr>
        <w:t xml:space="preserve"> – </w:t>
      </w:r>
      <w:r>
        <w:rPr>
          <w:rFonts w:ascii="Times New Roman" w:hAnsi="Times New Roman"/>
          <w:color w:val="000000"/>
          <w:sz w:val="24"/>
          <w:szCs w:val="24"/>
        </w:rPr>
        <w:t>thank you for the friendship and support</w:t>
      </w:r>
      <w:r w:rsidR="00480CFD">
        <w:rPr>
          <w:rFonts w:ascii="Times New Roman" w:hAnsi="Times New Roman"/>
          <w:color w:val="000000"/>
          <w:sz w:val="24"/>
          <w:szCs w:val="24"/>
        </w:rPr>
        <w:t>.</w:t>
      </w:r>
    </w:p>
    <w:p w14:paraId="127EE6BC" w14:textId="46A1C099" w:rsidR="00A00D1C" w:rsidRDefault="00062E28" w:rsidP="006B2062">
      <w:pPr>
        <w:pStyle w:val="PlainText"/>
        <w:spacing w:line="480" w:lineRule="auto"/>
        <w:rPr>
          <w:rFonts w:ascii="Times New Roman" w:hAnsi="Times New Roman"/>
          <w:color w:val="000000"/>
          <w:sz w:val="24"/>
          <w:szCs w:val="24"/>
        </w:rPr>
      </w:pPr>
      <w:r>
        <w:rPr>
          <w:rFonts w:ascii="Times New Roman" w:hAnsi="Times New Roman"/>
          <w:color w:val="000000"/>
          <w:sz w:val="24"/>
          <w:szCs w:val="24"/>
        </w:rPr>
        <w:tab/>
        <w:t xml:space="preserve">To my family, I owe the world to you. Your unconditional love truly has no </w:t>
      </w:r>
      <w:r w:rsidR="00AD5DEC">
        <w:rPr>
          <w:rFonts w:ascii="Times New Roman" w:hAnsi="Times New Roman"/>
          <w:color w:val="000000"/>
          <w:sz w:val="24"/>
          <w:szCs w:val="24"/>
        </w:rPr>
        <w:t>boundaries and</w:t>
      </w:r>
      <w:r w:rsidR="00684A49">
        <w:rPr>
          <w:rFonts w:ascii="Times New Roman" w:hAnsi="Times New Roman"/>
          <w:color w:val="000000"/>
          <w:sz w:val="24"/>
          <w:szCs w:val="24"/>
        </w:rPr>
        <w:t xml:space="preserve"> was a continued source of motivation</w:t>
      </w:r>
      <w:r w:rsidR="009631CB">
        <w:rPr>
          <w:rFonts w:ascii="Times New Roman" w:hAnsi="Times New Roman"/>
          <w:color w:val="000000"/>
          <w:sz w:val="24"/>
          <w:szCs w:val="24"/>
        </w:rPr>
        <w:t xml:space="preserve"> to push myself one step further</w:t>
      </w:r>
      <w:r>
        <w:rPr>
          <w:rFonts w:ascii="Times New Roman" w:hAnsi="Times New Roman"/>
          <w:color w:val="000000"/>
          <w:sz w:val="24"/>
          <w:szCs w:val="24"/>
        </w:rPr>
        <w:t xml:space="preserve">. </w:t>
      </w:r>
      <w:r w:rsidR="00A00D1C">
        <w:rPr>
          <w:rFonts w:ascii="Times New Roman" w:hAnsi="Times New Roman"/>
          <w:color w:val="000000"/>
          <w:sz w:val="24"/>
          <w:szCs w:val="24"/>
        </w:rPr>
        <w:t>I am also grateful to my dearest friends, Jesse Rodriguez, Yvette Morlote, and Cristian Dominguez</w:t>
      </w:r>
      <w:r w:rsidR="00684A49">
        <w:rPr>
          <w:rFonts w:ascii="Times New Roman" w:hAnsi="Times New Roman"/>
          <w:color w:val="000000"/>
          <w:sz w:val="24"/>
          <w:szCs w:val="24"/>
        </w:rPr>
        <w:t xml:space="preserve">: </w:t>
      </w:r>
      <w:r w:rsidR="00A00D1C">
        <w:rPr>
          <w:rFonts w:ascii="Times New Roman" w:hAnsi="Times New Roman"/>
          <w:color w:val="000000"/>
          <w:sz w:val="24"/>
          <w:szCs w:val="24"/>
        </w:rPr>
        <w:t xml:space="preserve">Your friendship is pure, and you have contributed greatly to this journey. </w:t>
      </w:r>
    </w:p>
    <w:p w14:paraId="1C20F167" w14:textId="5AE85D66" w:rsidR="00062E28" w:rsidRDefault="00062E28" w:rsidP="00A00D1C">
      <w:pPr>
        <w:pStyle w:val="PlainText"/>
        <w:spacing w:line="480" w:lineRule="auto"/>
        <w:ind w:firstLine="720"/>
        <w:rPr>
          <w:rFonts w:ascii="Times New Roman" w:hAnsi="Times New Roman"/>
          <w:color w:val="000000"/>
          <w:sz w:val="24"/>
          <w:szCs w:val="24"/>
        </w:rPr>
      </w:pPr>
      <w:r>
        <w:rPr>
          <w:rFonts w:ascii="Times New Roman" w:hAnsi="Times New Roman"/>
          <w:color w:val="000000"/>
          <w:sz w:val="24"/>
          <w:szCs w:val="24"/>
        </w:rPr>
        <w:t xml:space="preserve">Lastly, and most importantly, I thank Jaclyn Jenkins for her love, support, and tolerance. Since day one, you have supported this </w:t>
      </w:r>
      <w:r w:rsidR="00AD5DEC">
        <w:rPr>
          <w:rFonts w:ascii="Times New Roman" w:hAnsi="Times New Roman"/>
          <w:color w:val="000000"/>
          <w:sz w:val="24"/>
          <w:szCs w:val="24"/>
        </w:rPr>
        <w:t>pursuit</w:t>
      </w:r>
      <w:r>
        <w:rPr>
          <w:rFonts w:ascii="Times New Roman" w:hAnsi="Times New Roman"/>
          <w:color w:val="000000"/>
          <w:sz w:val="24"/>
          <w:szCs w:val="24"/>
        </w:rPr>
        <w:t>, being a voice of calmness in times of chaos and giving me light in times of darkness. You are unquestionably my better half, and this journey would have been so much harder without you and Wrigley by my side. This dissertation is devoted to you, all those mentioned here, and those whom I have failed to mention, for you all made this possible. I give my humblest of thanks.</w:t>
      </w:r>
    </w:p>
    <w:p w14:paraId="593F4F1D" w14:textId="77777777" w:rsidR="00026B2B" w:rsidRDefault="00062E28" w:rsidP="00026B2B">
      <w:pPr>
        <w:pStyle w:val="PlainText"/>
        <w:spacing w:line="480" w:lineRule="auto"/>
        <w:ind w:firstLine="720"/>
        <w:rPr>
          <w:rFonts w:ascii="Times New Roman" w:hAnsi="Times New Roman"/>
          <w:color w:val="000000"/>
          <w:sz w:val="24"/>
          <w:szCs w:val="24"/>
        </w:rPr>
        <w:sectPr w:rsidR="00026B2B" w:rsidSect="00062E28">
          <w:headerReference w:type="default" r:id="rId7"/>
          <w:footerReference w:type="even" r:id="rId8"/>
          <w:footerReference w:type="default" r:id="rId9"/>
          <w:pgSz w:w="12240" w:h="15840"/>
          <w:pgMar w:top="1440" w:right="1440" w:bottom="1728" w:left="2160" w:header="720" w:footer="720" w:gutter="0"/>
          <w:pgNumType w:fmt="lowerRoman"/>
          <w:cols w:space="720"/>
          <w:titlePg/>
          <w:docGrid w:linePitch="360"/>
        </w:sectPr>
      </w:pPr>
      <w:r>
        <w:rPr>
          <w:rFonts w:ascii="Times New Roman" w:hAnsi="Times New Roman"/>
          <w:color w:val="000000"/>
          <w:sz w:val="24"/>
          <w:szCs w:val="24"/>
        </w:rPr>
        <w:t>I acknowledge the financial support of the</w:t>
      </w:r>
      <w:r w:rsidR="009631CB">
        <w:rPr>
          <w:rFonts w:ascii="Times New Roman" w:hAnsi="Times New Roman"/>
          <w:color w:val="000000"/>
          <w:sz w:val="24"/>
          <w:szCs w:val="24"/>
        </w:rPr>
        <w:t xml:space="preserve"> Department of International Business and the</w:t>
      </w:r>
      <w:r>
        <w:rPr>
          <w:rFonts w:ascii="Times New Roman" w:hAnsi="Times New Roman"/>
          <w:color w:val="000000"/>
          <w:sz w:val="24"/>
          <w:szCs w:val="24"/>
        </w:rPr>
        <w:t xml:space="preserve"> University Graduate School (UGS) in the form of the Dissertation Evidence Acquisition (DEA) and Dissertation Year Fellowship (DYF).</w:t>
      </w:r>
    </w:p>
    <w:p w14:paraId="09E62576" w14:textId="74B83111" w:rsidR="00062E28" w:rsidRPr="00026B2B" w:rsidRDefault="00062E28" w:rsidP="00026B2B">
      <w:pPr>
        <w:pStyle w:val="PlainText"/>
        <w:spacing w:line="480" w:lineRule="auto"/>
        <w:jc w:val="center"/>
        <w:rPr>
          <w:rFonts w:ascii="Times New Roman" w:hAnsi="Times New Roman"/>
          <w:color w:val="000000" w:themeColor="text1"/>
          <w:kern w:val="28"/>
          <w:sz w:val="24"/>
          <w:szCs w:val="24"/>
        </w:rPr>
      </w:pPr>
      <w:r w:rsidRPr="00026B2B">
        <w:rPr>
          <w:rFonts w:ascii="Times New Roman" w:hAnsi="Times New Roman"/>
          <w:color w:val="000000" w:themeColor="text1"/>
          <w:kern w:val="28"/>
          <w:sz w:val="24"/>
          <w:szCs w:val="24"/>
        </w:rPr>
        <w:lastRenderedPageBreak/>
        <w:t>ABSTRACT OF THE DISSERTATION</w:t>
      </w:r>
    </w:p>
    <w:p w14:paraId="5D37E28D" w14:textId="7B7FB1E1" w:rsidR="00062E28" w:rsidRPr="00BF7AE1" w:rsidRDefault="00D81F15" w:rsidP="00062E28">
      <w:pPr>
        <w:spacing w:line="480" w:lineRule="auto"/>
        <w:jc w:val="center"/>
        <w:rPr>
          <w:color w:val="000000" w:themeColor="text1"/>
          <w:sz w:val="24"/>
          <w:szCs w:val="24"/>
        </w:rPr>
      </w:pPr>
      <w:r w:rsidRPr="00BF7AE1">
        <w:rPr>
          <w:color w:val="000000" w:themeColor="text1"/>
          <w:sz w:val="24"/>
          <w:szCs w:val="24"/>
        </w:rPr>
        <w:t>FOREIGN SUBSIDIARY MANAGEMENT IN THE CONTEMPORARY MULTINATIONAL ENTERPRISE</w:t>
      </w:r>
    </w:p>
    <w:p w14:paraId="43FB2E63" w14:textId="77777777" w:rsidR="00062E28" w:rsidRPr="00BF7AE1" w:rsidRDefault="00062E28" w:rsidP="00062E28">
      <w:pPr>
        <w:spacing w:line="480" w:lineRule="auto"/>
        <w:jc w:val="center"/>
        <w:rPr>
          <w:color w:val="000000" w:themeColor="text1"/>
          <w:sz w:val="24"/>
          <w:szCs w:val="24"/>
        </w:rPr>
      </w:pPr>
      <w:r w:rsidRPr="00BF7AE1">
        <w:rPr>
          <w:color w:val="000000" w:themeColor="text1"/>
          <w:sz w:val="24"/>
          <w:szCs w:val="24"/>
        </w:rPr>
        <w:t>by</w:t>
      </w:r>
    </w:p>
    <w:p w14:paraId="162F6CC6" w14:textId="77777777" w:rsidR="00062E28" w:rsidRPr="00BF7AE1" w:rsidRDefault="00062E28" w:rsidP="00062E28">
      <w:pPr>
        <w:spacing w:line="480" w:lineRule="auto"/>
        <w:jc w:val="center"/>
        <w:rPr>
          <w:color w:val="000000" w:themeColor="text1"/>
          <w:sz w:val="24"/>
          <w:szCs w:val="24"/>
        </w:rPr>
      </w:pPr>
      <w:r w:rsidRPr="00BF7AE1">
        <w:rPr>
          <w:color w:val="000000" w:themeColor="text1"/>
          <w:sz w:val="24"/>
          <w:szCs w:val="24"/>
        </w:rPr>
        <w:t>Daniel S. Andrews</w:t>
      </w:r>
    </w:p>
    <w:p w14:paraId="346CB57B" w14:textId="77777777" w:rsidR="00062E28" w:rsidRPr="00BF7AE1" w:rsidRDefault="00062E28" w:rsidP="00062E28">
      <w:pPr>
        <w:spacing w:line="480" w:lineRule="auto"/>
        <w:jc w:val="center"/>
        <w:rPr>
          <w:color w:val="000000" w:themeColor="text1"/>
          <w:sz w:val="24"/>
          <w:szCs w:val="24"/>
        </w:rPr>
      </w:pPr>
      <w:r w:rsidRPr="00BF7AE1">
        <w:rPr>
          <w:color w:val="000000" w:themeColor="text1"/>
          <w:sz w:val="24"/>
          <w:szCs w:val="24"/>
        </w:rPr>
        <w:t>Florida International University, 2021</w:t>
      </w:r>
    </w:p>
    <w:p w14:paraId="497B0973" w14:textId="77777777" w:rsidR="00062E28" w:rsidRPr="00BF7AE1" w:rsidRDefault="00062E28" w:rsidP="00062E28">
      <w:pPr>
        <w:spacing w:line="480" w:lineRule="auto"/>
        <w:jc w:val="center"/>
        <w:rPr>
          <w:color w:val="000000" w:themeColor="text1"/>
          <w:sz w:val="24"/>
          <w:szCs w:val="24"/>
        </w:rPr>
      </w:pPr>
      <w:r w:rsidRPr="00BF7AE1">
        <w:rPr>
          <w:color w:val="000000" w:themeColor="text1"/>
          <w:sz w:val="24"/>
          <w:szCs w:val="24"/>
        </w:rPr>
        <w:t>Miami, Florida</w:t>
      </w:r>
    </w:p>
    <w:p w14:paraId="10264B7C" w14:textId="77777777" w:rsidR="00062E28" w:rsidRPr="00BF7AE1" w:rsidRDefault="00062E28" w:rsidP="00062E28">
      <w:pPr>
        <w:spacing w:line="480" w:lineRule="auto"/>
        <w:jc w:val="center"/>
        <w:rPr>
          <w:color w:val="000000" w:themeColor="text1"/>
          <w:sz w:val="24"/>
          <w:szCs w:val="24"/>
        </w:rPr>
      </w:pPr>
      <w:r w:rsidRPr="00BF7AE1">
        <w:rPr>
          <w:color w:val="000000" w:themeColor="text1"/>
          <w:sz w:val="24"/>
          <w:szCs w:val="24"/>
        </w:rPr>
        <w:t>Professor Stav Fainshmidt, Co-major Professor</w:t>
      </w:r>
    </w:p>
    <w:p w14:paraId="282A8B32" w14:textId="77777777" w:rsidR="00062E28" w:rsidRPr="00BF7AE1" w:rsidRDefault="00062E28" w:rsidP="00062E28">
      <w:pPr>
        <w:spacing w:line="480" w:lineRule="auto"/>
        <w:jc w:val="center"/>
        <w:rPr>
          <w:color w:val="000000" w:themeColor="text1"/>
          <w:sz w:val="24"/>
          <w:szCs w:val="24"/>
        </w:rPr>
      </w:pPr>
      <w:r w:rsidRPr="00BF7AE1">
        <w:rPr>
          <w:color w:val="000000" w:themeColor="text1"/>
          <w:sz w:val="24"/>
          <w:szCs w:val="24"/>
        </w:rPr>
        <w:t>Professor Ronaldo Parente, Co-major Professor</w:t>
      </w:r>
    </w:p>
    <w:p w14:paraId="0F0AB85C" w14:textId="77777777" w:rsidR="0089280C" w:rsidRPr="0089280C" w:rsidRDefault="0089280C" w:rsidP="0089280C">
      <w:pPr>
        <w:spacing w:line="480" w:lineRule="auto"/>
        <w:rPr>
          <w:color w:val="000000" w:themeColor="text1"/>
          <w:sz w:val="24"/>
          <w:szCs w:val="24"/>
        </w:rPr>
      </w:pPr>
      <w:r w:rsidRPr="0089280C">
        <w:rPr>
          <w:color w:val="000000" w:themeColor="text1"/>
          <w:sz w:val="24"/>
          <w:szCs w:val="24"/>
        </w:rPr>
        <w:t xml:space="preserve">As multinational enterprises (MNEs) expand into foreign markets that are not only heterogeneous but also change in an unsynchronized manner, the locus of strategic decision-making increasingly lies with foreign subsidiaries as a means of coping with complex multinational operations. However, although this shift towards more subsidiary autonomy seemingly represents a key building block of contemporary MNE strategy, existing international business literature offers little theoretical clarity regarding when an MNE’s headquarters will increase levels of autonomy over foreign subsidiary strategic decisions. Moreover, while prior research highlights increased decision-making autonomy as a key driver of subsidiary performance outcomes, several studies point to efficiency- and agency-based problems associated with higher levels of autonomy. </w:t>
      </w:r>
    </w:p>
    <w:p w14:paraId="294F628A" w14:textId="77777777" w:rsidR="0089280C" w:rsidRPr="0089280C" w:rsidRDefault="0089280C" w:rsidP="0089280C">
      <w:pPr>
        <w:spacing w:line="480" w:lineRule="auto"/>
        <w:ind w:firstLine="720"/>
        <w:rPr>
          <w:color w:val="000000" w:themeColor="text1"/>
          <w:sz w:val="24"/>
          <w:szCs w:val="24"/>
        </w:rPr>
      </w:pPr>
      <w:r w:rsidRPr="0089280C">
        <w:rPr>
          <w:color w:val="000000" w:themeColor="text1"/>
          <w:sz w:val="24"/>
          <w:szCs w:val="24"/>
        </w:rPr>
        <w:t xml:space="preserve">Following the predominance of subsidiary-focused research in international business studies over the last two decades, the aforementioned issues have resulted in scholarly calls to better our understanding of foreign subsidiary management by MNE headquarters and more generally revisit the role of MNE headquarters in subsidiary </w:t>
      </w:r>
      <w:r w:rsidRPr="0089280C">
        <w:rPr>
          <w:color w:val="000000" w:themeColor="text1"/>
          <w:sz w:val="24"/>
          <w:szCs w:val="24"/>
        </w:rPr>
        <w:lastRenderedPageBreak/>
        <w:t xml:space="preserve">success. Accordingly, this dissertation aims to propel a more coherent and contextualized understanding of these interrelated and pressing issues, thus advancing theory of MNE strategy and structure. I submit three essays towards that end. </w:t>
      </w:r>
    </w:p>
    <w:p w14:paraId="65840CB1" w14:textId="212723E1" w:rsidR="0089280C" w:rsidRPr="0089280C" w:rsidRDefault="0089280C" w:rsidP="0089280C">
      <w:pPr>
        <w:spacing w:line="480" w:lineRule="auto"/>
        <w:ind w:firstLine="720"/>
        <w:rPr>
          <w:color w:val="000000" w:themeColor="text1"/>
          <w:sz w:val="24"/>
          <w:szCs w:val="24"/>
        </w:rPr>
      </w:pPr>
      <w:r w:rsidRPr="0089280C">
        <w:rPr>
          <w:color w:val="000000" w:themeColor="text1"/>
          <w:sz w:val="24"/>
          <w:szCs w:val="24"/>
        </w:rPr>
        <w:t xml:space="preserve">Specifically, essay one leverages existing empirical evidence to conduct a meta-analysis of foreign subsidiary autonomy determinants, focusing on theoretically relevant conditions shaping the headquarters’ inclination to increase subsidiary autonomy. Essay two offers a more nuanced, contextualized theory of the outcomes of subsidiary autonomy by demonstrating that subsidiaries can innovate without autonomy in specific contextual settings. Finally, essay three assesses the role of the MNE headquarters, relative to other classes of explanatory variables, </w:t>
      </w:r>
      <w:r w:rsidR="001B6714">
        <w:rPr>
          <w:color w:val="000000" w:themeColor="text1"/>
          <w:sz w:val="24"/>
          <w:szCs w:val="24"/>
        </w:rPr>
        <w:t>in</w:t>
      </w:r>
      <w:r w:rsidRPr="0089280C">
        <w:rPr>
          <w:color w:val="000000" w:themeColor="text1"/>
          <w:sz w:val="24"/>
          <w:szCs w:val="24"/>
        </w:rPr>
        <w:t xml:space="preserve"> explaining foreign subsidiary performance differences. The result of these efforts is a more lucid theory of global MNE strategy and structure.</w:t>
      </w:r>
    </w:p>
    <w:p w14:paraId="1BBB27BB" w14:textId="77777777" w:rsidR="00062E28" w:rsidRPr="00BF7AE1" w:rsidRDefault="00062E28" w:rsidP="00062E28">
      <w:pPr>
        <w:spacing w:line="480" w:lineRule="auto"/>
        <w:rPr>
          <w:color w:val="000000" w:themeColor="text1"/>
          <w:sz w:val="24"/>
          <w:szCs w:val="24"/>
        </w:rPr>
      </w:pPr>
    </w:p>
    <w:p w14:paraId="2F1ADF84" w14:textId="77777777" w:rsidR="00026B2B" w:rsidRDefault="00026B2B">
      <w:pPr>
        <w:widowControl/>
        <w:overflowPunct/>
        <w:autoSpaceDE/>
        <w:autoSpaceDN/>
        <w:adjustRightInd/>
        <w:sectPr w:rsidR="00026B2B" w:rsidSect="002A271E">
          <w:pgSz w:w="12240" w:h="15840"/>
          <w:pgMar w:top="1440" w:right="1440" w:bottom="1728" w:left="2160" w:header="720" w:footer="720" w:gutter="0"/>
          <w:pgNumType w:fmt="lowerRoman"/>
          <w:cols w:space="720"/>
          <w:docGrid w:linePitch="360"/>
        </w:sectPr>
      </w:pPr>
    </w:p>
    <w:p w14:paraId="54012057" w14:textId="2DBFB8A2" w:rsidR="00062E28" w:rsidRDefault="00062E28">
      <w:pPr>
        <w:widowControl/>
        <w:overflowPunct/>
        <w:autoSpaceDE/>
        <w:autoSpaceDN/>
        <w:adjustRightInd/>
      </w:pPr>
    </w:p>
    <w:sdt>
      <w:sdtPr>
        <w:rPr>
          <w:rFonts w:ascii="Times New Roman" w:eastAsiaTheme="minorEastAsia" w:hAnsi="Times New Roman" w:cs="Times New Roman"/>
          <w:b w:val="0"/>
          <w:bCs w:val="0"/>
          <w:color w:val="auto"/>
          <w:sz w:val="24"/>
          <w:szCs w:val="24"/>
        </w:rPr>
        <w:id w:val="693272208"/>
        <w:docPartObj>
          <w:docPartGallery w:val="Table of Contents"/>
          <w:docPartUnique/>
        </w:docPartObj>
      </w:sdtPr>
      <w:sdtEndPr/>
      <w:sdtContent>
        <w:p w14:paraId="0888CA4B" w14:textId="5EFA17C8" w:rsidR="00062E28" w:rsidRPr="00C551A0" w:rsidRDefault="00062E28" w:rsidP="00062E28">
          <w:pPr>
            <w:pStyle w:val="TOCHeading"/>
            <w:spacing w:before="0" w:line="240" w:lineRule="auto"/>
            <w:jc w:val="center"/>
            <w:rPr>
              <w:rFonts w:ascii="Times New Roman" w:hAnsi="Times New Roman" w:cs="Times New Roman"/>
              <w:b w:val="0"/>
              <w:color w:val="auto"/>
              <w:sz w:val="24"/>
              <w:szCs w:val="24"/>
            </w:rPr>
          </w:pPr>
          <w:r w:rsidRPr="00C551A0">
            <w:rPr>
              <w:rFonts w:ascii="Times New Roman" w:hAnsi="Times New Roman" w:cs="Times New Roman"/>
              <w:b w:val="0"/>
              <w:color w:val="auto"/>
              <w:sz w:val="24"/>
              <w:szCs w:val="24"/>
            </w:rPr>
            <w:t>TABLE OF CONTENTS</w:t>
          </w:r>
        </w:p>
        <w:p w14:paraId="02C54730" w14:textId="77777777" w:rsidR="00062E28" w:rsidRPr="00C551A0" w:rsidRDefault="00062E28" w:rsidP="00062E28">
          <w:pPr>
            <w:rPr>
              <w:sz w:val="24"/>
              <w:szCs w:val="24"/>
              <w:lang w:eastAsia="ja-JP"/>
            </w:rPr>
          </w:pPr>
        </w:p>
        <w:p w14:paraId="6548A8CB" w14:textId="77777777" w:rsidR="00062E28" w:rsidRDefault="00062E28" w:rsidP="00062E28">
          <w:pPr>
            <w:rPr>
              <w:sz w:val="24"/>
              <w:szCs w:val="24"/>
              <w:lang w:eastAsia="ja-JP"/>
            </w:rPr>
          </w:pPr>
          <w:r w:rsidRPr="00C551A0">
            <w:rPr>
              <w:sz w:val="24"/>
              <w:szCs w:val="24"/>
              <w:lang w:eastAsia="ja-JP"/>
            </w:rPr>
            <w:t xml:space="preserve">CHAPTER               </w:t>
          </w:r>
          <w:r>
            <w:rPr>
              <w:sz w:val="24"/>
              <w:szCs w:val="24"/>
              <w:lang w:eastAsia="ja-JP"/>
            </w:rPr>
            <w:t xml:space="preserve">                     </w:t>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t xml:space="preserve"> </w:t>
          </w:r>
          <w:r w:rsidRPr="00C551A0">
            <w:rPr>
              <w:sz w:val="24"/>
              <w:szCs w:val="24"/>
              <w:lang w:eastAsia="ja-JP"/>
            </w:rPr>
            <w:t>PAGE</w:t>
          </w:r>
        </w:p>
        <w:p w14:paraId="2F8061F8" w14:textId="77777777" w:rsidR="00062E28" w:rsidRPr="00C551A0" w:rsidRDefault="00062E28" w:rsidP="00062E28">
          <w:pPr>
            <w:rPr>
              <w:sz w:val="24"/>
              <w:szCs w:val="24"/>
              <w:lang w:eastAsia="ja-JP"/>
            </w:rPr>
          </w:pPr>
        </w:p>
        <w:p w14:paraId="6B3B38FD" w14:textId="339E2414" w:rsidR="00062E28" w:rsidRPr="00AE31FC" w:rsidRDefault="00062E28" w:rsidP="00062E28">
          <w:pPr>
            <w:pStyle w:val="TOC1"/>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 </w:t>
          </w:r>
          <w:r w:rsidR="00DB7B9A">
            <w:rPr>
              <w:rFonts w:ascii="Times New Roman" w:hAnsi="Times New Roman" w:cs="Times New Roman"/>
              <w:bCs/>
              <w:sz w:val="24"/>
              <w:szCs w:val="24"/>
            </w:rPr>
            <w:t>INTRODUCTION</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p>
        <w:p w14:paraId="7CDCCD24" w14:textId="703F3C57" w:rsidR="00605CFC" w:rsidRPr="00605CFC" w:rsidRDefault="00987264" w:rsidP="00605CFC">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REFERENCES</w:t>
          </w:r>
          <w:r w:rsidR="00605CFC" w:rsidRPr="00C551A0">
            <w:rPr>
              <w:rFonts w:ascii="Times New Roman" w:hAnsi="Times New Roman" w:cs="Times New Roman"/>
              <w:sz w:val="24"/>
              <w:szCs w:val="24"/>
            </w:rPr>
            <w:ptab w:relativeTo="margin" w:alignment="right" w:leader="dot"/>
          </w:r>
          <w:r>
            <w:rPr>
              <w:rFonts w:ascii="Times New Roman" w:hAnsi="Times New Roman" w:cs="Times New Roman"/>
              <w:bCs/>
              <w:sz w:val="24"/>
              <w:szCs w:val="24"/>
            </w:rPr>
            <w:t>4</w:t>
          </w:r>
        </w:p>
        <w:p w14:paraId="4A8EE798" w14:textId="77777777" w:rsidR="00D81F15" w:rsidRDefault="00D81F15" w:rsidP="00062E28">
          <w:pPr>
            <w:pStyle w:val="TOC1"/>
            <w:spacing w:after="0" w:line="240" w:lineRule="auto"/>
            <w:rPr>
              <w:rFonts w:ascii="Times New Roman" w:hAnsi="Times New Roman" w:cs="Times New Roman"/>
              <w:bCs/>
              <w:sz w:val="24"/>
              <w:szCs w:val="24"/>
            </w:rPr>
          </w:pPr>
        </w:p>
        <w:p w14:paraId="5A063034" w14:textId="5F4A9BF2" w:rsidR="00062E28" w:rsidRPr="00AE31FC" w:rsidRDefault="00DB7B9A" w:rsidP="00062E28">
          <w:pPr>
            <w:pStyle w:val="TOC1"/>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II. </w:t>
          </w:r>
          <w:r w:rsidRPr="00AE31FC">
            <w:rPr>
              <w:rFonts w:ascii="Times New Roman" w:hAnsi="Times New Roman" w:cs="Times New Roman"/>
              <w:bCs/>
              <w:sz w:val="24"/>
              <w:szCs w:val="24"/>
            </w:rPr>
            <w:t xml:space="preserve">STRUCTURAL DIFFERENTIATION </w:t>
          </w:r>
          <w:r>
            <w:rPr>
              <w:rFonts w:ascii="Times New Roman" w:hAnsi="Times New Roman" w:cs="Times New Roman"/>
              <w:bCs/>
              <w:sz w:val="24"/>
              <w:szCs w:val="24"/>
            </w:rPr>
            <w:t>W</w:t>
          </w:r>
          <w:r w:rsidRPr="00AE31FC">
            <w:rPr>
              <w:rFonts w:ascii="Times New Roman" w:hAnsi="Times New Roman" w:cs="Times New Roman"/>
              <w:bCs/>
              <w:sz w:val="24"/>
              <w:szCs w:val="24"/>
            </w:rPr>
            <w:t xml:space="preserve">ITHIN </w:t>
          </w:r>
          <w:r>
            <w:rPr>
              <w:rFonts w:ascii="Times New Roman" w:hAnsi="Times New Roman" w:cs="Times New Roman"/>
              <w:bCs/>
              <w:sz w:val="24"/>
              <w:szCs w:val="24"/>
            </w:rPr>
            <w:t>T</w:t>
          </w:r>
          <w:r w:rsidRPr="00AE31FC">
            <w:rPr>
              <w:rFonts w:ascii="Times New Roman" w:hAnsi="Times New Roman" w:cs="Times New Roman"/>
              <w:bCs/>
              <w:sz w:val="24"/>
              <w:szCs w:val="24"/>
            </w:rPr>
            <w:t>HE M</w:t>
          </w:r>
          <w:r>
            <w:rPr>
              <w:rFonts w:ascii="Times New Roman" w:hAnsi="Times New Roman" w:cs="Times New Roman"/>
              <w:bCs/>
              <w:sz w:val="24"/>
              <w:szCs w:val="24"/>
            </w:rPr>
            <w:t>NE</w:t>
          </w:r>
          <w:r w:rsidRPr="00AE31FC">
            <w:rPr>
              <w:rFonts w:ascii="Times New Roman" w:hAnsi="Times New Roman" w:cs="Times New Roman"/>
              <w:bCs/>
              <w:sz w:val="24"/>
              <w:szCs w:val="24"/>
            </w:rPr>
            <w:t xml:space="preserve">: A REVIEW </w:t>
          </w:r>
          <w:r>
            <w:rPr>
              <w:rFonts w:ascii="Times New Roman" w:hAnsi="Times New Roman" w:cs="Times New Roman"/>
              <w:bCs/>
              <w:sz w:val="24"/>
              <w:szCs w:val="24"/>
            </w:rPr>
            <w:t>A</w:t>
          </w:r>
          <w:r w:rsidRPr="00AE31FC">
            <w:rPr>
              <w:rFonts w:ascii="Times New Roman" w:hAnsi="Times New Roman" w:cs="Times New Roman"/>
              <w:bCs/>
              <w:sz w:val="24"/>
              <w:szCs w:val="24"/>
            </w:rPr>
            <w:t>ND META-</w:t>
          </w:r>
          <w:r>
            <w:rPr>
              <w:rFonts w:ascii="Times New Roman" w:hAnsi="Times New Roman" w:cs="Times New Roman"/>
              <w:bCs/>
              <w:sz w:val="24"/>
              <w:szCs w:val="24"/>
            </w:rPr>
            <w:t>A</w:t>
          </w:r>
          <w:r w:rsidRPr="00AE31FC">
            <w:rPr>
              <w:rFonts w:ascii="Times New Roman" w:hAnsi="Times New Roman" w:cs="Times New Roman"/>
              <w:bCs/>
              <w:sz w:val="24"/>
              <w:szCs w:val="24"/>
            </w:rPr>
            <w:t xml:space="preserve">NALYSIS </w:t>
          </w:r>
          <w:r>
            <w:rPr>
              <w:rFonts w:ascii="Times New Roman" w:hAnsi="Times New Roman" w:cs="Times New Roman"/>
              <w:bCs/>
              <w:sz w:val="24"/>
              <w:szCs w:val="24"/>
            </w:rPr>
            <w:t>O</w:t>
          </w:r>
          <w:r w:rsidRPr="00AE31FC">
            <w:rPr>
              <w:rFonts w:ascii="Times New Roman" w:hAnsi="Times New Roman" w:cs="Times New Roman"/>
              <w:bCs/>
              <w:sz w:val="24"/>
              <w:szCs w:val="24"/>
            </w:rPr>
            <w:t>F SUBSIDIARY AUTONOMY</w:t>
          </w:r>
          <w:r w:rsidRPr="00DB7B9A">
            <w:rPr>
              <w:rFonts w:ascii="Times New Roman" w:hAnsi="Times New Roman" w:cs="Times New Roman"/>
              <w:bCs/>
              <w:sz w:val="24"/>
              <w:szCs w:val="24"/>
            </w:rPr>
            <w:t xml:space="preserve"> </w:t>
          </w:r>
          <w:r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6</w:t>
          </w:r>
        </w:p>
        <w:p w14:paraId="3A74231E" w14:textId="52BF095C"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INTRODUCTION</w:t>
          </w:r>
          <w:r w:rsidR="00062E28"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6</w:t>
          </w:r>
        </w:p>
        <w:p w14:paraId="147402C7" w14:textId="2295ED20"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SUBSIDIARY AUTONOMY: THEORETICAL BACKGROUND</w:t>
          </w:r>
          <w:r w:rsidR="00062E28"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9</w:t>
          </w:r>
        </w:p>
        <w:p w14:paraId="419B4DB5" w14:textId="33D090CD" w:rsidR="00062E28" w:rsidRPr="00C551A0" w:rsidRDefault="00D81F15" w:rsidP="00D81F15">
          <w:pPr>
            <w:pStyle w:val="TOC1"/>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ANTECEDENTS OF SUBSIDIARY AUTONOMY: THREE RESEARCH TRADITIONS</w:t>
          </w:r>
          <w:r w:rsidR="00062E28"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2</w:t>
          </w:r>
        </w:p>
        <w:p w14:paraId="7E00E22E" w14:textId="07235159"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Agency theory</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3</w:t>
          </w:r>
        </w:p>
        <w:p w14:paraId="02F1FF38" w14:textId="6BE0C77E"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Institutional theory</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5</w:t>
          </w:r>
        </w:p>
        <w:p w14:paraId="18D8A83D" w14:textId="4D7AE843"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Global strategy</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8</w:t>
          </w:r>
        </w:p>
        <w:p w14:paraId="4ABAFC09" w14:textId="01F95E6A"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METHODOLOGY</w:t>
          </w:r>
          <w:r w:rsidR="00062E28" w:rsidRPr="00C551A0">
            <w:rPr>
              <w:rFonts w:ascii="Times New Roman" w:hAnsi="Times New Roman" w:cs="Times New Roman"/>
              <w:sz w:val="24"/>
              <w:szCs w:val="24"/>
            </w:rPr>
            <w:ptab w:relativeTo="margin" w:alignment="right" w:leader="dot"/>
          </w:r>
          <w:r>
            <w:rPr>
              <w:rFonts w:ascii="Times New Roman" w:hAnsi="Times New Roman" w:cs="Times New Roman"/>
              <w:bCs/>
              <w:sz w:val="24"/>
              <w:szCs w:val="24"/>
            </w:rPr>
            <w:t>2</w:t>
          </w:r>
          <w:r w:rsidR="00EE0A30">
            <w:rPr>
              <w:rFonts w:ascii="Times New Roman" w:hAnsi="Times New Roman" w:cs="Times New Roman"/>
              <w:bCs/>
              <w:sz w:val="24"/>
              <w:szCs w:val="24"/>
            </w:rPr>
            <w:t>1</w:t>
          </w:r>
        </w:p>
        <w:p w14:paraId="0263C7E1" w14:textId="7BC6C583"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Sampling procedures</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bCs/>
              <w:sz w:val="24"/>
              <w:szCs w:val="24"/>
            </w:rPr>
            <w:t>2</w:t>
          </w:r>
          <w:r w:rsidR="00EE0A30">
            <w:rPr>
              <w:rFonts w:ascii="Times New Roman" w:hAnsi="Times New Roman" w:cs="Times New Roman"/>
              <w:bCs/>
              <w:sz w:val="24"/>
              <w:szCs w:val="24"/>
            </w:rPr>
            <w:t>1</w:t>
          </w:r>
        </w:p>
        <w:p w14:paraId="48F7B7B6" w14:textId="357C1DF1"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Construct measurement</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bCs/>
              <w:sz w:val="24"/>
              <w:szCs w:val="24"/>
            </w:rPr>
            <w:t>2</w:t>
          </w:r>
          <w:r w:rsidR="00EE0A30">
            <w:rPr>
              <w:rFonts w:ascii="Times New Roman" w:hAnsi="Times New Roman" w:cs="Times New Roman"/>
              <w:bCs/>
              <w:sz w:val="24"/>
              <w:szCs w:val="24"/>
            </w:rPr>
            <w:t>4</w:t>
          </w:r>
        </w:p>
        <w:p w14:paraId="624FAB11" w14:textId="030C7246"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Meta-analytic procedures</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bCs/>
              <w:sz w:val="24"/>
              <w:szCs w:val="24"/>
            </w:rPr>
            <w:t>2</w:t>
          </w:r>
          <w:r w:rsidR="00EE0A30">
            <w:rPr>
              <w:rFonts w:ascii="Times New Roman" w:hAnsi="Times New Roman" w:cs="Times New Roman"/>
              <w:bCs/>
              <w:sz w:val="24"/>
              <w:szCs w:val="24"/>
            </w:rPr>
            <w:t>7</w:t>
          </w:r>
        </w:p>
        <w:p w14:paraId="256295E0" w14:textId="78151A0D"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RESULTS</w:t>
          </w:r>
          <w:r w:rsidR="00062E28"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29</w:t>
          </w:r>
        </w:p>
        <w:p w14:paraId="521C7F07" w14:textId="6B16E0CA"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Additional analyses</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sz w:val="24"/>
              <w:szCs w:val="24"/>
            </w:rPr>
            <w:t>3</w:t>
          </w:r>
          <w:r w:rsidR="00EE0A30">
            <w:rPr>
              <w:rFonts w:ascii="Times New Roman" w:hAnsi="Times New Roman" w:cs="Times New Roman"/>
              <w:sz w:val="24"/>
              <w:szCs w:val="24"/>
            </w:rPr>
            <w:t>1</w:t>
          </w:r>
        </w:p>
        <w:p w14:paraId="2A42026A" w14:textId="7C6CB44F"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FUTURE RESEARCH DIRECTIONS</w:t>
          </w:r>
          <w:r w:rsidR="00062E28" w:rsidRPr="00C551A0">
            <w:rPr>
              <w:rFonts w:ascii="Times New Roman" w:hAnsi="Times New Roman" w:cs="Times New Roman"/>
              <w:sz w:val="24"/>
              <w:szCs w:val="24"/>
            </w:rPr>
            <w:ptab w:relativeTo="margin" w:alignment="right" w:leader="dot"/>
          </w:r>
          <w:r>
            <w:rPr>
              <w:rFonts w:ascii="Times New Roman" w:hAnsi="Times New Roman" w:cs="Times New Roman"/>
              <w:bCs/>
              <w:sz w:val="24"/>
              <w:szCs w:val="24"/>
            </w:rPr>
            <w:t>3</w:t>
          </w:r>
          <w:r w:rsidR="00EE0A30">
            <w:rPr>
              <w:rFonts w:ascii="Times New Roman" w:hAnsi="Times New Roman" w:cs="Times New Roman"/>
              <w:bCs/>
              <w:sz w:val="24"/>
              <w:szCs w:val="24"/>
            </w:rPr>
            <w:t>3</w:t>
          </w:r>
        </w:p>
        <w:p w14:paraId="4163724D" w14:textId="62759362"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Contemporary MNE Structure</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bCs/>
              <w:sz w:val="24"/>
              <w:szCs w:val="24"/>
            </w:rPr>
            <w:t>3</w:t>
          </w:r>
          <w:r w:rsidR="00EE0A30">
            <w:rPr>
              <w:rFonts w:ascii="Times New Roman" w:hAnsi="Times New Roman" w:cs="Times New Roman"/>
              <w:bCs/>
              <w:sz w:val="24"/>
              <w:szCs w:val="24"/>
            </w:rPr>
            <w:t>4</w:t>
          </w:r>
        </w:p>
        <w:p w14:paraId="1F24CCFD" w14:textId="55C45445"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Microfoundations of Autonomy</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bCs/>
              <w:sz w:val="24"/>
              <w:szCs w:val="24"/>
            </w:rPr>
            <w:t>3</w:t>
          </w:r>
          <w:r w:rsidR="00EE0A30">
            <w:rPr>
              <w:rFonts w:ascii="Times New Roman" w:hAnsi="Times New Roman" w:cs="Times New Roman"/>
              <w:bCs/>
              <w:sz w:val="24"/>
              <w:szCs w:val="24"/>
            </w:rPr>
            <w:t>5</w:t>
          </w:r>
        </w:p>
        <w:p w14:paraId="61D8D7A8" w14:textId="5AF1226A"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Contextual importance</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bCs/>
              <w:sz w:val="24"/>
              <w:szCs w:val="24"/>
            </w:rPr>
            <w:t>3</w:t>
          </w:r>
          <w:r w:rsidR="00EE0A30">
            <w:rPr>
              <w:rFonts w:ascii="Times New Roman" w:hAnsi="Times New Roman" w:cs="Times New Roman"/>
              <w:bCs/>
              <w:sz w:val="24"/>
              <w:szCs w:val="24"/>
            </w:rPr>
            <w:t>6</w:t>
          </w:r>
        </w:p>
        <w:p w14:paraId="56D62863" w14:textId="0664090A"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Gestalt-like approach</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bCs/>
              <w:sz w:val="24"/>
              <w:szCs w:val="24"/>
            </w:rPr>
            <w:t>3</w:t>
          </w:r>
          <w:r w:rsidR="00EE0A30">
            <w:rPr>
              <w:rFonts w:ascii="Times New Roman" w:hAnsi="Times New Roman" w:cs="Times New Roman"/>
              <w:bCs/>
              <w:sz w:val="24"/>
              <w:szCs w:val="24"/>
            </w:rPr>
            <w:t>7</w:t>
          </w:r>
        </w:p>
        <w:p w14:paraId="70D84E6E" w14:textId="20942080" w:rsidR="00062E28" w:rsidRPr="00130866"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DISCUSSION</w:t>
          </w:r>
          <w:r w:rsidR="00062E28" w:rsidRPr="00C551A0">
            <w:rPr>
              <w:rFonts w:ascii="Times New Roman" w:hAnsi="Times New Roman" w:cs="Times New Roman"/>
              <w:sz w:val="24"/>
              <w:szCs w:val="24"/>
            </w:rPr>
            <w:ptab w:relativeTo="margin" w:alignment="right" w:leader="dot"/>
          </w:r>
          <w:r>
            <w:rPr>
              <w:rFonts w:ascii="Times New Roman" w:hAnsi="Times New Roman" w:cs="Times New Roman"/>
              <w:bCs/>
              <w:sz w:val="24"/>
              <w:szCs w:val="24"/>
            </w:rPr>
            <w:t>3</w:t>
          </w:r>
          <w:r w:rsidR="00EE0A30">
            <w:rPr>
              <w:rFonts w:ascii="Times New Roman" w:hAnsi="Times New Roman" w:cs="Times New Roman"/>
              <w:bCs/>
              <w:sz w:val="24"/>
              <w:szCs w:val="24"/>
            </w:rPr>
            <w:t>8</w:t>
          </w:r>
        </w:p>
        <w:p w14:paraId="3545C474" w14:textId="06052CDA"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REFERENCES</w:t>
          </w:r>
          <w:r w:rsidR="00062E28" w:rsidRPr="00C551A0">
            <w:rPr>
              <w:rFonts w:ascii="Times New Roman" w:hAnsi="Times New Roman" w:cs="Times New Roman"/>
              <w:sz w:val="24"/>
              <w:szCs w:val="24"/>
            </w:rPr>
            <w:ptab w:relativeTo="margin" w:alignment="right" w:leader="dot"/>
          </w:r>
          <w:r>
            <w:rPr>
              <w:rFonts w:ascii="Times New Roman" w:hAnsi="Times New Roman" w:cs="Times New Roman"/>
              <w:bCs/>
              <w:sz w:val="24"/>
              <w:szCs w:val="24"/>
            </w:rPr>
            <w:t>4</w:t>
          </w:r>
          <w:r w:rsidR="00EE0A30">
            <w:rPr>
              <w:rFonts w:ascii="Times New Roman" w:hAnsi="Times New Roman" w:cs="Times New Roman"/>
              <w:bCs/>
              <w:sz w:val="24"/>
              <w:szCs w:val="24"/>
            </w:rPr>
            <w:t>2</w:t>
          </w:r>
        </w:p>
        <w:p w14:paraId="6B2AF6B6" w14:textId="77777777" w:rsidR="00D81F15" w:rsidRDefault="00D81F15" w:rsidP="00DB7B9A">
          <w:pPr>
            <w:pStyle w:val="TOC1"/>
            <w:rPr>
              <w:rFonts w:ascii="Times New Roman" w:hAnsi="Times New Roman" w:cs="Times New Roman"/>
              <w:bCs/>
              <w:sz w:val="24"/>
              <w:szCs w:val="24"/>
            </w:rPr>
          </w:pPr>
        </w:p>
        <w:p w14:paraId="174E21B4" w14:textId="4D597D6B" w:rsidR="00DB7B9A" w:rsidRPr="00AE31FC" w:rsidRDefault="00DB7B9A" w:rsidP="00DB7B9A">
          <w:pPr>
            <w:pStyle w:val="TOC1"/>
            <w:rPr>
              <w:rFonts w:ascii="Times New Roman" w:hAnsi="Times New Roman" w:cs="Times New Roman"/>
              <w:bCs/>
              <w:sz w:val="24"/>
              <w:szCs w:val="24"/>
            </w:rPr>
          </w:pPr>
          <w:r>
            <w:rPr>
              <w:rFonts w:ascii="Times New Roman" w:hAnsi="Times New Roman" w:cs="Times New Roman"/>
              <w:bCs/>
              <w:sz w:val="24"/>
              <w:szCs w:val="24"/>
            </w:rPr>
            <w:t xml:space="preserve">III. </w:t>
          </w:r>
          <w:r w:rsidRPr="00DB7B9A">
            <w:rPr>
              <w:rFonts w:ascii="Times New Roman" w:hAnsi="Times New Roman" w:cs="Times New Roman"/>
              <w:bCs/>
              <w:sz w:val="24"/>
              <w:szCs w:val="24"/>
            </w:rPr>
            <w:t xml:space="preserve">CONFIGURING </w:t>
          </w:r>
          <w:r>
            <w:rPr>
              <w:rFonts w:ascii="Times New Roman" w:hAnsi="Times New Roman" w:cs="Times New Roman"/>
              <w:bCs/>
              <w:sz w:val="24"/>
              <w:szCs w:val="24"/>
            </w:rPr>
            <w:t>F</w:t>
          </w:r>
          <w:r w:rsidRPr="00DB7B9A">
            <w:rPr>
              <w:rFonts w:ascii="Times New Roman" w:hAnsi="Times New Roman" w:cs="Times New Roman"/>
              <w:bCs/>
              <w:sz w:val="24"/>
              <w:szCs w:val="24"/>
            </w:rPr>
            <w:t xml:space="preserve">OR PRODUCT INNOVATION: A DIFFERENTIATED FIT PERSPECTIVE </w:t>
          </w:r>
          <w:r>
            <w:rPr>
              <w:rFonts w:ascii="Times New Roman" w:hAnsi="Times New Roman" w:cs="Times New Roman"/>
              <w:bCs/>
              <w:sz w:val="24"/>
              <w:szCs w:val="24"/>
            </w:rPr>
            <w:t>O</w:t>
          </w:r>
          <w:r w:rsidRPr="00DB7B9A">
            <w:rPr>
              <w:rFonts w:ascii="Times New Roman" w:hAnsi="Times New Roman" w:cs="Times New Roman"/>
              <w:bCs/>
              <w:sz w:val="24"/>
              <w:szCs w:val="24"/>
            </w:rPr>
            <w:t xml:space="preserve">N FOREIGN SUBSIDIARY AUTONOMY </w:t>
          </w:r>
          <w:r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58</w:t>
          </w:r>
        </w:p>
        <w:p w14:paraId="00CFDFDD" w14:textId="7643D94E"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INTRODUCTION</w:t>
          </w:r>
          <w:r w:rsidR="00062E28"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58</w:t>
          </w:r>
        </w:p>
        <w:p w14:paraId="41CBD150" w14:textId="75917E03"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THEORETICAL FRAMEWORK</w:t>
          </w:r>
          <w:r w:rsidR="00062E28" w:rsidRPr="00C551A0">
            <w:rPr>
              <w:rFonts w:ascii="Times New Roman" w:hAnsi="Times New Roman" w:cs="Times New Roman"/>
              <w:sz w:val="24"/>
              <w:szCs w:val="24"/>
            </w:rPr>
            <w:ptab w:relativeTo="margin" w:alignment="right" w:leader="dot"/>
          </w:r>
          <w:r>
            <w:rPr>
              <w:rFonts w:ascii="Times New Roman" w:hAnsi="Times New Roman" w:cs="Times New Roman"/>
              <w:bCs/>
              <w:sz w:val="24"/>
              <w:szCs w:val="24"/>
            </w:rPr>
            <w:t>6</w:t>
          </w:r>
          <w:r w:rsidR="00EE0A30">
            <w:rPr>
              <w:rFonts w:ascii="Times New Roman" w:hAnsi="Times New Roman" w:cs="Times New Roman"/>
              <w:bCs/>
              <w:sz w:val="24"/>
              <w:szCs w:val="24"/>
            </w:rPr>
            <w:t>1</w:t>
          </w:r>
        </w:p>
        <w:p w14:paraId="4329D476" w14:textId="2A76D6C0"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Foreign subsidiary product innovation</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bCs/>
              <w:sz w:val="24"/>
              <w:szCs w:val="24"/>
            </w:rPr>
            <w:t>6</w:t>
          </w:r>
          <w:r w:rsidR="00EE0A30">
            <w:rPr>
              <w:rFonts w:ascii="Times New Roman" w:hAnsi="Times New Roman" w:cs="Times New Roman"/>
              <w:bCs/>
              <w:sz w:val="24"/>
              <w:szCs w:val="24"/>
            </w:rPr>
            <w:t>1</w:t>
          </w:r>
        </w:p>
        <w:p w14:paraId="36C89579" w14:textId="3C1B8957"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Autonomy: Complementary mechanisms and boundary conditions</w:t>
          </w:r>
          <w:r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63</w:t>
          </w:r>
        </w:p>
        <w:p w14:paraId="481B1E4B" w14:textId="0B6718F3"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HYPOTHESES DEVELOPMENT</w:t>
          </w:r>
          <w:r w:rsidR="00062E28"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66</w:t>
          </w:r>
        </w:p>
        <w:p w14:paraId="53660D32" w14:textId="410CE6DC"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METHODOLOGY</w:t>
          </w:r>
          <w:r w:rsidR="00062E28" w:rsidRPr="00C551A0">
            <w:rPr>
              <w:rFonts w:ascii="Times New Roman" w:hAnsi="Times New Roman" w:cs="Times New Roman"/>
              <w:sz w:val="24"/>
              <w:szCs w:val="24"/>
            </w:rPr>
            <w:ptab w:relativeTo="margin" w:alignment="right" w:leader="dot"/>
          </w:r>
          <w:r>
            <w:rPr>
              <w:rFonts w:ascii="Times New Roman" w:hAnsi="Times New Roman" w:cs="Times New Roman"/>
              <w:bCs/>
              <w:sz w:val="24"/>
              <w:szCs w:val="24"/>
            </w:rPr>
            <w:t>7</w:t>
          </w:r>
          <w:r w:rsidR="00EE0A30">
            <w:rPr>
              <w:rFonts w:ascii="Times New Roman" w:hAnsi="Times New Roman" w:cs="Times New Roman"/>
              <w:bCs/>
              <w:sz w:val="24"/>
              <w:szCs w:val="24"/>
            </w:rPr>
            <w:t>1</w:t>
          </w:r>
        </w:p>
        <w:p w14:paraId="0D150ADD" w14:textId="7B6D25E1" w:rsidR="00062E28" w:rsidRPr="00C551A0" w:rsidRDefault="00062E28" w:rsidP="00062E28">
          <w:pPr>
            <w:pStyle w:val="TOC1"/>
            <w:spacing w:after="0" w:line="240" w:lineRule="auto"/>
            <w:ind w:left="720" w:firstLine="720"/>
            <w:rPr>
              <w:rFonts w:ascii="Times New Roman" w:hAnsi="Times New Roman" w:cs="Times New Roman"/>
              <w:bCs/>
              <w:sz w:val="24"/>
              <w:szCs w:val="24"/>
            </w:rPr>
          </w:pPr>
          <w:r w:rsidRPr="00987264">
            <w:rPr>
              <w:rFonts w:ascii="Times New Roman" w:hAnsi="Times New Roman" w:cs="Times New Roman"/>
              <w:bCs/>
              <w:i/>
              <w:iCs/>
              <w:sz w:val="24"/>
              <w:szCs w:val="24"/>
            </w:rPr>
            <w:t>Data and sample</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bCs/>
              <w:sz w:val="24"/>
              <w:szCs w:val="24"/>
            </w:rPr>
            <w:t>7</w:t>
          </w:r>
          <w:r w:rsidR="00EE0A30">
            <w:rPr>
              <w:rFonts w:ascii="Times New Roman" w:hAnsi="Times New Roman" w:cs="Times New Roman"/>
              <w:bCs/>
              <w:sz w:val="24"/>
              <w:szCs w:val="24"/>
            </w:rPr>
            <w:t>1</w:t>
          </w:r>
        </w:p>
        <w:p w14:paraId="7B4E6FA3" w14:textId="2EEC94AB"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Construct measurement</w:t>
          </w:r>
          <w:r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74</w:t>
          </w:r>
        </w:p>
        <w:p w14:paraId="0B1DB8A1" w14:textId="64DEF708"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Analytical technique</w:t>
          </w:r>
          <w:r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77</w:t>
          </w:r>
        </w:p>
        <w:p w14:paraId="0E40A812" w14:textId="22259F4B"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ANALYSES AND RESULTS</w:t>
          </w:r>
          <w:r w:rsidR="00062E28" w:rsidRPr="00C551A0">
            <w:rPr>
              <w:rFonts w:ascii="Times New Roman" w:hAnsi="Times New Roman" w:cs="Times New Roman"/>
              <w:sz w:val="24"/>
              <w:szCs w:val="24"/>
            </w:rPr>
            <w:ptab w:relativeTo="margin" w:alignment="right" w:leader="dot"/>
          </w:r>
          <w:r>
            <w:rPr>
              <w:rFonts w:ascii="Times New Roman" w:hAnsi="Times New Roman" w:cs="Times New Roman"/>
              <w:bCs/>
              <w:sz w:val="24"/>
              <w:szCs w:val="24"/>
            </w:rPr>
            <w:t>8</w:t>
          </w:r>
          <w:r w:rsidR="00EE0A30">
            <w:rPr>
              <w:rFonts w:ascii="Times New Roman" w:hAnsi="Times New Roman" w:cs="Times New Roman"/>
              <w:bCs/>
              <w:sz w:val="24"/>
              <w:szCs w:val="24"/>
            </w:rPr>
            <w:t>0</w:t>
          </w:r>
        </w:p>
        <w:p w14:paraId="617C7B20" w14:textId="38648680"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Main results</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bCs/>
              <w:sz w:val="24"/>
              <w:szCs w:val="24"/>
            </w:rPr>
            <w:t>8</w:t>
          </w:r>
          <w:r w:rsidR="00EE0A30">
            <w:rPr>
              <w:rFonts w:ascii="Times New Roman" w:hAnsi="Times New Roman" w:cs="Times New Roman"/>
              <w:bCs/>
              <w:sz w:val="24"/>
              <w:szCs w:val="24"/>
            </w:rPr>
            <w:t>1</w:t>
          </w:r>
        </w:p>
        <w:p w14:paraId="7F8C6A7D" w14:textId="433C8034"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lastRenderedPageBreak/>
            <w:t>Additional analyses</w:t>
          </w:r>
          <w:r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83</w:t>
          </w:r>
        </w:p>
        <w:p w14:paraId="48DE44E1" w14:textId="3A3BF90F"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DISCUSSION</w:t>
          </w:r>
          <w:r w:rsidR="00062E28"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87</w:t>
          </w:r>
        </w:p>
        <w:p w14:paraId="1205552A" w14:textId="2B986A76"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Implications for research</w:t>
          </w:r>
          <w:r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88</w:t>
          </w:r>
        </w:p>
        <w:p w14:paraId="71A0F589" w14:textId="43900A5C"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Implications for practice</w:t>
          </w:r>
          <w:r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91</w:t>
          </w:r>
        </w:p>
        <w:p w14:paraId="46F87B56" w14:textId="1F135651"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Limitations and future research</w:t>
          </w:r>
          <w:r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92</w:t>
          </w:r>
        </w:p>
        <w:p w14:paraId="45A061BE" w14:textId="395C5058"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Conclusion</w:t>
          </w:r>
          <w:r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93</w:t>
          </w:r>
        </w:p>
        <w:p w14:paraId="34D28526" w14:textId="235B33B6"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REFERENCES</w:t>
          </w:r>
          <w:r w:rsidR="00062E28" w:rsidRPr="00C551A0">
            <w:rPr>
              <w:rFonts w:ascii="Times New Roman" w:hAnsi="Times New Roman" w:cs="Times New Roman"/>
              <w:sz w:val="24"/>
              <w:szCs w:val="24"/>
            </w:rPr>
            <w:ptab w:relativeTo="margin" w:alignment="right" w:leader="dot"/>
          </w:r>
          <w:r w:rsidR="00EE0A30">
            <w:rPr>
              <w:rFonts w:ascii="Times New Roman" w:hAnsi="Times New Roman" w:cs="Times New Roman"/>
              <w:bCs/>
              <w:sz w:val="24"/>
              <w:szCs w:val="24"/>
            </w:rPr>
            <w:t>95</w:t>
          </w:r>
        </w:p>
        <w:p w14:paraId="35F6B5F6" w14:textId="77777777" w:rsidR="00D81F15" w:rsidRDefault="00D81F15" w:rsidP="00DB7B9A">
          <w:pPr>
            <w:pStyle w:val="TOC1"/>
            <w:rPr>
              <w:rFonts w:ascii="Times New Roman" w:hAnsi="Times New Roman" w:cs="Times New Roman"/>
              <w:bCs/>
              <w:sz w:val="24"/>
              <w:szCs w:val="24"/>
            </w:rPr>
          </w:pPr>
        </w:p>
        <w:p w14:paraId="7601169A" w14:textId="7A0500D3" w:rsidR="00DB7B9A" w:rsidRPr="00DB7B9A" w:rsidRDefault="00DB7B9A" w:rsidP="00DB7B9A">
          <w:pPr>
            <w:pStyle w:val="TOC1"/>
            <w:rPr>
              <w:rFonts w:ascii="Times New Roman" w:hAnsi="Times New Roman" w:cs="Times New Roman"/>
              <w:bCs/>
              <w:sz w:val="24"/>
              <w:szCs w:val="24"/>
            </w:rPr>
          </w:pPr>
          <w:r>
            <w:rPr>
              <w:rFonts w:ascii="Times New Roman" w:hAnsi="Times New Roman" w:cs="Times New Roman"/>
              <w:bCs/>
              <w:sz w:val="24"/>
              <w:szCs w:val="24"/>
            </w:rPr>
            <w:t xml:space="preserve">IV. </w:t>
          </w:r>
          <w:r w:rsidRPr="001D4043">
            <w:rPr>
              <w:rFonts w:ascii="Times New Roman" w:hAnsi="Times New Roman" w:cs="Times New Roman"/>
              <w:bCs/>
              <w:sz w:val="24"/>
              <w:szCs w:val="24"/>
            </w:rPr>
            <w:t xml:space="preserve">HOW MUCH DOES </w:t>
          </w:r>
          <w:r>
            <w:rPr>
              <w:rFonts w:ascii="Times New Roman" w:hAnsi="Times New Roman" w:cs="Times New Roman"/>
              <w:bCs/>
              <w:sz w:val="24"/>
              <w:szCs w:val="24"/>
            </w:rPr>
            <w:t>T</w:t>
          </w:r>
          <w:r w:rsidRPr="001D4043">
            <w:rPr>
              <w:rFonts w:ascii="Times New Roman" w:hAnsi="Times New Roman" w:cs="Times New Roman"/>
              <w:bCs/>
              <w:sz w:val="24"/>
              <w:szCs w:val="24"/>
            </w:rPr>
            <w:t xml:space="preserve">HE MULTINATIONAL ENTERPRISE MATTER </w:t>
          </w:r>
          <w:r>
            <w:rPr>
              <w:rFonts w:ascii="Times New Roman" w:hAnsi="Times New Roman" w:cs="Times New Roman"/>
              <w:bCs/>
              <w:sz w:val="24"/>
              <w:szCs w:val="24"/>
            </w:rPr>
            <w:t>T</w:t>
          </w:r>
          <w:r w:rsidRPr="001D4043">
            <w:rPr>
              <w:rFonts w:ascii="Times New Roman" w:hAnsi="Times New Roman" w:cs="Times New Roman"/>
              <w:bCs/>
              <w:sz w:val="24"/>
              <w:szCs w:val="24"/>
            </w:rPr>
            <w:t>O FOREIGN SUBSIDIARY PERFORMANCE?</w:t>
          </w:r>
          <w:r w:rsidRPr="00C551A0">
            <w:rPr>
              <w:rFonts w:ascii="Times New Roman" w:hAnsi="Times New Roman" w:cs="Times New Roman"/>
              <w:sz w:val="24"/>
              <w:szCs w:val="24"/>
            </w:rPr>
            <w:ptab w:relativeTo="margin" w:alignment="right" w:leader="dot"/>
          </w:r>
          <w:r>
            <w:rPr>
              <w:rFonts w:ascii="Times New Roman" w:hAnsi="Times New Roman" w:cs="Times New Roman"/>
              <w:bCs/>
              <w:sz w:val="24"/>
              <w:szCs w:val="24"/>
            </w:rPr>
            <w:t>1</w:t>
          </w:r>
          <w:r w:rsidR="00EE0A30">
            <w:rPr>
              <w:rFonts w:ascii="Times New Roman" w:hAnsi="Times New Roman" w:cs="Times New Roman"/>
              <w:bCs/>
              <w:sz w:val="24"/>
              <w:szCs w:val="24"/>
            </w:rPr>
            <w:t>09</w:t>
          </w:r>
        </w:p>
        <w:p w14:paraId="50EB8407" w14:textId="2286CDC5"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INTRODUCTION</w:t>
          </w:r>
          <w:r w:rsidR="00062E28"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09</w:t>
          </w:r>
        </w:p>
        <w:p w14:paraId="7634E5EB" w14:textId="132A9000"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LITERATURE REVIEW</w:t>
          </w:r>
          <w:r w:rsidR="00062E28"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13</w:t>
          </w:r>
        </w:p>
        <w:p w14:paraId="66655F5B" w14:textId="667BD16C" w:rsidR="00062E28" w:rsidRPr="00C551A0" w:rsidRDefault="00062E28" w:rsidP="00062E28">
          <w:pPr>
            <w:pStyle w:val="TOC1"/>
            <w:spacing w:after="0" w:line="240" w:lineRule="auto"/>
            <w:ind w:left="1440"/>
            <w:rPr>
              <w:rFonts w:ascii="Times New Roman" w:hAnsi="Times New Roman" w:cs="Times New Roman"/>
              <w:sz w:val="24"/>
              <w:szCs w:val="24"/>
            </w:rPr>
          </w:pPr>
          <w:r w:rsidRPr="00987264">
            <w:rPr>
              <w:rFonts w:ascii="Times New Roman" w:hAnsi="Times New Roman" w:cs="Times New Roman"/>
              <w:bCs/>
              <w:i/>
              <w:iCs/>
              <w:sz w:val="24"/>
              <w:szCs w:val="24"/>
            </w:rPr>
            <w:t xml:space="preserve">Foreign subsidiary performance: The dominance of subsidiary-focused </w:t>
          </w:r>
          <w:r w:rsidR="00987264">
            <w:rPr>
              <w:rFonts w:ascii="Times New Roman" w:hAnsi="Times New Roman" w:cs="Times New Roman"/>
              <w:bCs/>
              <w:i/>
              <w:iCs/>
              <w:sz w:val="24"/>
              <w:szCs w:val="24"/>
            </w:rPr>
            <w:t>r</w:t>
          </w:r>
          <w:r w:rsidRPr="00987264">
            <w:rPr>
              <w:rFonts w:ascii="Times New Roman" w:hAnsi="Times New Roman" w:cs="Times New Roman"/>
              <w:bCs/>
              <w:i/>
              <w:iCs/>
              <w:sz w:val="24"/>
              <w:szCs w:val="24"/>
            </w:rPr>
            <w:t>esearch</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13</w:t>
          </w:r>
        </w:p>
        <w:p w14:paraId="5A0810FB" w14:textId="39BDBBF1"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The role of the MNE</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15</w:t>
          </w:r>
        </w:p>
        <w:p w14:paraId="02804EBF" w14:textId="53FCF085"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The relative importance of the MNE and subsidiary effects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18</w:t>
          </w:r>
        </w:p>
        <w:p w14:paraId="0F599589" w14:textId="6F465935"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METHODOLOGY</w:t>
          </w:r>
          <w:r w:rsidR="00062E28"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21</w:t>
          </w:r>
        </w:p>
        <w:p w14:paraId="7ACA5952" w14:textId="7E0CA6C0"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Data and sample</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21</w:t>
          </w:r>
        </w:p>
        <w:p w14:paraId="3FD1AA9B" w14:textId="01AD8593"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Analytical model</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24</w:t>
          </w:r>
        </w:p>
        <w:p w14:paraId="698AD40C" w14:textId="73E779CC"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RESULTS</w:t>
          </w:r>
          <w:r w:rsidR="00062E28"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27</w:t>
          </w:r>
        </w:p>
        <w:p w14:paraId="0DF5C51A" w14:textId="09C2F798"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Post-hoc analyses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28</w:t>
          </w:r>
        </w:p>
        <w:p w14:paraId="289729C6" w14:textId="743F816B"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Sensitivity analyses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31</w:t>
          </w:r>
        </w:p>
        <w:p w14:paraId="4A2A54AA" w14:textId="4CCDB9EF" w:rsidR="00062E28" w:rsidRPr="00C551A0"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DISCUSSION</w:t>
          </w:r>
          <w:r w:rsidR="00062E28"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32</w:t>
          </w:r>
        </w:p>
        <w:p w14:paraId="54FEDF63" w14:textId="28301405"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Implications for research</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33</w:t>
          </w:r>
        </w:p>
        <w:p w14:paraId="50CCCCCE" w14:textId="55D59DE3"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Implications for practice</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37</w:t>
          </w:r>
        </w:p>
        <w:p w14:paraId="5BD9CDA1" w14:textId="6F298AC6" w:rsidR="00062E28" w:rsidRPr="00C551A0" w:rsidRDefault="00062E28" w:rsidP="00062E28">
          <w:pPr>
            <w:pStyle w:val="TOC1"/>
            <w:spacing w:after="0" w:line="240" w:lineRule="auto"/>
            <w:ind w:left="720" w:firstLine="720"/>
            <w:rPr>
              <w:rFonts w:ascii="Times New Roman" w:hAnsi="Times New Roman" w:cs="Times New Roman"/>
              <w:sz w:val="24"/>
              <w:szCs w:val="24"/>
            </w:rPr>
          </w:pPr>
          <w:r w:rsidRPr="00987264">
            <w:rPr>
              <w:rFonts w:ascii="Times New Roman" w:hAnsi="Times New Roman" w:cs="Times New Roman"/>
              <w:bCs/>
              <w:i/>
              <w:iCs/>
              <w:sz w:val="24"/>
              <w:szCs w:val="24"/>
            </w:rPr>
            <w:t>Limitations and future research</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37</w:t>
          </w:r>
        </w:p>
        <w:p w14:paraId="4DB28EAD" w14:textId="35F33901" w:rsidR="00062E28" w:rsidRDefault="00D81F15"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REFERENCES</w:t>
          </w:r>
          <w:r w:rsidR="00062E28"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4</w:t>
          </w:r>
          <w:r w:rsidR="001854FB">
            <w:rPr>
              <w:rFonts w:ascii="Times New Roman" w:hAnsi="Times New Roman" w:cs="Times New Roman"/>
              <w:bCs/>
              <w:sz w:val="24"/>
              <w:szCs w:val="24"/>
            </w:rPr>
            <w:t>0</w:t>
          </w:r>
        </w:p>
      </w:sdtContent>
    </w:sdt>
    <w:p w14:paraId="68983276" w14:textId="77777777" w:rsidR="00D81F15" w:rsidRDefault="00D81F15" w:rsidP="00610751">
      <w:pPr>
        <w:pStyle w:val="TOC1"/>
        <w:spacing w:after="0" w:line="240" w:lineRule="auto"/>
        <w:rPr>
          <w:rFonts w:ascii="Times New Roman" w:hAnsi="Times New Roman" w:cs="Times New Roman"/>
          <w:bCs/>
          <w:sz w:val="24"/>
          <w:szCs w:val="24"/>
        </w:rPr>
      </w:pPr>
    </w:p>
    <w:p w14:paraId="6DF02262" w14:textId="4CA18E30" w:rsidR="00610751" w:rsidRDefault="00D81F15" w:rsidP="00610751">
      <w:pPr>
        <w:pStyle w:val="TOC1"/>
        <w:spacing w:after="0" w:line="240" w:lineRule="auto"/>
        <w:rPr>
          <w:rFonts w:ascii="Times New Roman" w:hAnsi="Times New Roman" w:cs="Times New Roman"/>
          <w:bCs/>
          <w:sz w:val="24"/>
          <w:szCs w:val="24"/>
        </w:rPr>
      </w:pPr>
      <w:r>
        <w:rPr>
          <w:rFonts w:ascii="Times New Roman" w:hAnsi="Times New Roman" w:cs="Times New Roman"/>
          <w:bCs/>
          <w:sz w:val="24"/>
          <w:szCs w:val="24"/>
        </w:rPr>
        <w:t>APPENDIX</w:t>
      </w:r>
      <w:r w:rsidR="00610751"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5</w:t>
      </w:r>
      <w:r w:rsidR="001854FB">
        <w:rPr>
          <w:rFonts w:ascii="Times New Roman" w:hAnsi="Times New Roman" w:cs="Times New Roman"/>
          <w:bCs/>
          <w:sz w:val="24"/>
          <w:szCs w:val="24"/>
        </w:rPr>
        <w:t>1</w:t>
      </w:r>
    </w:p>
    <w:p w14:paraId="4AF1F7BB" w14:textId="77777777" w:rsidR="00D81F15" w:rsidRDefault="00D81F15" w:rsidP="00610751">
      <w:pPr>
        <w:pStyle w:val="TOC1"/>
        <w:spacing w:after="0" w:line="240" w:lineRule="auto"/>
        <w:rPr>
          <w:rFonts w:ascii="Times New Roman" w:hAnsi="Times New Roman" w:cs="Times New Roman"/>
          <w:bCs/>
          <w:sz w:val="24"/>
          <w:szCs w:val="24"/>
        </w:rPr>
      </w:pPr>
    </w:p>
    <w:p w14:paraId="3DFDAE3C" w14:textId="4FDD9960" w:rsidR="00610751" w:rsidRPr="00C551A0" w:rsidRDefault="00D81F15" w:rsidP="00610751">
      <w:pPr>
        <w:pStyle w:val="TOC1"/>
        <w:spacing w:after="0" w:line="240" w:lineRule="auto"/>
        <w:rPr>
          <w:rFonts w:ascii="Times New Roman" w:hAnsi="Times New Roman" w:cs="Times New Roman"/>
          <w:sz w:val="24"/>
          <w:szCs w:val="24"/>
        </w:rPr>
      </w:pPr>
      <w:r>
        <w:rPr>
          <w:rFonts w:ascii="Times New Roman" w:hAnsi="Times New Roman" w:cs="Times New Roman"/>
          <w:bCs/>
          <w:sz w:val="24"/>
          <w:szCs w:val="24"/>
        </w:rPr>
        <w:t>VITA</w:t>
      </w:r>
      <w:r w:rsidR="00610751"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EE0A30">
        <w:rPr>
          <w:rFonts w:ascii="Times New Roman" w:hAnsi="Times New Roman" w:cs="Times New Roman"/>
          <w:bCs/>
          <w:sz w:val="24"/>
          <w:szCs w:val="24"/>
        </w:rPr>
        <w:t>6</w:t>
      </w:r>
      <w:r w:rsidR="001854FB">
        <w:rPr>
          <w:rFonts w:ascii="Times New Roman" w:hAnsi="Times New Roman" w:cs="Times New Roman"/>
          <w:bCs/>
          <w:sz w:val="24"/>
          <w:szCs w:val="24"/>
        </w:rPr>
        <w:t>1</w:t>
      </w:r>
    </w:p>
    <w:p w14:paraId="5FCFB272" w14:textId="77777777" w:rsidR="00610751" w:rsidRPr="00610751" w:rsidRDefault="00610751" w:rsidP="00610751">
      <w:pPr>
        <w:rPr>
          <w:lang w:eastAsia="ja-JP"/>
        </w:rPr>
      </w:pPr>
    </w:p>
    <w:p w14:paraId="4825D1D8" w14:textId="77777777" w:rsidR="00610751" w:rsidRPr="00610751" w:rsidRDefault="00610751" w:rsidP="00610751">
      <w:pPr>
        <w:rPr>
          <w:lang w:eastAsia="ja-JP"/>
        </w:rPr>
      </w:pPr>
    </w:p>
    <w:p w14:paraId="002717EC" w14:textId="77777777" w:rsidR="00062E28" w:rsidRPr="00C551A0" w:rsidRDefault="00062E28" w:rsidP="00062E28">
      <w:pPr>
        <w:rPr>
          <w:sz w:val="24"/>
          <w:szCs w:val="24"/>
        </w:rPr>
      </w:pPr>
    </w:p>
    <w:p w14:paraId="2421C835" w14:textId="55156991" w:rsidR="00062E28" w:rsidRDefault="00062E28">
      <w:pPr>
        <w:widowControl/>
        <w:overflowPunct/>
        <w:autoSpaceDE/>
        <w:autoSpaceDN/>
        <w:adjustRightInd/>
      </w:pPr>
      <w:r>
        <w:br w:type="page"/>
      </w:r>
    </w:p>
    <w:sdt>
      <w:sdtPr>
        <w:rPr>
          <w:rFonts w:ascii="Times New Roman" w:eastAsiaTheme="minorEastAsia" w:hAnsi="Times New Roman" w:cs="Times New Roman"/>
          <w:b w:val="0"/>
          <w:bCs w:val="0"/>
          <w:color w:val="auto"/>
          <w:sz w:val="24"/>
          <w:szCs w:val="24"/>
        </w:rPr>
        <w:id w:val="1540555836"/>
        <w:docPartObj>
          <w:docPartGallery w:val="Table of Contents"/>
          <w:docPartUnique/>
        </w:docPartObj>
      </w:sdtPr>
      <w:sdtEndPr/>
      <w:sdtContent>
        <w:p w14:paraId="5AFF5864" w14:textId="77777777" w:rsidR="00062E28" w:rsidRPr="00C551A0" w:rsidRDefault="00062E28" w:rsidP="00062E28">
          <w:pPr>
            <w:pStyle w:val="TOCHeading"/>
            <w:spacing w:before="0" w:line="240" w:lineRule="auto"/>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LIST OF TABLES</w:t>
          </w:r>
        </w:p>
        <w:p w14:paraId="10EED24B" w14:textId="77777777" w:rsidR="00062E28" w:rsidRPr="00C551A0" w:rsidRDefault="00062E28" w:rsidP="00062E28">
          <w:pPr>
            <w:rPr>
              <w:sz w:val="24"/>
              <w:szCs w:val="24"/>
              <w:lang w:eastAsia="ja-JP"/>
            </w:rPr>
          </w:pPr>
        </w:p>
        <w:p w14:paraId="3506492F" w14:textId="77777777" w:rsidR="00062E28" w:rsidRDefault="00062E28" w:rsidP="00062E28">
          <w:pPr>
            <w:rPr>
              <w:sz w:val="24"/>
              <w:szCs w:val="24"/>
              <w:lang w:eastAsia="ja-JP"/>
            </w:rPr>
          </w:pPr>
          <w:r>
            <w:rPr>
              <w:sz w:val="24"/>
              <w:szCs w:val="24"/>
              <w:lang w:eastAsia="ja-JP"/>
            </w:rPr>
            <w:t>TABLE</w:t>
          </w:r>
          <w:r w:rsidRPr="00C551A0">
            <w:rPr>
              <w:sz w:val="24"/>
              <w:szCs w:val="24"/>
              <w:lang w:eastAsia="ja-JP"/>
            </w:rPr>
            <w:t xml:space="preserve">               </w:t>
          </w:r>
          <w:r>
            <w:rPr>
              <w:sz w:val="24"/>
              <w:szCs w:val="24"/>
              <w:lang w:eastAsia="ja-JP"/>
            </w:rPr>
            <w:t xml:space="preserve">                     </w:t>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t xml:space="preserve"> </w:t>
          </w:r>
          <w:r w:rsidRPr="00C551A0">
            <w:rPr>
              <w:sz w:val="24"/>
              <w:szCs w:val="24"/>
              <w:lang w:eastAsia="ja-JP"/>
            </w:rPr>
            <w:t>PAGE</w:t>
          </w:r>
        </w:p>
        <w:p w14:paraId="4D3263EB" w14:textId="77777777" w:rsidR="00062E28" w:rsidRPr="00C551A0" w:rsidRDefault="00062E28" w:rsidP="00062E28">
          <w:pPr>
            <w:rPr>
              <w:sz w:val="24"/>
              <w:szCs w:val="24"/>
              <w:lang w:eastAsia="ja-JP"/>
            </w:rPr>
          </w:pPr>
        </w:p>
        <w:p w14:paraId="4C306059" w14:textId="0809F64B" w:rsidR="00062E28" w:rsidRPr="00C551A0" w:rsidRDefault="00062E28" w:rsidP="00062E28">
          <w:pPr>
            <w:pStyle w:val="TOC1"/>
            <w:spacing w:after="0" w:line="240" w:lineRule="auto"/>
            <w:ind w:firstLine="720"/>
            <w:rPr>
              <w:rFonts w:ascii="Times New Roman" w:hAnsi="Times New Roman" w:cs="Times New Roman"/>
              <w:sz w:val="24"/>
              <w:szCs w:val="24"/>
            </w:rPr>
          </w:pPr>
          <w:r w:rsidRPr="005A6FB7">
            <w:rPr>
              <w:rFonts w:ascii="Times New Roman" w:hAnsi="Times New Roman" w:cs="Times New Roman"/>
              <w:bCs/>
              <w:sz w:val="24"/>
              <w:szCs w:val="24"/>
            </w:rPr>
            <w:t xml:space="preserve">Overarching </w:t>
          </w:r>
          <w:r>
            <w:rPr>
              <w:rFonts w:ascii="Times New Roman" w:hAnsi="Times New Roman" w:cs="Times New Roman"/>
              <w:bCs/>
              <w:sz w:val="24"/>
              <w:szCs w:val="24"/>
            </w:rPr>
            <w:t>r</w:t>
          </w:r>
          <w:r w:rsidRPr="005A6FB7">
            <w:rPr>
              <w:rFonts w:ascii="Times New Roman" w:hAnsi="Times New Roman" w:cs="Times New Roman"/>
              <w:bCs/>
              <w:sz w:val="24"/>
              <w:szCs w:val="24"/>
            </w:rPr>
            <w:t xml:space="preserve">esearch </w:t>
          </w:r>
          <w:r>
            <w:rPr>
              <w:rFonts w:ascii="Times New Roman" w:hAnsi="Times New Roman" w:cs="Times New Roman"/>
              <w:bCs/>
              <w:sz w:val="24"/>
              <w:szCs w:val="24"/>
            </w:rPr>
            <w:t>t</w:t>
          </w:r>
          <w:r w:rsidRPr="005A6FB7">
            <w:rPr>
              <w:rFonts w:ascii="Times New Roman" w:hAnsi="Times New Roman" w:cs="Times New Roman"/>
              <w:bCs/>
              <w:sz w:val="24"/>
              <w:szCs w:val="24"/>
            </w:rPr>
            <w:t xml:space="preserve">raditions on the </w:t>
          </w:r>
          <w:r>
            <w:rPr>
              <w:rFonts w:ascii="Times New Roman" w:hAnsi="Times New Roman" w:cs="Times New Roman"/>
              <w:bCs/>
              <w:sz w:val="24"/>
              <w:szCs w:val="24"/>
            </w:rPr>
            <w:t>d</w:t>
          </w:r>
          <w:r w:rsidRPr="005A6FB7">
            <w:rPr>
              <w:rFonts w:ascii="Times New Roman" w:hAnsi="Times New Roman" w:cs="Times New Roman"/>
              <w:bCs/>
              <w:sz w:val="24"/>
              <w:szCs w:val="24"/>
            </w:rPr>
            <w:t xml:space="preserve">rivers of </w:t>
          </w:r>
          <w:r>
            <w:rPr>
              <w:rFonts w:ascii="Times New Roman" w:hAnsi="Times New Roman" w:cs="Times New Roman"/>
              <w:bCs/>
              <w:sz w:val="24"/>
              <w:szCs w:val="24"/>
            </w:rPr>
            <w:t>s</w:t>
          </w:r>
          <w:r w:rsidRPr="005A6FB7">
            <w:rPr>
              <w:rFonts w:ascii="Times New Roman" w:hAnsi="Times New Roman" w:cs="Times New Roman"/>
              <w:bCs/>
              <w:sz w:val="24"/>
              <w:szCs w:val="24"/>
            </w:rPr>
            <w:t xml:space="preserve">ubsidiary </w:t>
          </w:r>
          <w:r>
            <w:rPr>
              <w:rFonts w:ascii="Times New Roman" w:hAnsi="Times New Roman" w:cs="Times New Roman"/>
              <w:bCs/>
              <w:sz w:val="24"/>
              <w:szCs w:val="24"/>
            </w:rPr>
            <w:t>a</w:t>
          </w:r>
          <w:r w:rsidRPr="005A6FB7">
            <w:rPr>
              <w:rFonts w:ascii="Times New Roman" w:hAnsi="Times New Roman" w:cs="Times New Roman"/>
              <w:bCs/>
              <w:sz w:val="24"/>
              <w:szCs w:val="24"/>
            </w:rPr>
            <w:t>utonomy</w:t>
          </w:r>
          <w:r w:rsidRPr="00C551A0">
            <w:rPr>
              <w:rFonts w:ascii="Times New Roman" w:hAnsi="Times New Roman" w:cs="Times New Roman"/>
              <w:sz w:val="24"/>
              <w:szCs w:val="24"/>
            </w:rPr>
            <w:ptab w:relativeTo="margin" w:alignment="right" w:leader="dot"/>
          </w:r>
          <w:r w:rsidR="00165913">
            <w:rPr>
              <w:rFonts w:ascii="Times New Roman" w:hAnsi="Times New Roman" w:cs="Times New Roman"/>
              <w:bCs/>
              <w:sz w:val="24"/>
              <w:szCs w:val="24"/>
            </w:rPr>
            <w:t>54</w:t>
          </w:r>
        </w:p>
        <w:p w14:paraId="445DD2B6"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76ED0CF2" w14:textId="1BC7358B" w:rsidR="00062E28" w:rsidRPr="00C551A0" w:rsidRDefault="00062E28" w:rsidP="00062E28">
          <w:pPr>
            <w:pStyle w:val="TOC1"/>
            <w:spacing w:after="0" w:line="240" w:lineRule="auto"/>
            <w:ind w:firstLine="720"/>
            <w:rPr>
              <w:rFonts w:ascii="Times New Roman" w:hAnsi="Times New Roman" w:cs="Times New Roman"/>
              <w:sz w:val="24"/>
              <w:szCs w:val="24"/>
            </w:rPr>
          </w:pPr>
          <w:r w:rsidRPr="005A6FB7">
            <w:rPr>
              <w:rFonts w:ascii="Times New Roman" w:hAnsi="Times New Roman" w:cs="Times New Roman"/>
              <w:bCs/>
              <w:sz w:val="24"/>
              <w:szCs w:val="24"/>
            </w:rPr>
            <w:t xml:space="preserve">Summary of </w:t>
          </w:r>
          <w:r>
            <w:rPr>
              <w:rFonts w:ascii="Times New Roman" w:hAnsi="Times New Roman" w:cs="Times New Roman"/>
              <w:bCs/>
              <w:sz w:val="24"/>
              <w:szCs w:val="24"/>
            </w:rPr>
            <w:t>m</w:t>
          </w:r>
          <w:r w:rsidRPr="005A6FB7">
            <w:rPr>
              <w:rFonts w:ascii="Times New Roman" w:hAnsi="Times New Roman" w:cs="Times New Roman"/>
              <w:bCs/>
              <w:sz w:val="24"/>
              <w:szCs w:val="24"/>
            </w:rPr>
            <w:t xml:space="preserve">ain </w:t>
          </w:r>
          <w:r>
            <w:rPr>
              <w:rFonts w:ascii="Times New Roman" w:hAnsi="Times New Roman" w:cs="Times New Roman"/>
              <w:bCs/>
              <w:sz w:val="24"/>
              <w:szCs w:val="24"/>
            </w:rPr>
            <w:t>c</w:t>
          </w:r>
          <w:r w:rsidRPr="005A6FB7">
            <w:rPr>
              <w:rFonts w:ascii="Times New Roman" w:hAnsi="Times New Roman" w:cs="Times New Roman"/>
              <w:bCs/>
              <w:sz w:val="24"/>
              <w:szCs w:val="24"/>
            </w:rPr>
            <w:t xml:space="preserve">onstructs </w:t>
          </w:r>
          <w:r>
            <w:rPr>
              <w:rFonts w:ascii="Times New Roman" w:hAnsi="Times New Roman" w:cs="Times New Roman"/>
              <w:bCs/>
              <w:sz w:val="24"/>
              <w:szCs w:val="24"/>
            </w:rPr>
            <w:t>i</w:t>
          </w:r>
          <w:r w:rsidRPr="005A6FB7">
            <w:rPr>
              <w:rFonts w:ascii="Times New Roman" w:hAnsi="Times New Roman" w:cs="Times New Roman"/>
              <w:bCs/>
              <w:sz w:val="24"/>
              <w:szCs w:val="24"/>
            </w:rPr>
            <w:t xml:space="preserve">ncluded in </w:t>
          </w:r>
          <w:r>
            <w:rPr>
              <w:rFonts w:ascii="Times New Roman" w:hAnsi="Times New Roman" w:cs="Times New Roman"/>
              <w:bCs/>
              <w:sz w:val="24"/>
              <w:szCs w:val="24"/>
            </w:rPr>
            <w:t>f</w:t>
          </w:r>
          <w:r w:rsidRPr="005A6FB7">
            <w:rPr>
              <w:rFonts w:ascii="Times New Roman" w:hAnsi="Times New Roman" w:cs="Times New Roman"/>
              <w:bCs/>
              <w:sz w:val="24"/>
              <w:szCs w:val="24"/>
            </w:rPr>
            <w:t xml:space="preserve">inal </w:t>
          </w:r>
          <w:r>
            <w:rPr>
              <w:rFonts w:ascii="Times New Roman" w:hAnsi="Times New Roman" w:cs="Times New Roman"/>
              <w:bCs/>
              <w:sz w:val="24"/>
              <w:szCs w:val="24"/>
            </w:rPr>
            <w:t>s</w:t>
          </w:r>
          <w:r w:rsidRPr="005A6FB7">
            <w:rPr>
              <w:rFonts w:ascii="Times New Roman" w:hAnsi="Times New Roman" w:cs="Times New Roman"/>
              <w:bCs/>
              <w:sz w:val="24"/>
              <w:szCs w:val="24"/>
            </w:rPr>
            <w:t>ample</w:t>
          </w:r>
          <w:r w:rsidRPr="00C551A0">
            <w:rPr>
              <w:rFonts w:ascii="Times New Roman" w:hAnsi="Times New Roman" w:cs="Times New Roman"/>
              <w:sz w:val="24"/>
              <w:szCs w:val="24"/>
            </w:rPr>
            <w:ptab w:relativeTo="margin" w:alignment="right" w:leader="dot"/>
          </w:r>
          <w:r w:rsidR="00165913">
            <w:rPr>
              <w:rFonts w:ascii="Times New Roman" w:hAnsi="Times New Roman" w:cs="Times New Roman"/>
              <w:bCs/>
              <w:sz w:val="24"/>
              <w:szCs w:val="24"/>
            </w:rPr>
            <w:t>55</w:t>
          </w:r>
        </w:p>
        <w:p w14:paraId="0F5FF32B"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7F169F37" w14:textId="5E697951" w:rsidR="00062E28" w:rsidRPr="00C551A0" w:rsidRDefault="00062E28"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HOMA results</w:t>
          </w:r>
          <w:r w:rsidRPr="00C551A0">
            <w:rPr>
              <w:rFonts w:ascii="Times New Roman" w:hAnsi="Times New Roman" w:cs="Times New Roman"/>
              <w:sz w:val="24"/>
              <w:szCs w:val="24"/>
            </w:rPr>
            <w:ptab w:relativeTo="margin" w:alignment="right" w:leader="dot"/>
          </w:r>
          <w:r w:rsidR="00165913">
            <w:rPr>
              <w:rFonts w:ascii="Times New Roman" w:hAnsi="Times New Roman" w:cs="Times New Roman"/>
              <w:bCs/>
              <w:sz w:val="24"/>
              <w:szCs w:val="24"/>
            </w:rPr>
            <w:t>56</w:t>
          </w:r>
        </w:p>
        <w:p w14:paraId="7E0EEEF3"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21E6F233" w14:textId="6F006AD2" w:rsidR="00062E28" w:rsidRPr="00C551A0" w:rsidRDefault="00062E28"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MASEM path model results</w:t>
          </w:r>
          <w:r w:rsidRPr="00C551A0">
            <w:rPr>
              <w:rFonts w:ascii="Times New Roman" w:hAnsi="Times New Roman" w:cs="Times New Roman"/>
              <w:sz w:val="24"/>
              <w:szCs w:val="24"/>
            </w:rPr>
            <w:ptab w:relativeTo="margin" w:alignment="right" w:leader="dot"/>
          </w:r>
          <w:r w:rsidR="00165913">
            <w:rPr>
              <w:rFonts w:ascii="Times New Roman" w:hAnsi="Times New Roman" w:cs="Times New Roman"/>
              <w:bCs/>
              <w:sz w:val="24"/>
              <w:szCs w:val="24"/>
            </w:rPr>
            <w:t>57</w:t>
          </w:r>
        </w:p>
        <w:p w14:paraId="622F6C96"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26255384" w14:textId="1DF1D970" w:rsidR="00062E28" w:rsidRPr="00C551A0" w:rsidRDefault="00062E28"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Descriptive information of cases in data</w:t>
          </w:r>
          <w:r w:rsidRPr="00C551A0">
            <w:rPr>
              <w:rFonts w:ascii="Times New Roman" w:hAnsi="Times New Roman" w:cs="Times New Roman"/>
              <w:sz w:val="24"/>
              <w:szCs w:val="24"/>
            </w:rPr>
            <w:ptab w:relativeTo="margin" w:alignment="right" w:leader="dot"/>
          </w:r>
          <w:r w:rsidR="00DB7B9A">
            <w:rPr>
              <w:rFonts w:ascii="Times New Roman" w:hAnsi="Times New Roman" w:cs="Times New Roman"/>
              <w:bCs/>
              <w:sz w:val="24"/>
              <w:szCs w:val="24"/>
            </w:rPr>
            <w:t>1</w:t>
          </w:r>
          <w:r w:rsidR="00165913">
            <w:rPr>
              <w:rFonts w:ascii="Times New Roman" w:hAnsi="Times New Roman" w:cs="Times New Roman"/>
              <w:bCs/>
              <w:sz w:val="24"/>
              <w:szCs w:val="24"/>
            </w:rPr>
            <w:t>04</w:t>
          </w:r>
        </w:p>
        <w:p w14:paraId="64E8ACD5"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0101BADC" w14:textId="50659A99" w:rsidR="00062E28" w:rsidRPr="00C551A0" w:rsidRDefault="00062E28"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Nested truth table</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06</w:t>
          </w:r>
        </w:p>
        <w:p w14:paraId="76D16109"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3A6A3D79" w14:textId="4D3B4BA2" w:rsidR="00062E28" w:rsidRPr="00C551A0" w:rsidRDefault="00062E28"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Sufficiency analysis results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07</w:t>
          </w:r>
        </w:p>
        <w:p w14:paraId="4EE0CDE1"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18C5239A" w14:textId="598498A5" w:rsidR="00062E28" w:rsidRPr="00C551A0" w:rsidRDefault="00062E28"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Sufficiency analysis results including cultural distance</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08</w:t>
          </w:r>
        </w:p>
        <w:p w14:paraId="3CB2C9D8"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624E3B02" w14:textId="75C1A152" w:rsidR="00062E28" w:rsidRPr="00C551A0" w:rsidRDefault="00062E28" w:rsidP="00062E28">
          <w:pPr>
            <w:pStyle w:val="TOC1"/>
            <w:spacing w:after="0" w:line="240" w:lineRule="auto"/>
            <w:ind w:firstLine="720"/>
            <w:rPr>
              <w:rFonts w:ascii="Times New Roman" w:hAnsi="Times New Roman" w:cs="Times New Roman"/>
              <w:sz w:val="24"/>
              <w:szCs w:val="24"/>
            </w:rPr>
          </w:pPr>
          <w:r w:rsidRPr="005A6FB7">
            <w:rPr>
              <w:rFonts w:ascii="Times New Roman" w:hAnsi="Times New Roman" w:cs="Times New Roman"/>
              <w:bCs/>
              <w:sz w:val="24"/>
              <w:szCs w:val="24"/>
            </w:rPr>
            <w:t xml:space="preserve">Subsidiary and </w:t>
          </w:r>
          <w:r>
            <w:rPr>
              <w:rFonts w:ascii="Times New Roman" w:hAnsi="Times New Roman" w:cs="Times New Roman"/>
              <w:bCs/>
              <w:sz w:val="24"/>
              <w:szCs w:val="24"/>
            </w:rPr>
            <w:t>h</w:t>
          </w:r>
          <w:r w:rsidRPr="005A6FB7">
            <w:rPr>
              <w:rFonts w:ascii="Times New Roman" w:hAnsi="Times New Roman" w:cs="Times New Roman"/>
              <w:bCs/>
              <w:sz w:val="24"/>
              <w:szCs w:val="24"/>
            </w:rPr>
            <w:t xml:space="preserve">eadquarters </w:t>
          </w:r>
          <w:r>
            <w:rPr>
              <w:rFonts w:ascii="Times New Roman" w:hAnsi="Times New Roman" w:cs="Times New Roman"/>
              <w:bCs/>
              <w:sz w:val="24"/>
              <w:szCs w:val="24"/>
            </w:rPr>
            <w:t>e</w:t>
          </w:r>
          <w:r w:rsidRPr="005A6FB7">
            <w:rPr>
              <w:rFonts w:ascii="Times New Roman" w:hAnsi="Times New Roman" w:cs="Times New Roman"/>
              <w:bCs/>
              <w:sz w:val="24"/>
              <w:szCs w:val="24"/>
            </w:rPr>
            <w:t xml:space="preserve">ffect on </w:t>
          </w:r>
          <w:r>
            <w:rPr>
              <w:rFonts w:ascii="Times New Roman" w:hAnsi="Times New Roman" w:cs="Times New Roman"/>
              <w:bCs/>
              <w:sz w:val="24"/>
              <w:szCs w:val="24"/>
            </w:rPr>
            <w:t>s</w:t>
          </w:r>
          <w:r w:rsidRPr="005A6FB7">
            <w:rPr>
              <w:rFonts w:ascii="Times New Roman" w:hAnsi="Times New Roman" w:cs="Times New Roman"/>
              <w:bCs/>
              <w:sz w:val="24"/>
              <w:szCs w:val="24"/>
            </w:rPr>
            <w:t xml:space="preserve">ubsidiary </w:t>
          </w:r>
          <w:r>
            <w:rPr>
              <w:rFonts w:ascii="Times New Roman" w:hAnsi="Times New Roman" w:cs="Times New Roman"/>
              <w:bCs/>
              <w:sz w:val="24"/>
              <w:szCs w:val="24"/>
            </w:rPr>
            <w:t>p</w:t>
          </w:r>
          <w:r w:rsidRPr="005A6FB7">
            <w:rPr>
              <w:rFonts w:ascii="Times New Roman" w:hAnsi="Times New Roman" w:cs="Times New Roman"/>
              <w:bCs/>
              <w:sz w:val="24"/>
              <w:szCs w:val="24"/>
            </w:rPr>
            <w:t>erformance</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4</w:t>
          </w:r>
          <w:r w:rsidR="001854FB">
            <w:rPr>
              <w:rFonts w:ascii="Times New Roman" w:hAnsi="Times New Roman" w:cs="Times New Roman"/>
              <w:bCs/>
              <w:sz w:val="24"/>
              <w:szCs w:val="24"/>
            </w:rPr>
            <w:t>7</w:t>
          </w:r>
        </w:p>
        <w:p w14:paraId="4E6FB34F"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6E3A999C" w14:textId="3B1A3297" w:rsidR="00062E28" w:rsidRPr="00C551A0" w:rsidRDefault="00062E28" w:rsidP="00062E28">
          <w:pPr>
            <w:pStyle w:val="TOC1"/>
            <w:spacing w:after="0" w:line="240" w:lineRule="auto"/>
            <w:ind w:firstLine="720"/>
            <w:rPr>
              <w:rFonts w:ascii="Times New Roman" w:hAnsi="Times New Roman" w:cs="Times New Roman"/>
              <w:sz w:val="24"/>
              <w:szCs w:val="24"/>
            </w:rPr>
          </w:pPr>
          <w:r w:rsidRPr="005A6FB7">
            <w:rPr>
              <w:rFonts w:ascii="Times New Roman" w:hAnsi="Times New Roman" w:cs="Times New Roman"/>
              <w:bCs/>
              <w:sz w:val="24"/>
              <w:szCs w:val="24"/>
            </w:rPr>
            <w:t xml:space="preserve">Variance </w:t>
          </w:r>
          <w:r>
            <w:rPr>
              <w:rFonts w:ascii="Times New Roman" w:hAnsi="Times New Roman" w:cs="Times New Roman"/>
              <w:bCs/>
              <w:sz w:val="24"/>
              <w:szCs w:val="24"/>
            </w:rPr>
            <w:t>d</w:t>
          </w:r>
          <w:r w:rsidRPr="005A6FB7">
            <w:rPr>
              <w:rFonts w:ascii="Times New Roman" w:hAnsi="Times New Roman" w:cs="Times New Roman"/>
              <w:bCs/>
              <w:sz w:val="24"/>
              <w:szCs w:val="24"/>
            </w:rPr>
            <w:t xml:space="preserve">ecomposition </w:t>
          </w:r>
          <w:r>
            <w:rPr>
              <w:rFonts w:ascii="Times New Roman" w:hAnsi="Times New Roman" w:cs="Times New Roman"/>
              <w:bCs/>
              <w:sz w:val="24"/>
              <w:szCs w:val="24"/>
            </w:rPr>
            <w:t>s</w:t>
          </w:r>
          <w:r w:rsidRPr="005A6FB7">
            <w:rPr>
              <w:rFonts w:ascii="Times New Roman" w:hAnsi="Times New Roman" w:cs="Times New Roman"/>
              <w:bCs/>
              <w:sz w:val="24"/>
              <w:szCs w:val="24"/>
            </w:rPr>
            <w:t xml:space="preserve">tudies on </w:t>
          </w:r>
          <w:r>
            <w:rPr>
              <w:rFonts w:ascii="Times New Roman" w:hAnsi="Times New Roman" w:cs="Times New Roman"/>
              <w:bCs/>
              <w:sz w:val="24"/>
              <w:szCs w:val="24"/>
            </w:rPr>
            <w:t>s</w:t>
          </w:r>
          <w:r w:rsidRPr="005A6FB7">
            <w:rPr>
              <w:rFonts w:ascii="Times New Roman" w:hAnsi="Times New Roman" w:cs="Times New Roman"/>
              <w:bCs/>
              <w:sz w:val="24"/>
              <w:szCs w:val="24"/>
            </w:rPr>
            <w:t xml:space="preserve">ubsidiary </w:t>
          </w:r>
          <w:r>
            <w:rPr>
              <w:rFonts w:ascii="Times New Roman" w:hAnsi="Times New Roman" w:cs="Times New Roman"/>
              <w:bCs/>
              <w:sz w:val="24"/>
              <w:szCs w:val="24"/>
            </w:rPr>
            <w:t>p</w:t>
          </w:r>
          <w:r w:rsidRPr="005A6FB7">
            <w:rPr>
              <w:rFonts w:ascii="Times New Roman" w:hAnsi="Times New Roman" w:cs="Times New Roman"/>
              <w:bCs/>
              <w:sz w:val="24"/>
              <w:szCs w:val="24"/>
            </w:rPr>
            <w:t>erformance</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4</w:t>
          </w:r>
          <w:r w:rsidR="001854FB">
            <w:rPr>
              <w:rFonts w:ascii="Times New Roman" w:hAnsi="Times New Roman" w:cs="Times New Roman"/>
              <w:bCs/>
              <w:sz w:val="24"/>
              <w:szCs w:val="24"/>
            </w:rPr>
            <w:t>8</w:t>
          </w:r>
        </w:p>
        <w:p w14:paraId="3A86731A"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5923E65D" w14:textId="444C58BF" w:rsidR="00062E28" w:rsidRPr="00C551A0" w:rsidRDefault="00062E28" w:rsidP="00062E28">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Full sample characteristics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4</w:t>
          </w:r>
          <w:r w:rsidR="001854FB">
            <w:rPr>
              <w:rFonts w:ascii="Times New Roman" w:hAnsi="Times New Roman" w:cs="Times New Roman"/>
              <w:bCs/>
              <w:sz w:val="24"/>
              <w:szCs w:val="24"/>
            </w:rPr>
            <w:t>8</w:t>
          </w:r>
        </w:p>
        <w:p w14:paraId="700CCF8B"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51495ED1" w14:textId="1B8DEF52" w:rsidR="00062E28" w:rsidRPr="00C551A0" w:rsidRDefault="00062E28" w:rsidP="00062E28">
          <w:pPr>
            <w:pStyle w:val="TOC1"/>
            <w:spacing w:after="0" w:line="240" w:lineRule="auto"/>
            <w:ind w:firstLine="720"/>
            <w:rPr>
              <w:rFonts w:ascii="Times New Roman" w:hAnsi="Times New Roman" w:cs="Times New Roman"/>
              <w:sz w:val="24"/>
              <w:szCs w:val="24"/>
            </w:rPr>
          </w:pPr>
          <w:r w:rsidRPr="005A6FB7">
            <w:rPr>
              <w:rFonts w:ascii="Times New Roman" w:hAnsi="Times New Roman" w:cs="Times New Roman"/>
              <w:bCs/>
              <w:sz w:val="24"/>
              <w:szCs w:val="24"/>
            </w:rPr>
            <w:t xml:space="preserve">Variance </w:t>
          </w:r>
          <w:r>
            <w:rPr>
              <w:rFonts w:ascii="Times New Roman" w:hAnsi="Times New Roman" w:cs="Times New Roman"/>
              <w:bCs/>
              <w:sz w:val="24"/>
              <w:szCs w:val="24"/>
            </w:rPr>
            <w:t>d</w:t>
          </w:r>
          <w:r w:rsidRPr="005A6FB7">
            <w:rPr>
              <w:rFonts w:ascii="Times New Roman" w:hAnsi="Times New Roman" w:cs="Times New Roman"/>
              <w:bCs/>
              <w:sz w:val="24"/>
              <w:szCs w:val="24"/>
            </w:rPr>
            <w:t xml:space="preserve">ecomposition </w:t>
          </w:r>
          <w:r>
            <w:rPr>
              <w:rFonts w:ascii="Times New Roman" w:hAnsi="Times New Roman" w:cs="Times New Roman"/>
              <w:bCs/>
              <w:sz w:val="24"/>
              <w:szCs w:val="24"/>
            </w:rPr>
            <w:t>r</w:t>
          </w:r>
          <w:r w:rsidRPr="005A6FB7">
            <w:rPr>
              <w:rFonts w:ascii="Times New Roman" w:hAnsi="Times New Roman" w:cs="Times New Roman"/>
              <w:bCs/>
              <w:sz w:val="24"/>
              <w:szCs w:val="24"/>
            </w:rPr>
            <w:t xml:space="preserve">esults and </w:t>
          </w:r>
          <w:r>
            <w:rPr>
              <w:rFonts w:ascii="Times New Roman" w:hAnsi="Times New Roman" w:cs="Times New Roman"/>
              <w:bCs/>
              <w:sz w:val="24"/>
              <w:szCs w:val="24"/>
            </w:rPr>
            <w:t>c</w:t>
          </w:r>
          <w:r w:rsidRPr="005A6FB7">
            <w:rPr>
              <w:rFonts w:ascii="Times New Roman" w:hAnsi="Times New Roman" w:cs="Times New Roman"/>
              <w:bCs/>
              <w:sz w:val="24"/>
              <w:szCs w:val="24"/>
            </w:rPr>
            <w:t xml:space="preserve">omparison to </w:t>
          </w:r>
          <w:r>
            <w:rPr>
              <w:rFonts w:ascii="Times New Roman" w:hAnsi="Times New Roman" w:cs="Times New Roman"/>
              <w:bCs/>
              <w:sz w:val="24"/>
              <w:szCs w:val="24"/>
            </w:rPr>
            <w:t>r</w:t>
          </w:r>
          <w:r w:rsidRPr="005A6FB7">
            <w:rPr>
              <w:rFonts w:ascii="Times New Roman" w:hAnsi="Times New Roman" w:cs="Times New Roman"/>
              <w:bCs/>
              <w:sz w:val="24"/>
              <w:szCs w:val="24"/>
            </w:rPr>
            <w:t xml:space="preserve">elevant </w:t>
          </w:r>
          <w:r>
            <w:rPr>
              <w:rFonts w:ascii="Times New Roman" w:hAnsi="Times New Roman" w:cs="Times New Roman"/>
              <w:bCs/>
              <w:sz w:val="24"/>
              <w:szCs w:val="24"/>
            </w:rPr>
            <w:t>p</w:t>
          </w:r>
          <w:r w:rsidRPr="005A6FB7">
            <w:rPr>
              <w:rFonts w:ascii="Times New Roman" w:hAnsi="Times New Roman" w:cs="Times New Roman"/>
              <w:bCs/>
              <w:sz w:val="24"/>
              <w:szCs w:val="24"/>
            </w:rPr>
            <w:t xml:space="preserve">ast </w:t>
          </w:r>
          <w:r>
            <w:rPr>
              <w:rFonts w:ascii="Times New Roman" w:hAnsi="Times New Roman" w:cs="Times New Roman"/>
              <w:bCs/>
              <w:sz w:val="24"/>
              <w:szCs w:val="24"/>
            </w:rPr>
            <w:t>s</w:t>
          </w:r>
          <w:r w:rsidRPr="005A6FB7">
            <w:rPr>
              <w:rFonts w:ascii="Times New Roman" w:hAnsi="Times New Roman" w:cs="Times New Roman"/>
              <w:bCs/>
              <w:sz w:val="24"/>
              <w:szCs w:val="24"/>
            </w:rPr>
            <w:t>tudies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854FB">
            <w:rPr>
              <w:rFonts w:ascii="Times New Roman" w:hAnsi="Times New Roman" w:cs="Times New Roman"/>
              <w:bCs/>
              <w:sz w:val="24"/>
              <w:szCs w:val="24"/>
            </w:rPr>
            <w:t>49</w:t>
          </w:r>
        </w:p>
        <w:p w14:paraId="58A37430"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06C75A63" w14:textId="3C9642C1" w:rsidR="00062E28" w:rsidRPr="00C551A0" w:rsidRDefault="00062E28" w:rsidP="00062E28">
          <w:pPr>
            <w:pStyle w:val="TOC1"/>
            <w:spacing w:after="0" w:line="240" w:lineRule="auto"/>
            <w:ind w:firstLine="720"/>
            <w:rPr>
              <w:rFonts w:ascii="Times New Roman" w:hAnsi="Times New Roman" w:cs="Times New Roman"/>
              <w:sz w:val="24"/>
              <w:szCs w:val="24"/>
            </w:rPr>
          </w:pPr>
          <w:r w:rsidRPr="005A6FB7">
            <w:rPr>
              <w:rFonts w:ascii="Times New Roman" w:hAnsi="Times New Roman" w:cs="Times New Roman"/>
              <w:bCs/>
              <w:sz w:val="24"/>
              <w:szCs w:val="24"/>
            </w:rPr>
            <w:t xml:space="preserve">Post-hoc </w:t>
          </w:r>
          <w:r>
            <w:rPr>
              <w:rFonts w:ascii="Times New Roman" w:hAnsi="Times New Roman" w:cs="Times New Roman"/>
              <w:bCs/>
              <w:sz w:val="24"/>
              <w:szCs w:val="24"/>
            </w:rPr>
            <w:t>v</w:t>
          </w:r>
          <w:r w:rsidRPr="005A6FB7">
            <w:rPr>
              <w:rFonts w:ascii="Times New Roman" w:hAnsi="Times New Roman" w:cs="Times New Roman"/>
              <w:bCs/>
              <w:sz w:val="24"/>
              <w:szCs w:val="24"/>
            </w:rPr>
            <w:t xml:space="preserve">ariance </w:t>
          </w:r>
          <w:r>
            <w:rPr>
              <w:rFonts w:ascii="Times New Roman" w:hAnsi="Times New Roman" w:cs="Times New Roman"/>
              <w:bCs/>
              <w:sz w:val="24"/>
              <w:szCs w:val="24"/>
            </w:rPr>
            <w:t>d</w:t>
          </w:r>
          <w:r w:rsidRPr="005A6FB7">
            <w:rPr>
              <w:rFonts w:ascii="Times New Roman" w:hAnsi="Times New Roman" w:cs="Times New Roman"/>
              <w:bCs/>
              <w:sz w:val="24"/>
              <w:szCs w:val="24"/>
            </w:rPr>
            <w:t xml:space="preserve">ecomposition </w:t>
          </w:r>
          <w:r>
            <w:rPr>
              <w:rFonts w:ascii="Times New Roman" w:hAnsi="Times New Roman" w:cs="Times New Roman"/>
              <w:bCs/>
              <w:sz w:val="24"/>
              <w:szCs w:val="24"/>
            </w:rPr>
            <w:t>r</w:t>
          </w:r>
          <w:r w:rsidRPr="005A6FB7">
            <w:rPr>
              <w:rFonts w:ascii="Times New Roman" w:hAnsi="Times New Roman" w:cs="Times New Roman"/>
              <w:bCs/>
              <w:sz w:val="24"/>
              <w:szCs w:val="24"/>
            </w:rPr>
            <w:t>esults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854FB">
            <w:rPr>
              <w:rFonts w:ascii="Times New Roman" w:hAnsi="Times New Roman" w:cs="Times New Roman"/>
              <w:bCs/>
              <w:sz w:val="24"/>
              <w:szCs w:val="24"/>
            </w:rPr>
            <w:t>49</w:t>
          </w:r>
        </w:p>
        <w:p w14:paraId="3F1204E7" w14:textId="77777777" w:rsidR="001854FB" w:rsidRDefault="001854FB" w:rsidP="00062E28">
          <w:pPr>
            <w:pStyle w:val="TOC1"/>
            <w:spacing w:after="0" w:line="240" w:lineRule="auto"/>
            <w:ind w:firstLine="720"/>
            <w:rPr>
              <w:rFonts w:ascii="Times New Roman" w:hAnsi="Times New Roman" w:cs="Times New Roman"/>
              <w:bCs/>
              <w:sz w:val="24"/>
              <w:szCs w:val="24"/>
            </w:rPr>
          </w:pPr>
        </w:p>
        <w:p w14:paraId="28E32F01" w14:textId="68B4E350" w:rsidR="00062E28" w:rsidRPr="00C551A0" w:rsidRDefault="00062E28" w:rsidP="00062E28">
          <w:pPr>
            <w:pStyle w:val="TOC1"/>
            <w:spacing w:after="0" w:line="240" w:lineRule="auto"/>
            <w:ind w:firstLine="720"/>
            <w:rPr>
              <w:rFonts w:ascii="Times New Roman" w:hAnsi="Times New Roman" w:cs="Times New Roman"/>
              <w:sz w:val="24"/>
              <w:szCs w:val="24"/>
            </w:rPr>
          </w:pPr>
          <w:r w:rsidRPr="005A6FB7">
            <w:rPr>
              <w:rFonts w:ascii="Times New Roman" w:hAnsi="Times New Roman" w:cs="Times New Roman"/>
              <w:bCs/>
              <w:sz w:val="24"/>
              <w:szCs w:val="24"/>
            </w:rPr>
            <w:t xml:space="preserve">Sensitivity </w:t>
          </w:r>
          <w:r>
            <w:rPr>
              <w:rFonts w:ascii="Times New Roman" w:hAnsi="Times New Roman" w:cs="Times New Roman"/>
              <w:bCs/>
              <w:sz w:val="24"/>
              <w:szCs w:val="24"/>
            </w:rPr>
            <w:t>v</w:t>
          </w:r>
          <w:r w:rsidRPr="005A6FB7">
            <w:rPr>
              <w:rFonts w:ascii="Times New Roman" w:hAnsi="Times New Roman" w:cs="Times New Roman"/>
              <w:bCs/>
              <w:sz w:val="24"/>
              <w:szCs w:val="24"/>
            </w:rPr>
            <w:t xml:space="preserve">ariance </w:t>
          </w:r>
          <w:r>
            <w:rPr>
              <w:rFonts w:ascii="Times New Roman" w:hAnsi="Times New Roman" w:cs="Times New Roman"/>
              <w:bCs/>
              <w:sz w:val="24"/>
              <w:szCs w:val="24"/>
            </w:rPr>
            <w:t>d</w:t>
          </w:r>
          <w:r w:rsidRPr="005A6FB7">
            <w:rPr>
              <w:rFonts w:ascii="Times New Roman" w:hAnsi="Times New Roman" w:cs="Times New Roman"/>
              <w:bCs/>
              <w:sz w:val="24"/>
              <w:szCs w:val="24"/>
            </w:rPr>
            <w:t xml:space="preserve">ecomposition </w:t>
          </w:r>
          <w:r>
            <w:rPr>
              <w:rFonts w:ascii="Times New Roman" w:hAnsi="Times New Roman" w:cs="Times New Roman"/>
              <w:bCs/>
              <w:sz w:val="24"/>
              <w:szCs w:val="24"/>
            </w:rPr>
            <w:t>r</w:t>
          </w:r>
          <w:r w:rsidRPr="005A6FB7">
            <w:rPr>
              <w:rFonts w:ascii="Times New Roman" w:hAnsi="Times New Roman" w:cs="Times New Roman"/>
              <w:bCs/>
              <w:sz w:val="24"/>
              <w:szCs w:val="24"/>
            </w:rPr>
            <w:t>esults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5</w:t>
          </w:r>
          <w:r w:rsidR="001854FB">
            <w:rPr>
              <w:rFonts w:ascii="Times New Roman" w:hAnsi="Times New Roman" w:cs="Times New Roman"/>
              <w:bCs/>
              <w:sz w:val="24"/>
              <w:szCs w:val="24"/>
            </w:rPr>
            <w:t>0</w:t>
          </w:r>
        </w:p>
      </w:sdtContent>
    </w:sdt>
    <w:p w14:paraId="2E8F0531" w14:textId="77777777" w:rsidR="00062E28" w:rsidRPr="00C551A0" w:rsidRDefault="00062E28" w:rsidP="00062E28">
      <w:pPr>
        <w:rPr>
          <w:sz w:val="24"/>
          <w:szCs w:val="24"/>
        </w:rPr>
      </w:pPr>
    </w:p>
    <w:p w14:paraId="317FC8F4" w14:textId="6116A5B2" w:rsidR="00062E28" w:rsidRDefault="00062E28">
      <w:pPr>
        <w:widowControl/>
        <w:overflowPunct/>
        <w:autoSpaceDE/>
        <w:autoSpaceDN/>
        <w:adjustRightInd/>
      </w:pPr>
      <w:r>
        <w:br w:type="page"/>
      </w:r>
    </w:p>
    <w:sdt>
      <w:sdtPr>
        <w:rPr>
          <w:rFonts w:ascii="Times New Roman" w:eastAsiaTheme="minorEastAsia" w:hAnsi="Times New Roman" w:cs="Times New Roman"/>
          <w:b w:val="0"/>
          <w:bCs w:val="0"/>
          <w:color w:val="auto"/>
          <w:sz w:val="24"/>
          <w:szCs w:val="24"/>
        </w:rPr>
        <w:id w:val="1247543980"/>
        <w:docPartObj>
          <w:docPartGallery w:val="Table of Contents"/>
          <w:docPartUnique/>
        </w:docPartObj>
      </w:sdtPr>
      <w:sdtEndPr/>
      <w:sdtContent>
        <w:p w14:paraId="66EDB4FA" w14:textId="77777777" w:rsidR="00062E28" w:rsidRPr="00C551A0" w:rsidRDefault="00062E28" w:rsidP="00062E28">
          <w:pPr>
            <w:pStyle w:val="TOCHeading"/>
            <w:spacing w:before="0" w:line="240" w:lineRule="auto"/>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LIST OF FIGURES</w:t>
          </w:r>
        </w:p>
        <w:p w14:paraId="4844D0F2" w14:textId="77777777" w:rsidR="00062E28" w:rsidRPr="00C551A0" w:rsidRDefault="00062E28" w:rsidP="00062E28">
          <w:pPr>
            <w:rPr>
              <w:sz w:val="24"/>
              <w:szCs w:val="24"/>
              <w:lang w:eastAsia="ja-JP"/>
            </w:rPr>
          </w:pPr>
        </w:p>
        <w:p w14:paraId="1310B3C0" w14:textId="77777777" w:rsidR="00062E28" w:rsidRDefault="00062E28" w:rsidP="00062E28">
          <w:pPr>
            <w:rPr>
              <w:sz w:val="24"/>
              <w:szCs w:val="24"/>
              <w:lang w:eastAsia="ja-JP"/>
            </w:rPr>
          </w:pPr>
          <w:r>
            <w:rPr>
              <w:sz w:val="24"/>
              <w:szCs w:val="24"/>
              <w:lang w:eastAsia="ja-JP"/>
            </w:rPr>
            <w:t>FIGURE</w:t>
          </w:r>
          <w:r w:rsidRPr="00C551A0">
            <w:rPr>
              <w:sz w:val="24"/>
              <w:szCs w:val="24"/>
              <w:lang w:eastAsia="ja-JP"/>
            </w:rPr>
            <w:t xml:space="preserve">               </w:t>
          </w:r>
          <w:r>
            <w:rPr>
              <w:sz w:val="24"/>
              <w:szCs w:val="24"/>
              <w:lang w:eastAsia="ja-JP"/>
            </w:rPr>
            <w:t xml:space="preserve">                     </w:t>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t xml:space="preserve"> </w:t>
          </w:r>
          <w:r w:rsidRPr="00C551A0">
            <w:rPr>
              <w:sz w:val="24"/>
              <w:szCs w:val="24"/>
              <w:lang w:eastAsia="ja-JP"/>
            </w:rPr>
            <w:t>PAGE</w:t>
          </w:r>
        </w:p>
        <w:p w14:paraId="02CC8C71" w14:textId="77777777" w:rsidR="00062E28" w:rsidRPr="00C551A0" w:rsidRDefault="00062E28" w:rsidP="00062E28">
          <w:pPr>
            <w:rPr>
              <w:sz w:val="24"/>
              <w:szCs w:val="24"/>
              <w:lang w:eastAsia="ja-JP"/>
            </w:rPr>
          </w:pPr>
        </w:p>
        <w:p w14:paraId="072B7899" w14:textId="77B035E3" w:rsidR="00062E28" w:rsidRPr="00C551A0" w:rsidRDefault="00062E28" w:rsidP="00062E28">
          <w:pPr>
            <w:pStyle w:val="TOC1"/>
            <w:spacing w:after="0" w:line="240" w:lineRule="auto"/>
            <w:ind w:firstLine="720"/>
            <w:rPr>
              <w:rFonts w:ascii="Times New Roman" w:hAnsi="Times New Roman" w:cs="Times New Roman"/>
              <w:sz w:val="24"/>
              <w:szCs w:val="24"/>
            </w:rPr>
          </w:pPr>
          <w:r w:rsidRPr="00402184">
            <w:rPr>
              <w:rFonts w:ascii="Times New Roman" w:hAnsi="Times New Roman" w:cs="Times New Roman"/>
              <w:bCs/>
              <w:sz w:val="24"/>
              <w:szCs w:val="24"/>
            </w:rPr>
            <w:t xml:space="preserve">Conceptual model of configurations </w:t>
          </w:r>
          <w:r>
            <w:rPr>
              <w:rFonts w:ascii="Times New Roman" w:hAnsi="Times New Roman" w:cs="Times New Roman"/>
              <w:bCs/>
              <w:sz w:val="24"/>
              <w:szCs w:val="24"/>
            </w:rPr>
            <w:t>for</w:t>
          </w:r>
          <w:r w:rsidRPr="00402184">
            <w:rPr>
              <w:rFonts w:ascii="Times New Roman" w:hAnsi="Times New Roman" w:cs="Times New Roman"/>
              <w:bCs/>
              <w:sz w:val="24"/>
              <w:szCs w:val="24"/>
            </w:rPr>
            <w:t xml:space="preserve"> subsidiary product innovation</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03</w:t>
          </w:r>
        </w:p>
      </w:sdtContent>
    </w:sdt>
    <w:p w14:paraId="29BE34DD" w14:textId="77777777" w:rsidR="00062E28" w:rsidRPr="00C551A0" w:rsidRDefault="00062E28" w:rsidP="00062E28">
      <w:pPr>
        <w:rPr>
          <w:sz w:val="24"/>
          <w:szCs w:val="24"/>
        </w:rPr>
      </w:pPr>
    </w:p>
    <w:p w14:paraId="533A1EE1" w14:textId="07EE478C" w:rsidR="00B301B0" w:rsidRDefault="00B301B0">
      <w:pPr>
        <w:widowControl/>
        <w:overflowPunct/>
        <w:autoSpaceDE/>
        <w:autoSpaceDN/>
        <w:adjustRightInd/>
      </w:pPr>
      <w:r>
        <w:br w:type="page"/>
      </w:r>
    </w:p>
    <w:sdt>
      <w:sdtPr>
        <w:rPr>
          <w:rFonts w:ascii="Times New Roman" w:eastAsiaTheme="minorEastAsia" w:hAnsi="Times New Roman" w:cs="Times New Roman"/>
          <w:b w:val="0"/>
          <w:bCs w:val="0"/>
          <w:color w:val="auto"/>
          <w:kern w:val="28"/>
          <w:sz w:val="24"/>
          <w:szCs w:val="24"/>
          <w:lang w:eastAsia="en-US"/>
        </w:rPr>
        <w:id w:val="-678657414"/>
        <w:docPartObj>
          <w:docPartGallery w:val="Table of Contents"/>
          <w:docPartUnique/>
        </w:docPartObj>
      </w:sdtPr>
      <w:sdtEndPr/>
      <w:sdtContent>
        <w:p w14:paraId="786BF954" w14:textId="57873486" w:rsidR="00B301B0" w:rsidRPr="00C551A0" w:rsidRDefault="00B301B0" w:rsidP="00B301B0">
          <w:pPr>
            <w:pStyle w:val="TOCHeading"/>
            <w:spacing w:before="0" w:line="240" w:lineRule="auto"/>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LIST OF </w:t>
          </w:r>
          <w:r w:rsidR="006B2062">
            <w:rPr>
              <w:rFonts w:ascii="Times New Roman" w:hAnsi="Times New Roman" w:cs="Times New Roman"/>
              <w:b w:val="0"/>
              <w:color w:val="auto"/>
              <w:sz w:val="24"/>
              <w:szCs w:val="24"/>
            </w:rPr>
            <w:t>APPENDIXES</w:t>
          </w:r>
        </w:p>
        <w:p w14:paraId="6149050C" w14:textId="77777777" w:rsidR="00B301B0" w:rsidRPr="00C551A0" w:rsidRDefault="00B301B0" w:rsidP="00B301B0">
          <w:pPr>
            <w:rPr>
              <w:sz w:val="24"/>
              <w:szCs w:val="24"/>
              <w:lang w:eastAsia="ja-JP"/>
            </w:rPr>
          </w:pPr>
        </w:p>
        <w:p w14:paraId="49538F2D" w14:textId="77777777" w:rsidR="00B301B0" w:rsidRDefault="00B301B0" w:rsidP="00B301B0">
          <w:pPr>
            <w:rPr>
              <w:sz w:val="24"/>
              <w:szCs w:val="24"/>
              <w:lang w:eastAsia="ja-JP"/>
            </w:rPr>
          </w:pPr>
          <w:r>
            <w:rPr>
              <w:sz w:val="24"/>
              <w:szCs w:val="24"/>
              <w:lang w:eastAsia="ja-JP"/>
            </w:rPr>
            <w:t>APPENDIX</w:t>
          </w:r>
          <w:r w:rsidRPr="00C551A0">
            <w:rPr>
              <w:sz w:val="24"/>
              <w:szCs w:val="24"/>
              <w:lang w:eastAsia="ja-JP"/>
            </w:rPr>
            <w:t xml:space="preserve">               </w:t>
          </w:r>
          <w:r>
            <w:rPr>
              <w:sz w:val="24"/>
              <w:szCs w:val="24"/>
              <w:lang w:eastAsia="ja-JP"/>
            </w:rPr>
            <w:t xml:space="preserve">                     </w:t>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t xml:space="preserve"> </w:t>
          </w:r>
          <w:r w:rsidRPr="00C551A0">
            <w:rPr>
              <w:sz w:val="24"/>
              <w:szCs w:val="24"/>
              <w:lang w:eastAsia="ja-JP"/>
            </w:rPr>
            <w:t>PAGE</w:t>
          </w:r>
        </w:p>
        <w:p w14:paraId="25A887D1" w14:textId="77777777" w:rsidR="00B301B0" w:rsidRPr="00C551A0" w:rsidRDefault="001030A9" w:rsidP="00B301B0">
          <w:pPr>
            <w:rPr>
              <w:sz w:val="24"/>
              <w:szCs w:val="24"/>
              <w:lang w:eastAsia="ja-JP"/>
            </w:rPr>
          </w:pPr>
        </w:p>
      </w:sdtContent>
    </w:sdt>
    <w:p w14:paraId="4D6F27EE" w14:textId="46D7AC11" w:rsidR="00B301B0" w:rsidRPr="00C551A0" w:rsidRDefault="00B301B0" w:rsidP="00B301B0">
      <w:pPr>
        <w:pStyle w:val="TOC1"/>
        <w:spacing w:after="0" w:line="240" w:lineRule="auto"/>
        <w:rPr>
          <w:rFonts w:ascii="Times New Roman" w:hAnsi="Times New Roman" w:cs="Times New Roman"/>
          <w:sz w:val="24"/>
          <w:szCs w:val="24"/>
        </w:rPr>
      </w:pPr>
      <w:r>
        <w:rPr>
          <w:rFonts w:ascii="Times New Roman" w:hAnsi="Times New Roman" w:cs="Times New Roman"/>
          <w:bCs/>
          <w:sz w:val="24"/>
          <w:szCs w:val="24"/>
        </w:rPr>
        <w:t>Appe</w:t>
      </w:r>
      <w:r w:rsidRPr="00402184">
        <w:rPr>
          <w:rFonts w:ascii="Times New Roman" w:hAnsi="Times New Roman" w:cs="Times New Roman"/>
          <w:bCs/>
          <w:sz w:val="24"/>
          <w:szCs w:val="24"/>
        </w:rPr>
        <w:t>n</w:t>
      </w:r>
      <w:r>
        <w:rPr>
          <w:rFonts w:ascii="Times New Roman" w:hAnsi="Times New Roman" w:cs="Times New Roman"/>
          <w:bCs/>
          <w:sz w:val="24"/>
          <w:szCs w:val="24"/>
        </w:rPr>
        <w:t>dix A. Final sample</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5</w:t>
      </w:r>
      <w:r w:rsidR="001854FB">
        <w:rPr>
          <w:rFonts w:ascii="Times New Roman" w:hAnsi="Times New Roman" w:cs="Times New Roman"/>
          <w:bCs/>
          <w:sz w:val="24"/>
          <w:szCs w:val="24"/>
        </w:rPr>
        <w:t>1</w:t>
      </w:r>
    </w:p>
    <w:p w14:paraId="78E94769" w14:textId="77777777" w:rsidR="00685162" w:rsidRDefault="00685162" w:rsidP="00B301B0">
      <w:pPr>
        <w:pStyle w:val="TOC1"/>
        <w:spacing w:after="0" w:line="240" w:lineRule="auto"/>
        <w:rPr>
          <w:rFonts w:ascii="Times New Roman" w:hAnsi="Times New Roman" w:cs="Times New Roman"/>
          <w:bCs/>
          <w:sz w:val="24"/>
          <w:szCs w:val="24"/>
        </w:rPr>
      </w:pPr>
    </w:p>
    <w:p w14:paraId="3C5BA87B" w14:textId="647D97BF" w:rsidR="00B301B0" w:rsidRDefault="00B301B0" w:rsidP="00B301B0">
      <w:pPr>
        <w:pStyle w:val="TOC1"/>
        <w:spacing w:after="0" w:line="240" w:lineRule="auto"/>
        <w:rPr>
          <w:rFonts w:ascii="Times New Roman" w:hAnsi="Times New Roman" w:cs="Times New Roman"/>
          <w:bCs/>
          <w:sz w:val="24"/>
          <w:szCs w:val="24"/>
        </w:rPr>
      </w:pPr>
      <w:r>
        <w:rPr>
          <w:rFonts w:ascii="Times New Roman" w:hAnsi="Times New Roman" w:cs="Times New Roman"/>
          <w:bCs/>
          <w:sz w:val="24"/>
          <w:szCs w:val="24"/>
        </w:rPr>
        <w:t>Appe</w:t>
      </w:r>
      <w:r w:rsidRPr="00402184">
        <w:rPr>
          <w:rFonts w:ascii="Times New Roman" w:hAnsi="Times New Roman" w:cs="Times New Roman"/>
          <w:bCs/>
          <w:sz w:val="24"/>
          <w:szCs w:val="24"/>
        </w:rPr>
        <w:t>n</w:t>
      </w:r>
      <w:r>
        <w:rPr>
          <w:rFonts w:ascii="Times New Roman" w:hAnsi="Times New Roman" w:cs="Times New Roman"/>
          <w:bCs/>
          <w:sz w:val="24"/>
          <w:szCs w:val="24"/>
        </w:rPr>
        <w:t>dix B. Additional tables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5</w:t>
      </w:r>
      <w:r w:rsidR="001854FB">
        <w:rPr>
          <w:rFonts w:ascii="Times New Roman" w:hAnsi="Times New Roman" w:cs="Times New Roman"/>
          <w:bCs/>
          <w:sz w:val="24"/>
          <w:szCs w:val="24"/>
        </w:rPr>
        <w:t>6</w:t>
      </w:r>
    </w:p>
    <w:p w14:paraId="235B5A6A" w14:textId="6BD3A87A" w:rsidR="00B301B0" w:rsidRDefault="00B301B0" w:rsidP="00B301B0">
      <w:pPr>
        <w:pStyle w:val="TOC1"/>
        <w:spacing w:after="0" w:line="240" w:lineRule="auto"/>
        <w:ind w:firstLine="720"/>
        <w:rPr>
          <w:rFonts w:ascii="Times New Roman" w:hAnsi="Times New Roman" w:cs="Times New Roman"/>
          <w:bCs/>
          <w:sz w:val="24"/>
          <w:szCs w:val="24"/>
        </w:rPr>
      </w:pPr>
      <w:r w:rsidRPr="002D6A17">
        <w:rPr>
          <w:rFonts w:ascii="Times New Roman" w:hAnsi="Times New Roman" w:cs="Times New Roman"/>
          <w:bCs/>
          <w:sz w:val="24"/>
          <w:szCs w:val="24"/>
        </w:rPr>
        <w:t>Table 1B. Common operationalizations of the autonomy construct</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5</w:t>
      </w:r>
      <w:r w:rsidR="001854FB">
        <w:rPr>
          <w:rFonts w:ascii="Times New Roman" w:hAnsi="Times New Roman" w:cs="Times New Roman"/>
          <w:bCs/>
          <w:sz w:val="24"/>
          <w:szCs w:val="24"/>
        </w:rPr>
        <w:t>6</w:t>
      </w:r>
    </w:p>
    <w:p w14:paraId="02A86549" w14:textId="5D8A8041" w:rsidR="00B301B0" w:rsidRPr="00C551A0" w:rsidRDefault="00B301B0" w:rsidP="00B301B0">
      <w:pPr>
        <w:pStyle w:val="TOC1"/>
        <w:spacing w:after="0" w:line="240" w:lineRule="auto"/>
        <w:ind w:firstLine="720"/>
        <w:rPr>
          <w:rFonts w:ascii="Times New Roman" w:hAnsi="Times New Roman" w:cs="Times New Roman"/>
          <w:sz w:val="24"/>
          <w:szCs w:val="24"/>
        </w:rPr>
      </w:pPr>
      <w:r w:rsidRPr="002D6A17">
        <w:rPr>
          <w:rFonts w:ascii="Times New Roman" w:hAnsi="Times New Roman" w:cs="Times New Roman"/>
          <w:bCs/>
          <w:sz w:val="24"/>
          <w:szCs w:val="24"/>
        </w:rPr>
        <w:t>Table 2B. Meta-analytic correlation matrix</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5</w:t>
      </w:r>
      <w:r w:rsidR="001854FB">
        <w:rPr>
          <w:rFonts w:ascii="Times New Roman" w:hAnsi="Times New Roman" w:cs="Times New Roman"/>
          <w:bCs/>
          <w:sz w:val="24"/>
          <w:szCs w:val="24"/>
        </w:rPr>
        <w:t>7</w:t>
      </w:r>
    </w:p>
    <w:p w14:paraId="11424DA8" w14:textId="00E718B4" w:rsidR="00B301B0" w:rsidRPr="00C551A0" w:rsidRDefault="00B301B0" w:rsidP="00B301B0">
      <w:pPr>
        <w:pStyle w:val="TOC1"/>
        <w:spacing w:after="0" w:line="240" w:lineRule="auto"/>
        <w:ind w:firstLine="720"/>
        <w:rPr>
          <w:rFonts w:ascii="Times New Roman" w:hAnsi="Times New Roman" w:cs="Times New Roman"/>
          <w:sz w:val="24"/>
          <w:szCs w:val="24"/>
        </w:rPr>
      </w:pPr>
      <w:r w:rsidRPr="002D6A17">
        <w:rPr>
          <w:rFonts w:ascii="Times New Roman" w:hAnsi="Times New Roman" w:cs="Times New Roman"/>
          <w:bCs/>
          <w:sz w:val="24"/>
          <w:szCs w:val="24"/>
        </w:rPr>
        <w:t>Table 3B. Additional meta-analytic subgroup analyses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5</w:t>
      </w:r>
      <w:r w:rsidR="001854FB">
        <w:rPr>
          <w:rFonts w:ascii="Times New Roman" w:hAnsi="Times New Roman" w:cs="Times New Roman"/>
          <w:bCs/>
          <w:sz w:val="24"/>
          <w:szCs w:val="24"/>
        </w:rPr>
        <w:t>8</w:t>
      </w:r>
    </w:p>
    <w:p w14:paraId="59B5B6B3" w14:textId="77777777" w:rsidR="00685162" w:rsidRDefault="00685162" w:rsidP="00B301B0">
      <w:pPr>
        <w:pStyle w:val="TOC1"/>
        <w:spacing w:after="0" w:line="240" w:lineRule="auto"/>
        <w:rPr>
          <w:rFonts w:ascii="Times New Roman" w:hAnsi="Times New Roman" w:cs="Times New Roman"/>
          <w:bCs/>
          <w:sz w:val="24"/>
          <w:szCs w:val="24"/>
        </w:rPr>
      </w:pPr>
    </w:p>
    <w:p w14:paraId="37A9D8FC" w14:textId="19DE07F7" w:rsidR="00B301B0" w:rsidRPr="00C551A0" w:rsidRDefault="00B301B0" w:rsidP="00B301B0">
      <w:pPr>
        <w:pStyle w:val="TOC1"/>
        <w:spacing w:after="0" w:line="240" w:lineRule="auto"/>
        <w:rPr>
          <w:rFonts w:ascii="Times New Roman" w:hAnsi="Times New Roman" w:cs="Times New Roman"/>
          <w:sz w:val="24"/>
          <w:szCs w:val="24"/>
        </w:rPr>
      </w:pPr>
      <w:r w:rsidRPr="002D6A17">
        <w:rPr>
          <w:rFonts w:ascii="Times New Roman" w:hAnsi="Times New Roman" w:cs="Times New Roman"/>
          <w:bCs/>
          <w:sz w:val="24"/>
          <w:szCs w:val="24"/>
        </w:rPr>
        <w:t>Appendix C. Additional tables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854FB">
        <w:rPr>
          <w:rFonts w:ascii="Times New Roman" w:hAnsi="Times New Roman" w:cs="Times New Roman"/>
          <w:bCs/>
          <w:sz w:val="24"/>
          <w:szCs w:val="24"/>
        </w:rPr>
        <w:t>59</w:t>
      </w:r>
    </w:p>
    <w:p w14:paraId="09F619CF" w14:textId="25B656DF" w:rsidR="00B301B0" w:rsidRPr="00C551A0" w:rsidRDefault="00B301B0" w:rsidP="00B301B0">
      <w:pPr>
        <w:pStyle w:val="TOC1"/>
        <w:spacing w:after="0" w:line="240" w:lineRule="auto"/>
        <w:ind w:firstLine="720"/>
        <w:rPr>
          <w:rFonts w:ascii="Times New Roman" w:hAnsi="Times New Roman" w:cs="Times New Roman"/>
          <w:sz w:val="24"/>
          <w:szCs w:val="24"/>
        </w:rPr>
      </w:pPr>
      <w:r w:rsidRPr="002D6A17">
        <w:rPr>
          <w:rFonts w:ascii="Times New Roman" w:hAnsi="Times New Roman" w:cs="Times New Roman"/>
          <w:bCs/>
          <w:sz w:val="24"/>
          <w:szCs w:val="24"/>
        </w:rPr>
        <w:t>Table 1</w:t>
      </w:r>
      <w:r>
        <w:rPr>
          <w:rFonts w:ascii="Times New Roman" w:hAnsi="Times New Roman" w:cs="Times New Roman"/>
          <w:bCs/>
          <w:sz w:val="24"/>
          <w:szCs w:val="24"/>
        </w:rPr>
        <w:t>C</w:t>
      </w:r>
      <w:r w:rsidRPr="002D6A17">
        <w:rPr>
          <w:rFonts w:ascii="Times New Roman" w:hAnsi="Times New Roman" w:cs="Times New Roman"/>
          <w:bCs/>
          <w:sz w:val="24"/>
          <w:szCs w:val="24"/>
        </w:rPr>
        <w:t>. Home and host country sample characteristics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854FB">
        <w:rPr>
          <w:rFonts w:ascii="Times New Roman" w:hAnsi="Times New Roman" w:cs="Times New Roman"/>
          <w:bCs/>
          <w:sz w:val="24"/>
          <w:szCs w:val="24"/>
        </w:rPr>
        <w:t>59</w:t>
      </w:r>
    </w:p>
    <w:p w14:paraId="4148E102" w14:textId="3B93A430" w:rsidR="00B301B0" w:rsidRPr="00C551A0" w:rsidRDefault="00B301B0" w:rsidP="00B301B0">
      <w:pPr>
        <w:pStyle w:val="TOC1"/>
        <w:spacing w:after="0" w:line="240" w:lineRule="auto"/>
        <w:ind w:firstLine="720"/>
        <w:rPr>
          <w:rFonts w:ascii="Times New Roman" w:hAnsi="Times New Roman" w:cs="Times New Roman"/>
          <w:sz w:val="24"/>
          <w:szCs w:val="24"/>
        </w:rPr>
      </w:pPr>
      <w:r w:rsidRPr="002D6A17">
        <w:rPr>
          <w:rFonts w:ascii="Times New Roman" w:hAnsi="Times New Roman" w:cs="Times New Roman"/>
          <w:bCs/>
          <w:sz w:val="24"/>
          <w:szCs w:val="24"/>
        </w:rPr>
        <w:t>Table 2C. Industry classification characteristics</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r w:rsidR="00165913">
        <w:rPr>
          <w:rFonts w:ascii="Times New Roman" w:hAnsi="Times New Roman" w:cs="Times New Roman"/>
          <w:bCs/>
          <w:sz w:val="24"/>
          <w:szCs w:val="24"/>
        </w:rPr>
        <w:t>6</w:t>
      </w:r>
      <w:r w:rsidR="001854FB">
        <w:rPr>
          <w:rFonts w:ascii="Times New Roman" w:hAnsi="Times New Roman" w:cs="Times New Roman"/>
          <w:bCs/>
          <w:sz w:val="24"/>
          <w:szCs w:val="24"/>
        </w:rPr>
        <w:t>0</w:t>
      </w:r>
    </w:p>
    <w:p w14:paraId="5B3B71D7" w14:textId="40DF3E53" w:rsidR="00B301B0" w:rsidRPr="00B301B0" w:rsidRDefault="00B301B0">
      <w:pPr>
        <w:rPr>
          <w:sz w:val="24"/>
          <w:szCs w:val="24"/>
        </w:rPr>
        <w:sectPr w:rsidR="00B301B0" w:rsidRPr="00B301B0" w:rsidSect="00026B2B">
          <w:pgSz w:w="12240" w:h="15840"/>
          <w:pgMar w:top="1440" w:right="1440" w:bottom="1728" w:left="2160" w:header="720" w:footer="720" w:gutter="0"/>
          <w:pgNumType w:fmt="lowerRoman"/>
          <w:cols w:space="720"/>
          <w:docGrid w:linePitch="360"/>
        </w:sectPr>
      </w:pPr>
    </w:p>
    <w:p w14:paraId="67AAC9CF"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lastRenderedPageBreak/>
        <w:t xml:space="preserve">I. </w:t>
      </w:r>
      <w:r w:rsidRPr="00B301B0">
        <w:rPr>
          <w:kern w:val="0"/>
          <w:sz w:val="24"/>
          <w:szCs w:val="24"/>
        </w:rPr>
        <w:tab/>
        <w:t>INTRODUCTION</w:t>
      </w:r>
    </w:p>
    <w:p w14:paraId="1E0CFEDD"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The strategy and structure of the multinational enterprise (MNE) has experienced considerable changes in recent decades (Menz, Kunisch &amp; Collis, 2015). Historically, the MNE was viewed as a hierarchical organization where corporate strategy would originate centrally at the headquarters (Chandler, 1991). This was seen to be more structurally efficient than engaging in a series of disperse market activities across business units (Williamson, 1975). However, due to increasing local and global demands, firms began to expand into unfamiliar product and geographic markets that are heterogeneous and change in an unsynchronized manner (Andersson, Forsgren &amp; Holm, 2002; Mudambi, 2011). To cope with such complex multinational operations, the locus of strategic decision-making began to shift to the foreign subsidiary (Birkinshaw, 1997; Ambos &amp; Birkinshaw, 2010; Mudambi, Pedersen &amp; Andersson, 2014). As a result, subsidiary autonomy – the extent to which a foreign subsidiary makes strategic decisions in its operating environment without interference by MNE headquarters (Ghoshal &amp; Nohria, 1989; Birkinshaw &amp; Morrison, 1995; Young &amp; Tavares, 2004) – became a fundamental aspect of the MNE strategy and, thus, of international business (IB) theory. </w:t>
      </w:r>
    </w:p>
    <w:p w14:paraId="739A370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However, although subsidiary autonomy represents a fundamental building block of contemporary MNE strategy, it is still unclear as to when an MNE’s headquarters will increase levels of autonomy or maintain control over foreign subsidiary strategic decisions. In part, this is due to theory on its antecedents not being developed harmoniously – or, at least, complementarily. On the one hand, several theories suggest that increased autonomy may be beneficial. It helps to achieve strategic alignment with local conditions, foster entrepreneurial subsidiary behaviors, and fulfill subsidiary roles </w:t>
      </w:r>
      <w:r w:rsidRPr="00B301B0">
        <w:rPr>
          <w:kern w:val="0"/>
          <w:sz w:val="24"/>
          <w:szCs w:val="24"/>
        </w:rPr>
        <w:lastRenderedPageBreak/>
        <w:t xml:space="preserve">within the MNE (Birkinshaw &amp; Morrison, 1995; Ambos &amp; Birkinshaw, 2010). Meanwhile, autonomy may also result in efficiency- (Sengul &amp; Gimeno, 2013) and agency-based problems (Mudambi &amp; Navarra, 2004; Bouquet &amp; Birkinshaw, 2008) that may offset the benefits of increased autonomy. Thus, an understanding of why a given subsidiary is autonomous seems to be at a theoretical impasse. </w:t>
      </w:r>
    </w:p>
    <w:p w14:paraId="7E3D0F94"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Relatedly, while prior research highlights increased decision-making autonomy as a key driver of subsidiary performance outcomes such as innovation (Rugman &amp; Verbeke, 2001; Cantwell &amp; Mudambi, 2005; Phene &amp; Almeida, 2008), several more recent contributions argue that this view is incomplete and warrants more conceptual nuance (Slangen &amp; Hennart, 2008; Kawai &amp; Strange, 2014). Prior research indicates that decision-making autonomy is a key determinant of innovation by foreign subsidiaries. It gives subsidiary managers the latitude to become locally embedded, develop network ties, and compile valuable inputs for their innovation efforts (Monterio, Mol &amp; Birkinshaw, 2017). Yet, Ghoshal and Bartlett (1990) initially argued that autonomy might be beneficial only in some environmental and organizational contexts, and subsidiaries should be structurally differentiated to achieve an optimal trade-off “between the cost of each structural element and its efficacy in the context of the subsidiary” (Nohria &amp; Ghoshal, 1994: 493). This suggests that while higher degrees of decision-making autonomy may be beneficial for some subsidiaries, an acontextual view of this structural lever may be problematic. Autonomy may foster product innovation only in specific institutional contexts and when deployed with complementary knowledge sources. From this perspective, subsidiary autonomy outcomes are likely not straightforward but rather conditional (Lazarova, Peretz &amp; Fried, 2017). </w:t>
      </w:r>
    </w:p>
    <w:p w14:paraId="078BA877"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lastRenderedPageBreak/>
        <w:tab/>
        <w:t xml:space="preserve">The emergence of subsidiary autonomy is evident through the proliferation of subsidiary focused research, which, consequently, has come at the expense of our collective understanding of the MNE headquarters (Egelhoff, 2010; Menz et al., 2015). Prior literature has shown how the headquarters can either create (Nell &amp; Ambos, 2013) or destroy value (Decreton, Nell &amp; Stea, 2019) in local subsidiaries. However, research on the drivers of subsidiary performance is disparate and, at times, incoherent. One stream of research investigates how subsidiary performance is determined by the parent MNE (Feldman, 2020), while a related research stream focuses on the subsidiaries themselves as the main drivers of performance differences (Rugman &amp; Verbeke, 2001). Although there are good theoretical and empirical reasons to expect that both the MNE and the subsidiary play a role in subsidiary performance (Menz et al., 2015), the relative importance of the MNE vis-à-vis the subsidiary remains unclear. </w:t>
      </w:r>
    </w:p>
    <w:p w14:paraId="13CA8EE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In this dissertation, I contribute to these interrelated discussions through a series of essays on foreign subsidiary management as a reflection of a broader global MNE strategy and structure. I integrate various literature streams to propel a coherent, contextualized understanding of subsidiary autonomy’s antecedents and consequences and the effect of MNE headquarters on subsidiary performance. Further, I provide a comprehensive synthesis of literature, address several recent calls to explore theoretically relevant contextual conditions, and engage in a theory-based discussion on MNE strategy. This dissertation advances theory of the antecedents and outcomes of subsidiary autonomy and subsidiary management more broadly.</w:t>
      </w:r>
    </w:p>
    <w:p w14:paraId="5CD94487"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br w:type="page"/>
      </w:r>
    </w:p>
    <w:p w14:paraId="1626DE9D" w14:textId="77777777" w:rsidR="00B301B0" w:rsidRPr="00B301B0" w:rsidRDefault="00B301B0" w:rsidP="00122B3E">
      <w:pPr>
        <w:widowControl/>
        <w:overflowPunct/>
        <w:autoSpaceDE/>
        <w:autoSpaceDN/>
        <w:adjustRightInd/>
        <w:spacing w:line="480" w:lineRule="auto"/>
        <w:ind w:left="720"/>
        <w:jc w:val="center"/>
        <w:rPr>
          <w:kern w:val="0"/>
          <w:sz w:val="24"/>
          <w:szCs w:val="24"/>
        </w:rPr>
      </w:pPr>
      <w:r w:rsidRPr="00B301B0">
        <w:rPr>
          <w:kern w:val="0"/>
          <w:sz w:val="24"/>
          <w:szCs w:val="24"/>
        </w:rPr>
        <w:lastRenderedPageBreak/>
        <w:t>REFERENCES</w:t>
      </w:r>
    </w:p>
    <w:p w14:paraId="56FD8EE6" w14:textId="77777777" w:rsidR="00FF4DE9"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T. C., &amp; Birkinshaw, J. (2010). Headquarters’ attention and its effect on subsidiary performance. </w:t>
      </w:r>
      <w:r w:rsidRPr="00B301B0">
        <w:rPr>
          <w:i/>
          <w:iCs/>
          <w:color w:val="222222"/>
          <w:kern w:val="0"/>
          <w:sz w:val="24"/>
          <w:szCs w:val="24"/>
        </w:rPr>
        <w:t>Management International Review</w:t>
      </w:r>
      <w:r w:rsidRPr="00B301B0">
        <w:rPr>
          <w:color w:val="222222"/>
          <w:kern w:val="0"/>
          <w:sz w:val="24"/>
          <w:szCs w:val="24"/>
        </w:rPr>
        <w:t>, </w:t>
      </w:r>
      <w:r w:rsidRPr="00B301B0">
        <w:rPr>
          <w:i/>
          <w:iCs/>
          <w:color w:val="222222"/>
          <w:kern w:val="0"/>
          <w:sz w:val="24"/>
          <w:szCs w:val="24"/>
        </w:rPr>
        <w:t>50</w:t>
      </w:r>
      <w:r w:rsidRPr="00B301B0">
        <w:rPr>
          <w:color w:val="222222"/>
          <w:kern w:val="0"/>
          <w:sz w:val="24"/>
          <w:szCs w:val="24"/>
        </w:rPr>
        <w:t>(4), 449-469.</w:t>
      </w:r>
    </w:p>
    <w:p w14:paraId="12F9149D" w14:textId="0B4AFDF6"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Andersson, U., Forsgren, M., &amp; Holm, U. (2002). The strategic impact of external networks: subsidiary performance and competence development in the multinational corporation. </w:t>
      </w:r>
      <w:r w:rsidRPr="00B301B0">
        <w:rPr>
          <w:i/>
          <w:iCs/>
          <w:color w:val="222222"/>
          <w:kern w:val="0"/>
          <w:sz w:val="24"/>
          <w:szCs w:val="24"/>
        </w:rPr>
        <w:t>Strategic Management Journal</w:t>
      </w:r>
      <w:r w:rsidRPr="00B301B0">
        <w:rPr>
          <w:color w:val="222222"/>
          <w:kern w:val="0"/>
          <w:sz w:val="24"/>
          <w:szCs w:val="24"/>
        </w:rPr>
        <w:t>, </w:t>
      </w:r>
      <w:r w:rsidRPr="00B301B0">
        <w:rPr>
          <w:i/>
          <w:iCs/>
          <w:color w:val="222222"/>
          <w:kern w:val="0"/>
          <w:sz w:val="24"/>
          <w:szCs w:val="24"/>
        </w:rPr>
        <w:t>23</w:t>
      </w:r>
      <w:r w:rsidRPr="00B301B0">
        <w:rPr>
          <w:color w:val="222222"/>
          <w:kern w:val="0"/>
          <w:sz w:val="24"/>
          <w:szCs w:val="24"/>
        </w:rPr>
        <w:t>(11), 979-996.</w:t>
      </w:r>
    </w:p>
    <w:p w14:paraId="789892E3"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(1997). Entrepreneurship in multinational corporations: The characteristics of subsidiary initiatives. </w:t>
      </w:r>
      <w:r w:rsidRPr="00B301B0">
        <w:rPr>
          <w:i/>
          <w:iCs/>
          <w:color w:val="222222"/>
          <w:kern w:val="0"/>
          <w:sz w:val="24"/>
          <w:szCs w:val="24"/>
        </w:rPr>
        <w:t>Strategic Management Journal</w:t>
      </w:r>
      <w:r w:rsidRPr="00B301B0">
        <w:rPr>
          <w:color w:val="222222"/>
          <w:kern w:val="0"/>
          <w:sz w:val="24"/>
          <w:szCs w:val="24"/>
        </w:rPr>
        <w:t>, </w:t>
      </w:r>
      <w:r w:rsidRPr="00B301B0">
        <w:rPr>
          <w:i/>
          <w:iCs/>
          <w:color w:val="222222"/>
          <w:kern w:val="0"/>
          <w:sz w:val="24"/>
          <w:szCs w:val="24"/>
        </w:rPr>
        <w:t>18</w:t>
      </w:r>
      <w:r w:rsidRPr="00B301B0">
        <w:rPr>
          <w:color w:val="222222"/>
          <w:kern w:val="0"/>
          <w:sz w:val="24"/>
          <w:szCs w:val="24"/>
        </w:rPr>
        <w:t>(3), 207-229.</w:t>
      </w:r>
    </w:p>
    <w:p w14:paraId="1048161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M., &amp; Morrison, A. J. (1995). Configurations of strategy and structure in subsidiaries of multinational corporations. </w:t>
      </w:r>
      <w:r w:rsidRPr="00B301B0">
        <w:rPr>
          <w:i/>
          <w:iCs/>
          <w:color w:val="222222"/>
          <w:kern w:val="0"/>
          <w:sz w:val="24"/>
          <w:szCs w:val="24"/>
        </w:rPr>
        <w:t>Journal of International Business Studies</w:t>
      </w:r>
      <w:r w:rsidRPr="00B301B0">
        <w:rPr>
          <w:color w:val="222222"/>
          <w:kern w:val="0"/>
          <w:sz w:val="24"/>
          <w:szCs w:val="24"/>
        </w:rPr>
        <w:t>, </w:t>
      </w:r>
      <w:r w:rsidRPr="00B301B0">
        <w:rPr>
          <w:i/>
          <w:iCs/>
          <w:color w:val="222222"/>
          <w:kern w:val="0"/>
          <w:sz w:val="24"/>
          <w:szCs w:val="24"/>
        </w:rPr>
        <w:t>26</w:t>
      </w:r>
      <w:r w:rsidRPr="00B301B0">
        <w:rPr>
          <w:color w:val="222222"/>
          <w:kern w:val="0"/>
          <w:sz w:val="24"/>
          <w:szCs w:val="24"/>
        </w:rPr>
        <w:t>(4), 729-753.</w:t>
      </w:r>
    </w:p>
    <w:p w14:paraId="38841B24"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Bouquet, C., &amp; Birkinshaw, J. (2008). Weight versus voice: How foreign subsidiaries gain attention from corporate headquarters. </w:t>
      </w:r>
      <w:r w:rsidRPr="00B301B0">
        <w:rPr>
          <w:i/>
          <w:iCs/>
          <w:color w:val="222222"/>
          <w:kern w:val="0"/>
          <w:sz w:val="24"/>
          <w:szCs w:val="24"/>
        </w:rPr>
        <w:t>Academy of Management Journal</w:t>
      </w:r>
      <w:r w:rsidRPr="00B301B0">
        <w:rPr>
          <w:color w:val="222222"/>
          <w:kern w:val="0"/>
          <w:sz w:val="24"/>
          <w:szCs w:val="24"/>
        </w:rPr>
        <w:t>, </w:t>
      </w:r>
      <w:r w:rsidRPr="00B301B0">
        <w:rPr>
          <w:i/>
          <w:iCs/>
          <w:color w:val="222222"/>
          <w:kern w:val="0"/>
          <w:sz w:val="24"/>
          <w:szCs w:val="24"/>
        </w:rPr>
        <w:t>51</w:t>
      </w:r>
      <w:r w:rsidRPr="00B301B0">
        <w:rPr>
          <w:color w:val="222222"/>
          <w:kern w:val="0"/>
          <w:sz w:val="24"/>
          <w:szCs w:val="24"/>
        </w:rPr>
        <w:t>(3), 577-601.</w:t>
      </w:r>
    </w:p>
    <w:p w14:paraId="3F12030E"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Cantwell, J., &amp; Mudambi, R. (2005). MNE competence‐creating subsidiary mandates. </w:t>
      </w:r>
      <w:r w:rsidRPr="00B301B0">
        <w:rPr>
          <w:i/>
          <w:iCs/>
          <w:color w:val="222222"/>
          <w:kern w:val="0"/>
          <w:sz w:val="24"/>
          <w:szCs w:val="24"/>
        </w:rPr>
        <w:t>Strategic Management Journal</w:t>
      </w:r>
      <w:r w:rsidRPr="00B301B0">
        <w:rPr>
          <w:color w:val="222222"/>
          <w:kern w:val="0"/>
          <w:sz w:val="24"/>
          <w:szCs w:val="24"/>
        </w:rPr>
        <w:t>, </w:t>
      </w:r>
      <w:r w:rsidRPr="00B301B0">
        <w:rPr>
          <w:i/>
          <w:iCs/>
          <w:color w:val="222222"/>
          <w:kern w:val="0"/>
          <w:sz w:val="24"/>
          <w:szCs w:val="24"/>
        </w:rPr>
        <w:t>26</w:t>
      </w:r>
      <w:r w:rsidRPr="00B301B0">
        <w:rPr>
          <w:color w:val="222222"/>
          <w:kern w:val="0"/>
          <w:sz w:val="24"/>
          <w:szCs w:val="24"/>
        </w:rPr>
        <w:t>(12), 1109-1128.</w:t>
      </w:r>
    </w:p>
    <w:p w14:paraId="310BF4CC"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Chandler Jr, A. D. (1991). The functions of the HQ unit in the multibusiness firm. </w:t>
      </w:r>
      <w:r w:rsidRPr="00B301B0">
        <w:rPr>
          <w:i/>
          <w:iCs/>
          <w:color w:val="222222"/>
          <w:kern w:val="0"/>
          <w:sz w:val="24"/>
          <w:szCs w:val="24"/>
        </w:rPr>
        <w:t>Strategic Management Journal</w:t>
      </w:r>
      <w:r w:rsidRPr="00B301B0">
        <w:rPr>
          <w:color w:val="222222"/>
          <w:kern w:val="0"/>
          <w:sz w:val="24"/>
          <w:szCs w:val="24"/>
        </w:rPr>
        <w:t>, </w:t>
      </w:r>
      <w:r w:rsidRPr="00B301B0">
        <w:rPr>
          <w:i/>
          <w:iCs/>
          <w:color w:val="222222"/>
          <w:kern w:val="0"/>
          <w:sz w:val="24"/>
          <w:szCs w:val="24"/>
        </w:rPr>
        <w:t>12</w:t>
      </w:r>
      <w:r w:rsidRPr="00B301B0">
        <w:rPr>
          <w:color w:val="222222"/>
          <w:kern w:val="0"/>
          <w:sz w:val="24"/>
          <w:szCs w:val="24"/>
        </w:rPr>
        <w:t>(S2), 31-50.</w:t>
      </w:r>
    </w:p>
    <w:p w14:paraId="32BAFF3E"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Decreton, B., Nell, P. C., &amp; Stea, D. (2019). Headquarters involvement, socialization, and entrepreneurial behaviors in MNC subsidiaries. </w:t>
      </w:r>
      <w:r w:rsidRPr="00B301B0">
        <w:rPr>
          <w:i/>
          <w:iCs/>
          <w:color w:val="222222"/>
          <w:kern w:val="0"/>
          <w:sz w:val="24"/>
          <w:szCs w:val="24"/>
        </w:rPr>
        <w:t>Long Range Planning</w:t>
      </w:r>
      <w:r w:rsidRPr="00B301B0">
        <w:rPr>
          <w:color w:val="222222"/>
          <w:kern w:val="0"/>
          <w:sz w:val="24"/>
          <w:szCs w:val="24"/>
        </w:rPr>
        <w:t>, </w:t>
      </w:r>
      <w:r w:rsidRPr="00B301B0">
        <w:rPr>
          <w:i/>
          <w:iCs/>
          <w:color w:val="222222"/>
          <w:kern w:val="0"/>
          <w:sz w:val="24"/>
          <w:szCs w:val="24"/>
        </w:rPr>
        <w:t>52</w:t>
      </w:r>
      <w:r w:rsidRPr="00B301B0">
        <w:rPr>
          <w:color w:val="222222"/>
          <w:kern w:val="0"/>
          <w:sz w:val="24"/>
          <w:szCs w:val="24"/>
        </w:rPr>
        <w:t>(4), doi.org/10.1016/j.lrp.2018.05.005.</w:t>
      </w:r>
    </w:p>
    <w:p w14:paraId="4ADEABCA"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Egelhoff, W. G. (2010). How the parent headquarters adds value to an MNC. </w:t>
      </w:r>
      <w:r w:rsidRPr="00B301B0">
        <w:rPr>
          <w:i/>
          <w:iCs/>
          <w:color w:val="222222"/>
          <w:kern w:val="0"/>
          <w:sz w:val="24"/>
          <w:szCs w:val="24"/>
        </w:rPr>
        <w:t>Management International Review</w:t>
      </w:r>
      <w:r w:rsidRPr="00B301B0">
        <w:rPr>
          <w:color w:val="222222"/>
          <w:kern w:val="0"/>
          <w:sz w:val="24"/>
          <w:szCs w:val="24"/>
        </w:rPr>
        <w:t>, </w:t>
      </w:r>
      <w:r w:rsidRPr="00B301B0">
        <w:rPr>
          <w:i/>
          <w:iCs/>
          <w:color w:val="222222"/>
          <w:kern w:val="0"/>
          <w:sz w:val="24"/>
          <w:szCs w:val="24"/>
        </w:rPr>
        <w:t>50</w:t>
      </w:r>
      <w:r w:rsidRPr="00B301B0">
        <w:rPr>
          <w:color w:val="222222"/>
          <w:kern w:val="0"/>
          <w:sz w:val="24"/>
          <w:szCs w:val="24"/>
        </w:rPr>
        <w:t>(4), 413-431.</w:t>
      </w:r>
    </w:p>
    <w:p w14:paraId="5B713C0C"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Feldman, E. R. (2020). The corporate parenting advantage, Revisited. </w:t>
      </w:r>
      <w:r w:rsidRPr="00B301B0">
        <w:rPr>
          <w:i/>
          <w:iCs/>
          <w:color w:val="222222"/>
          <w:kern w:val="0"/>
          <w:sz w:val="24"/>
          <w:szCs w:val="24"/>
        </w:rPr>
        <w:t>Strategic Management Journal</w:t>
      </w:r>
      <w:r w:rsidRPr="00B301B0">
        <w:rPr>
          <w:color w:val="222222"/>
          <w:kern w:val="0"/>
          <w:sz w:val="24"/>
          <w:szCs w:val="24"/>
        </w:rPr>
        <w:t>, </w:t>
      </w:r>
      <w:r w:rsidRPr="00B301B0">
        <w:rPr>
          <w:i/>
          <w:iCs/>
          <w:color w:val="222222"/>
          <w:kern w:val="0"/>
          <w:sz w:val="24"/>
          <w:szCs w:val="24"/>
        </w:rPr>
        <w:t>42</w:t>
      </w:r>
      <w:r w:rsidRPr="00B301B0">
        <w:rPr>
          <w:color w:val="222222"/>
          <w:kern w:val="0"/>
          <w:sz w:val="24"/>
          <w:szCs w:val="24"/>
        </w:rPr>
        <w:t>(1), 114-143.</w:t>
      </w:r>
    </w:p>
    <w:p w14:paraId="2219862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Ghoshal, S., &amp; Bartlett, C. A. (1990). The multinational corporation as an interorganizational network. </w:t>
      </w:r>
      <w:r w:rsidRPr="00B301B0">
        <w:rPr>
          <w:i/>
          <w:iCs/>
          <w:color w:val="222222"/>
          <w:kern w:val="0"/>
          <w:sz w:val="24"/>
          <w:szCs w:val="24"/>
        </w:rPr>
        <w:t>Academy of Management Review</w:t>
      </w:r>
      <w:r w:rsidRPr="00B301B0">
        <w:rPr>
          <w:color w:val="222222"/>
          <w:kern w:val="0"/>
          <w:sz w:val="24"/>
          <w:szCs w:val="24"/>
        </w:rPr>
        <w:t>, </w:t>
      </w:r>
      <w:r w:rsidRPr="00B301B0">
        <w:rPr>
          <w:i/>
          <w:iCs/>
          <w:color w:val="222222"/>
          <w:kern w:val="0"/>
          <w:sz w:val="24"/>
          <w:szCs w:val="24"/>
        </w:rPr>
        <w:t>15</w:t>
      </w:r>
      <w:r w:rsidRPr="00B301B0">
        <w:rPr>
          <w:color w:val="222222"/>
          <w:kern w:val="0"/>
          <w:sz w:val="24"/>
          <w:szCs w:val="24"/>
        </w:rPr>
        <w:t>(4), 603-626.</w:t>
      </w:r>
    </w:p>
    <w:p w14:paraId="483B7DCC"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Ghoshal, S., &amp; Nohria, N. (1989). Internal differentiation within multinational corporations. </w:t>
      </w:r>
      <w:r w:rsidRPr="00B301B0">
        <w:rPr>
          <w:i/>
          <w:iCs/>
          <w:color w:val="222222"/>
          <w:kern w:val="0"/>
          <w:sz w:val="24"/>
          <w:szCs w:val="24"/>
        </w:rPr>
        <w:t>Strategic Management Journal</w:t>
      </w:r>
      <w:r w:rsidRPr="00B301B0">
        <w:rPr>
          <w:color w:val="222222"/>
          <w:kern w:val="0"/>
          <w:sz w:val="24"/>
          <w:szCs w:val="24"/>
        </w:rPr>
        <w:t>, </w:t>
      </w:r>
      <w:r w:rsidRPr="00B301B0">
        <w:rPr>
          <w:i/>
          <w:iCs/>
          <w:color w:val="222222"/>
          <w:kern w:val="0"/>
          <w:sz w:val="24"/>
          <w:szCs w:val="24"/>
        </w:rPr>
        <w:t>10</w:t>
      </w:r>
      <w:r w:rsidRPr="00B301B0">
        <w:rPr>
          <w:color w:val="222222"/>
          <w:kern w:val="0"/>
          <w:sz w:val="24"/>
          <w:szCs w:val="24"/>
        </w:rPr>
        <w:t>(4), 323-337.</w:t>
      </w:r>
    </w:p>
    <w:p w14:paraId="2D55E4D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Kawai, N., &amp; Strange, R. (2014). Subsidiary autonomy and performance in Japanese multinationals in Europe. </w:t>
      </w:r>
      <w:r w:rsidRPr="00B301B0">
        <w:rPr>
          <w:i/>
          <w:iCs/>
          <w:color w:val="222222"/>
          <w:kern w:val="0"/>
          <w:sz w:val="24"/>
          <w:szCs w:val="24"/>
        </w:rPr>
        <w:t>International Business Review</w:t>
      </w:r>
      <w:r w:rsidRPr="00B301B0">
        <w:rPr>
          <w:color w:val="222222"/>
          <w:kern w:val="0"/>
          <w:sz w:val="24"/>
          <w:szCs w:val="24"/>
        </w:rPr>
        <w:t>, </w:t>
      </w:r>
      <w:r w:rsidRPr="00B301B0">
        <w:rPr>
          <w:i/>
          <w:iCs/>
          <w:color w:val="222222"/>
          <w:kern w:val="0"/>
          <w:sz w:val="24"/>
          <w:szCs w:val="24"/>
        </w:rPr>
        <w:t>23</w:t>
      </w:r>
      <w:r w:rsidRPr="00B301B0">
        <w:rPr>
          <w:color w:val="222222"/>
          <w:kern w:val="0"/>
          <w:sz w:val="24"/>
          <w:szCs w:val="24"/>
        </w:rPr>
        <w:t>(3), 504-515.</w:t>
      </w:r>
    </w:p>
    <w:p w14:paraId="5338A488"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Lazarova, M., Peretz, H., &amp; Fried, Y. (2017). Locals know best? Subsidiary HR autonomy and subsidiary performance. </w:t>
      </w:r>
      <w:r w:rsidRPr="00B301B0">
        <w:rPr>
          <w:i/>
          <w:iCs/>
          <w:color w:val="222222"/>
          <w:kern w:val="0"/>
          <w:sz w:val="24"/>
          <w:szCs w:val="24"/>
        </w:rPr>
        <w:t>Journal of World Business</w:t>
      </w:r>
      <w:r w:rsidRPr="00B301B0">
        <w:rPr>
          <w:color w:val="222222"/>
          <w:kern w:val="0"/>
          <w:sz w:val="24"/>
          <w:szCs w:val="24"/>
        </w:rPr>
        <w:t>, </w:t>
      </w:r>
      <w:r w:rsidRPr="00B301B0">
        <w:rPr>
          <w:i/>
          <w:iCs/>
          <w:color w:val="222222"/>
          <w:kern w:val="0"/>
          <w:sz w:val="24"/>
          <w:szCs w:val="24"/>
        </w:rPr>
        <w:t>52</w:t>
      </w:r>
      <w:r w:rsidRPr="00B301B0">
        <w:rPr>
          <w:color w:val="222222"/>
          <w:kern w:val="0"/>
          <w:sz w:val="24"/>
          <w:szCs w:val="24"/>
        </w:rPr>
        <w:t>(1), 83-96.</w:t>
      </w:r>
    </w:p>
    <w:p w14:paraId="3F0CD77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lastRenderedPageBreak/>
        <w:t>Menz, M., Kunisch, S., &amp; Collis, D. J. (2015). The corporate headquarters in the contemporary corporation: Advancing a multimarket firm perspective. </w:t>
      </w:r>
      <w:r w:rsidRPr="00B301B0">
        <w:rPr>
          <w:i/>
          <w:iCs/>
          <w:color w:val="222222"/>
          <w:kern w:val="0"/>
          <w:sz w:val="24"/>
          <w:szCs w:val="24"/>
        </w:rPr>
        <w:t>Academy of Management Annals</w:t>
      </w:r>
      <w:r w:rsidRPr="00B301B0">
        <w:rPr>
          <w:color w:val="222222"/>
          <w:kern w:val="0"/>
          <w:sz w:val="24"/>
          <w:szCs w:val="24"/>
        </w:rPr>
        <w:t>, </w:t>
      </w:r>
      <w:r w:rsidRPr="00B301B0">
        <w:rPr>
          <w:i/>
          <w:iCs/>
          <w:color w:val="222222"/>
          <w:kern w:val="0"/>
          <w:sz w:val="24"/>
          <w:szCs w:val="24"/>
        </w:rPr>
        <w:t>9</w:t>
      </w:r>
      <w:r w:rsidRPr="00B301B0">
        <w:rPr>
          <w:color w:val="222222"/>
          <w:kern w:val="0"/>
          <w:sz w:val="24"/>
          <w:szCs w:val="24"/>
        </w:rPr>
        <w:t>(1), 633-714.</w:t>
      </w:r>
    </w:p>
    <w:p w14:paraId="6AB3A755"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Monteiro, F., Mol, M., &amp; Birkinshaw, J. (2017). Ready to be open? Explaining the firm level barriers to benefiting from openness to external knowledge. </w:t>
      </w:r>
      <w:r w:rsidRPr="00B301B0">
        <w:rPr>
          <w:i/>
          <w:iCs/>
          <w:color w:val="222222"/>
          <w:kern w:val="0"/>
          <w:sz w:val="24"/>
          <w:szCs w:val="24"/>
        </w:rPr>
        <w:t>Long Range Planning</w:t>
      </w:r>
      <w:r w:rsidRPr="00B301B0">
        <w:rPr>
          <w:color w:val="222222"/>
          <w:kern w:val="0"/>
          <w:sz w:val="24"/>
          <w:szCs w:val="24"/>
        </w:rPr>
        <w:t>, </w:t>
      </w:r>
      <w:r w:rsidRPr="00B301B0">
        <w:rPr>
          <w:i/>
          <w:iCs/>
          <w:color w:val="222222"/>
          <w:kern w:val="0"/>
          <w:sz w:val="24"/>
          <w:szCs w:val="24"/>
        </w:rPr>
        <w:t>50</w:t>
      </w:r>
      <w:r w:rsidRPr="00B301B0">
        <w:rPr>
          <w:color w:val="222222"/>
          <w:kern w:val="0"/>
          <w:sz w:val="24"/>
          <w:szCs w:val="24"/>
        </w:rPr>
        <w:t>(2), 282-295.</w:t>
      </w:r>
    </w:p>
    <w:p w14:paraId="0927485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Mudambi, R. (2011). Hierarchy, coordination, and innovation in the multinational enterprise. </w:t>
      </w:r>
      <w:r w:rsidRPr="00B301B0">
        <w:rPr>
          <w:i/>
          <w:iCs/>
          <w:color w:val="222222"/>
          <w:kern w:val="0"/>
          <w:sz w:val="24"/>
          <w:szCs w:val="24"/>
        </w:rPr>
        <w:t>Global Strategy Journal</w:t>
      </w:r>
      <w:r w:rsidRPr="00B301B0">
        <w:rPr>
          <w:color w:val="222222"/>
          <w:kern w:val="0"/>
          <w:sz w:val="24"/>
          <w:szCs w:val="24"/>
        </w:rPr>
        <w:t>, </w:t>
      </w:r>
      <w:r w:rsidRPr="00B301B0">
        <w:rPr>
          <w:i/>
          <w:iCs/>
          <w:color w:val="222222"/>
          <w:kern w:val="0"/>
          <w:sz w:val="24"/>
          <w:szCs w:val="24"/>
        </w:rPr>
        <w:t>1</w:t>
      </w:r>
      <w:r w:rsidRPr="00B301B0">
        <w:rPr>
          <w:color w:val="222222"/>
          <w:kern w:val="0"/>
          <w:sz w:val="24"/>
          <w:szCs w:val="24"/>
        </w:rPr>
        <w:t>(3-4), 317-323.</w:t>
      </w:r>
    </w:p>
    <w:p w14:paraId="430DF623"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Mudambi, R., &amp; Navarra, P. (2004). Divisional power, intra-firm bargaining and rent-seeking behavior in multidivisional corporations. </w:t>
      </w:r>
      <w:r w:rsidRPr="00B301B0">
        <w:rPr>
          <w:i/>
          <w:iCs/>
          <w:color w:val="222222"/>
          <w:kern w:val="0"/>
          <w:sz w:val="24"/>
          <w:szCs w:val="24"/>
        </w:rPr>
        <w:t>Economics Bulletin</w:t>
      </w:r>
      <w:r w:rsidRPr="00B301B0">
        <w:rPr>
          <w:color w:val="222222"/>
          <w:kern w:val="0"/>
          <w:sz w:val="24"/>
          <w:szCs w:val="24"/>
        </w:rPr>
        <w:t>, </w:t>
      </w:r>
      <w:r w:rsidRPr="00B301B0">
        <w:rPr>
          <w:i/>
          <w:iCs/>
          <w:color w:val="222222"/>
          <w:kern w:val="0"/>
          <w:sz w:val="24"/>
          <w:szCs w:val="24"/>
        </w:rPr>
        <w:t>4</w:t>
      </w:r>
      <w:r w:rsidRPr="00B301B0">
        <w:rPr>
          <w:color w:val="222222"/>
          <w:kern w:val="0"/>
          <w:sz w:val="24"/>
          <w:szCs w:val="24"/>
        </w:rPr>
        <w:t>(13), 1-10.</w:t>
      </w:r>
    </w:p>
    <w:p w14:paraId="09A864B9"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Mudambi, R., Pedersen, T., &amp; Andersson, U. (2014). How subsidiaries gain power in multinational corporations. </w:t>
      </w:r>
      <w:r w:rsidRPr="00B301B0">
        <w:rPr>
          <w:i/>
          <w:iCs/>
          <w:color w:val="222222"/>
          <w:kern w:val="0"/>
          <w:sz w:val="24"/>
          <w:szCs w:val="24"/>
        </w:rPr>
        <w:t>Journal of World Business</w:t>
      </w:r>
      <w:r w:rsidRPr="00B301B0">
        <w:rPr>
          <w:color w:val="222222"/>
          <w:kern w:val="0"/>
          <w:sz w:val="24"/>
          <w:szCs w:val="24"/>
        </w:rPr>
        <w:t>, </w:t>
      </w:r>
      <w:r w:rsidRPr="00B301B0">
        <w:rPr>
          <w:i/>
          <w:iCs/>
          <w:color w:val="222222"/>
          <w:kern w:val="0"/>
          <w:sz w:val="24"/>
          <w:szCs w:val="24"/>
        </w:rPr>
        <w:t>49</w:t>
      </w:r>
      <w:r w:rsidRPr="00B301B0">
        <w:rPr>
          <w:color w:val="222222"/>
          <w:kern w:val="0"/>
          <w:sz w:val="24"/>
          <w:szCs w:val="24"/>
        </w:rPr>
        <w:t>(1), 101-113.</w:t>
      </w:r>
    </w:p>
    <w:p w14:paraId="1C2CD60A"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Nell, P. C., &amp; Ambos, B. (2013). Parenting advantage in the MNC: An embeddedness perspective on the value added by headquarters. </w:t>
      </w:r>
      <w:r w:rsidRPr="00B301B0">
        <w:rPr>
          <w:i/>
          <w:iCs/>
          <w:color w:val="222222"/>
          <w:kern w:val="0"/>
          <w:sz w:val="24"/>
          <w:szCs w:val="24"/>
        </w:rPr>
        <w:t>Strategic Management Journal</w:t>
      </w:r>
      <w:r w:rsidRPr="00B301B0">
        <w:rPr>
          <w:color w:val="222222"/>
          <w:kern w:val="0"/>
          <w:sz w:val="24"/>
          <w:szCs w:val="24"/>
        </w:rPr>
        <w:t>, </w:t>
      </w:r>
      <w:r w:rsidRPr="00B301B0">
        <w:rPr>
          <w:i/>
          <w:iCs/>
          <w:color w:val="222222"/>
          <w:kern w:val="0"/>
          <w:sz w:val="24"/>
          <w:szCs w:val="24"/>
        </w:rPr>
        <w:t>34</w:t>
      </w:r>
      <w:r w:rsidRPr="00B301B0">
        <w:rPr>
          <w:color w:val="222222"/>
          <w:kern w:val="0"/>
          <w:sz w:val="24"/>
          <w:szCs w:val="24"/>
        </w:rPr>
        <w:t>(9), 1086-1103.</w:t>
      </w:r>
    </w:p>
    <w:p w14:paraId="7F1C066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Nohria, N., &amp; Ghoshal, S. (1994). Differentiated fit and shared values: Alternatives for managing headquarters‐subsidiary relations. </w:t>
      </w:r>
      <w:r w:rsidRPr="00B301B0">
        <w:rPr>
          <w:i/>
          <w:iCs/>
          <w:color w:val="222222"/>
          <w:kern w:val="0"/>
          <w:sz w:val="24"/>
          <w:szCs w:val="24"/>
        </w:rPr>
        <w:t>Strategic Management Journal</w:t>
      </w:r>
      <w:r w:rsidRPr="00B301B0">
        <w:rPr>
          <w:color w:val="222222"/>
          <w:kern w:val="0"/>
          <w:sz w:val="24"/>
          <w:szCs w:val="24"/>
        </w:rPr>
        <w:t>, </w:t>
      </w:r>
      <w:r w:rsidRPr="00B301B0">
        <w:rPr>
          <w:i/>
          <w:iCs/>
          <w:color w:val="222222"/>
          <w:kern w:val="0"/>
          <w:sz w:val="24"/>
          <w:szCs w:val="24"/>
        </w:rPr>
        <w:t>15</w:t>
      </w:r>
      <w:r w:rsidRPr="00B301B0">
        <w:rPr>
          <w:color w:val="222222"/>
          <w:kern w:val="0"/>
          <w:sz w:val="24"/>
          <w:szCs w:val="24"/>
        </w:rPr>
        <w:t>(6), 491-502.</w:t>
      </w:r>
    </w:p>
    <w:p w14:paraId="712DEC1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Phene, A., &amp; Almeida, P. (2008). Innovation in multinational subsidiaries: The role of knowledge assimilation and subsidiary capabilities. </w:t>
      </w:r>
      <w:r w:rsidRPr="00B301B0">
        <w:rPr>
          <w:i/>
          <w:iCs/>
          <w:color w:val="222222"/>
          <w:kern w:val="0"/>
          <w:sz w:val="24"/>
          <w:szCs w:val="24"/>
        </w:rPr>
        <w:t>Journal of International Business Studies</w:t>
      </w:r>
      <w:r w:rsidRPr="00B301B0">
        <w:rPr>
          <w:color w:val="222222"/>
          <w:kern w:val="0"/>
          <w:sz w:val="24"/>
          <w:szCs w:val="24"/>
        </w:rPr>
        <w:t>, </w:t>
      </w:r>
      <w:r w:rsidRPr="00B301B0">
        <w:rPr>
          <w:i/>
          <w:iCs/>
          <w:color w:val="222222"/>
          <w:kern w:val="0"/>
          <w:sz w:val="24"/>
          <w:szCs w:val="24"/>
        </w:rPr>
        <w:t>39</w:t>
      </w:r>
      <w:r w:rsidRPr="00B301B0">
        <w:rPr>
          <w:color w:val="222222"/>
          <w:kern w:val="0"/>
          <w:sz w:val="24"/>
          <w:szCs w:val="24"/>
        </w:rPr>
        <w:t>(5), 901-919.</w:t>
      </w:r>
    </w:p>
    <w:p w14:paraId="09C800F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Rugman, A. M., &amp; Verbeke, A. (2001). Subsidiary‐specific advantages in multinational enterprises. </w:t>
      </w:r>
      <w:r w:rsidRPr="00B301B0">
        <w:rPr>
          <w:i/>
          <w:iCs/>
          <w:color w:val="222222"/>
          <w:kern w:val="0"/>
          <w:sz w:val="24"/>
          <w:szCs w:val="24"/>
        </w:rPr>
        <w:t>Strategic Management Journal</w:t>
      </w:r>
      <w:r w:rsidRPr="00B301B0">
        <w:rPr>
          <w:color w:val="222222"/>
          <w:kern w:val="0"/>
          <w:sz w:val="24"/>
          <w:szCs w:val="24"/>
        </w:rPr>
        <w:t>, </w:t>
      </w:r>
      <w:r w:rsidRPr="00B301B0">
        <w:rPr>
          <w:i/>
          <w:iCs/>
          <w:color w:val="222222"/>
          <w:kern w:val="0"/>
          <w:sz w:val="24"/>
          <w:szCs w:val="24"/>
        </w:rPr>
        <w:t>22</w:t>
      </w:r>
      <w:r w:rsidRPr="00B301B0">
        <w:rPr>
          <w:color w:val="222222"/>
          <w:kern w:val="0"/>
          <w:sz w:val="24"/>
          <w:szCs w:val="24"/>
        </w:rPr>
        <w:t>(3), 237-250.</w:t>
      </w:r>
    </w:p>
    <w:p w14:paraId="58D98A8C"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Sengul, M., &amp; Gimeno, J. (2013). Constrained delegation: Limiting subsidiaries’ decision rights and resources in firms that compete across multiple industries. </w:t>
      </w:r>
      <w:r w:rsidRPr="00B301B0">
        <w:rPr>
          <w:i/>
          <w:iCs/>
          <w:color w:val="222222"/>
          <w:kern w:val="0"/>
          <w:sz w:val="24"/>
          <w:szCs w:val="24"/>
        </w:rPr>
        <w:t>Administrative Science Quarterly</w:t>
      </w:r>
      <w:r w:rsidRPr="00B301B0">
        <w:rPr>
          <w:color w:val="222222"/>
          <w:kern w:val="0"/>
          <w:sz w:val="24"/>
          <w:szCs w:val="24"/>
        </w:rPr>
        <w:t>, </w:t>
      </w:r>
      <w:r w:rsidRPr="00B301B0">
        <w:rPr>
          <w:i/>
          <w:iCs/>
          <w:color w:val="222222"/>
          <w:kern w:val="0"/>
          <w:sz w:val="24"/>
          <w:szCs w:val="24"/>
        </w:rPr>
        <w:t>58</w:t>
      </w:r>
      <w:r w:rsidRPr="00B301B0">
        <w:rPr>
          <w:color w:val="222222"/>
          <w:kern w:val="0"/>
          <w:sz w:val="24"/>
          <w:szCs w:val="24"/>
        </w:rPr>
        <w:t>(3), 420-471.</w:t>
      </w:r>
    </w:p>
    <w:p w14:paraId="2CA50B0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Slangen, A. H., &amp; Hennart, J. F. (2008). Do foreign greenfields outperform foreign acquisitions or vice versa? An institutional perspective. </w:t>
      </w:r>
      <w:r w:rsidRPr="00B301B0">
        <w:rPr>
          <w:i/>
          <w:iCs/>
          <w:color w:val="222222"/>
          <w:kern w:val="0"/>
          <w:sz w:val="24"/>
          <w:szCs w:val="24"/>
        </w:rPr>
        <w:t>Journal of Management Studies</w:t>
      </w:r>
      <w:r w:rsidRPr="00B301B0">
        <w:rPr>
          <w:color w:val="222222"/>
          <w:kern w:val="0"/>
          <w:sz w:val="24"/>
          <w:szCs w:val="24"/>
        </w:rPr>
        <w:t>, </w:t>
      </w:r>
      <w:r w:rsidRPr="00B301B0">
        <w:rPr>
          <w:i/>
          <w:iCs/>
          <w:color w:val="222222"/>
          <w:kern w:val="0"/>
          <w:sz w:val="24"/>
          <w:szCs w:val="24"/>
        </w:rPr>
        <w:t>45</w:t>
      </w:r>
      <w:r w:rsidRPr="00B301B0">
        <w:rPr>
          <w:color w:val="222222"/>
          <w:kern w:val="0"/>
          <w:sz w:val="24"/>
          <w:szCs w:val="24"/>
        </w:rPr>
        <w:t>(7), 1301-1328.</w:t>
      </w:r>
    </w:p>
    <w:p w14:paraId="52A3FFA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Williamson, O. E. (1975). Markets and hierarchies. </w:t>
      </w:r>
      <w:r w:rsidRPr="00B301B0">
        <w:rPr>
          <w:i/>
          <w:iCs/>
          <w:color w:val="222222"/>
          <w:kern w:val="0"/>
          <w:sz w:val="24"/>
          <w:szCs w:val="24"/>
        </w:rPr>
        <w:t>New York: Free Press.</w:t>
      </w:r>
    </w:p>
    <w:p w14:paraId="78937EC9"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Young, S., &amp; Tavares, A. T. (2004). Centralization and autonomy: back to the future. </w:t>
      </w:r>
      <w:r w:rsidRPr="00B301B0">
        <w:rPr>
          <w:i/>
          <w:iCs/>
          <w:color w:val="222222"/>
          <w:kern w:val="0"/>
          <w:sz w:val="24"/>
          <w:szCs w:val="24"/>
        </w:rPr>
        <w:t>International Business Review</w:t>
      </w:r>
      <w:r w:rsidRPr="00B301B0">
        <w:rPr>
          <w:color w:val="222222"/>
          <w:kern w:val="0"/>
          <w:sz w:val="24"/>
          <w:szCs w:val="24"/>
        </w:rPr>
        <w:t>, </w:t>
      </w:r>
      <w:r w:rsidRPr="00B301B0">
        <w:rPr>
          <w:i/>
          <w:iCs/>
          <w:color w:val="222222"/>
          <w:kern w:val="0"/>
          <w:sz w:val="24"/>
          <w:szCs w:val="24"/>
        </w:rPr>
        <w:t>13</w:t>
      </w:r>
      <w:r w:rsidRPr="00B301B0">
        <w:rPr>
          <w:color w:val="222222"/>
          <w:kern w:val="0"/>
          <w:sz w:val="24"/>
          <w:szCs w:val="24"/>
        </w:rPr>
        <w:t>(2), 215-237.</w:t>
      </w:r>
    </w:p>
    <w:p w14:paraId="4D73CC0C" w14:textId="77777777" w:rsidR="00B301B0" w:rsidRPr="00B301B0" w:rsidRDefault="00B301B0" w:rsidP="00B301B0">
      <w:pPr>
        <w:widowControl/>
        <w:overflowPunct/>
        <w:autoSpaceDE/>
        <w:autoSpaceDN/>
        <w:adjustRightInd/>
        <w:spacing w:line="480" w:lineRule="auto"/>
        <w:ind w:left="720" w:firstLine="720"/>
        <w:rPr>
          <w:kern w:val="0"/>
          <w:sz w:val="24"/>
          <w:szCs w:val="24"/>
        </w:rPr>
      </w:pPr>
    </w:p>
    <w:p w14:paraId="6E67B8E8"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br w:type="page"/>
      </w:r>
    </w:p>
    <w:p w14:paraId="1C2D803D"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lastRenderedPageBreak/>
        <w:t xml:space="preserve">II. </w:t>
      </w:r>
      <w:r w:rsidRPr="00B301B0">
        <w:rPr>
          <w:kern w:val="0"/>
          <w:sz w:val="24"/>
          <w:szCs w:val="24"/>
        </w:rPr>
        <w:tab/>
        <w:t>STRUCTURAL DIFFERENTIATION WITHIN THE MNE: A REVIEW AND META-ANALYSIS OF SUBSIDIARY AUTONOMY</w:t>
      </w:r>
    </w:p>
    <w:p w14:paraId="189D63A1"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6903C531"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INTRODUCTION</w:t>
      </w:r>
    </w:p>
    <w:p w14:paraId="50B0E15C"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Foreign subsidiaries of multinational enterprises (MNE) have been a central focus of international business (IB) research over the last four decades. As globalization progressed and MNEs established operations in disperse and heterogenous foreign locations, many MNEs increasingly evolved from centralized, hierarchical entities to various forms of interconnected federations (Andersson, Forsgren &amp; Holm, 2002; Mudambi, 2011). Commensurately, subsidiaries came to be “at the forefront of many international business challenges as they operate in complex international environments and control some of the firm-specific advantages (FSAs) of the MNE” (Meyer, Li &amp; Schotter, 2020: 538). To better understand these realities, IB scholars developed a rich research program on how MNE managers (should) configure their subsidiaries’ strategy and structure to contribute to the success of the MNE. A fundamental facet of this literature is the locus of strategic decision making. </w:t>
      </w:r>
    </w:p>
    <w:p w14:paraId="2CC26A3A"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Starting with early works (e.g., Picard, 1977; Gates &amp; Egelhoff, 1986; Ghoshal &amp; Bartlett, 1990) and even in recent articles (e.g., Belenzon, Hashai &amp; Patacconi, 2019; Rabbiosi &amp; Santangelo, 2019; Ambos, Fuchs &amp; Zimmerman, 2020), the role of subsidiary autonomy to IB research looms large. Cross-cultural management and organization theory scholars similarly emphasize the importance of autonomy, allowing subsidiary managers to adapt practices to local contexts (e.g., Slangen &amp; Hennart, 2008; Sengul &amp; Gimeno, 2013). However, because contemporary MNEs often find themselves </w:t>
      </w:r>
      <w:r w:rsidRPr="00B301B0">
        <w:rPr>
          <w:kern w:val="0"/>
          <w:sz w:val="24"/>
          <w:szCs w:val="24"/>
        </w:rPr>
        <w:lastRenderedPageBreak/>
        <w:t>in unfamiliar and complex environments, MNE managers face inherent difficulties in centralizing control and efficiently making locally adaptive decisions. Accordingly, IB theory suggests that autonomy may be deployed to help MNE managers and their subsidiaries become embedded in their local context and develop, deploy, and revise capabilities and drive MNE success abroad (Beugelsdijk &amp; Jindra, 2018). A recent meta-analysis on the performance outcomes of subsidiary autonomy suggests that, in general, autonomy leads to improved performance, but not always (Geleilate, Andrews &amp; Fainshmidt, 2019).</w:t>
      </w:r>
    </w:p>
    <w:p w14:paraId="39720AD0"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Although MNE managers may be aware of the potential benefits of autonomy, prior research suggests that it is not systematically assigned, and some antecedents of autonomy may not necessarily be conducive to improving internationalization success (Ambos, Asakawa &amp; Ambos, 2011). In some instances, autonomy may even have deleterious effects, such as inefficient resource allocation and self-isolating subsidiary behaviors (Filatotchev &amp; Wright, 2011; Sengul &amp; Gimeno, 2013). These reasons are likely related to why a subsidiary may be autonomous in the first place, but the commensurate research on the drivers of autonomy has been dispersed and incohesive, lacking a concentrated effort towards developing a more lucid theory of subsidiary autonomy. Barring notable explanations (e.g., Kostova, Nell &amp; Hoenen, 2018; Cuervo-Cazurra, Mudambi &amp; Pedersen, 2019), it remains conceptually unclear as to what ultimately drives differences in decision-making autonomy across subsidiaries, but it is such understanding that can help propel theory of the antecedents of global MNE strategy.</w:t>
      </w:r>
    </w:p>
    <w:p w14:paraId="67159BEF"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To answer this call, I comprehensively review existing research and synthesize the main research traditions that underpin autonomy’s antecedents: First, research utilizing agency theory suggests that MNE headquarters may differentially allocate decision-making as a means to maintain strategic alignment between MNE headquarters and subsidiary (Björkman, Barner-Rasmussen, &amp; Li, 2004). Second, work rooted in institutional theories argues that autonomy may facilitate local embeddedness and the establishment of legitimacy; thus, it is driven by host country environments as well as their similarity to the MNE home country (Kostova &amp; Zaheer, 1999; Fenton-O’Creevy, Gooderham &amp; Nordhaug, 2008). Third, studies leveraging resource-based perspectives suggest that autonomy is related to subsidiary roles, power, and responsibilities within the MNE, a broad category I label ‘global strategy’ (Cantwell &amp; Mudambi, 2005; see Tallman &amp; Yip, 2009). What is clear from this rich literature is that levels of autonomy vary by MNE and, more importantly, by subsidiary (Nohria &amp; Ghoshal, 1994). Why that is the case, however, remains much more ambiguous, making this body of literature ripe for taking stock of the existing fragmented knowledge and formulating a revitalized roadmap for future inquiry.</w:t>
      </w:r>
    </w:p>
    <w:p w14:paraId="430C1FE0"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Towards this end, my study follows the structure of Kostova et al. (2019) and has three objectives: First, I take stock of existing literature to distill a cumulative, comprehensive account of research traditions and their underlying mechanisms, thereby contributing to the construction of a nomological network of subsidiary autonomy research. Second, using the nomological network as a guiding framework, I conduct a quantitative, quasi-exploratory meta-analysis of autonomy’s antecedents. A meta-analysis allows me to rigorously test prior predictions in a comprehensive sample and, perhaps more importantly, test relationships stemming from multiple literature streams in the face of each other. Using 131 studies from 1986 to 2020 comprised of 31,017 subsidiaries, I provide robust and rigorous estimations of prior theoretical arguments. Finally, I combine these efforts and provide a theory-driven roadmap for future research into the drivers of autonomy, explicating how such research can propel a more lucid theory of MNE strategy, structure, and evolution.</w:t>
      </w:r>
    </w:p>
    <w:p w14:paraId="432FBE79"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19AB0997"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 xml:space="preserve">SUBSIDIARY AUTONOMY: THEORETICAL BACKGROUND </w:t>
      </w:r>
    </w:p>
    <w:p w14:paraId="519BB355"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Over the last forty years, IB research has extensively examined the antecedents of subsidiary autonomy and, by extension, global MNE strategy and structure (e.g., Stopford &amp; Wells, 1972; Gates &amp; Egelhoff, 1986; Hedlund, 1986; Ghoshal &amp; Bartlett, 1990; Wang et al., 2014; Rabbiosi &amp; Santangelo, 2019). With an initial focus on hierarchical organizations to, now, various forms of networked, subsidiary-focused perspectives (Mudambi, 2011), the allocation of autonomy to MNE subsidiaries seems to be a complex rather than a straightforward, performance-driven phenomenon. Moreover, as research progressed, so have the attitudes towards and various theoretical perspectives applied to subsidiary autonomy research, reflecting promising variety but unstructured scholarly conversations. </w:t>
      </w:r>
    </w:p>
    <w:p w14:paraId="5D3B96AC"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A review of prior research suggests varying nomenclature of subsidiary autonomy. IB scholars typically define it as the extent to which a subsidiary makes strategic and operational decisions without headquarters interference. With increased autonomy, subsidiaries can make decisions to improve new products and processes (Phene &amp; Almeida, 2008), pursue subsidiary initiatives and local opportunities (Birkinshaw, 1997), adapt to local conditions (Fenton-O’Creevy et al., 2008), and contribute to MNE knowledge stocks (Cantwell &amp; Mudambi, 2005). Autonomy can also be demarcated by functional area, such that a subsidiary can exhibit autonomy in sales and marketing (Homburg &amp; Prigge, 2014), research and development (Feinberg &amp; Gupta, 2004), and other functional domains (Beugelsdijk &amp; Jindra, 2018). The thesis is that autonomy enables subsidiary managers to independently allocate resources without attaining approval from its corporate headquarters.</w:t>
      </w:r>
    </w:p>
    <w:p w14:paraId="521039AC"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Early work introduced the concept of decision-making autonomy in a way to optimize non-essential business activities in large corporations. Often limited to only a few specific functional areas, prior research argued that autonomy should only be sparsely allocated, all while the remainder of core decisions were centralized to unify cost savings (Williamson, 1975). For instance, Vernon (1966) suggested that key functions and decisions, such as product development, would take place centrally at the headquarters, and then products would be distributed abroad and sold by local subsidiaries with varying degrees of decision-making latitude. Subsidiary roles and the locus of decisions were thus pre-determined to match the corporation’s strategy and structure (Chandler, 1962), with an overall emphasis on hierarchical control systems and planning. Several scholars probed into when the headquarters may begin to allocate more local (Pryor, 1965), regional (Williams, 1967), and even global (Buzzell, 1968) autonomy; however, findings mostly converged to suggest that key strategic decisions were to be made centrally by the headquarters. </w:t>
      </w:r>
    </w:p>
    <w:p w14:paraId="5381589F"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As the global scope and diversity of firms increased, MNEs began to focus on scale economies and the efficient location of production. Here, MNEs sought to relocate production to low-cost environments, and standardization subsequently became a prominent global strategy (Chandler, 1991). However, as globalization continued to progress, strategy formation became “excessively complex” (Paterson &amp; Brock, 2002: 152), and MNEs began to face new challenges, such as pressures for local embeddedness and responsiveness (Doz &amp; Prahalad, 1984). Bartlett and Ghoshal’s (1989) transnational solution became the canonical work, and subsidiary autonomy consequently was seen as an important structural lever by which the MNE can differentially implement across subsidiaries to improve success in foreign locations (Nohria &amp; Ghoshal, 1994). The cumulative research over the last several decades investigates how and when autonomy should be allocated to enable subsidiary leaders to adapt subsidiary strategy to fit local opportunities and needs (Meyer et al., 2020). </w:t>
      </w:r>
    </w:p>
    <w:p w14:paraId="24319D23"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However, although the benefits of autonomy are well documented (Geleilate et al., 2019), several studies note that its allocation might yield incentive problems, inefficient resource allocation, and coordination costs (Ecker, van Triest &amp; Williams, 2013). Consequently, MNEs may prefer to centralize decision-making to steer subsidiary’s behavior and facilitate global coordination. Centralization – the exercising of fiat decision-making control by headquarters – facilitates a more definitive MNE strategy and streamlines global integration across disperse MNE networks of foreign subsidiaries (Sengul &amp; Gimeno, 2013). Moreover, centralization helps prevent the misallocation and duplication of resources, particularly when headquarters managers are equipped to make locally adaptive decisions (Keupp, Palmié &amp; Gassmann, 2011). In this sense, autonomy is inversely related to centralization.</w:t>
      </w:r>
      <w:r w:rsidRPr="00B301B0">
        <w:rPr>
          <w:kern w:val="0"/>
          <w:sz w:val="24"/>
          <w:szCs w:val="24"/>
          <w:vertAlign w:val="superscript"/>
        </w:rPr>
        <w:footnoteReference w:id="1"/>
      </w:r>
      <w:r w:rsidRPr="00B301B0">
        <w:rPr>
          <w:kern w:val="0"/>
          <w:sz w:val="24"/>
          <w:szCs w:val="24"/>
        </w:rPr>
        <w:t xml:space="preserve"> </w:t>
      </w:r>
    </w:p>
    <w:p w14:paraId="1E66053C"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What is clear from this literature is that although decision-making, broadly and autonomy in particular are evidently important to understanding differences MNE strategy (e.g., Cantwell &amp; Mudambi, 2005; Fenton-O’Creevy et al., 2008; Kawai &amp; Strange, 2014), it has been differentially applied and thus lacking a concentrated theory. While such diversity is often promising, a review of prior research points to several unclear theoretical prescriptions as to </w:t>
      </w:r>
      <w:r w:rsidRPr="00B301B0">
        <w:rPr>
          <w:i/>
          <w:iCs/>
          <w:kern w:val="0"/>
          <w:sz w:val="24"/>
          <w:szCs w:val="24"/>
        </w:rPr>
        <w:t>when</w:t>
      </w:r>
      <w:r w:rsidRPr="00B301B0">
        <w:rPr>
          <w:kern w:val="0"/>
          <w:sz w:val="24"/>
          <w:szCs w:val="24"/>
        </w:rPr>
        <w:t xml:space="preserve"> a subsidiary will be more autonomous. Indeed, a comprehensive review on the state of autonomy research can be useful to bolster core IB theory and propel a concentrated theory of MNE strategy and structure. </w:t>
      </w:r>
    </w:p>
    <w:p w14:paraId="4AE38725"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15C460B3"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ANTECEDENTS OF SUBSIDIARY AUTONOMY: THREE RESEARCH TRADITIONS</w:t>
      </w:r>
    </w:p>
    <w:p w14:paraId="29BE66BB"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My review of literature points to numerous theoretical insights on the antecedents underpinning subsidiary autonomy differentials. To consolidate these, I followed prior studies taking a similar approach as mine and subsumed past research into three overarching research traditions: Agency theory, institutional theory, and global strategy. In Table 1, I outline each literature stream and their rationale. In the remaining sections, I synthesize these arguments to develop a cumulative, comprehensive account of autonomy’s antecedents, contributing to the construction of a theoretical nomological network of global MNE strategy and structure.</w:t>
      </w:r>
      <w:r w:rsidRPr="00B301B0">
        <w:rPr>
          <w:kern w:val="0"/>
          <w:sz w:val="24"/>
          <w:szCs w:val="24"/>
          <w:vertAlign w:val="superscript"/>
        </w:rPr>
        <w:footnoteReference w:id="2"/>
      </w:r>
      <w:r w:rsidRPr="00B301B0">
        <w:rPr>
          <w:kern w:val="0"/>
          <w:sz w:val="24"/>
          <w:szCs w:val="24"/>
        </w:rPr>
        <w:t xml:space="preserve"> </w:t>
      </w:r>
    </w:p>
    <w:p w14:paraId="0877D427" w14:textId="77777777" w:rsidR="00B301B0" w:rsidRPr="00B301B0" w:rsidRDefault="00B301B0" w:rsidP="00B301B0">
      <w:pPr>
        <w:widowControl/>
        <w:overflowPunct/>
        <w:autoSpaceDE/>
        <w:autoSpaceDN/>
        <w:adjustRightInd/>
        <w:spacing w:line="480" w:lineRule="auto"/>
        <w:ind w:left="720"/>
        <w:jc w:val="center"/>
        <w:rPr>
          <w:i/>
          <w:iCs/>
          <w:kern w:val="0"/>
          <w:sz w:val="24"/>
          <w:szCs w:val="24"/>
        </w:rPr>
      </w:pPr>
    </w:p>
    <w:p w14:paraId="781282D4" w14:textId="77777777" w:rsidR="00B301B0" w:rsidRPr="00B301B0" w:rsidRDefault="00B301B0" w:rsidP="00B301B0">
      <w:pPr>
        <w:widowControl/>
        <w:overflowPunct/>
        <w:autoSpaceDE/>
        <w:autoSpaceDN/>
        <w:adjustRightInd/>
        <w:spacing w:line="480" w:lineRule="auto"/>
        <w:ind w:left="720"/>
        <w:jc w:val="center"/>
        <w:rPr>
          <w:i/>
          <w:iCs/>
          <w:kern w:val="0"/>
          <w:sz w:val="24"/>
          <w:szCs w:val="24"/>
        </w:rPr>
      </w:pPr>
      <w:r w:rsidRPr="00B301B0">
        <w:rPr>
          <w:i/>
          <w:iCs/>
          <w:kern w:val="0"/>
          <w:sz w:val="24"/>
          <w:szCs w:val="24"/>
        </w:rPr>
        <w:t>---Insert table 1 here---</w:t>
      </w:r>
      <w:r w:rsidRPr="00B301B0">
        <w:rPr>
          <w:kern w:val="0"/>
          <w:sz w:val="24"/>
          <w:szCs w:val="24"/>
        </w:rPr>
        <w:tab/>
        <w:t xml:space="preserve"> </w:t>
      </w:r>
    </w:p>
    <w:p w14:paraId="7931F4BA"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p>
    <w:p w14:paraId="0C866B33"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r w:rsidRPr="00B301B0">
        <w:rPr>
          <w:i/>
          <w:iCs/>
          <w:kern w:val="0"/>
          <w:sz w:val="24"/>
          <w:szCs w:val="24"/>
        </w:rPr>
        <w:t>Agency theory</w:t>
      </w:r>
    </w:p>
    <w:p w14:paraId="1BCB3F1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First, agency theory is a prominent theoretical lens for analyzing headquarters-subsidiary relationships (e.g., O’Donnell, 2000; Björkman et al., 2004; Ambos et al., 2019), and concerns the design of optimal contracts by headquarters (principal) to curtail opportunism by and misalignment of the subsidiary (agent) (Jensen &amp; Meckling, 1976; see Kostova et al., 2018). Hoenen and Kostova (2015: 105) argue that headquarters-subsidiary agency can be explained in three-parts: (a) the headquarters may allocate decision-making rights to a subsidiary to more easily perform MNE functions in foreign locations. However, (b) the headquarters cannot always fully observe subsidiary operations, and (c) the loss of control through the delegation of decision-making authority may result in the divergence of the subsidiary, inducing undesirable behaviors and potentially plaguing subsidiary success. In this sense, the allocation of subsidiary autonomy is seen as comparatively riskier than headquarters centralization.</w:t>
      </w:r>
    </w:p>
    <w:p w14:paraId="5F40651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Prior research suggests that the possibility for opportunistic subsidiary behavior is a root agency concern and thus a key determinant of a headquarters’ decision to limit subsidiary autonomy (Kostova et al., 2018). Subsidiary opportunism occurs when a subsidiary pursues self-interests and incongruent behaviors with the MNE. Even if subsidiaries are given only limited decision-making latitude to strategize around pressures for local adaptations (Ambos et al., 2019), subsidiary managers may still use that autonomy to “build their own little empires” (Birkinshaw, 1998: 362) and extend their roles to pursue independent objectives and self-interests (Mudambi &amp; Navarra, 2004). While foreign subsidiaries are not mere mechanical instruments of their MNEs and may need autonomy to generate local competitive advantages (Cuervo-Cazurra et al., 2019), it is difficult to curtail subsidiary opportunism once a subsidiary has decision-making latitude. </w:t>
      </w:r>
    </w:p>
    <w:p w14:paraId="447225DA"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Moreover, subsidiaries are boundedly rational, such that they have a limited capacity to interpret and attend to MNE strategies and directives (Kostova &amp; Roth, 2003). Because subsidiaries are embedded in both their local and MNE context, it becomes difficult for a subsidiary to interpret MNE objectives, judge situations, and take appropriate action (Hoenen &amp; Kostova, 2015). Subsidiaries may rely on their own heuristics and interpretation of MNE strategies, which may increase the risk of role overestimation and task misinterpretation (Foss &amp; Weber, 2016). Headquarters themselves may also be boundedly rational, and Hendry (2002) argues that “there will be some degree of misunderstanding, misinterpretation, or misjudgment…corresponding to the difference in utility between achieving their objectives as they would understand them and achieving their objectives as the agents understand them” (p.102). The upshot is that although autonomy can be useful to drive MNE success in foreign locations, potential misalignment in goals and objectives make the allocation of autonomy risky (Nohria &amp; Ghoshal, 1994; Ghoshal &amp; Moran, 1996).</w:t>
      </w:r>
    </w:p>
    <w:p w14:paraId="6A22EC84"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In the context of disperse MNEs, it is particularly difficult for headquarters to monitor subsidiary behavior and differentially manage their network of subsidiaries. When monitoring mechanisms becomes too costly, headquarters may utilize performance-based contracts that are designed to reward (curtail) subsidiaries contingent upon their local performance. By implementing performance-based controls, headquarters can objectively implement varying global strategies while making the subsidiary a bearer of risk (e.g., Roth &amp; O’Donnell, 1996; Gong, 2003). That is, subsidiaries that perform well will be rewarded with more autonomy as a subsidiary’s outcome is tied to its exposure to risk (Chatzopoulou, Spanos &amp; Lioukas, 2020); however, underperforming subsidiaries should exhibit less autonomy because they have not proven themselves as deserving more decision-making latitude (Jensen &amp; Meckling, 1976). Hence, headquarters may use performance to make subsidiary behavior more verifiable and visible (Kim, Prescott &amp; Kim, 2005). In sum, headquarters-subsidiary agency seems to be theoretically relevant, but there are various ways in which the theory has been applied to understand subsidiary autonomy (e.g., Björkman et al., 2004; Filatotchev &amp; Wright, 2011), making it ripe for additional empirical evidence.</w:t>
      </w:r>
    </w:p>
    <w:p w14:paraId="58D8795D"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p>
    <w:p w14:paraId="03B4D6D4"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r w:rsidRPr="00B301B0">
        <w:rPr>
          <w:i/>
          <w:iCs/>
          <w:kern w:val="0"/>
          <w:sz w:val="24"/>
          <w:szCs w:val="24"/>
        </w:rPr>
        <w:t>Institutional theory</w:t>
      </w:r>
    </w:p>
    <w:p w14:paraId="4BA24806"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In recent years, a proliferation of research has adopted institutional theory to examine the importance of local environmental settings and organizations’ contextual embeddedness (Kostova &amp; Zaheer, 1999; Hall &amp; Soskice, 2001; Witt &amp; Jackson, 2016).</w:t>
      </w:r>
      <w:r w:rsidRPr="00B301B0">
        <w:rPr>
          <w:kern w:val="0"/>
          <w:sz w:val="24"/>
          <w:szCs w:val="24"/>
          <w:vertAlign w:val="superscript"/>
        </w:rPr>
        <w:footnoteReference w:id="3"/>
      </w:r>
      <w:r w:rsidRPr="00B301B0">
        <w:rPr>
          <w:kern w:val="0"/>
          <w:sz w:val="24"/>
          <w:szCs w:val="24"/>
        </w:rPr>
        <w:t xml:space="preserve"> Such research argues that differences among host-country environments affect subsidiary strategy, structure, and performance and thus MNE success in foreign locations (e.g., Gaur &amp; Lu, 2007; Lazarova, Peretz &amp; Fried, 2018). In particular, with the rapid expansion of MNEs to disperse markets, firms are increasingly finding themselves in unfamiliar territories, which requires differential management of subsidiaries to cope with complex multinational operations. With a primary purpose of foreign subsidiaries being to tap into host-country resources to absorb, generate, and disseminate knowledge across the MNE network (Foss &amp; Pedersen, 2002; Andersson et al., 2002), subsidiary autonomy might be indispensable and hence a critical part of contemporary MNE strategy.</w:t>
      </w:r>
    </w:p>
    <w:p w14:paraId="2BB1F32F"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When applied to headquarters-subsidiary domain, institutional theory primarily focuses on cross-country differences, often elucidating the role of institutional distance (Kostova et al., 2019). Institutional distance demarcates the “extent of similarity or dissimilarity between the regulatory, cognitive, and normative institutions of two countries” (Xu &amp; Shenkar, 2002: 608). A broad overview of institutional distance encompasses cultural, regulatory, and cognitive elements (Kostova, 1999), and distance is a measure to capture the relative familiarity of the parent MNE with subsidiary host-country conditions. </w:t>
      </w:r>
    </w:p>
    <w:p w14:paraId="64CB2637"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Prior research suggests with increasing distance between home and host-country institutions, headquarters managers are likely to have larger knowledge gaps of host-country conditions, making the allocation of resources and capabilities more difficult (Dellestrand &amp; Kappen, 2012). In such environments, decision-making autonomy becomes an important structural mechanism as subsidiary managers can more easily become locally embedded and strategize around local institutions’ norms and regulations (Geleilate et al., 2019). Alternatively, not all institutional environments present obstacles for local embeddedness and integration processes for the MNE. In lower distance contexts between the home and host country, the headquarters may more easily retain decision-making control while still achieving similar local responsiveness benefits (Cui et al., 2006). Here, autonomy should be differentiated according to the distance between the home and host environments (Luo, 2001).</w:t>
      </w:r>
    </w:p>
    <w:p w14:paraId="60860B82"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However, although autonomy may yield embeddedness enhancing benefits in distant environments, it may simultaneously inhibit global integration (Hartmann, Feisdel &amp; Schober, 2010). While integration and local responsiveness are not inversely related, local pressures, such as low regulatory quality and economic instability, may significantly impact global integration (Luo, 2001; Holtbrügge, 2005). Thus, with increasing uncertainty in the host country environment, autonomous subsidiaries may focus too much on navigating the local environment and losing out on global integration benefits (Cuervo-Cazurra &amp; Genc, 2008; Beulgelsdijk et al., 2017). As a result, the MNE may wish to retain some decision-making control to prevent a subsidiary from focusing too much on local adaptation and becoming a silo within the MNE network. </w:t>
      </w:r>
    </w:p>
    <w:p w14:paraId="117459EA"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Institutional scholars also posit that host country conditions might influence the salience of subsidiary autonomy, irrespective of their similarity to the home country context. For instance, MNEs will alter their local strategies when entering a host country that is unstable and presents numerous constraints, such political uncertainty and lack of governance mechanisms (e.g., Rodriguez, Uhlenbruck, &amp; Eden, 2005; Sartor &amp; Beamish, 2018). Rabbiosi and Santangelo (2018) argue that in such cases, autonomy will help to reduce the costs of uncertainty and information processing as autonomy equips local managers to navigate local issues and make adaptive decisions. While autonomy might come with inconsistencies in internal strategy, structure, and processes, it helps to legitimize the subsidiary in the local market. Moreover, in countries with high tolerance for uncertainty and corruption, MNEs may face pressures to engage in corrupt behavior to maintain salience in the local environment. Here, subsidiary autonomy might be deployed as a means for the MNE to distance itself from the subsidiary in case of corrupt, misaligned behavior (e.g., Spencer &amp; Gomez, 2011; Cuervo-Cazurra, 2016). As these brief examples illustrate, while various aspects of institutional theory are relevant to understanding why a subsidiary will be more or less autonomous, they warrant additional theoretical and empirical work to understand their underlying effect. </w:t>
      </w:r>
    </w:p>
    <w:p w14:paraId="37AA17C3"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p>
    <w:p w14:paraId="135E5EB2" w14:textId="77777777" w:rsidR="00B301B0" w:rsidRPr="00B301B0" w:rsidRDefault="00B301B0" w:rsidP="00B301B0">
      <w:pPr>
        <w:widowControl/>
        <w:overflowPunct/>
        <w:autoSpaceDE/>
        <w:autoSpaceDN/>
        <w:adjustRightInd/>
        <w:spacing w:line="480" w:lineRule="auto"/>
        <w:ind w:left="720"/>
        <w:jc w:val="both"/>
        <w:rPr>
          <w:b/>
          <w:bCs/>
          <w:i/>
          <w:iCs/>
          <w:kern w:val="0"/>
          <w:sz w:val="24"/>
          <w:szCs w:val="24"/>
        </w:rPr>
      </w:pPr>
      <w:r w:rsidRPr="00B301B0">
        <w:rPr>
          <w:i/>
          <w:iCs/>
          <w:kern w:val="0"/>
          <w:sz w:val="24"/>
          <w:szCs w:val="24"/>
        </w:rPr>
        <w:t>Global</w:t>
      </w:r>
      <w:r w:rsidRPr="00B301B0">
        <w:rPr>
          <w:b/>
          <w:bCs/>
          <w:i/>
          <w:iCs/>
          <w:kern w:val="0"/>
          <w:sz w:val="24"/>
          <w:szCs w:val="24"/>
        </w:rPr>
        <w:t xml:space="preserve"> </w:t>
      </w:r>
      <w:r w:rsidRPr="00B301B0">
        <w:rPr>
          <w:i/>
          <w:iCs/>
          <w:kern w:val="0"/>
          <w:sz w:val="24"/>
          <w:szCs w:val="24"/>
        </w:rPr>
        <w:t>strategy</w:t>
      </w:r>
    </w:p>
    <w:p w14:paraId="266397C0"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Finally, research in the global strategy</w:t>
      </w:r>
      <w:r w:rsidRPr="00B301B0">
        <w:rPr>
          <w:i/>
          <w:iCs/>
          <w:kern w:val="0"/>
          <w:sz w:val="24"/>
          <w:szCs w:val="24"/>
        </w:rPr>
        <w:t xml:space="preserve"> </w:t>
      </w:r>
      <w:r w:rsidRPr="00B301B0">
        <w:rPr>
          <w:kern w:val="0"/>
          <w:sz w:val="24"/>
          <w:szCs w:val="24"/>
        </w:rPr>
        <w:t xml:space="preserve">tradition originally argued that “ownership-specific advantages were developed at the corporate headquarters and leveraged overseas” (Birkinshaw &amp; Hood, 1998: 773). In this sense, the subsidiary was dependent on the MNE, and its role was mostly competence-exploiting (Cantwell &amp; Mudambi, 2005). As globalization progressed, subsidiaries began to assume new mandates (Lee, Chung &amp; Beamish, 2019), develop unique and sustainable resources (Birkinshaw, 1997), and contribute to MNE success abroad. Indeed, Menz et al. (2015) argue that as the MNE evolved, so did the foreign subsidiary – taking on new value-adding roles within the organization by identifying, absorbing, and generating unique and sustainable resources and capabilities. </w:t>
      </w:r>
    </w:p>
    <w:p w14:paraId="55C1665B"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The transformation of subsidiary roles and mandates is closely related to resource-based traditions (Rugman &amp; Verbeke, 2001). As subsidiaries evolve over-time, they accumulate more resources and capabilities to develop their own competitive advantages (Birkinshaw &amp; Hood, 1998; </w:t>
      </w:r>
      <w:r w:rsidRPr="00B301B0">
        <w:rPr>
          <w:iCs/>
          <w:color w:val="000000"/>
          <w:kern w:val="0"/>
          <w:sz w:val="24"/>
          <w:szCs w:val="24"/>
        </w:rPr>
        <w:t xml:space="preserve">Lim, Hemmert &amp; Kim, 2017). </w:t>
      </w:r>
      <w:r w:rsidRPr="00B301B0">
        <w:rPr>
          <w:kern w:val="0"/>
          <w:sz w:val="24"/>
          <w:szCs w:val="24"/>
        </w:rPr>
        <w:t xml:space="preserve">The control of resources increases the bargaining power of a subsidiary, enhancing its visibility and reshaping the headquarters-subsidiary relationship. Resources are a reflection of intra-organizational power dynamics (Cuervo-Cazurra et al., 2019): Subsidiaries with more strategically important resources can assume power, influence strategy, and, perhaps, operate with more autonomy. </w:t>
      </w:r>
    </w:p>
    <w:p w14:paraId="7780A771"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In addition, and as previously mentioned, it is difficult for the contemporary MNE to retain decision-making control across all subsidiaries, primarily due to the diversity in market structures, processes, and consumer demands. Because of the limited capacity of headquarters managers, they may attempt to move subsidiaries from a local-market orientation into competence-creating (Cuervo-Cazurra et al., 2019), tapping into knowledge pools to become a key source of competitive advantage. Such subsidiaries move beyond being subservient executors of MNE commands towards more strategically important to the MNE (Ryan et al., 2020). Here, subsidiaries slowly take on more responsibilities within the organization, assuming responsibility for new value-chain functions as well as becoming more locally embedded (Riviere, Bass and Andersson, 2020). The general notion is that subsidiaries will not always be dependent on their parent MNE and thus will differ in their local strategy, which might reflect varying levels of decision-making autonomy (Mudambi &amp; Navarra, 2004). </w:t>
      </w:r>
    </w:p>
    <w:p w14:paraId="1DA499F5"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In sum, the preceding discussions and extant literature suggest that the allocation of subsidiary autonomy is not a straightforward decision. I presented several arguments for each research tradition that illustrate cases for an increase and limiting of decision-making autonomy. For instance, agency theory posits that headquarters might maintain decision rights to prevent goal misalignment, while it might also argue for more autonomy for other agency variables, such as past performance. Similarly, institutional theory emphasizes the importance of autonomy to cope with complex contextual settings, although too much autonomy may result in deleterious effects for global integration. Then, global strategy suggests that autonomy allocation will be most salient for those subsidiaries with more functional responsibilities and that have a locally focused strategy, but not all subsidiaries have the need for autonomous decision making. Each of these views has helped advance our understanding of why a subsidiary might be autonomous in the first place, but arguments have been piecemeal, and theory of subsidiary autonomy has been disaggregated. Hence, to better understand the drivers of autonomy, in the next section, I meta-analyze dispersed empirical findings to empirically explore the underlying effects of key variables stemming from each research tradition.</w:t>
      </w:r>
    </w:p>
    <w:p w14:paraId="4EB301E0"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445BDF38"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138F2FF4"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METHODOLOGY</w:t>
      </w:r>
    </w:p>
    <w:p w14:paraId="772F577D"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r w:rsidRPr="00B301B0">
        <w:rPr>
          <w:i/>
          <w:iCs/>
          <w:kern w:val="0"/>
          <w:sz w:val="24"/>
          <w:szCs w:val="24"/>
        </w:rPr>
        <w:t>Sampling procedures</w:t>
      </w:r>
    </w:p>
    <w:p w14:paraId="6E3C4AEC"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The sample selection procedure comprised of a five-step structured approach consistent with established guidelines of recent management studies (e.g., Kirca et al., 2011; Fainshmidt et al., 2016; Beugelsdijk et al., 2017). First, I read and analyzed existing conceptual reviews (Paterson &amp; Brock, 2002; Young &amp; Tavares, 2004; Kostova, Marano &amp; Tallman, 2016; Meyer et al., 2020) and related meta-analyses (Zeng, Grøgaard &amp; Steel, 2018; Geleilate et al., 2019) to both identify a base of studies and to help formulate a set of autonomy-related keywords. Second, I developed a series of paired search terms, one set targeting subsidiaries, and another decision-making rights. Specifically, I had six prefix terms (subsidiary, subunit, affiliate, division, foreign, local) and seven suffix terms (autonomy, decision-making, centralization, decentralization, control, independence, responsiveness), resulting in 42 paired search terms. I complemented these with a set of methodological keywords (e.g., findings, results, empirical, data) to identify only quantitative, empirical articles (Fainshmidt et al., 2016). I used these search parameters to survey major electronic databases, including ABI Inform, EBSCO, and Google Scholar, targeting all peer-reviewed scholarly journals.</w:t>
      </w:r>
    </w:p>
    <w:p w14:paraId="1A132AF6"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Third, I engaged in a manual search of 15 relevant IB, strategy, and general management journals for additional studies. During this process, I focused on those journals with an Academic Journal Guide (ABS) rating of “3” or higher (Cuervo-Cazurra &amp; Li, 2020), which includes outlets such as the </w:t>
      </w:r>
      <w:r w:rsidRPr="00B301B0">
        <w:rPr>
          <w:i/>
          <w:iCs/>
          <w:kern w:val="0"/>
          <w:sz w:val="24"/>
          <w:szCs w:val="24"/>
        </w:rPr>
        <w:t>Journal of International Business Studies, Journal of World Business, Journal of International Management, Global Strategy Journal, Strategic Management Journal, Organization Science, Journal of Management</w:t>
      </w:r>
      <w:r w:rsidRPr="00B301B0">
        <w:rPr>
          <w:kern w:val="0"/>
          <w:sz w:val="24"/>
          <w:szCs w:val="24"/>
        </w:rPr>
        <w:t xml:space="preserve">, and </w:t>
      </w:r>
      <w:r w:rsidRPr="00B301B0">
        <w:rPr>
          <w:i/>
          <w:iCs/>
          <w:kern w:val="0"/>
          <w:sz w:val="24"/>
          <w:szCs w:val="24"/>
        </w:rPr>
        <w:t>Journal of Management Studies</w:t>
      </w:r>
      <w:r w:rsidRPr="00B301B0">
        <w:rPr>
          <w:kern w:val="0"/>
          <w:sz w:val="24"/>
          <w:szCs w:val="24"/>
        </w:rPr>
        <w:t>. This step allowed me to identify articles that I may have missed in my initial search and identify other keywords and topics relevant to my analysis (Aguilera, Marano &amp; Haxhi, 2019).</w:t>
      </w:r>
    </w:p>
    <w:p w14:paraId="6C63D025"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Fourth, I surveyed previously identified studies’ reference lists and examined their citations in Google Scholar. Using a snowballing technique (Beugelsdijk et al., 2017), I searched for frequently used references in prior studies on or related to autonomy. This process yielded new articles published in previously missed journals, including the </w:t>
      </w:r>
      <w:r w:rsidRPr="00B301B0">
        <w:rPr>
          <w:i/>
          <w:iCs/>
          <w:kern w:val="0"/>
          <w:sz w:val="24"/>
          <w:szCs w:val="24"/>
        </w:rPr>
        <w:t>Journal of Organizational Design</w:t>
      </w:r>
      <w:r w:rsidRPr="00B301B0">
        <w:rPr>
          <w:kern w:val="0"/>
          <w:sz w:val="24"/>
          <w:szCs w:val="24"/>
        </w:rPr>
        <w:t xml:space="preserve"> and </w:t>
      </w:r>
      <w:r w:rsidRPr="00B301B0">
        <w:rPr>
          <w:i/>
          <w:iCs/>
          <w:kern w:val="0"/>
          <w:sz w:val="24"/>
          <w:szCs w:val="24"/>
        </w:rPr>
        <w:t>International Entrepreneurship and Management Journal</w:t>
      </w:r>
      <w:r w:rsidRPr="00B301B0">
        <w:rPr>
          <w:kern w:val="0"/>
          <w:sz w:val="24"/>
          <w:szCs w:val="24"/>
        </w:rPr>
        <w:t>. Finally, I sent an e-mail to the Academy of Management (AOM) and the Academy of International Business (AIB) listserv to identify any missing articles, thereby addressing the file-drawer problem (Rosenthal, 1979). Although studies that explicitly focus on autonomy better contribute to the nomological network, for a study to be considered for final review during any of the five steps it only needed to have a correlation matrix or empirical information with which a correlation for autonomy can be computed (Hunter &amp; Schmidt, 1990). Hence, this allowed me to bring together studies that did not focus exclusively on autonomy and test ideas that might have been missed in any single study (Combs et al., 2019).</w:t>
      </w:r>
    </w:p>
    <w:p w14:paraId="4C34FECC"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Next, I downloaded all correlations in my sample to capture the entire nomological network of subsidiary autonomy research. Because this study does not meta-analyze any particular relationship (e.g., autonomy and performance), it was imperative to cast a wide net before reducing correlations through a coding process. Once all correlations were downloaded, I followed a rigorous coding protocol to identify which constructs should be included in the final sample. My coding process included an iterative assessment of definitions and measurements (Lipsey &amp; Wilson, 2001). Specifically, I first identified granular themes and, later, grouped smaller, less-frequent constructs into broader themes to establish a theoretically relevant and empirically feasible framework (Zeng et al., 2018; Geleilate et al., 2019). In practice, meta-analytic evidence can be deduced from as few as two empirical studies (see Rosenthal, 1979). However, such an approach does not allow for reliable causal inference and is not well-suited for this study. Finally, I ensured that there were not multiple effects of the same construct within each study. If the effects were from distinct samples within one study (e.g., Raziq, Borini &amp; Perry, 2012) or operationalized in different ways (e.g., Newburry, Zeira &amp; Yeheskel, 2003), I retained them for further analysis; otherwise, I collapsed these effects into an average effect size (Geyskens, Steenkamp &amp; Kumar, 2006).</w:t>
      </w:r>
      <w:r w:rsidRPr="00B301B0">
        <w:rPr>
          <w:kern w:val="0"/>
          <w:sz w:val="24"/>
          <w:szCs w:val="24"/>
          <w:vertAlign w:val="superscript"/>
        </w:rPr>
        <w:footnoteReference w:id="4"/>
      </w:r>
    </w:p>
    <w:p w14:paraId="281FAC8E"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The culmination of these processes yielded 131 relevant empirical studies spanning 1986 to 2020 (see Appendix A) and encompassing a global sample of 31,017 foreign subsidiaries. My sample consists of 547 bivariate observations between subsidiary autonomy and its antecedents and 1,585 observations across all constructs. Notably, my sample is not restricted to any particular timeframe; however, the early contributions of Gates and Egelhoff (1986) and Hedlund (1986) cemented the importance of subsidiary autonomy to IB research. The studies in my sample come from a wide range of academic domains, such as strategy, entrepreneurship, human resources, and technology and innovation, but, expectedly, the majority (54%) were published in international business outlets.</w:t>
      </w:r>
    </w:p>
    <w:p w14:paraId="622B9242"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p>
    <w:p w14:paraId="3C96E38A"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r w:rsidRPr="00B301B0">
        <w:rPr>
          <w:i/>
          <w:iCs/>
          <w:kern w:val="0"/>
          <w:sz w:val="24"/>
          <w:szCs w:val="24"/>
        </w:rPr>
        <w:t>Construct measurement</w:t>
      </w:r>
    </w:p>
    <w:p w14:paraId="03A3FEC0"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As previously mentioned, meta-analyses require a rigorous coding process to organize disperse constructs around conceptual themes. Following prior studies, I engage in a four-step process (Greyskens et al., 2006; Kirca et al., 2011): First, I surveyed all constructs and their operationalizations to identify the underlying conceptual foci. Second, I grouped constructs according to broad schematic themes, such as environmental context, headquarters-subsidiary relationship, and subsidiary strategy. Third, I re-examined the themes, becoming stricter with each iteration in terms of nomenclature and operationalizations of constructs, ultimately settling on constructs that closely align with the three previously discussed research traditions. Finally, I probed differences between more granular groupings, confirming that my final measurements did not substantively impact my meta-analytic results (Hunter &amp; Schmidt, 2004). In Table 2, I provide a summary of the main constructs in my final sample.</w:t>
      </w:r>
    </w:p>
    <w:p w14:paraId="4570C884" w14:textId="77777777" w:rsidR="00B301B0" w:rsidRPr="00B301B0" w:rsidRDefault="00B301B0" w:rsidP="00B301B0">
      <w:pPr>
        <w:widowControl/>
        <w:overflowPunct/>
        <w:autoSpaceDE/>
        <w:autoSpaceDN/>
        <w:adjustRightInd/>
        <w:spacing w:line="480" w:lineRule="auto"/>
        <w:ind w:left="720" w:firstLine="720"/>
        <w:rPr>
          <w:kern w:val="0"/>
          <w:sz w:val="24"/>
          <w:szCs w:val="24"/>
        </w:rPr>
      </w:pPr>
    </w:p>
    <w:p w14:paraId="12C955B5" w14:textId="77777777" w:rsidR="00B301B0" w:rsidRPr="00B301B0" w:rsidRDefault="00B301B0" w:rsidP="00B301B0">
      <w:pPr>
        <w:widowControl/>
        <w:overflowPunct/>
        <w:autoSpaceDE/>
        <w:autoSpaceDN/>
        <w:adjustRightInd/>
        <w:spacing w:line="480" w:lineRule="auto"/>
        <w:ind w:left="720"/>
        <w:jc w:val="center"/>
        <w:rPr>
          <w:i/>
          <w:iCs/>
          <w:kern w:val="0"/>
          <w:sz w:val="24"/>
          <w:szCs w:val="24"/>
        </w:rPr>
      </w:pPr>
      <w:r w:rsidRPr="00B301B0">
        <w:rPr>
          <w:i/>
          <w:iCs/>
          <w:kern w:val="0"/>
          <w:sz w:val="24"/>
          <w:szCs w:val="24"/>
        </w:rPr>
        <w:t>---Insert Table 2 here---</w:t>
      </w:r>
    </w:p>
    <w:p w14:paraId="50E9CDDB" w14:textId="77777777" w:rsidR="00B301B0" w:rsidRPr="00B301B0" w:rsidRDefault="00B301B0" w:rsidP="00B301B0">
      <w:pPr>
        <w:widowControl/>
        <w:overflowPunct/>
        <w:autoSpaceDE/>
        <w:autoSpaceDN/>
        <w:adjustRightInd/>
        <w:spacing w:line="480" w:lineRule="auto"/>
        <w:ind w:left="720"/>
        <w:jc w:val="center"/>
        <w:rPr>
          <w:i/>
          <w:iCs/>
          <w:kern w:val="0"/>
          <w:sz w:val="24"/>
          <w:szCs w:val="24"/>
        </w:rPr>
      </w:pPr>
    </w:p>
    <w:p w14:paraId="348B20E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My outcome variable, </w:t>
      </w:r>
      <w:r w:rsidRPr="00B301B0">
        <w:rPr>
          <w:i/>
          <w:iCs/>
          <w:kern w:val="0"/>
          <w:sz w:val="24"/>
          <w:szCs w:val="24"/>
        </w:rPr>
        <w:t>subsidiary autonomy</w:t>
      </w:r>
      <w:r w:rsidRPr="00B301B0">
        <w:rPr>
          <w:kern w:val="0"/>
          <w:sz w:val="24"/>
          <w:szCs w:val="24"/>
        </w:rPr>
        <w:t xml:space="preserve">, captures the extent to which foreign subsidiaries make independent strategic decisions across various functional areas, such as product development (Roth &amp; O’Donnell, 1996), marketing (Tran, Mahnke &amp; Ambos, 2010), and human resources (Fenton-O’Creevy et al., 2008). While the majority of prior studies explicitly measure autonomy (61%), several studies focus on its inverse, centralization (Ambos &amp; Schlegelmilch, 2008), or varying nomenclatures, such as control (Puck et al., 2016) and technocratic coordination (Holtbrügge, 2005) (see Appendix B, Table 1B). I acknowledge the heterogeneity of various operationalizations and, to ensure commensurability, I test the implications of these differences in a series of additional analyses below. </w:t>
      </w:r>
    </w:p>
    <w:p w14:paraId="587914CE"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To capture variables that reflect agency-related arguments, I first measure </w:t>
      </w:r>
      <w:r w:rsidRPr="00B301B0">
        <w:rPr>
          <w:i/>
          <w:iCs/>
          <w:kern w:val="0"/>
          <w:sz w:val="24"/>
          <w:szCs w:val="24"/>
        </w:rPr>
        <w:t>goal</w:t>
      </w:r>
      <w:r w:rsidRPr="00B301B0">
        <w:rPr>
          <w:kern w:val="0"/>
          <w:sz w:val="24"/>
          <w:szCs w:val="24"/>
        </w:rPr>
        <w:t xml:space="preserve"> </w:t>
      </w:r>
      <w:r w:rsidRPr="00B301B0">
        <w:rPr>
          <w:i/>
          <w:iCs/>
          <w:kern w:val="0"/>
          <w:sz w:val="24"/>
          <w:szCs w:val="24"/>
        </w:rPr>
        <w:t>alignment</w:t>
      </w:r>
      <w:r w:rsidRPr="00B301B0">
        <w:rPr>
          <w:kern w:val="0"/>
          <w:sz w:val="24"/>
          <w:szCs w:val="24"/>
        </w:rPr>
        <w:t xml:space="preserve"> by examining the extent to which a subsidiary has shared goals (shared vision) with its MNE headquarters (e.g., Fey &amp; Furu, 2008; Ahlvik, Smale &amp; Sumelius, 2016). This measure of alignment combines several labels, such as goal incongruence (e.g., Chen, Paik &amp; Park, 2010), organizational climate (Foley, Ngo &amp; Loi, 2012), and role conflict (Gupta &amp; Govindarajan, 1999) as well as contains responses from the subsidiary (e.g., Bouquet &amp; Birkinshaw, 2008), headquarters (e.g., Birkinshaw et al., 2000), or both (Ambos et al., 2019). Next, I measure </w:t>
      </w:r>
      <w:r w:rsidRPr="00B301B0">
        <w:rPr>
          <w:i/>
          <w:iCs/>
          <w:kern w:val="0"/>
          <w:sz w:val="24"/>
          <w:szCs w:val="24"/>
        </w:rPr>
        <w:t xml:space="preserve">past performance </w:t>
      </w:r>
      <w:r w:rsidRPr="00B301B0">
        <w:rPr>
          <w:kern w:val="0"/>
          <w:sz w:val="24"/>
          <w:szCs w:val="24"/>
        </w:rPr>
        <w:t>as a subsidiary’s prior (e.g., t-1) financial and operational performance (e.g., Nell, Ambos &amp; Schlegelmilch, 2011; Nguyen &amp; Rugman, 2015). Prior research suggests that both goal alignment and strong prior performance help to mitigate headquarters’ uncertainty that a subsidiary will act opportunistically (Gong, 2003), thereby signaling trust in the subsidiary and reducing the need to centralize decision-making rights.</w:t>
      </w:r>
    </w:p>
    <w:p w14:paraId="381FFE1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Second, I include two variables that relate to institutional theory: </w:t>
      </w:r>
      <w:r w:rsidRPr="00B301B0">
        <w:rPr>
          <w:i/>
          <w:iCs/>
          <w:kern w:val="0"/>
          <w:sz w:val="24"/>
          <w:szCs w:val="24"/>
        </w:rPr>
        <w:t>Institutional distance</w:t>
      </w:r>
      <w:r w:rsidRPr="00B301B0">
        <w:rPr>
          <w:kern w:val="0"/>
          <w:sz w:val="24"/>
          <w:szCs w:val="24"/>
        </w:rPr>
        <w:t xml:space="preserve"> captures the extent of formal and informal institutional similarity between the MNE home and subsidiary host country environments (Nell &amp; Ambos, 2013; Kawai &amp; Strange, 2014). Although the effects of institutional distance are well documented (Geleilate et al., 2019; Kostova et al., 2019), prior research suggests that institutional distance is a broad construct and that there might be differences in informal (e.g., culture, language, religion) and formal (e.g., governance, intellectual property rights, labor laws) distance measures (cf., Slangen, 2013; Schomaker &amp; Zaheer, 2014; Rabbiosi &amp; Santangelo, 2018). I explore these differences in series of additional analyses below. Next, I include </w:t>
      </w:r>
      <w:r w:rsidRPr="00B301B0">
        <w:rPr>
          <w:i/>
          <w:iCs/>
          <w:kern w:val="0"/>
          <w:sz w:val="24"/>
          <w:szCs w:val="24"/>
        </w:rPr>
        <w:t>host country constraints</w:t>
      </w:r>
      <w:r w:rsidRPr="00B301B0">
        <w:rPr>
          <w:kern w:val="0"/>
          <w:sz w:val="24"/>
          <w:szCs w:val="24"/>
        </w:rPr>
        <w:t>,</w:t>
      </w:r>
      <w:r w:rsidRPr="00B301B0">
        <w:rPr>
          <w:i/>
          <w:iCs/>
          <w:kern w:val="0"/>
          <w:sz w:val="24"/>
          <w:szCs w:val="24"/>
        </w:rPr>
        <w:t xml:space="preserve"> </w:t>
      </w:r>
      <w:r w:rsidRPr="00B301B0">
        <w:rPr>
          <w:kern w:val="0"/>
          <w:sz w:val="24"/>
          <w:szCs w:val="24"/>
        </w:rPr>
        <w:t>which reflect differences in host country volatility (O’Donell, 2000), political and economic instability (Chiao &amp; Ying, 2013), and government restrictions (Chen et al., 2010). Together, these institutional measures capture complexities that the MNE might experience in the host country environment, increasing the salience of subsidiary autonomy to cope with complex multinational operations (de Jong et al., 2015; Santangelo, Meyer &amp; Jindra, 2016).</w:t>
      </w:r>
    </w:p>
    <w:p w14:paraId="3E63E810"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Third, to capture constructs relevant to the global strategy tradition, I include </w:t>
      </w:r>
      <w:r w:rsidRPr="00B301B0">
        <w:rPr>
          <w:i/>
          <w:iCs/>
          <w:kern w:val="0"/>
          <w:sz w:val="24"/>
          <w:szCs w:val="24"/>
        </w:rPr>
        <w:t>value chain breadth</w:t>
      </w:r>
      <w:r w:rsidRPr="00B301B0">
        <w:rPr>
          <w:kern w:val="0"/>
          <w:sz w:val="24"/>
          <w:szCs w:val="24"/>
        </w:rPr>
        <w:t xml:space="preserve"> as the number of functional activities the subsidiary undertakes (e.g., marketing, sales, R&amp;D, human resources) (Chang &amp; Taylor, 1999; Ambos, Andersson &amp; Birkinshaw, 2010). I also include </w:t>
      </w:r>
      <w:r w:rsidRPr="00B301B0">
        <w:rPr>
          <w:i/>
          <w:iCs/>
          <w:kern w:val="0"/>
          <w:sz w:val="24"/>
          <w:szCs w:val="24"/>
        </w:rPr>
        <w:t xml:space="preserve">localization </w:t>
      </w:r>
      <w:r w:rsidRPr="00B301B0">
        <w:rPr>
          <w:kern w:val="0"/>
          <w:sz w:val="24"/>
          <w:szCs w:val="24"/>
        </w:rPr>
        <w:t xml:space="preserve">to measure the degree of subsidiary local responsiveness (e.g., Luo, 2006) versus global integration (e.g., Sarabi et al., 2020). Prior research suggests that subsidiaries who are active in more value-chain functions are oftentimes strategically independent from its MNE headquarters (Ambos &amp; Birkinshaw, 2010; Nell &amp; Ambos, 2013). Similarly, the importance of decision-making autonomy is heightened for locally responsive subsidiaries, whereby autonomy is a mechanism to facilitate adaptive decisions that fit host country conditions (Beugelsdijk &amp; Jindra, 2018). With these measures I capture differences in local subsidiary strategy and, by extension, global MNE strategy. </w:t>
      </w:r>
    </w:p>
    <w:p w14:paraId="19CA85A2"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I also include several additional variables consistently found in prior studies. First, I account for differences in contextual settings by measuring </w:t>
      </w:r>
      <w:r w:rsidRPr="00B301B0">
        <w:rPr>
          <w:i/>
          <w:iCs/>
          <w:kern w:val="0"/>
          <w:sz w:val="24"/>
          <w:szCs w:val="24"/>
        </w:rPr>
        <w:t>industry pressures</w:t>
      </w:r>
      <w:r w:rsidRPr="00B301B0">
        <w:rPr>
          <w:kern w:val="0"/>
          <w:sz w:val="24"/>
          <w:szCs w:val="24"/>
        </w:rPr>
        <w:t xml:space="preserve"> as the rate of change, volatility, and uncertainty in the subsidiary’s primary industry context (Kawai &amp; Strange, 2014), and </w:t>
      </w:r>
      <w:r w:rsidRPr="00B301B0">
        <w:rPr>
          <w:i/>
          <w:iCs/>
          <w:kern w:val="0"/>
          <w:sz w:val="24"/>
          <w:szCs w:val="24"/>
        </w:rPr>
        <w:t>geographic distance</w:t>
      </w:r>
      <w:r w:rsidRPr="00B301B0">
        <w:rPr>
          <w:kern w:val="0"/>
          <w:sz w:val="24"/>
          <w:szCs w:val="24"/>
        </w:rPr>
        <w:t xml:space="preserve"> as the physical distance between the headquarters and subsidiary (Tran et al., 2010). Second, I introduce several subsidiary characteristics: </w:t>
      </w:r>
      <w:r w:rsidRPr="00B301B0">
        <w:rPr>
          <w:i/>
          <w:iCs/>
          <w:kern w:val="0"/>
          <w:sz w:val="24"/>
          <w:szCs w:val="24"/>
        </w:rPr>
        <w:t xml:space="preserve">Greenfield entry </w:t>
      </w:r>
      <w:r w:rsidRPr="00B301B0">
        <w:rPr>
          <w:kern w:val="0"/>
          <w:sz w:val="24"/>
          <w:szCs w:val="24"/>
        </w:rPr>
        <w:t xml:space="preserve">assumes a value of “1” if the subsidiary is a greenfield, otherwise “0” (Drogendijk &amp; Slangen, 2006), and </w:t>
      </w:r>
      <w:r w:rsidRPr="00B301B0">
        <w:rPr>
          <w:i/>
          <w:iCs/>
          <w:kern w:val="0"/>
          <w:sz w:val="24"/>
          <w:szCs w:val="24"/>
        </w:rPr>
        <w:t>wholly owned</w:t>
      </w:r>
      <w:r w:rsidRPr="00B301B0">
        <w:rPr>
          <w:kern w:val="0"/>
          <w:sz w:val="24"/>
          <w:szCs w:val="24"/>
        </w:rPr>
        <w:t xml:space="preserve"> subsidiaries are coded as “1”, otherwise “0” (Luo, 2006).</w:t>
      </w:r>
      <w:r w:rsidRPr="00B301B0">
        <w:rPr>
          <w:i/>
          <w:iCs/>
          <w:kern w:val="0"/>
          <w:sz w:val="24"/>
          <w:szCs w:val="24"/>
        </w:rPr>
        <w:t xml:space="preserve"> </w:t>
      </w:r>
      <w:r w:rsidRPr="00B301B0">
        <w:rPr>
          <w:kern w:val="0"/>
          <w:sz w:val="24"/>
          <w:szCs w:val="24"/>
        </w:rPr>
        <w:t xml:space="preserve">I also include </w:t>
      </w:r>
      <w:r w:rsidRPr="00B301B0">
        <w:rPr>
          <w:i/>
          <w:iCs/>
          <w:kern w:val="0"/>
          <w:sz w:val="24"/>
          <w:szCs w:val="24"/>
        </w:rPr>
        <w:t>global focus</w:t>
      </w:r>
      <w:r w:rsidRPr="00B301B0">
        <w:rPr>
          <w:kern w:val="0"/>
          <w:sz w:val="24"/>
          <w:szCs w:val="24"/>
        </w:rPr>
        <w:t xml:space="preserve"> as whether the subsidiary’s products and services are intended for a global or local market use (Bouquet &amp; Birkinshaw, 2008), </w:t>
      </w:r>
      <w:r w:rsidRPr="00B301B0">
        <w:rPr>
          <w:i/>
          <w:iCs/>
          <w:kern w:val="0"/>
          <w:sz w:val="24"/>
          <w:szCs w:val="24"/>
        </w:rPr>
        <w:t xml:space="preserve">subsidiary age </w:t>
      </w:r>
      <w:r w:rsidRPr="00B301B0">
        <w:rPr>
          <w:kern w:val="0"/>
          <w:sz w:val="24"/>
          <w:szCs w:val="24"/>
        </w:rPr>
        <w:t xml:space="preserve">(Rabbiosi, 2011), and </w:t>
      </w:r>
      <w:r w:rsidRPr="00B301B0">
        <w:rPr>
          <w:i/>
          <w:iCs/>
          <w:kern w:val="0"/>
          <w:sz w:val="24"/>
          <w:szCs w:val="24"/>
        </w:rPr>
        <w:t xml:space="preserve">subsidiary size </w:t>
      </w:r>
      <w:r w:rsidRPr="00B301B0">
        <w:rPr>
          <w:kern w:val="0"/>
          <w:sz w:val="24"/>
          <w:szCs w:val="24"/>
        </w:rPr>
        <w:t xml:space="preserve">(Slangen, 2013). Third, autonomy may vary by MNE thus I include MNE characteristics, such as </w:t>
      </w:r>
      <w:r w:rsidRPr="00B301B0">
        <w:rPr>
          <w:i/>
          <w:iCs/>
          <w:kern w:val="0"/>
          <w:sz w:val="24"/>
          <w:szCs w:val="24"/>
        </w:rPr>
        <w:t xml:space="preserve">MNE size </w:t>
      </w:r>
      <w:r w:rsidRPr="00B301B0">
        <w:rPr>
          <w:kern w:val="0"/>
          <w:sz w:val="24"/>
          <w:szCs w:val="24"/>
        </w:rPr>
        <w:t xml:space="preserve">(Sengul &amp; Obloj, 2017) and </w:t>
      </w:r>
      <w:r w:rsidRPr="00B301B0">
        <w:rPr>
          <w:i/>
          <w:iCs/>
          <w:kern w:val="0"/>
          <w:sz w:val="24"/>
          <w:szCs w:val="24"/>
        </w:rPr>
        <w:t xml:space="preserve">MNE experience </w:t>
      </w:r>
      <w:r w:rsidRPr="00B301B0">
        <w:rPr>
          <w:kern w:val="0"/>
          <w:sz w:val="24"/>
          <w:szCs w:val="24"/>
        </w:rPr>
        <w:t xml:space="preserve">measured as the number of years with foreign subsidiaries or the number of subsidiaries in a given host country (Puck et al., 2016). Finally, I introduce several variables at the headquarters-subsidiary interface: </w:t>
      </w:r>
      <w:r w:rsidRPr="00B301B0">
        <w:rPr>
          <w:i/>
          <w:iCs/>
          <w:kern w:val="0"/>
          <w:sz w:val="24"/>
          <w:szCs w:val="24"/>
        </w:rPr>
        <w:t xml:space="preserve">socialization </w:t>
      </w:r>
      <w:r w:rsidRPr="00B301B0">
        <w:rPr>
          <w:kern w:val="0"/>
          <w:sz w:val="24"/>
          <w:szCs w:val="24"/>
        </w:rPr>
        <w:t xml:space="preserve">measures the degree of social interaction and cooperation among subsidiaries and the MNE headquarters (Ambos et al., 2019), </w:t>
      </w:r>
      <w:r w:rsidRPr="00B301B0">
        <w:rPr>
          <w:i/>
          <w:iCs/>
          <w:kern w:val="0"/>
          <w:sz w:val="24"/>
          <w:szCs w:val="24"/>
        </w:rPr>
        <w:t xml:space="preserve">formalization </w:t>
      </w:r>
      <w:r w:rsidRPr="00B301B0">
        <w:rPr>
          <w:kern w:val="0"/>
          <w:sz w:val="24"/>
          <w:szCs w:val="24"/>
        </w:rPr>
        <w:t xml:space="preserve">captures the explicit rules, procedures, and coordination of activities (Nell &amp; Ambos, 2013), and </w:t>
      </w:r>
      <w:r w:rsidRPr="00B301B0">
        <w:rPr>
          <w:i/>
          <w:iCs/>
          <w:kern w:val="0"/>
          <w:sz w:val="24"/>
          <w:szCs w:val="24"/>
        </w:rPr>
        <w:t xml:space="preserve">communication frequency </w:t>
      </w:r>
      <w:r w:rsidRPr="00B301B0">
        <w:rPr>
          <w:kern w:val="0"/>
          <w:sz w:val="24"/>
          <w:szCs w:val="24"/>
        </w:rPr>
        <w:t xml:space="preserve">is how often the headquarters and subsidiary communicate with each other (Birkinshaw, Hood &amp; Jonsson, 1998). </w:t>
      </w:r>
    </w:p>
    <w:p w14:paraId="097546D6" w14:textId="77777777" w:rsidR="00B301B0" w:rsidRPr="00B301B0" w:rsidRDefault="00B301B0" w:rsidP="00B301B0">
      <w:pPr>
        <w:widowControl/>
        <w:overflowPunct/>
        <w:autoSpaceDE/>
        <w:autoSpaceDN/>
        <w:adjustRightInd/>
        <w:spacing w:line="480" w:lineRule="auto"/>
        <w:ind w:left="720"/>
        <w:jc w:val="both"/>
        <w:rPr>
          <w:b/>
          <w:bCs/>
          <w:i/>
          <w:iCs/>
          <w:kern w:val="0"/>
          <w:sz w:val="24"/>
          <w:szCs w:val="24"/>
        </w:rPr>
      </w:pPr>
    </w:p>
    <w:p w14:paraId="732B2EF2"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r w:rsidRPr="00B301B0">
        <w:rPr>
          <w:i/>
          <w:iCs/>
          <w:kern w:val="0"/>
          <w:sz w:val="24"/>
          <w:szCs w:val="24"/>
        </w:rPr>
        <w:t>Meta-analytic procedures</w:t>
      </w:r>
    </w:p>
    <w:p w14:paraId="5AB4E463"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Meta-analyses have become central to management research, and Combs et al. (2019) argue that there are several dominant approaches. In this study, I use two of such approaches: Hedges and Olkin meta-analysis (HOMA) (Hedges &amp; Olkin, 1985) and meta-analytic structural equation modeling (MASEM) (Bergh et al., 2016).</w:t>
      </w:r>
      <w:r w:rsidRPr="00B301B0">
        <w:rPr>
          <w:kern w:val="0"/>
          <w:sz w:val="24"/>
          <w:szCs w:val="24"/>
          <w:vertAlign w:val="superscript"/>
        </w:rPr>
        <w:footnoteReference w:id="5"/>
      </w:r>
      <w:r w:rsidRPr="00B301B0">
        <w:rPr>
          <w:kern w:val="0"/>
          <w:sz w:val="24"/>
          <w:szCs w:val="24"/>
        </w:rPr>
        <w:t xml:space="preserve"> </w:t>
      </w:r>
    </w:p>
    <w:p w14:paraId="68AA8826"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First, HOMA is a method to determine the mean effect size of a predictor on an outcome, such as goal alignment on subsidiary autonomy. This method provides a confidence interval and a heterogeneity test for the given effect size (Lipsey &amp; Wilson, 2001). To perform the computations, I collected bivariate correlations and computed a Fischer-Z score to account for distribution skewness. I used random-effects HOMA and the transformed correlation (i.e., the inverse of its variance weight) to calculate the mean effect size (Raudenbush &amp; Bryk, 2002). </w:t>
      </w:r>
    </w:p>
    <w:p w14:paraId="7136000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Second, MASEM uses a path model to provide robust and rigorous estimations of effects. It helps assess the size of an effect, thereby determining the most salient predictors across a set of predictors. Moreover, MASEM helps alleviate concerns of endogeneity bias as it conducts a series of simultaneous equations, including control variables and their effects on the dependent variable (Bergh et al., 2016). Indeed, MASEM is well suited for this study as it “allows for powerful simultaneous tests of multiple theoretical relationships” (Combs et al., 2019: 5). </w:t>
      </w:r>
    </w:p>
    <w:p w14:paraId="3FAB1D46"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To conduct a MASEM path model, I calculated the adjusted mean effect size for each relationship and then organized these relationships into a meta-analytic correlation matrix (Viswesvaran &amp; Ones, 1995). Next, I use the resulting matrix as an input for my path model, whereby each cell in the matrix is derived from a different set of “K” studies with an “N” number of observations. I use the harmonic mean as a conservative approach to determining the sample size for my model and check model fit using commonly used indices (Hunter &amp; Schmidt, 2004).</w:t>
      </w:r>
    </w:p>
    <w:p w14:paraId="228EEA76" w14:textId="77777777" w:rsidR="00B301B0" w:rsidRPr="00B301B0" w:rsidRDefault="00B301B0" w:rsidP="00B301B0">
      <w:pPr>
        <w:widowControl/>
        <w:overflowPunct/>
        <w:autoSpaceDE/>
        <w:autoSpaceDN/>
        <w:adjustRightInd/>
        <w:spacing w:line="480" w:lineRule="auto"/>
        <w:ind w:left="720" w:firstLine="720"/>
        <w:rPr>
          <w:kern w:val="0"/>
          <w:sz w:val="24"/>
          <w:szCs w:val="24"/>
        </w:rPr>
      </w:pPr>
    </w:p>
    <w:p w14:paraId="5FC57726"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RESULTS</w:t>
      </w:r>
    </w:p>
    <w:p w14:paraId="3578D52E"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First, I explore the direct effects of each construct independently through a set of HOMA procedures. In Table 3, I display the “K” number of studies exhibiting the relationship for “N” subsidiaries, corrected mean effect size, 95% confidence interval, and Cochran’s Q-test for sample heterogeneity.  The results suggest that only four predictors are statistically significant and not due to chance (p &lt; 0.05): </w:t>
      </w:r>
      <w:r w:rsidRPr="00B301B0">
        <w:rPr>
          <w:i/>
          <w:iCs/>
          <w:kern w:val="0"/>
          <w:sz w:val="24"/>
          <w:szCs w:val="24"/>
        </w:rPr>
        <w:t>Industry pressures</w:t>
      </w:r>
      <w:r w:rsidRPr="00B301B0">
        <w:rPr>
          <w:kern w:val="0"/>
          <w:sz w:val="24"/>
          <w:szCs w:val="24"/>
        </w:rPr>
        <w:t xml:space="preserve"> (r = -0.076), </w:t>
      </w:r>
      <w:r w:rsidRPr="00B301B0">
        <w:rPr>
          <w:i/>
          <w:iCs/>
          <w:kern w:val="0"/>
          <w:sz w:val="24"/>
          <w:szCs w:val="24"/>
        </w:rPr>
        <w:t>socialization</w:t>
      </w:r>
      <w:r w:rsidRPr="00B301B0">
        <w:rPr>
          <w:kern w:val="0"/>
          <w:sz w:val="24"/>
          <w:szCs w:val="24"/>
        </w:rPr>
        <w:t xml:space="preserve"> (r = -0.177), </w:t>
      </w:r>
      <w:r w:rsidRPr="00B301B0">
        <w:rPr>
          <w:i/>
          <w:iCs/>
          <w:kern w:val="0"/>
          <w:sz w:val="24"/>
          <w:szCs w:val="24"/>
        </w:rPr>
        <w:t>formalization</w:t>
      </w:r>
      <w:r w:rsidRPr="00B301B0">
        <w:rPr>
          <w:kern w:val="0"/>
          <w:sz w:val="24"/>
          <w:szCs w:val="24"/>
        </w:rPr>
        <w:t xml:space="preserve"> (r = -0.181), and </w:t>
      </w:r>
      <w:r w:rsidRPr="00B301B0">
        <w:rPr>
          <w:i/>
          <w:iCs/>
          <w:kern w:val="0"/>
          <w:sz w:val="24"/>
          <w:szCs w:val="24"/>
        </w:rPr>
        <w:t>communication frequency</w:t>
      </w:r>
      <w:r w:rsidRPr="00B301B0">
        <w:rPr>
          <w:kern w:val="0"/>
          <w:sz w:val="24"/>
          <w:szCs w:val="24"/>
        </w:rPr>
        <w:t xml:space="preserve"> (r = -0.137).</w:t>
      </w:r>
      <w:r w:rsidRPr="00B301B0">
        <w:rPr>
          <w:kern w:val="0"/>
          <w:sz w:val="24"/>
          <w:szCs w:val="24"/>
          <w:vertAlign w:val="superscript"/>
        </w:rPr>
        <w:footnoteReference w:id="6"/>
      </w:r>
      <w:r w:rsidRPr="00B301B0">
        <w:rPr>
          <w:kern w:val="0"/>
          <w:sz w:val="24"/>
          <w:szCs w:val="24"/>
        </w:rPr>
        <w:t xml:space="preserve"> The Cochran’s Q-test for all relationships indeed reveals statistically significant heterogeneity, thereby indicating considerable variation in each of the samples and the need for more robust estimation models (Hunter &amp; Schmidt, 2004).</w:t>
      </w:r>
    </w:p>
    <w:p w14:paraId="77972085" w14:textId="77777777" w:rsidR="00B301B0" w:rsidRPr="00B301B0" w:rsidRDefault="00B301B0" w:rsidP="00B301B0">
      <w:pPr>
        <w:widowControl/>
        <w:overflowPunct/>
        <w:autoSpaceDE/>
        <w:autoSpaceDN/>
        <w:adjustRightInd/>
        <w:spacing w:line="480" w:lineRule="auto"/>
        <w:ind w:left="720"/>
        <w:rPr>
          <w:kern w:val="0"/>
          <w:sz w:val="24"/>
          <w:szCs w:val="24"/>
        </w:rPr>
      </w:pPr>
    </w:p>
    <w:p w14:paraId="7BC79436" w14:textId="77777777" w:rsidR="00B301B0" w:rsidRPr="00B301B0" w:rsidRDefault="00B301B0" w:rsidP="00B301B0">
      <w:pPr>
        <w:widowControl/>
        <w:overflowPunct/>
        <w:autoSpaceDE/>
        <w:autoSpaceDN/>
        <w:adjustRightInd/>
        <w:spacing w:line="480" w:lineRule="auto"/>
        <w:ind w:left="720"/>
        <w:jc w:val="center"/>
        <w:rPr>
          <w:i/>
          <w:iCs/>
          <w:kern w:val="0"/>
          <w:sz w:val="24"/>
          <w:szCs w:val="24"/>
        </w:rPr>
      </w:pPr>
      <w:r w:rsidRPr="00B301B0">
        <w:rPr>
          <w:i/>
          <w:iCs/>
          <w:kern w:val="0"/>
          <w:sz w:val="24"/>
          <w:szCs w:val="24"/>
        </w:rPr>
        <w:t>---Insert Table 3 here---</w:t>
      </w:r>
    </w:p>
    <w:p w14:paraId="328DCC3C" w14:textId="77777777" w:rsidR="00B301B0" w:rsidRPr="00B301B0" w:rsidRDefault="00B301B0" w:rsidP="00B301B0">
      <w:pPr>
        <w:widowControl/>
        <w:overflowPunct/>
        <w:autoSpaceDE/>
        <w:autoSpaceDN/>
        <w:adjustRightInd/>
        <w:spacing w:line="480" w:lineRule="auto"/>
        <w:ind w:left="720"/>
        <w:jc w:val="center"/>
        <w:rPr>
          <w:i/>
          <w:iCs/>
          <w:kern w:val="0"/>
          <w:sz w:val="24"/>
          <w:szCs w:val="24"/>
        </w:rPr>
      </w:pPr>
    </w:p>
    <w:p w14:paraId="04E0F3F1"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Second, to provide robust estimations of each effect I formulated a structural equation model of simultaneous equations. In Appendix B (Table 2B), I present the meta-analytic correlation matrix, which is the source input for my structural model. Importantly, I include only those additional variables that are most commonly used as controls in prior studies and that are theoretically and empirically feasible. Using the SEM function in Stata 15 and a maximum likelihood estimation (Kirca et al., 2011), my first path model includes all variables as predictors of autonomy as well as paths from </w:t>
      </w:r>
      <w:r w:rsidRPr="00B301B0">
        <w:rPr>
          <w:i/>
          <w:iCs/>
          <w:kern w:val="0"/>
          <w:sz w:val="24"/>
          <w:szCs w:val="24"/>
        </w:rPr>
        <w:t>institutional distance</w:t>
      </w:r>
      <w:r w:rsidRPr="00B301B0">
        <w:rPr>
          <w:kern w:val="0"/>
          <w:sz w:val="24"/>
          <w:szCs w:val="24"/>
        </w:rPr>
        <w:t xml:space="preserve"> and </w:t>
      </w:r>
      <w:r w:rsidRPr="00B301B0">
        <w:rPr>
          <w:i/>
          <w:iCs/>
          <w:kern w:val="0"/>
          <w:sz w:val="24"/>
          <w:szCs w:val="24"/>
        </w:rPr>
        <w:t>host country constraints</w:t>
      </w:r>
      <w:r w:rsidRPr="00B301B0">
        <w:rPr>
          <w:kern w:val="0"/>
          <w:sz w:val="24"/>
          <w:szCs w:val="24"/>
        </w:rPr>
        <w:t xml:space="preserve"> to the four agency and global strategy variables. Prior research suggests that institutional conditions might be best understood as determinants on headquarters-subsidiary relations and strategy decisions (e.g., Slangen &amp; Hennart, 2008; Dellestrand &amp; Kappen, 2012). However, I noticed that the model fit could be improved by removing the additional linkages, suggesting that agency relations and strategy decisions appear to not be endogenous to institutional variables. With their removal, I attain satisfactory fit indices (Chi-square = 46.74, RMSEA = 0.00, CFI = 0.99, TLI = 0.99) and I present my results in Table 4. </w:t>
      </w:r>
    </w:p>
    <w:p w14:paraId="44FB055F"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Results from my path model suggest that </w:t>
      </w:r>
      <w:r w:rsidRPr="00B301B0">
        <w:rPr>
          <w:i/>
          <w:iCs/>
          <w:kern w:val="0"/>
          <w:sz w:val="24"/>
          <w:szCs w:val="24"/>
        </w:rPr>
        <w:t xml:space="preserve">goal alignment </w:t>
      </w:r>
      <w:r w:rsidRPr="00B301B0">
        <w:rPr>
          <w:kern w:val="0"/>
          <w:sz w:val="24"/>
          <w:szCs w:val="24"/>
        </w:rPr>
        <w:t xml:space="preserve">(r = -0.0.69), </w:t>
      </w:r>
      <w:r w:rsidRPr="00B301B0">
        <w:rPr>
          <w:i/>
          <w:iCs/>
          <w:kern w:val="0"/>
          <w:sz w:val="24"/>
          <w:szCs w:val="24"/>
        </w:rPr>
        <w:t xml:space="preserve">past performance </w:t>
      </w:r>
      <w:r w:rsidRPr="00B301B0">
        <w:rPr>
          <w:kern w:val="0"/>
          <w:sz w:val="24"/>
          <w:szCs w:val="24"/>
        </w:rPr>
        <w:t xml:space="preserve">(r = 0.077), </w:t>
      </w:r>
      <w:r w:rsidRPr="00B301B0">
        <w:rPr>
          <w:i/>
          <w:iCs/>
          <w:kern w:val="0"/>
          <w:sz w:val="24"/>
          <w:szCs w:val="24"/>
        </w:rPr>
        <w:t xml:space="preserve">value chain breadth </w:t>
      </w:r>
      <w:r w:rsidRPr="00B301B0">
        <w:rPr>
          <w:kern w:val="0"/>
          <w:sz w:val="24"/>
          <w:szCs w:val="24"/>
        </w:rPr>
        <w:t xml:space="preserve">(r = 0.115), and </w:t>
      </w:r>
      <w:r w:rsidRPr="00B301B0">
        <w:rPr>
          <w:i/>
          <w:iCs/>
          <w:kern w:val="0"/>
          <w:sz w:val="24"/>
          <w:szCs w:val="24"/>
        </w:rPr>
        <w:t xml:space="preserve">localization </w:t>
      </w:r>
      <w:r w:rsidRPr="00B301B0">
        <w:rPr>
          <w:kern w:val="0"/>
          <w:sz w:val="24"/>
          <w:szCs w:val="24"/>
        </w:rPr>
        <w:t xml:space="preserve">(r = 0.079) are relevant predictors of subsidiary autonomy and are not due to chance (p &lt; 0.05). Additionally, </w:t>
      </w:r>
      <w:r w:rsidRPr="00B301B0">
        <w:rPr>
          <w:i/>
          <w:iCs/>
          <w:kern w:val="0"/>
          <w:sz w:val="24"/>
          <w:szCs w:val="24"/>
        </w:rPr>
        <w:t>industry pressures</w:t>
      </w:r>
      <w:r w:rsidRPr="00B301B0">
        <w:rPr>
          <w:kern w:val="0"/>
          <w:sz w:val="24"/>
          <w:szCs w:val="24"/>
        </w:rPr>
        <w:t xml:space="preserve">, </w:t>
      </w:r>
      <w:r w:rsidRPr="00B301B0">
        <w:rPr>
          <w:i/>
          <w:iCs/>
          <w:kern w:val="0"/>
          <w:sz w:val="24"/>
          <w:szCs w:val="24"/>
        </w:rPr>
        <w:t>greenfield entry</w:t>
      </w:r>
      <w:r w:rsidRPr="00B301B0">
        <w:rPr>
          <w:kern w:val="0"/>
          <w:sz w:val="24"/>
          <w:szCs w:val="24"/>
        </w:rPr>
        <w:t xml:space="preserve">, and </w:t>
      </w:r>
      <w:r w:rsidRPr="00B301B0">
        <w:rPr>
          <w:i/>
          <w:iCs/>
          <w:kern w:val="0"/>
          <w:sz w:val="24"/>
          <w:szCs w:val="24"/>
        </w:rPr>
        <w:t>MNE size</w:t>
      </w:r>
      <w:r w:rsidRPr="00B301B0">
        <w:rPr>
          <w:kern w:val="0"/>
          <w:sz w:val="24"/>
          <w:szCs w:val="24"/>
        </w:rPr>
        <w:t xml:space="preserve"> are partially significant control variables (p &lt; 0.10). Looking at the specific relationships, goal alignment and past performance operate in conflicting directions, such that subsidiaries that share common goals with their MNE are less likely to exhibit higher levels decision-making autonomy, while well performing subsidiaries have more autonomy. Next, subsidiaries that undertake more functional activities and are locally responsive often operate with increasing decision-making latitude. The predictors for institutional theory – </w:t>
      </w:r>
      <w:r w:rsidRPr="00B301B0">
        <w:rPr>
          <w:i/>
          <w:iCs/>
          <w:kern w:val="0"/>
          <w:sz w:val="24"/>
          <w:szCs w:val="24"/>
        </w:rPr>
        <w:t>institutional distance</w:t>
      </w:r>
      <w:r w:rsidRPr="00B301B0">
        <w:rPr>
          <w:kern w:val="0"/>
          <w:sz w:val="24"/>
          <w:szCs w:val="24"/>
        </w:rPr>
        <w:t xml:space="preserve"> and </w:t>
      </w:r>
      <w:r w:rsidRPr="00B301B0">
        <w:rPr>
          <w:i/>
          <w:iCs/>
          <w:kern w:val="0"/>
          <w:sz w:val="24"/>
          <w:szCs w:val="24"/>
        </w:rPr>
        <w:t>host country constraints</w:t>
      </w:r>
      <w:r w:rsidRPr="00B301B0">
        <w:rPr>
          <w:kern w:val="0"/>
          <w:sz w:val="24"/>
          <w:szCs w:val="24"/>
        </w:rPr>
        <w:t xml:space="preserve"> – are not statistically relevant predictors of subsidiary autonomy.</w:t>
      </w:r>
    </w:p>
    <w:p w14:paraId="6D09D66A"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To then compare the mean effect sizes of the significant relationships, I employ the confidence interval construction method (Olkin &amp; Finn, 1995). This method computes a 95% confidence interval between two separate effects, and if the interval does not include zero then the difference is not due to statistical chance (p &lt;0.05).</w:t>
      </w:r>
      <w:r w:rsidRPr="00B301B0">
        <w:rPr>
          <w:kern w:val="0"/>
          <w:sz w:val="24"/>
          <w:szCs w:val="24"/>
          <w:vertAlign w:val="superscript"/>
        </w:rPr>
        <w:footnoteReference w:id="7"/>
      </w:r>
      <w:r w:rsidRPr="00B301B0">
        <w:rPr>
          <w:kern w:val="0"/>
          <w:sz w:val="24"/>
          <w:szCs w:val="24"/>
        </w:rPr>
        <w:t xml:space="preserve"> The results suggest that the new confidence intervals for all effect comparisons do not include zero; hence, the differences are not due to chance. Therefore, holding the remaining variables constant, </w:t>
      </w:r>
      <w:r w:rsidRPr="00B301B0">
        <w:rPr>
          <w:i/>
          <w:iCs/>
          <w:kern w:val="0"/>
          <w:sz w:val="24"/>
          <w:szCs w:val="24"/>
        </w:rPr>
        <w:t>value chain breadth</w:t>
      </w:r>
      <w:r w:rsidRPr="00B301B0">
        <w:rPr>
          <w:kern w:val="0"/>
          <w:sz w:val="24"/>
          <w:szCs w:val="24"/>
        </w:rPr>
        <w:t xml:space="preserve"> is the most salient predictor, followed by </w:t>
      </w:r>
      <w:r w:rsidRPr="00B301B0">
        <w:rPr>
          <w:i/>
          <w:iCs/>
          <w:kern w:val="0"/>
          <w:sz w:val="24"/>
          <w:szCs w:val="24"/>
        </w:rPr>
        <w:t>localization</w:t>
      </w:r>
      <w:r w:rsidRPr="00B301B0">
        <w:rPr>
          <w:kern w:val="0"/>
          <w:sz w:val="24"/>
          <w:szCs w:val="24"/>
        </w:rPr>
        <w:t xml:space="preserve">, </w:t>
      </w:r>
      <w:r w:rsidRPr="00B301B0">
        <w:rPr>
          <w:i/>
          <w:iCs/>
          <w:kern w:val="0"/>
          <w:sz w:val="24"/>
          <w:szCs w:val="24"/>
        </w:rPr>
        <w:t>past performance</w:t>
      </w:r>
      <w:r w:rsidRPr="00B301B0">
        <w:rPr>
          <w:kern w:val="0"/>
          <w:sz w:val="24"/>
          <w:szCs w:val="24"/>
        </w:rPr>
        <w:t xml:space="preserve">, and </w:t>
      </w:r>
      <w:r w:rsidRPr="00B301B0">
        <w:rPr>
          <w:i/>
          <w:iCs/>
          <w:kern w:val="0"/>
          <w:sz w:val="24"/>
          <w:szCs w:val="24"/>
        </w:rPr>
        <w:t>goal alignment</w:t>
      </w:r>
      <w:r w:rsidRPr="00B301B0">
        <w:rPr>
          <w:kern w:val="0"/>
          <w:sz w:val="24"/>
          <w:szCs w:val="24"/>
        </w:rPr>
        <w:t xml:space="preserve">. </w:t>
      </w:r>
    </w:p>
    <w:p w14:paraId="2D739699" w14:textId="77777777" w:rsidR="00B301B0" w:rsidRPr="00B301B0" w:rsidRDefault="00B301B0" w:rsidP="00B301B0">
      <w:pPr>
        <w:widowControl/>
        <w:overflowPunct/>
        <w:autoSpaceDE/>
        <w:autoSpaceDN/>
        <w:adjustRightInd/>
        <w:spacing w:line="480" w:lineRule="auto"/>
        <w:ind w:left="720"/>
        <w:jc w:val="both"/>
        <w:rPr>
          <w:b/>
          <w:bCs/>
          <w:i/>
          <w:iCs/>
          <w:kern w:val="0"/>
          <w:sz w:val="24"/>
          <w:szCs w:val="24"/>
        </w:rPr>
      </w:pPr>
    </w:p>
    <w:p w14:paraId="4665293F"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r w:rsidRPr="00B301B0">
        <w:rPr>
          <w:i/>
          <w:iCs/>
          <w:kern w:val="0"/>
          <w:sz w:val="24"/>
          <w:szCs w:val="24"/>
        </w:rPr>
        <w:t>Additional analyses</w:t>
      </w:r>
    </w:p>
    <w:p w14:paraId="31EC428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To assess the stability of my meta-analytic results and provide corroborating evidence, I ran several additional analyses. First, I probed for differences in the operationalization of key constructs (see Appendix B, Table 3B). For instance, prior research suggests that goal alignment may differ depending on who is being survey, i.e., the subsidiary or headquarters (Kostova et al., 2018). Thus, I tested whether autonomy is sensitive to the survey respondent, and results for all three subsamples indicate that there are no statistical differences between responses from the subsidiary, headquarters, or both. Furthermore, the direction of the mean effect size remains negative across all three samples. </w:t>
      </w:r>
    </w:p>
    <w:p w14:paraId="4FC143C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Second, there might be differences in the effect of financial and strategic (operational) performance on subsidiary autonomy. For instance, subsidiaries may be performing well financially (e.g., ROA), but the importance of such performance metrics may differ across for each subsidiary (Birkinshaw &amp; Hood, 1998). Results indicate no statistical differences in types of past performance measures.</w:t>
      </w:r>
    </w:p>
    <w:p w14:paraId="44522A7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Third, I tested for differences between formal and informal institutional distance measures. While the two constructs are often highly correlated (Beugelsdijk, Ambos &amp; Nell, 2018), several studies argue that they should not be consolidated as both capture complementary or even contradictory aspects of distance theorizing (Tung &amp; Verbeke, 2010). Therefore, I split distance into formal and informal institutional distance, and I find no statistical difference between the two and that the direction of the effect is consistent with the main model. Additionally, cultural distance is not sensitive to those studies that use Kogut and Singh (1988) and those that do not. I further probed into the informal and formal measures by splitting each into high and low values (e.g., low informal distance), which helps assess whether the effects of distance are more pronounced at extreme levels. Again, the results reveal no statistically significant relationship (p &gt; 0.05). </w:t>
      </w:r>
    </w:p>
    <w:p w14:paraId="1F341D2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Fourth, to explore whether there are differences in autonomy measurements, I split my outcome into holistic and functional autonomy. Prior research suggests that there might be instances when the MNE allocates autonomy in select functional areas to facilitate subsidiary activities (e.g., Beugelsdijk &amp; Jindra, 2018), while retaining control in other functions. The results for holistic autonomy indicate that only </w:t>
      </w:r>
      <w:r w:rsidRPr="00B301B0">
        <w:rPr>
          <w:i/>
          <w:iCs/>
          <w:kern w:val="0"/>
          <w:sz w:val="24"/>
          <w:szCs w:val="24"/>
        </w:rPr>
        <w:t>localization</w:t>
      </w:r>
      <w:r w:rsidRPr="00B301B0">
        <w:rPr>
          <w:kern w:val="0"/>
          <w:sz w:val="24"/>
          <w:szCs w:val="24"/>
        </w:rPr>
        <w:t xml:space="preserve"> (r = 0.185) is related to autonomy and not due to chance (p &lt; 0.05). I also find that </w:t>
      </w:r>
      <w:r w:rsidRPr="00B301B0">
        <w:rPr>
          <w:i/>
          <w:iCs/>
          <w:kern w:val="0"/>
          <w:sz w:val="24"/>
          <w:szCs w:val="24"/>
        </w:rPr>
        <w:t>localization</w:t>
      </w:r>
      <w:r w:rsidRPr="00B301B0">
        <w:rPr>
          <w:kern w:val="0"/>
          <w:sz w:val="24"/>
          <w:szCs w:val="24"/>
        </w:rPr>
        <w:t xml:space="preserve"> (r = -0.263) is related to functional autonomy. Interestingly, the direction of the coefficient for localization is different between holistic and functional autonomy. This finding aligns with recent research suggesting that MNE’s might centralize control of core functions, such as R&amp;D and product (e.g., Colombo et al., 2020). I also find that </w:t>
      </w:r>
      <w:r w:rsidRPr="00B301B0">
        <w:rPr>
          <w:i/>
          <w:iCs/>
          <w:kern w:val="0"/>
          <w:sz w:val="24"/>
          <w:szCs w:val="24"/>
        </w:rPr>
        <w:t>value chain breadth</w:t>
      </w:r>
      <w:r w:rsidRPr="00B301B0">
        <w:rPr>
          <w:kern w:val="0"/>
          <w:sz w:val="24"/>
          <w:szCs w:val="24"/>
        </w:rPr>
        <w:t xml:space="preserve"> (r = 0.203) has a positive, significant effect on functional autonomy; however, due to its small sample size I interpret this result with caution. Next, I discuss the implications of these findings below.</w:t>
      </w:r>
    </w:p>
    <w:p w14:paraId="2D4E452B" w14:textId="77777777" w:rsidR="00B301B0" w:rsidRPr="00B301B0" w:rsidRDefault="00B301B0" w:rsidP="00B301B0">
      <w:pPr>
        <w:widowControl/>
        <w:overflowPunct/>
        <w:autoSpaceDE/>
        <w:autoSpaceDN/>
        <w:adjustRightInd/>
        <w:spacing w:line="480" w:lineRule="auto"/>
        <w:ind w:left="720"/>
        <w:jc w:val="center"/>
        <w:rPr>
          <w:b/>
          <w:bCs/>
          <w:kern w:val="0"/>
          <w:sz w:val="24"/>
          <w:szCs w:val="24"/>
        </w:rPr>
      </w:pPr>
    </w:p>
    <w:p w14:paraId="2EC055B8"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 xml:space="preserve">FUTURE RESEARCH DIRECTIONS </w:t>
      </w:r>
    </w:p>
    <w:p w14:paraId="23A5382E"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In this study, I took an important first step to identify the conceptual ambiguity underpinning subsidiary autonomy research. Specifically, I developed a comprehensive, cumulative account of past research to develop a nomological network around three main research traditions. I then empirically demonstrated how the key variables within each perspective might operate in various ways as well as are certain traditions are perhaps potentially important in face of others. However, as with many conceptual and empirical reviews, these processes might have opened up more questions than they answered (Shaw &amp; Ertug, 2017). Aguinis et al. (2020) argues that the identification of such inconsistencies helps to reinvigorate conversations and drive future scholarly work. Hence, in this section, I complement my findings with a theory-driven roadmap for future research into the drivers of autonomy, explicating how such research can propel a more lucid theory of MNE strategy, structure, and evolution. Building on recent work in the area, I propose an agenda of novel research questions that can break new ground in IB theory. </w:t>
      </w:r>
    </w:p>
    <w:p w14:paraId="1469095E" w14:textId="77777777" w:rsidR="00B301B0" w:rsidRPr="00B301B0" w:rsidRDefault="00B301B0" w:rsidP="00B301B0">
      <w:pPr>
        <w:widowControl/>
        <w:overflowPunct/>
        <w:autoSpaceDE/>
        <w:autoSpaceDN/>
        <w:adjustRightInd/>
        <w:spacing w:line="480" w:lineRule="auto"/>
        <w:ind w:left="720"/>
        <w:jc w:val="both"/>
        <w:rPr>
          <w:b/>
          <w:bCs/>
          <w:i/>
          <w:iCs/>
          <w:kern w:val="0"/>
          <w:sz w:val="24"/>
          <w:szCs w:val="24"/>
        </w:rPr>
      </w:pPr>
    </w:p>
    <w:p w14:paraId="1C9907A9" w14:textId="77777777" w:rsidR="00B301B0" w:rsidRPr="00B301B0" w:rsidRDefault="00B301B0" w:rsidP="00B301B0">
      <w:pPr>
        <w:widowControl/>
        <w:overflowPunct/>
        <w:autoSpaceDE/>
        <w:autoSpaceDN/>
        <w:adjustRightInd/>
        <w:spacing w:line="480" w:lineRule="auto"/>
        <w:ind w:left="720"/>
        <w:jc w:val="both"/>
        <w:rPr>
          <w:kern w:val="0"/>
          <w:sz w:val="24"/>
          <w:szCs w:val="24"/>
        </w:rPr>
      </w:pPr>
      <w:r w:rsidRPr="00B301B0">
        <w:rPr>
          <w:i/>
          <w:iCs/>
          <w:kern w:val="0"/>
          <w:sz w:val="24"/>
          <w:szCs w:val="24"/>
        </w:rPr>
        <w:t>Contemporary MNE structure</w:t>
      </w:r>
    </w:p>
    <w:p w14:paraId="35C78DD3"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First, a better understanding of the antecedents of subsidiary autonomy ought to focus on the evolving nature of MNE governance (e.g., Mudambi, 2011). For instance, with the emergence of the federative MNE, subsidiaries may utilize their lateral relationships with peer subsidiaries to access resources, strengthen their power, and take on new roles in the MNE network (Schotter &amp; Beamish, 2011). From a global strategy perspective, such collaboration may enhance the bargaining power of a focal subsidiary, particularly as it leverages its lateral relationships to develop resources and capabilities central to MNE success (see Geppert &amp; Dörrenbächer, 2014). At the same time, agency theory may try to mitigate these relationships to control subsidiary behavior and maintain control over MNE operations. These sorts of interactions may increase in new forms of MNEs, such as digital firms and emerging market MNEs (Schmitt, Decreton &amp; Nell, 2019). </w:t>
      </w:r>
    </w:p>
    <w:p w14:paraId="4398B0AB"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Moreover, MNEs are increasingly adopting regional management centers (intermediary units, regional headquarters) to optimize value adding activities in foreign locations (e.g., Verbeke, Kano &amp; Yuan, 2016). The use of regional centers again shifts the power dynamics within the MNE and can thus influence local subsidiary autonomy. For instance, Dörrenbächer and Gammelgaard (2011) examined how a regional center abandoned its MNE directive and developed a new IT system, highlighting differences in strategy implementation within one MNE. The upshot is that with new MNE forms, the ways in which autonomy and thus strategy are implemented will be differentially observed. Hence, tracing the evolving nature of autonomy differentials, especially in different types of MNEs, can illuminate MNE structure and thus inform theory of the MNE.</w:t>
      </w:r>
    </w:p>
    <w:p w14:paraId="53BE61DE" w14:textId="77777777" w:rsidR="00B301B0" w:rsidRPr="00B301B0" w:rsidRDefault="00B301B0" w:rsidP="00B301B0">
      <w:pPr>
        <w:widowControl/>
        <w:overflowPunct/>
        <w:autoSpaceDE/>
        <w:autoSpaceDN/>
        <w:adjustRightInd/>
        <w:spacing w:line="480" w:lineRule="auto"/>
        <w:rPr>
          <w:b/>
          <w:bCs/>
          <w:i/>
          <w:iCs/>
          <w:kern w:val="0"/>
          <w:sz w:val="24"/>
          <w:szCs w:val="24"/>
        </w:rPr>
      </w:pPr>
    </w:p>
    <w:p w14:paraId="49BD6202"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i/>
          <w:iCs/>
          <w:kern w:val="0"/>
          <w:sz w:val="24"/>
          <w:szCs w:val="24"/>
        </w:rPr>
        <w:t>Microfoundations</w:t>
      </w:r>
      <w:r w:rsidRPr="00B301B0">
        <w:rPr>
          <w:kern w:val="0"/>
          <w:sz w:val="24"/>
          <w:szCs w:val="24"/>
        </w:rPr>
        <w:t xml:space="preserve"> </w:t>
      </w:r>
      <w:r w:rsidRPr="00B301B0">
        <w:rPr>
          <w:i/>
          <w:iCs/>
          <w:kern w:val="0"/>
          <w:sz w:val="24"/>
          <w:szCs w:val="24"/>
        </w:rPr>
        <w:t>of autonomy</w:t>
      </w:r>
    </w:p>
    <w:p w14:paraId="0165B0D6"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Barring notable exceptions (e.g., Nuruzzaman, Gaur &amp; Sambharya, 2019), there is a scarcity of research on how subsidiary and MNE managers – notably, their cognition and social relationships – influence the allocation of autonomy. For instance, subsidiary managers may utilize their social relationships to bargain for more autonomy, on the one hand, (Dörrenbächer &amp; Geppert, 2006) and headquarters managers may act opportunistically when allocating autonomy (Hendry, 2002), on the other hand. Moreover, prior research suggests differences in assigned versus assumed autonomy, such that subsidiary managers may act autonomously without formally being given decision-making latitude by their parent MNEs (Cavangh et al., 2017). Studying the cognitive and behavioral underpinnings of autonomy over time can shed light on why a subsidiary may be more autonomous than others as well as on MNE governance more broadly.</w:t>
      </w:r>
    </w:p>
    <w:p w14:paraId="353DA782"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Another relevant area concerning the individual focuses on conceptual differences when theorizing on expatriates, top management, and boundary spanners (Meyer et al., 2020). For instance, expatriates play an essential role in the governance of foreign subsidiaries, implementing MNE strategy and maintaining alignment with headquarters (Bird &amp; Mendenhall, 2016). However, they are also contextually embedded and might realize a need for more autonomy to absorb local knowledge (Gaur, Delios &amp; Singh, 2007), regardless of intended MNE control. At the same time, subsidiary managers might be considered boundary spanners (e.g., Klueter &amp; Monteiro, 2017; Tippmann, Scott, &amp; Parker, 2017) and thus find themselves extending their roles beyond their local mandate. Mäkelä et al. (2019) detail why certain boundary spanners may be more effective in their roles, but future research can expand upon these differences to better understand how individuals make decisions and their implications for within-MNE differences in global strategy. </w:t>
      </w:r>
    </w:p>
    <w:p w14:paraId="194FEEB0" w14:textId="77777777" w:rsidR="00B301B0" w:rsidRPr="00B301B0" w:rsidRDefault="00B301B0" w:rsidP="00B301B0">
      <w:pPr>
        <w:widowControl/>
        <w:overflowPunct/>
        <w:autoSpaceDE/>
        <w:autoSpaceDN/>
        <w:adjustRightInd/>
        <w:spacing w:line="480" w:lineRule="auto"/>
        <w:ind w:left="720"/>
        <w:rPr>
          <w:b/>
          <w:bCs/>
          <w:i/>
          <w:iCs/>
          <w:kern w:val="0"/>
          <w:sz w:val="24"/>
          <w:szCs w:val="24"/>
        </w:rPr>
      </w:pPr>
    </w:p>
    <w:p w14:paraId="2A84875B" w14:textId="77777777" w:rsidR="00B301B0" w:rsidRPr="00B301B0" w:rsidRDefault="00B301B0" w:rsidP="00B301B0">
      <w:pPr>
        <w:widowControl/>
        <w:overflowPunct/>
        <w:autoSpaceDE/>
        <w:autoSpaceDN/>
        <w:adjustRightInd/>
        <w:spacing w:line="480" w:lineRule="auto"/>
        <w:ind w:left="720"/>
        <w:rPr>
          <w:i/>
          <w:iCs/>
          <w:kern w:val="0"/>
          <w:sz w:val="24"/>
          <w:szCs w:val="24"/>
        </w:rPr>
      </w:pPr>
      <w:r w:rsidRPr="00B301B0">
        <w:rPr>
          <w:i/>
          <w:iCs/>
          <w:kern w:val="0"/>
          <w:sz w:val="24"/>
          <w:szCs w:val="24"/>
        </w:rPr>
        <w:t>Contextual importance</w:t>
      </w:r>
    </w:p>
    <w:p w14:paraId="39496CBD"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In recent years, we have experienced a series of global shifts that are impacting firms and governments alike (Witt, 2019). For instance, recent calls for de-globalization are shaping modes of value creation and how organizations operate abroad (e.g., Cuervo-Cazurra, Doz &amp; Gaur, 2020). While prior research considers the importance of institutional and industrial environments, there is little research on how dynamic environmental changes influence subsidiary autonomy and global MNE strategy. Future research may probe these dynamics and how they affect the location of global value chains, intra-MNE power dynamics, resource dependencies and, thus, the allocation of (distinct aspects of) autonomy. At this point, the effects of these external pressures are unclear, including whether they operate similarly across institutional contexts, such as emerging and developed markets.</w:t>
      </w:r>
    </w:p>
    <w:p w14:paraId="50DD531B"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An exploration on contextual dynamics is inherently tied to temporal dynamics as well. Ambos et al. (2011) took an important first step to understand how autonomy changes over time, and future research can build on these insights. For instance, subsidiary autonomy may change in relation to environmental dynamics (e.g., Karna, Richter &amp; Riesenkampff, 2016); however, it is unclear whether that autonomy will persist once the subsidiary and MNE headquarters learns of the changing environment. Similarly, while the MNE may wish to retain control when entering a new foreign location (Slangen &amp; Hennart, 2008), such control may subdue as the subsidiary becomes more embedded and lessens its dependence on the MNE headquarters (Birkinshaw &amp; Hood, 1998). I am motivated by recent longitudinal cases designs in IB research (e.g., Birkinshaw, Ambos &amp; Bouquet, 2017; Parente et al., 2020), which I believe can be a fruitful opportunity for future research to explore the changes in MNE strategy and structure over time, particularly during periods of environmental dynamism.</w:t>
      </w:r>
    </w:p>
    <w:p w14:paraId="55CA1D0E" w14:textId="77777777" w:rsidR="00B301B0" w:rsidRPr="00B301B0" w:rsidRDefault="00B301B0" w:rsidP="00B301B0">
      <w:pPr>
        <w:widowControl/>
        <w:overflowPunct/>
        <w:autoSpaceDE/>
        <w:autoSpaceDN/>
        <w:adjustRightInd/>
        <w:spacing w:line="480" w:lineRule="auto"/>
        <w:ind w:left="720"/>
        <w:rPr>
          <w:b/>
          <w:bCs/>
          <w:i/>
          <w:iCs/>
          <w:kern w:val="0"/>
          <w:sz w:val="24"/>
          <w:szCs w:val="24"/>
        </w:rPr>
      </w:pPr>
    </w:p>
    <w:p w14:paraId="45C991A7"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i/>
          <w:iCs/>
          <w:kern w:val="0"/>
          <w:sz w:val="24"/>
          <w:szCs w:val="24"/>
        </w:rPr>
        <w:t>Gestalt-like approach</w:t>
      </w:r>
      <w:r w:rsidRPr="00B301B0">
        <w:rPr>
          <w:kern w:val="0"/>
          <w:sz w:val="24"/>
          <w:szCs w:val="24"/>
        </w:rPr>
        <w:t xml:space="preserve"> </w:t>
      </w:r>
    </w:p>
    <w:p w14:paraId="60E59F43"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Finally, like much of IB phenomena (Fainshmidt et al., 2020), subsidiary autonomy is inherently gestalt-like, such that any single theory is unable to capture the entire complexity of its allocation. In fact, I demonstrate that many of my main variables are statistically insignificant in relation to autonomy, indicating the complex nature of understanding autonomy differentials. Initially, Nohria and Ghoshal (1994) argued that autonomy assignments should fit the subsidiary’s (1) local environment and (2) internal resource-based advantages, but there may also be conditions beyond the headquarters-subsidiary relationship that may influence autonomy (Cantwell &amp; Mudambi, 2005). Accordingly, I believe future research could emulate prior works, such as Cuervo-Cazurra et al. (2019) to understand how various theoretical prescriptions interact, complement, or substitute for each other to explain subsidiary autonomy and, thus, MNE governance. There are promising opportunities to integrate theoretical perspectives toward studying the interplay of within-MNE and between-MNE differences in autonomy. </w:t>
      </w:r>
    </w:p>
    <w:p w14:paraId="641BC73F"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While the purpose of this study was not to explore boundary conditions (e.g., Geleilate et al., 2019), I believe that doing so can directly inform research on subsidiary management and theory of MNE structure, strategy, and evolution. For instance, goal alignment was shown to have a negative relationship with subsidiary autonomy; however, it might be that such alignment is particularly salient in distant institutional settings where the MNE cannot fully observe subsidiary operations and is thus associated with greater bounded rationality (Hendry, 2002). Similarly, the effects of distance might become more pronounced when subsidiaries take on more value chain activities, reflecting differing strategies within a sample of foreign subsidiaries (Bartlett &amp; Ghoshal, 1989). Thus, an important next step in this research area is to explore not only </w:t>
      </w:r>
      <w:r w:rsidRPr="00B301B0">
        <w:rPr>
          <w:i/>
          <w:iCs/>
          <w:kern w:val="0"/>
          <w:sz w:val="24"/>
          <w:szCs w:val="24"/>
        </w:rPr>
        <w:t>what</w:t>
      </w:r>
      <w:r w:rsidRPr="00B301B0">
        <w:rPr>
          <w:kern w:val="0"/>
          <w:sz w:val="24"/>
          <w:szCs w:val="24"/>
        </w:rPr>
        <w:t xml:space="preserve"> drives autonomy differences but also </w:t>
      </w:r>
      <w:r w:rsidRPr="00B301B0">
        <w:rPr>
          <w:i/>
          <w:iCs/>
          <w:kern w:val="0"/>
          <w:sz w:val="24"/>
          <w:szCs w:val="24"/>
        </w:rPr>
        <w:t>when</w:t>
      </w:r>
      <w:r w:rsidRPr="00B301B0">
        <w:rPr>
          <w:kern w:val="0"/>
          <w:sz w:val="24"/>
          <w:szCs w:val="24"/>
        </w:rPr>
        <w:t xml:space="preserve"> such drivers are most salient.</w:t>
      </w:r>
    </w:p>
    <w:p w14:paraId="18B7AA09" w14:textId="77777777" w:rsidR="00B301B0" w:rsidRPr="00B301B0" w:rsidRDefault="00B301B0" w:rsidP="00B301B0">
      <w:pPr>
        <w:widowControl/>
        <w:overflowPunct/>
        <w:autoSpaceDE/>
        <w:autoSpaceDN/>
        <w:adjustRightInd/>
        <w:spacing w:line="480" w:lineRule="auto"/>
        <w:ind w:left="720"/>
        <w:jc w:val="center"/>
        <w:rPr>
          <w:b/>
          <w:bCs/>
          <w:kern w:val="0"/>
          <w:sz w:val="24"/>
          <w:szCs w:val="24"/>
        </w:rPr>
      </w:pPr>
    </w:p>
    <w:p w14:paraId="5902CF32"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DISCUSSION</w:t>
      </w:r>
    </w:p>
    <w:p w14:paraId="5BD38648"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Over the past forty years, research on subsidiary autonomy has continued to appear at the forefront of many core IB phenomena and grand challenges (Kostova et al., 2016; Meyer et al., 2020). Initially, the introduction of the autonomy construct was used in a limited manner, focusing on its sparse allocation to optimize non-essential business activities in foreign locations. As globalization later progressed and multinational operations became increasingly complex, so did research on subsidiary autonomy (Mudami, 2011). A recent meta-analytic review found that subsidiary autonomy generally leads to performance outcomes (Geleilate et al., 2019), thereby demonstrating why a discussion of autonomy is important in the first place. However, the commensurate research on its antecedents has absent of a concentrated scholarly conversation, limiting the advancement of a more lucid theory of autonomy. In this review, I take an important step to resolve this ambiguity by synthesizing prior studies to develop a nomological network of autonomy research. Furthermore, I provided exploratory, meta-analytic evidence of 131 sample studies, which allowed me to rigorously test prior theoretical prescriptions in a comprehensive study. </w:t>
      </w:r>
    </w:p>
    <w:p w14:paraId="5CD35F2E"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What is true from this body of research is that the promising diversity has been both a benefit and hindrance to theory development (cf., Björkman et al., 2004; Cantwell &amp; Mudambi, 2005; Rabbiosi &amp; Santangelo, 2018). For instance, subsidiary managers might need autonomy to take local action and cope with host country demands (Kim et al., 2005), but more autonomy creates opportunities for agency problems, such as subsidiary opportunism (Ambos et al., 2019). Meanwhile, the need for autonomy might be particularly relevant in high institutional distance contexts due to the resulting challenges for headquarters managers to make locally adaptive decisions (Luo, 2003). My study suggests that latter explanation may be more appropriate, as internal, headquarters-subsidiary relationships may be more salient to understanding autonomy differentials than environmental conditions. As these brief examples illustrate, the plurality of explanations has contributed to the development of a nomological network, while until now have also rendered an unclear theory of autonomy’s drivers. Hence, a key benefit of this study is that it takes a first step to provide cumulative evidence for key variables underpinning various research traditions and thus guide future scholarly work.</w:t>
      </w:r>
    </w:p>
    <w:p w14:paraId="33F75E8C"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Indeed, the diverse findings of this study contribute to the guiding notion that autonomy is not a straightforward, performance-driven phenomenon, and that there are multiple explanations for its allocation. For instance, although IB scholars has extensively examined the effects of institutional distance (e.g., Dellestrand &amp; Kappen, 2012) and host country conditions (e.g., Santangelo et al, 2018), headquarters managers’ decision to allocate autonomy appears to not be directly determined by such environmental differences. This insight adds nuance to recent work in which suggests institutional mechanisms are not always in sync with their theoretical prescriptions, highlighting potential inconsistencies in arguments and applications (Kostova et al., 2019). Similarly, the two agency mechanisms provide alternative effects on autonomy: Goal alignment drives headquarters centralization while strong past performance increases autonomy. Thus, subsidiary performance is a stronger indicator of autonomy than maintaining alignment with MNE goals and strategies, raising the questions of how much headquarters-subsidiary relations (e.g., micro-politics) matter vis-à-vis measurable outcomes (e.g., performance) (Hoenen &amp; Kostova, 2015).</w:t>
      </w:r>
    </w:p>
    <w:p w14:paraId="33F2FDD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Finally, my study implicitly speaks to the importance of configurational logic, particularly when capturing how global MNE strategy and structure is determined (Nohria &amp; Ghoshal, 1994).   A better understanding of autonomy’s antecedents requires that research considers multiple explanations in concert rather than individually (e.g., Cuervo-Cazurra et al., 2019). In other words, while each research tradition on its own makes theoretical predictions for the allocation of autonomy, they are inherently interrelated and need to be considered simultaneously to account for potential perils of autonomy. For instance, a locally responsive subsidiary requires more autonomy (Andersson et al., 2002), although that is only true when accounting for other relational, environmental, and strategy conditions. The broader implication is that there is a need to further unpack not only </w:t>
      </w:r>
      <w:r w:rsidRPr="00B301B0">
        <w:rPr>
          <w:i/>
          <w:iCs/>
          <w:kern w:val="0"/>
          <w:sz w:val="24"/>
          <w:szCs w:val="24"/>
        </w:rPr>
        <w:t xml:space="preserve">what </w:t>
      </w:r>
      <w:r w:rsidRPr="00B301B0">
        <w:rPr>
          <w:kern w:val="0"/>
          <w:sz w:val="24"/>
          <w:szCs w:val="24"/>
        </w:rPr>
        <w:t xml:space="preserve">conditions drive autonomy but also </w:t>
      </w:r>
      <w:r w:rsidRPr="00B301B0">
        <w:rPr>
          <w:i/>
          <w:iCs/>
          <w:kern w:val="0"/>
          <w:sz w:val="24"/>
          <w:szCs w:val="24"/>
        </w:rPr>
        <w:t>when</w:t>
      </w:r>
      <w:r w:rsidRPr="00B301B0">
        <w:rPr>
          <w:kern w:val="0"/>
          <w:sz w:val="24"/>
          <w:szCs w:val="24"/>
        </w:rPr>
        <w:t xml:space="preserve"> those conditions matter most.</w:t>
      </w:r>
    </w:p>
    <w:p w14:paraId="0C013145"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In sum, my review takes an important step to provide conceptual clarity and sufficient grounds to progress the state of autonomy research. I developed a comprehensive review of prior theoretical and empirical, bringing together disjointed studies to construct a nomological network of autonomy. I then utilized the cumulative body of research to conduct explorative meta-analytic testing of key variables and research traditions. These efforts allowed me to answer longstanding questions pertaining to structural differentiation within the MNE, while also identify gaps and facilitate a discussion for future research opportunities and scholarly work. Many of the discussions had in this study help to answer recent calls to develop a more lucid theory of subsidiary autonomy and, by extension, global MNE strategy, structure, and evolution. I hope that my study reinvigorates research on subsidiary autonomy in the contemporary MNE.</w:t>
      </w:r>
    </w:p>
    <w:p w14:paraId="24CBE9D4" w14:textId="77777777" w:rsidR="00B301B0" w:rsidRPr="00B301B0" w:rsidRDefault="00B301B0" w:rsidP="00B301B0">
      <w:pPr>
        <w:widowControl/>
        <w:overflowPunct/>
        <w:autoSpaceDE/>
        <w:autoSpaceDN/>
        <w:adjustRightInd/>
        <w:ind w:left="720"/>
        <w:rPr>
          <w:b/>
          <w:bCs/>
          <w:kern w:val="0"/>
          <w:sz w:val="24"/>
          <w:szCs w:val="24"/>
        </w:rPr>
      </w:pPr>
      <w:r w:rsidRPr="00B301B0">
        <w:rPr>
          <w:b/>
          <w:bCs/>
          <w:kern w:val="0"/>
          <w:sz w:val="24"/>
          <w:szCs w:val="24"/>
        </w:rPr>
        <w:br w:type="page"/>
      </w:r>
    </w:p>
    <w:p w14:paraId="3DD6219D" w14:textId="77777777" w:rsidR="00B301B0" w:rsidRPr="00B301B0" w:rsidRDefault="00B301B0" w:rsidP="00B301B0">
      <w:pPr>
        <w:widowControl/>
        <w:overflowPunct/>
        <w:autoSpaceDE/>
        <w:autoSpaceDN/>
        <w:adjustRightInd/>
        <w:ind w:left="720"/>
        <w:jc w:val="center"/>
        <w:rPr>
          <w:kern w:val="0"/>
          <w:sz w:val="24"/>
          <w:szCs w:val="24"/>
        </w:rPr>
      </w:pPr>
      <w:r w:rsidRPr="00B301B0">
        <w:rPr>
          <w:kern w:val="0"/>
          <w:sz w:val="24"/>
          <w:szCs w:val="24"/>
        </w:rPr>
        <w:t xml:space="preserve">REFERENCES </w:t>
      </w:r>
      <w:r w:rsidRPr="00B301B0">
        <w:rPr>
          <w:kern w:val="0"/>
          <w:sz w:val="24"/>
          <w:szCs w:val="24"/>
          <w:vertAlign w:val="superscript"/>
        </w:rPr>
        <w:footnoteReference w:id="8"/>
      </w:r>
    </w:p>
    <w:p w14:paraId="5AD45555" w14:textId="77777777" w:rsidR="00B301B0" w:rsidRPr="00B301B0" w:rsidRDefault="00B301B0" w:rsidP="00B301B0">
      <w:pPr>
        <w:widowControl/>
        <w:overflowPunct/>
        <w:autoSpaceDE/>
        <w:autoSpaceDN/>
        <w:adjustRightInd/>
        <w:ind w:left="720"/>
        <w:jc w:val="both"/>
        <w:rPr>
          <w:kern w:val="0"/>
          <w:sz w:val="24"/>
          <w:szCs w:val="24"/>
        </w:rPr>
      </w:pPr>
    </w:p>
    <w:p w14:paraId="1EDA7ACB"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Aguilera, R. V., Marano, V., &amp; Haxhi, I. (2019). International corporate governance: A review and opportunities for future research. </w:t>
      </w:r>
      <w:r w:rsidRPr="00682CC8">
        <w:rPr>
          <w:i/>
          <w:iCs/>
          <w:color w:val="222222"/>
          <w:kern w:val="0"/>
          <w:sz w:val="24"/>
          <w:szCs w:val="24"/>
        </w:rPr>
        <w:t>Journal of International Business Studies</w:t>
      </w:r>
      <w:r w:rsidRPr="00B301B0">
        <w:rPr>
          <w:color w:val="222222"/>
          <w:kern w:val="0"/>
          <w:sz w:val="24"/>
          <w:szCs w:val="24"/>
        </w:rPr>
        <w:t>, doi.org/10.1057/s41267-019-00232-w.</w:t>
      </w:r>
    </w:p>
    <w:p w14:paraId="3EA57A3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Aguinis, H., Ramani, R. S., &amp; Alabduljader, N. (2020). Best-practice recommendations for producers, evaluators, and users of methodological literature reviews. </w:t>
      </w:r>
      <w:r w:rsidRPr="00682CC8">
        <w:rPr>
          <w:i/>
          <w:iCs/>
          <w:color w:val="222222"/>
          <w:kern w:val="0"/>
          <w:sz w:val="24"/>
          <w:szCs w:val="24"/>
        </w:rPr>
        <w:t>Organizational Research Methods</w:t>
      </w:r>
      <w:r w:rsidRPr="00B301B0">
        <w:rPr>
          <w:color w:val="222222"/>
          <w:kern w:val="0"/>
          <w:sz w:val="24"/>
          <w:szCs w:val="24"/>
        </w:rPr>
        <w:t>, doi.org/10.1177/1094428120943281.</w:t>
      </w:r>
    </w:p>
    <w:p w14:paraId="6D4E59DB"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Ahlvik, C., Smale, A., &amp; Sumelius, J. (2016). Aligning corporate transfer intentions and subsidiary HRM practice implementation in multinational corporations.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51</w:t>
      </w:r>
      <w:r w:rsidRPr="00B301B0">
        <w:rPr>
          <w:color w:val="222222"/>
          <w:kern w:val="0"/>
          <w:sz w:val="24"/>
          <w:szCs w:val="24"/>
        </w:rPr>
        <w:t>(3), 343-355.</w:t>
      </w:r>
    </w:p>
    <w:p w14:paraId="71DA2A8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B., &amp; Schlegelmilch, B. B. (2008). Innovation in multinational firms: Does cultural fit enhance performance?. </w:t>
      </w:r>
      <w:r w:rsidRPr="00682CC8">
        <w:rPr>
          <w:i/>
          <w:iCs/>
          <w:color w:val="222222"/>
          <w:kern w:val="0"/>
          <w:sz w:val="24"/>
          <w:szCs w:val="24"/>
        </w:rPr>
        <w:t>Management International Review</w:t>
      </w:r>
      <w:r w:rsidRPr="00B301B0">
        <w:rPr>
          <w:color w:val="222222"/>
          <w:kern w:val="0"/>
          <w:sz w:val="24"/>
          <w:szCs w:val="24"/>
        </w:rPr>
        <w:t>, </w:t>
      </w:r>
      <w:r w:rsidRPr="00682CC8">
        <w:rPr>
          <w:color w:val="222222"/>
          <w:kern w:val="0"/>
          <w:sz w:val="24"/>
          <w:szCs w:val="24"/>
        </w:rPr>
        <w:t>48</w:t>
      </w:r>
      <w:r w:rsidRPr="00B301B0">
        <w:rPr>
          <w:color w:val="222222"/>
          <w:kern w:val="0"/>
          <w:sz w:val="24"/>
          <w:szCs w:val="24"/>
        </w:rPr>
        <w:t>(2), 189.</w:t>
      </w:r>
    </w:p>
    <w:p w14:paraId="599D921E"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B., Asakawa, K., &amp; Ambos, T. C. (2011). A dynamic perspective on subsidiary autonomy. </w:t>
      </w:r>
      <w:r w:rsidRPr="00682CC8">
        <w:rPr>
          <w:i/>
          <w:iCs/>
          <w:color w:val="222222"/>
          <w:kern w:val="0"/>
          <w:sz w:val="24"/>
          <w:szCs w:val="24"/>
        </w:rPr>
        <w:t>Global Strategy Journal</w:t>
      </w:r>
      <w:r w:rsidRPr="00B301B0">
        <w:rPr>
          <w:color w:val="222222"/>
          <w:kern w:val="0"/>
          <w:sz w:val="24"/>
          <w:szCs w:val="24"/>
        </w:rPr>
        <w:t>, </w:t>
      </w:r>
      <w:r w:rsidRPr="00682CC8">
        <w:rPr>
          <w:color w:val="222222"/>
          <w:kern w:val="0"/>
          <w:sz w:val="24"/>
          <w:szCs w:val="24"/>
        </w:rPr>
        <w:t>1</w:t>
      </w:r>
      <w:r w:rsidRPr="00B301B0">
        <w:rPr>
          <w:color w:val="222222"/>
          <w:kern w:val="0"/>
          <w:sz w:val="24"/>
          <w:szCs w:val="24"/>
        </w:rPr>
        <w:t>(3‐4), 301-316.</w:t>
      </w:r>
    </w:p>
    <w:p w14:paraId="0CFB817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T. C., &amp; Birkinshaw, J. (2010). Headquarters’ attention and its effect on subsidiary performance. </w:t>
      </w:r>
      <w:r w:rsidRPr="00682CC8">
        <w:rPr>
          <w:i/>
          <w:iCs/>
          <w:color w:val="222222"/>
          <w:kern w:val="0"/>
          <w:sz w:val="24"/>
          <w:szCs w:val="24"/>
        </w:rPr>
        <w:t>Management international review</w:t>
      </w:r>
      <w:r w:rsidRPr="00B301B0">
        <w:rPr>
          <w:color w:val="222222"/>
          <w:kern w:val="0"/>
          <w:sz w:val="24"/>
          <w:szCs w:val="24"/>
        </w:rPr>
        <w:t>, </w:t>
      </w:r>
      <w:r w:rsidRPr="00682CC8">
        <w:rPr>
          <w:color w:val="222222"/>
          <w:kern w:val="0"/>
          <w:sz w:val="24"/>
          <w:szCs w:val="24"/>
        </w:rPr>
        <w:t>50</w:t>
      </w:r>
      <w:r w:rsidRPr="00B301B0">
        <w:rPr>
          <w:color w:val="222222"/>
          <w:kern w:val="0"/>
          <w:sz w:val="24"/>
          <w:szCs w:val="24"/>
        </w:rPr>
        <w:t>(4), 449-469.</w:t>
      </w:r>
    </w:p>
    <w:p w14:paraId="27A2494F"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T. C., Andersson, U., &amp; Birkinshaw, J. (2010). What are the consequences of initiative-taking in multinational subsidiaries?.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41</w:t>
      </w:r>
      <w:r w:rsidRPr="00B301B0">
        <w:rPr>
          <w:color w:val="222222"/>
          <w:kern w:val="0"/>
          <w:sz w:val="24"/>
          <w:szCs w:val="24"/>
        </w:rPr>
        <w:t>(7), 1099-1118.</w:t>
      </w:r>
    </w:p>
    <w:p w14:paraId="17E3337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T. C., Fuchs, S. H., &amp; Zimmermann, A. (2020). Managing interrelated tensions in headquarters–subsidiary relationships: The case of a multinational hybrid organization. </w:t>
      </w:r>
      <w:r w:rsidRPr="00682CC8">
        <w:rPr>
          <w:i/>
          <w:iCs/>
          <w:color w:val="222222"/>
          <w:kern w:val="0"/>
          <w:sz w:val="24"/>
          <w:szCs w:val="24"/>
        </w:rPr>
        <w:t>Journal of International Business Studies</w:t>
      </w:r>
      <w:r w:rsidRPr="00B301B0">
        <w:rPr>
          <w:color w:val="222222"/>
          <w:kern w:val="0"/>
          <w:sz w:val="24"/>
          <w:szCs w:val="24"/>
        </w:rPr>
        <w:t>, doi.org/10.1057/s41267-020-00307-z.</w:t>
      </w:r>
    </w:p>
    <w:p w14:paraId="0239446E"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Andersson, U., Forsgren, M., &amp; Holm, U. (2002). The strategic impact of external networks: subsidiary performance and competence development in the multinational corporation.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23</w:t>
      </w:r>
      <w:r w:rsidRPr="00B301B0">
        <w:rPr>
          <w:color w:val="222222"/>
          <w:kern w:val="0"/>
          <w:sz w:val="24"/>
          <w:szCs w:val="24"/>
        </w:rPr>
        <w:t>(11), 979-996.</w:t>
      </w:r>
    </w:p>
    <w:p w14:paraId="6A02E349"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Bartlett, C. A., &amp; Ghoshal, S. (1989). The transnational solution. </w:t>
      </w:r>
      <w:r w:rsidRPr="00682CC8">
        <w:rPr>
          <w:color w:val="222222"/>
          <w:kern w:val="0"/>
          <w:sz w:val="24"/>
          <w:szCs w:val="24"/>
        </w:rPr>
        <w:t>Boston: Harvard Business School</w:t>
      </w:r>
      <w:r w:rsidRPr="00B301B0">
        <w:rPr>
          <w:color w:val="222222"/>
          <w:kern w:val="0"/>
          <w:sz w:val="24"/>
          <w:szCs w:val="24"/>
        </w:rPr>
        <w:t>.</w:t>
      </w:r>
    </w:p>
    <w:p w14:paraId="0BD651A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Belenzon, S., Hashai, N., &amp; Patacconi, A. (2019). The architecture of attention: Group structure and subsidiary autonomy.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40</w:t>
      </w:r>
      <w:r w:rsidRPr="00B301B0">
        <w:rPr>
          <w:color w:val="222222"/>
          <w:kern w:val="0"/>
          <w:sz w:val="24"/>
          <w:szCs w:val="24"/>
        </w:rPr>
        <w:t>(10), 1610-1643.</w:t>
      </w:r>
    </w:p>
    <w:p w14:paraId="38061309"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Bergh, D. D., Aguinis, H., Heavey, C., Ketchen, D. J., Boyd, B. K., Su, P., Lau, C., &amp; Joo, H. (2016). Using meta‐analytic structural equation modeling to advance strategic management research: Guidelines and an empirical illustration via the strategic leadership‐performance relationship.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37</w:t>
      </w:r>
      <w:r w:rsidRPr="00B301B0">
        <w:rPr>
          <w:color w:val="222222"/>
          <w:kern w:val="0"/>
          <w:sz w:val="24"/>
          <w:szCs w:val="24"/>
        </w:rPr>
        <w:t>(3), 477-497.</w:t>
      </w:r>
    </w:p>
    <w:p w14:paraId="5C1504A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Beugelsdijk, S., &amp; Jindra, B. (2018). Product innovation and decision-making autonomy in subsidiaries of multinational companies.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53</w:t>
      </w:r>
      <w:r w:rsidRPr="00B301B0">
        <w:rPr>
          <w:color w:val="222222"/>
          <w:kern w:val="0"/>
          <w:sz w:val="24"/>
          <w:szCs w:val="24"/>
        </w:rPr>
        <w:t>(4), 529-539.</w:t>
      </w:r>
    </w:p>
    <w:p w14:paraId="2D615AD5"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Beugelsdijk, S., Ambos, B., &amp; Nell, P. C. (2020). Conceptualizing and measuring distance in international business research: Recurring questions and best practice guidelines. In </w:t>
      </w:r>
      <w:r w:rsidRPr="00682CC8">
        <w:rPr>
          <w:color w:val="222222"/>
          <w:kern w:val="0"/>
          <w:sz w:val="24"/>
          <w:szCs w:val="24"/>
        </w:rPr>
        <w:t>Research methods in international business</w:t>
      </w:r>
      <w:r w:rsidRPr="00B301B0">
        <w:rPr>
          <w:color w:val="222222"/>
          <w:kern w:val="0"/>
          <w:sz w:val="24"/>
          <w:szCs w:val="24"/>
        </w:rPr>
        <w:t> (pp. 449-498). Palgrave Macmillan, Cham.</w:t>
      </w:r>
    </w:p>
    <w:p w14:paraId="0AE66C2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Beugelsdijk, S., Kostova, T., Kunst, V. E., Spadafora, E., &amp; Van Essen, M. (2018). Cultural distance and firm internationalization: A meta-analytical review and theoretical implications. </w:t>
      </w:r>
      <w:r w:rsidRPr="00682CC8">
        <w:rPr>
          <w:i/>
          <w:iCs/>
          <w:color w:val="222222"/>
          <w:kern w:val="0"/>
          <w:sz w:val="24"/>
          <w:szCs w:val="24"/>
        </w:rPr>
        <w:t>Journal of Management</w:t>
      </w:r>
      <w:r w:rsidRPr="00B301B0">
        <w:rPr>
          <w:color w:val="222222"/>
          <w:kern w:val="0"/>
          <w:sz w:val="24"/>
          <w:szCs w:val="24"/>
        </w:rPr>
        <w:t>, </w:t>
      </w:r>
      <w:r w:rsidRPr="00682CC8">
        <w:rPr>
          <w:color w:val="222222"/>
          <w:kern w:val="0"/>
          <w:sz w:val="24"/>
          <w:szCs w:val="24"/>
        </w:rPr>
        <w:t>44</w:t>
      </w:r>
      <w:r w:rsidRPr="00B301B0">
        <w:rPr>
          <w:color w:val="222222"/>
          <w:kern w:val="0"/>
          <w:sz w:val="24"/>
          <w:szCs w:val="24"/>
        </w:rPr>
        <w:t>(1), 89-130.</w:t>
      </w:r>
    </w:p>
    <w:p w14:paraId="44CF0428"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Bird, A., &amp; Mendenhall, M. E. (2016). From cross-cultural management to global leadership: Evolution and adaptation.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51</w:t>
      </w:r>
      <w:r w:rsidRPr="00B301B0">
        <w:rPr>
          <w:color w:val="222222"/>
          <w:kern w:val="0"/>
          <w:sz w:val="24"/>
          <w:szCs w:val="24"/>
        </w:rPr>
        <w:t>(1), 115-126.</w:t>
      </w:r>
    </w:p>
    <w:p w14:paraId="54DF480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(1997). Entrepreneurship in multinational corporations: The characteristics of subsidiary initiatives.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18</w:t>
      </w:r>
      <w:r w:rsidRPr="00B301B0">
        <w:rPr>
          <w:color w:val="222222"/>
          <w:kern w:val="0"/>
          <w:sz w:val="24"/>
          <w:szCs w:val="24"/>
        </w:rPr>
        <w:t>(3), 207-229.</w:t>
      </w:r>
    </w:p>
    <w:p w14:paraId="14DAF1B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(1998). Corporate entrepreneurship in network organizations:: How subsidiary initiative drives internal market efficiency. </w:t>
      </w:r>
      <w:r w:rsidRPr="00682CC8">
        <w:rPr>
          <w:i/>
          <w:iCs/>
          <w:color w:val="222222"/>
          <w:kern w:val="0"/>
          <w:sz w:val="24"/>
          <w:szCs w:val="24"/>
        </w:rPr>
        <w:t>European Management Journal</w:t>
      </w:r>
      <w:r w:rsidRPr="00B301B0">
        <w:rPr>
          <w:color w:val="222222"/>
          <w:kern w:val="0"/>
          <w:sz w:val="24"/>
          <w:szCs w:val="24"/>
        </w:rPr>
        <w:t>, </w:t>
      </w:r>
      <w:r w:rsidRPr="00682CC8">
        <w:rPr>
          <w:color w:val="222222"/>
          <w:kern w:val="0"/>
          <w:sz w:val="24"/>
          <w:szCs w:val="24"/>
        </w:rPr>
        <w:t>16</w:t>
      </w:r>
      <w:r w:rsidRPr="00B301B0">
        <w:rPr>
          <w:color w:val="222222"/>
          <w:kern w:val="0"/>
          <w:sz w:val="24"/>
          <w:szCs w:val="24"/>
        </w:rPr>
        <w:t>(3), 355-364.</w:t>
      </w:r>
    </w:p>
    <w:p w14:paraId="2E76A8CE"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&amp; Hood, N. (1998). Multinational subsidiary evolution: Capability and charter change in foreign-owned subsidiary companies. </w:t>
      </w:r>
      <w:r w:rsidRPr="00682CC8">
        <w:rPr>
          <w:i/>
          <w:iCs/>
          <w:color w:val="222222"/>
          <w:kern w:val="0"/>
          <w:sz w:val="24"/>
          <w:szCs w:val="24"/>
        </w:rPr>
        <w:t>Academy of Management Review</w:t>
      </w:r>
      <w:r w:rsidRPr="00B301B0">
        <w:rPr>
          <w:color w:val="222222"/>
          <w:kern w:val="0"/>
          <w:sz w:val="24"/>
          <w:szCs w:val="24"/>
        </w:rPr>
        <w:t>, </w:t>
      </w:r>
      <w:r w:rsidRPr="00682CC8">
        <w:rPr>
          <w:color w:val="222222"/>
          <w:kern w:val="0"/>
          <w:sz w:val="24"/>
          <w:szCs w:val="24"/>
        </w:rPr>
        <w:t>23</w:t>
      </w:r>
      <w:r w:rsidRPr="00B301B0">
        <w:rPr>
          <w:color w:val="222222"/>
          <w:kern w:val="0"/>
          <w:sz w:val="24"/>
          <w:szCs w:val="24"/>
        </w:rPr>
        <w:t>(4), 773-795.</w:t>
      </w:r>
    </w:p>
    <w:p w14:paraId="1936C5B3"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Ambos, T. C., &amp; Bouquet, C. (2017). Boundary spanning activities of corporate HQ executives insights from a longitudinal study. </w:t>
      </w:r>
      <w:r w:rsidRPr="00682CC8">
        <w:rPr>
          <w:i/>
          <w:iCs/>
          <w:color w:val="222222"/>
          <w:kern w:val="0"/>
          <w:sz w:val="24"/>
          <w:szCs w:val="24"/>
        </w:rPr>
        <w:t>Journal of Management Studies</w:t>
      </w:r>
      <w:r w:rsidRPr="00B301B0">
        <w:rPr>
          <w:color w:val="222222"/>
          <w:kern w:val="0"/>
          <w:sz w:val="24"/>
          <w:szCs w:val="24"/>
        </w:rPr>
        <w:t>, </w:t>
      </w:r>
      <w:r w:rsidRPr="00682CC8">
        <w:rPr>
          <w:color w:val="222222"/>
          <w:kern w:val="0"/>
          <w:sz w:val="24"/>
          <w:szCs w:val="24"/>
        </w:rPr>
        <w:t>54</w:t>
      </w:r>
      <w:r w:rsidRPr="00B301B0">
        <w:rPr>
          <w:color w:val="222222"/>
          <w:kern w:val="0"/>
          <w:sz w:val="24"/>
          <w:szCs w:val="24"/>
        </w:rPr>
        <w:t>(4), 422-454.</w:t>
      </w:r>
    </w:p>
    <w:p w14:paraId="654B15DA"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Holm, U., Thilenius, P., &amp; Arvidsson, N. (2000). Consequences of perception gaps in the headquarters–subsidiary relationship.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9</w:t>
      </w:r>
      <w:r w:rsidRPr="00B301B0">
        <w:rPr>
          <w:color w:val="222222"/>
          <w:kern w:val="0"/>
          <w:sz w:val="24"/>
          <w:szCs w:val="24"/>
        </w:rPr>
        <w:t>(3), 321-344.</w:t>
      </w:r>
    </w:p>
    <w:p w14:paraId="0C92446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Hood, N., &amp; Jonsson, S. (1998). Building firm‐specific advantages in multinational corporations: the role of subsidiary initiative.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19</w:t>
      </w:r>
      <w:r w:rsidRPr="00B301B0">
        <w:rPr>
          <w:color w:val="222222"/>
          <w:kern w:val="0"/>
          <w:sz w:val="24"/>
          <w:szCs w:val="24"/>
        </w:rPr>
        <w:t>(3), 221-242.</w:t>
      </w:r>
    </w:p>
    <w:p w14:paraId="6256249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Björkman, I., Barner-Rasmussen, W., &amp; Li, L. (2004). Managing knowledge transfer in MNCs: The impact of headquarters control mechanisms.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35</w:t>
      </w:r>
      <w:r w:rsidRPr="00B301B0">
        <w:rPr>
          <w:color w:val="222222"/>
          <w:kern w:val="0"/>
          <w:sz w:val="24"/>
          <w:szCs w:val="24"/>
        </w:rPr>
        <w:t>(5), 443-455.</w:t>
      </w:r>
    </w:p>
    <w:p w14:paraId="1DC594A9" w14:textId="14BF9A13"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Bouquet, C., &amp; Birkinshaw, J. (2008). Weight versus voice: How foreign subsidiaries gain attention from corporate headquarters. </w:t>
      </w:r>
      <w:r w:rsidRPr="00682CC8">
        <w:rPr>
          <w:i/>
          <w:iCs/>
          <w:color w:val="222222"/>
          <w:kern w:val="0"/>
          <w:sz w:val="24"/>
          <w:szCs w:val="24"/>
        </w:rPr>
        <w:t xml:space="preserve">Academy of Management </w:t>
      </w:r>
      <w:r w:rsidR="00682CC8">
        <w:rPr>
          <w:i/>
          <w:iCs/>
          <w:color w:val="222222"/>
          <w:kern w:val="0"/>
          <w:sz w:val="24"/>
          <w:szCs w:val="24"/>
        </w:rPr>
        <w:t>J</w:t>
      </w:r>
      <w:r w:rsidRPr="00682CC8">
        <w:rPr>
          <w:i/>
          <w:iCs/>
          <w:color w:val="222222"/>
          <w:kern w:val="0"/>
          <w:sz w:val="24"/>
          <w:szCs w:val="24"/>
        </w:rPr>
        <w:t>ournal</w:t>
      </w:r>
      <w:r w:rsidRPr="00B301B0">
        <w:rPr>
          <w:color w:val="222222"/>
          <w:kern w:val="0"/>
          <w:sz w:val="24"/>
          <w:szCs w:val="24"/>
        </w:rPr>
        <w:t>, </w:t>
      </w:r>
      <w:r w:rsidRPr="00682CC8">
        <w:rPr>
          <w:color w:val="222222"/>
          <w:kern w:val="0"/>
          <w:sz w:val="24"/>
          <w:szCs w:val="24"/>
        </w:rPr>
        <w:t>51</w:t>
      </w:r>
      <w:r w:rsidRPr="00B301B0">
        <w:rPr>
          <w:color w:val="222222"/>
          <w:kern w:val="0"/>
          <w:sz w:val="24"/>
          <w:szCs w:val="24"/>
        </w:rPr>
        <w:t>(3), 577-601.</w:t>
      </w:r>
    </w:p>
    <w:p w14:paraId="3FE4E3E6" w14:textId="77777777" w:rsidR="00B301B0" w:rsidRPr="00682CC8" w:rsidRDefault="00B301B0" w:rsidP="00682CC8">
      <w:pPr>
        <w:widowControl/>
        <w:overflowPunct/>
        <w:autoSpaceDE/>
        <w:autoSpaceDN/>
        <w:adjustRightInd/>
        <w:spacing w:after="200"/>
        <w:ind w:left="1440" w:hanging="720"/>
        <w:rPr>
          <w:color w:val="222222"/>
          <w:kern w:val="0"/>
          <w:sz w:val="24"/>
          <w:szCs w:val="24"/>
        </w:rPr>
      </w:pPr>
      <w:r w:rsidRPr="00682CC8">
        <w:rPr>
          <w:color w:val="222222"/>
          <w:kern w:val="0"/>
          <w:sz w:val="24"/>
          <w:szCs w:val="24"/>
        </w:rPr>
        <w:t xml:space="preserve">Buzzell, R. D. (1968). Can you standardize multinational marketing? (pp. 102-113). </w:t>
      </w:r>
      <w:r w:rsidRPr="00682CC8">
        <w:rPr>
          <w:i/>
          <w:iCs/>
          <w:color w:val="222222"/>
          <w:kern w:val="0"/>
          <w:sz w:val="24"/>
          <w:szCs w:val="24"/>
        </w:rPr>
        <w:t>Harvard Business Review</w:t>
      </w:r>
      <w:r w:rsidRPr="00682CC8">
        <w:rPr>
          <w:color w:val="222222"/>
          <w:kern w:val="0"/>
          <w:sz w:val="24"/>
          <w:szCs w:val="24"/>
        </w:rPr>
        <w:t>.</w:t>
      </w:r>
    </w:p>
    <w:p w14:paraId="4B07B37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Cantwell, J., &amp; Mudambi, R. (2005). MNE competence‐creating subsidiary mandates.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26</w:t>
      </w:r>
      <w:r w:rsidRPr="00B301B0">
        <w:rPr>
          <w:color w:val="222222"/>
          <w:kern w:val="0"/>
          <w:sz w:val="24"/>
          <w:szCs w:val="24"/>
        </w:rPr>
        <w:t>(12), 1109-1128.</w:t>
      </w:r>
    </w:p>
    <w:p w14:paraId="017DA073"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Cavanagh, A., Freeman, S., Kalfadellis, P., &amp; Herbert, K. (2017). Assigned versus assumed: Towards a contemporary, detailed understanding of subsidiary autonomy.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26</w:t>
      </w:r>
      <w:r w:rsidRPr="00B301B0">
        <w:rPr>
          <w:color w:val="222222"/>
          <w:kern w:val="0"/>
          <w:sz w:val="24"/>
          <w:szCs w:val="24"/>
        </w:rPr>
        <w:t>(6), 1168-1183.</w:t>
      </w:r>
    </w:p>
    <w:p w14:paraId="4B810DAE" w14:textId="77777777" w:rsidR="00B301B0" w:rsidRPr="00682CC8" w:rsidRDefault="00B301B0" w:rsidP="00682CC8">
      <w:pPr>
        <w:widowControl/>
        <w:overflowPunct/>
        <w:autoSpaceDE/>
        <w:autoSpaceDN/>
        <w:adjustRightInd/>
        <w:spacing w:after="200"/>
        <w:ind w:left="1440" w:hanging="720"/>
        <w:rPr>
          <w:color w:val="222222"/>
          <w:kern w:val="0"/>
          <w:sz w:val="24"/>
          <w:szCs w:val="24"/>
        </w:rPr>
      </w:pPr>
      <w:r w:rsidRPr="00682CC8">
        <w:rPr>
          <w:color w:val="222222"/>
          <w:kern w:val="0"/>
          <w:sz w:val="24"/>
          <w:szCs w:val="24"/>
        </w:rPr>
        <w:t>Chandler, A. D. (1962) Strategy and structure. Cambridge, MA: M.I.T. Press.</w:t>
      </w:r>
    </w:p>
    <w:p w14:paraId="30F6A50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Chandler, A. D. (1991). The functions of the HQ unit in the multibusiness firm.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12</w:t>
      </w:r>
      <w:r w:rsidRPr="00B301B0">
        <w:rPr>
          <w:color w:val="222222"/>
          <w:kern w:val="0"/>
          <w:sz w:val="24"/>
          <w:szCs w:val="24"/>
        </w:rPr>
        <w:t>(S2), 31-50.</w:t>
      </w:r>
    </w:p>
    <w:p w14:paraId="0124DFAC"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Chang, E., &amp; Taylor, M. S. (1999). Control in multinational corporations (MNCs): The case of Korean manufacturing subsidiaries. </w:t>
      </w:r>
      <w:r w:rsidRPr="00682CC8">
        <w:rPr>
          <w:i/>
          <w:iCs/>
          <w:color w:val="222222"/>
          <w:kern w:val="0"/>
          <w:sz w:val="24"/>
          <w:szCs w:val="24"/>
        </w:rPr>
        <w:t>Journal of Management</w:t>
      </w:r>
      <w:r w:rsidRPr="00B301B0">
        <w:rPr>
          <w:color w:val="222222"/>
          <w:kern w:val="0"/>
          <w:sz w:val="24"/>
          <w:szCs w:val="24"/>
        </w:rPr>
        <w:t>, </w:t>
      </w:r>
      <w:r w:rsidRPr="00682CC8">
        <w:rPr>
          <w:color w:val="222222"/>
          <w:kern w:val="0"/>
          <w:sz w:val="24"/>
          <w:szCs w:val="24"/>
        </w:rPr>
        <w:t>25</w:t>
      </w:r>
      <w:r w:rsidRPr="00B301B0">
        <w:rPr>
          <w:color w:val="222222"/>
          <w:kern w:val="0"/>
          <w:sz w:val="24"/>
          <w:szCs w:val="24"/>
        </w:rPr>
        <w:t>(4), 541-565.</w:t>
      </w:r>
    </w:p>
    <w:p w14:paraId="7EA587D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Chatzopoulou, E. C., Spanos, Y. E., &amp; Lioukas, S. (2020). Headquarters′ monitoring mechanisms, subsidiaries’ financial slack, and the contingent role of subsidiaries′ external embeddedness. </w:t>
      </w:r>
      <w:r w:rsidRPr="00682CC8">
        <w:rPr>
          <w:i/>
          <w:iCs/>
          <w:color w:val="222222"/>
          <w:kern w:val="0"/>
          <w:sz w:val="24"/>
          <w:szCs w:val="24"/>
        </w:rPr>
        <w:t>Long Range Planning</w:t>
      </w:r>
      <w:r w:rsidRPr="00B301B0">
        <w:rPr>
          <w:color w:val="222222"/>
          <w:kern w:val="0"/>
          <w:sz w:val="24"/>
          <w:szCs w:val="24"/>
        </w:rPr>
        <w:t>, doi.org/10.1016/j.lrp.2020.102044.</w:t>
      </w:r>
    </w:p>
    <w:p w14:paraId="2F58884A"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Chen, D., Paik, Y., &amp; Park, S. H. (2010). Host-country policies and MNE management control in IJVs: Evidence from China.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41</w:t>
      </w:r>
      <w:r w:rsidRPr="00B301B0">
        <w:rPr>
          <w:color w:val="222222"/>
          <w:kern w:val="0"/>
          <w:sz w:val="24"/>
          <w:szCs w:val="24"/>
        </w:rPr>
        <w:t>(3), 526-537.</w:t>
      </w:r>
    </w:p>
    <w:p w14:paraId="72714DC8"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Chiao, Y. C., &amp; Ying, K. P. (2013). Network effect and subsidiary autonomy in multinational corporations: An investigation of Taiwanese subsidiaries.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22</w:t>
      </w:r>
      <w:r w:rsidRPr="00B301B0">
        <w:rPr>
          <w:color w:val="222222"/>
          <w:kern w:val="0"/>
          <w:sz w:val="24"/>
          <w:szCs w:val="24"/>
        </w:rPr>
        <w:t>(4), 652-662.</w:t>
      </w:r>
    </w:p>
    <w:p w14:paraId="7FC1D5C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Combs, J. G., Crook, T. R., &amp; Rauch, A. (2019). Meta‐analytic research in management: Contemporary approaches, unresolved controversies, and rising standards. </w:t>
      </w:r>
      <w:r w:rsidRPr="00682CC8">
        <w:rPr>
          <w:i/>
          <w:iCs/>
          <w:color w:val="222222"/>
          <w:kern w:val="0"/>
          <w:sz w:val="24"/>
          <w:szCs w:val="24"/>
        </w:rPr>
        <w:t>Journal of Management Studies</w:t>
      </w:r>
      <w:r w:rsidRPr="00B301B0">
        <w:rPr>
          <w:color w:val="222222"/>
          <w:kern w:val="0"/>
          <w:sz w:val="24"/>
          <w:szCs w:val="24"/>
        </w:rPr>
        <w:t>, </w:t>
      </w:r>
      <w:r w:rsidRPr="00682CC8">
        <w:rPr>
          <w:color w:val="222222"/>
          <w:kern w:val="0"/>
          <w:sz w:val="24"/>
          <w:szCs w:val="24"/>
        </w:rPr>
        <w:t>56</w:t>
      </w:r>
      <w:r w:rsidRPr="00B301B0">
        <w:rPr>
          <w:color w:val="222222"/>
          <w:kern w:val="0"/>
          <w:sz w:val="24"/>
          <w:szCs w:val="24"/>
        </w:rPr>
        <w:t>(1), 1-18.</w:t>
      </w:r>
    </w:p>
    <w:p w14:paraId="4A32671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Cuervo-Cazurra, A. (2016). Corruption in international business.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51</w:t>
      </w:r>
      <w:r w:rsidRPr="00B301B0">
        <w:rPr>
          <w:color w:val="222222"/>
          <w:kern w:val="0"/>
          <w:sz w:val="24"/>
          <w:szCs w:val="24"/>
        </w:rPr>
        <w:t>(1), 35-49.</w:t>
      </w:r>
    </w:p>
    <w:p w14:paraId="0AA9C1B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Cuervo-Cazurra, A., &amp; Genc, M. (2008). Transforming disadvantages into advantages: Developing-country MNEs in the least developed countries.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39</w:t>
      </w:r>
      <w:r w:rsidRPr="00B301B0">
        <w:rPr>
          <w:color w:val="222222"/>
          <w:kern w:val="0"/>
          <w:sz w:val="24"/>
          <w:szCs w:val="24"/>
        </w:rPr>
        <w:t>(6), 957-979.</w:t>
      </w:r>
    </w:p>
    <w:p w14:paraId="2D7838BB"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Cuervo-Cazurra, A., &amp; Li, C. (2020). State ownership and internationalization: The advantage and disadvantage of stateness. </w:t>
      </w:r>
      <w:r w:rsidRPr="00682CC8">
        <w:rPr>
          <w:i/>
          <w:iCs/>
          <w:color w:val="222222"/>
          <w:kern w:val="0"/>
          <w:sz w:val="24"/>
          <w:szCs w:val="24"/>
        </w:rPr>
        <w:t>Journal of World Business</w:t>
      </w:r>
      <w:r w:rsidRPr="00B301B0">
        <w:rPr>
          <w:color w:val="222222"/>
          <w:kern w:val="0"/>
          <w:sz w:val="24"/>
          <w:szCs w:val="24"/>
        </w:rPr>
        <w:t>, doi.org/10.1016/j.jwb.2020.101112.</w:t>
      </w:r>
    </w:p>
    <w:p w14:paraId="782535D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Cuervo‐Cazurra, A., Doz, Y., &amp; Gaur, A. (2020). Skepticism of globalization and global strategy: Increasing regulations and countervailing strategies. </w:t>
      </w:r>
      <w:r w:rsidRPr="00682CC8">
        <w:rPr>
          <w:i/>
          <w:iCs/>
          <w:color w:val="222222"/>
          <w:kern w:val="0"/>
          <w:sz w:val="24"/>
          <w:szCs w:val="24"/>
        </w:rPr>
        <w:t>Global Strategy Journal</w:t>
      </w:r>
      <w:r w:rsidRPr="00B301B0">
        <w:rPr>
          <w:color w:val="222222"/>
          <w:kern w:val="0"/>
          <w:sz w:val="24"/>
          <w:szCs w:val="24"/>
        </w:rPr>
        <w:t>, </w:t>
      </w:r>
      <w:r w:rsidRPr="00682CC8">
        <w:rPr>
          <w:color w:val="222222"/>
          <w:kern w:val="0"/>
          <w:sz w:val="24"/>
          <w:szCs w:val="24"/>
        </w:rPr>
        <w:t>10</w:t>
      </w:r>
      <w:r w:rsidRPr="00B301B0">
        <w:rPr>
          <w:color w:val="222222"/>
          <w:kern w:val="0"/>
          <w:sz w:val="24"/>
          <w:szCs w:val="24"/>
        </w:rPr>
        <w:t>(1), 3-31.</w:t>
      </w:r>
    </w:p>
    <w:p w14:paraId="468EBBF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Cuervo‐Cazurra, A., Mudambi, R., &amp; Pedersen, T. (2019). Subsidiary power: Loaned or owned? The lenses of agency theory and resource dependence theory. </w:t>
      </w:r>
      <w:r w:rsidRPr="00682CC8">
        <w:rPr>
          <w:i/>
          <w:iCs/>
          <w:color w:val="222222"/>
          <w:kern w:val="0"/>
          <w:sz w:val="24"/>
          <w:szCs w:val="24"/>
        </w:rPr>
        <w:t>Global Strategy Journal</w:t>
      </w:r>
      <w:r w:rsidRPr="00B301B0">
        <w:rPr>
          <w:color w:val="222222"/>
          <w:kern w:val="0"/>
          <w:sz w:val="24"/>
          <w:szCs w:val="24"/>
        </w:rPr>
        <w:t>, </w:t>
      </w:r>
      <w:r w:rsidRPr="00682CC8">
        <w:rPr>
          <w:color w:val="222222"/>
          <w:kern w:val="0"/>
          <w:sz w:val="24"/>
          <w:szCs w:val="24"/>
        </w:rPr>
        <w:t>9</w:t>
      </w:r>
      <w:r w:rsidRPr="00B301B0">
        <w:rPr>
          <w:color w:val="222222"/>
          <w:kern w:val="0"/>
          <w:sz w:val="24"/>
          <w:szCs w:val="24"/>
        </w:rPr>
        <w:t>(4), 491-501.</w:t>
      </w:r>
    </w:p>
    <w:p w14:paraId="6CCDC42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Cui, A. S., Griffith, D. A., Cavusgil, S. T., &amp; Dabic, M. (2006). The influence of market and cultural environmental factors on technology transfer between foreign MNCs and local subsidiaries: A Croatian illustration.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41</w:t>
      </w:r>
      <w:r w:rsidRPr="00B301B0">
        <w:rPr>
          <w:color w:val="222222"/>
          <w:kern w:val="0"/>
          <w:sz w:val="24"/>
          <w:szCs w:val="24"/>
        </w:rPr>
        <w:t>(2), 100-111.</w:t>
      </w:r>
    </w:p>
    <w:p w14:paraId="2CEBDD3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de Jong, G., Van Dut, V., Jindra, B., &amp; Marek, P. (2015). Does country context distance determine subsidiary decision-making autonomy? Theory and evidence from European transition economies.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24</w:t>
      </w:r>
      <w:r w:rsidRPr="00B301B0">
        <w:rPr>
          <w:color w:val="222222"/>
          <w:kern w:val="0"/>
          <w:sz w:val="24"/>
          <w:szCs w:val="24"/>
        </w:rPr>
        <w:t>(5), 874-889.</w:t>
      </w:r>
    </w:p>
    <w:p w14:paraId="6F91A1E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Dellestrand, H., &amp; Kappen, P. (2012). The effects of spatial and contextual factors on headquarters resource allocation to MNE subsidiaries.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43</w:t>
      </w:r>
      <w:r w:rsidRPr="00B301B0">
        <w:rPr>
          <w:color w:val="222222"/>
          <w:kern w:val="0"/>
          <w:sz w:val="24"/>
          <w:szCs w:val="24"/>
        </w:rPr>
        <w:t>(3), 219-243.</w:t>
      </w:r>
    </w:p>
    <w:p w14:paraId="40FCF37C"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Dörrenbächer, C., &amp; Gammelgaard, J. (2011). Subsidiary power in multinational corporations: the subtle role of micro‐political bargaining power. </w:t>
      </w:r>
      <w:r w:rsidRPr="00682CC8">
        <w:rPr>
          <w:color w:val="222222"/>
          <w:kern w:val="0"/>
          <w:sz w:val="24"/>
          <w:szCs w:val="24"/>
        </w:rPr>
        <w:t>Critical Perspectives on International Business</w:t>
      </w:r>
      <w:r w:rsidRPr="00B301B0">
        <w:rPr>
          <w:color w:val="222222"/>
          <w:kern w:val="0"/>
          <w:sz w:val="24"/>
          <w:szCs w:val="24"/>
        </w:rPr>
        <w:t>.</w:t>
      </w:r>
    </w:p>
    <w:p w14:paraId="4315AA7F"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Dörrenbächer, C., &amp; Geppert, M. (2006). Micro-politics and conflicts in multinational corporations: Current debates, re-framing, and contributions of this special issue. </w:t>
      </w:r>
      <w:r w:rsidRPr="00682CC8">
        <w:rPr>
          <w:i/>
          <w:iCs/>
          <w:color w:val="222222"/>
          <w:kern w:val="0"/>
          <w:sz w:val="24"/>
          <w:szCs w:val="24"/>
        </w:rPr>
        <w:t>Journal of International Management</w:t>
      </w:r>
      <w:r w:rsidRPr="00B301B0">
        <w:rPr>
          <w:color w:val="222222"/>
          <w:kern w:val="0"/>
          <w:sz w:val="24"/>
          <w:szCs w:val="24"/>
        </w:rPr>
        <w:t>, </w:t>
      </w:r>
      <w:r w:rsidRPr="00682CC8">
        <w:rPr>
          <w:color w:val="222222"/>
          <w:kern w:val="0"/>
          <w:sz w:val="24"/>
          <w:szCs w:val="24"/>
        </w:rPr>
        <w:t>12</w:t>
      </w:r>
      <w:r w:rsidRPr="00B301B0">
        <w:rPr>
          <w:color w:val="222222"/>
          <w:kern w:val="0"/>
          <w:sz w:val="24"/>
          <w:szCs w:val="24"/>
        </w:rPr>
        <w:t>(3), 251-265.</w:t>
      </w:r>
    </w:p>
    <w:p w14:paraId="313AAACC"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Doz, Y., &amp; Prahalad, C. K. (1984). Patterns of strategic control within multinational corporations.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15</w:t>
      </w:r>
      <w:r w:rsidRPr="00B301B0">
        <w:rPr>
          <w:color w:val="222222"/>
          <w:kern w:val="0"/>
          <w:sz w:val="24"/>
          <w:szCs w:val="24"/>
        </w:rPr>
        <w:t>(2), 55-72.</w:t>
      </w:r>
    </w:p>
    <w:p w14:paraId="32B713BA"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Drogendijk, R., &amp; Slangen, A. (2006). Hofstede, Schwartz, or managerial perceptions? The effects of different cultural distance measures on establishment mode choices by multinational enterprises.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15</w:t>
      </w:r>
      <w:r w:rsidRPr="00B301B0">
        <w:rPr>
          <w:color w:val="222222"/>
          <w:kern w:val="0"/>
          <w:sz w:val="24"/>
          <w:szCs w:val="24"/>
        </w:rPr>
        <w:t>(4), 361-380.</w:t>
      </w:r>
    </w:p>
    <w:p w14:paraId="347C823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Ecker, B., van Triest, S., &amp; Williams, C. (2013). Management control and the decentralization of R&amp;D. </w:t>
      </w:r>
      <w:r w:rsidRPr="00682CC8">
        <w:rPr>
          <w:i/>
          <w:iCs/>
          <w:color w:val="222222"/>
          <w:kern w:val="0"/>
          <w:sz w:val="24"/>
          <w:szCs w:val="24"/>
        </w:rPr>
        <w:t>Journal of Management</w:t>
      </w:r>
      <w:r w:rsidRPr="00B301B0">
        <w:rPr>
          <w:color w:val="222222"/>
          <w:kern w:val="0"/>
          <w:sz w:val="24"/>
          <w:szCs w:val="24"/>
        </w:rPr>
        <w:t>, </w:t>
      </w:r>
      <w:r w:rsidRPr="00682CC8">
        <w:rPr>
          <w:color w:val="222222"/>
          <w:kern w:val="0"/>
          <w:sz w:val="24"/>
          <w:szCs w:val="24"/>
        </w:rPr>
        <w:t>39</w:t>
      </w:r>
      <w:r w:rsidRPr="00B301B0">
        <w:rPr>
          <w:color w:val="222222"/>
          <w:kern w:val="0"/>
          <w:sz w:val="24"/>
          <w:szCs w:val="24"/>
        </w:rPr>
        <w:t>(4), 906-927.</w:t>
      </w:r>
    </w:p>
    <w:p w14:paraId="279C41F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Fainshmidt, S., Pezeshkan, A., Lance Frazier, M., Nair, A., &amp; Markowski, E. (2016). Dynamic capabilities and organizational performance: a meta‐analytic evaluation and extension. </w:t>
      </w:r>
      <w:r w:rsidRPr="00682CC8">
        <w:rPr>
          <w:i/>
          <w:iCs/>
          <w:color w:val="222222"/>
          <w:kern w:val="0"/>
          <w:sz w:val="24"/>
          <w:szCs w:val="24"/>
        </w:rPr>
        <w:t>Journal of Management Studies</w:t>
      </w:r>
      <w:r w:rsidRPr="00B301B0">
        <w:rPr>
          <w:color w:val="222222"/>
          <w:kern w:val="0"/>
          <w:sz w:val="24"/>
          <w:szCs w:val="24"/>
        </w:rPr>
        <w:t>, </w:t>
      </w:r>
      <w:r w:rsidRPr="00682CC8">
        <w:rPr>
          <w:color w:val="222222"/>
          <w:kern w:val="0"/>
          <w:sz w:val="24"/>
          <w:szCs w:val="24"/>
        </w:rPr>
        <w:t>53</w:t>
      </w:r>
      <w:r w:rsidRPr="00B301B0">
        <w:rPr>
          <w:color w:val="222222"/>
          <w:kern w:val="0"/>
          <w:sz w:val="24"/>
          <w:szCs w:val="24"/>
        </w:rPr>
        <w:t>(8), 1348-1380.</w:t>
      </w:r>
    </w:p>
    <w:p w14:paraId="309A526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 xml:space="preserve">Fainshmidt, S., Witt, M. A., Aguilera, R. V., &amp; Verbeke, A. (2020). The contributions of qualitative comparative analysis (QCA) to international business research. </w:t>
      </w:r>
      <w:r w:rsidRPr="00682CC8">
        <w:rPr>
          <w:i/>
          <w:iCs/>
          <w:color w:val="222222"/>
          <w:kern w:val="0"/>
          <w:sz w:val="24"/>
          <w:szCs w:val="24"/>
        </w:rPr>
        <w:t>Journal of International Business Studies</w:t>
      </w:r>
      <w:r w:rsidRPr="00B301B0">
        <w:rPr>
          <w:color w:val="222222"/>
          <w:kern w:val="0"/>
          <w:sz w:val="24"/>
          <w:szCs w:val="24"/>
        </w:rPr>
        <w:t>, doi.org/10.1057/s41267-020-00313-1.</w:t>
      </w:r>
    </w:p>
    <w:p w14:paraId="2B5723F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Feinberg, S. E., &amp; Gupta, A. K. (2004). Knowledge spillovers and the assignment of R&amp;D responsibilities to foreign subsidiaries.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25</w:t>
      </w:r>
      <w:r w:rsidRPr="00B301B0">
        <w:rPr>
          <w:color w:val="222222"/>
          <w:kern w:val="0"/>
          <w:sz w:val="24"/>
          <w:szCs w:val="24"/>
        </w:rPr>
        <w:t>(8‐9), 823-845.</w:t>
      </w:r>
    </w:p>
    <w:p w14:paraId="490A79B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Fenton-O'Creevy, M., Gooderham, P., &amp; Nordhaug, O. (2008). Human resource management in US subsidiaries in Europe and Australia: centralisation or autonomy?.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39</w:t>
      </w:r>
      <w:r w:rsidRPr="00B301B0">
        <w:rPr>
          <w:color w:val="222222"/>
          <w:kern w:val="0"/>
          <w:sz w:val="24"/>
          <w:szCs w:val="24"/>
        </w:rPr>
        <w:t>(1), 151-166.</w:t>
      </w:r>
    </w:p>
    <w:p w14:paraId="31EC3EEB"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Fey, C. F., &amp; Furu, P. (2008). Top management incentive compensation and knowledge sharing in multinational corporations.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29</w:t>
      </w:r>
      <w:r w:rsidRPr="00B301B0">
        <w:rPr>
          <w:color w:val="222222"/>
          <w:kern w:val="0"/>
          <w:sz w:val="24"/>
          <w:szCs w:val="24"/>
        </w:rPr>
        <w:t>(12), 1301-1323.</w:t>
      </w:r>
    </w:p>
    <w:p w14:paraId="4F36844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Filatotchev, I., &amp; Wright, M. (2011). Agency perspectives on corporate governance of multinational enterprises. </w:t>
      </w:r>
      <w:r w:rsidRPr="00682CC8">
        <w:rPr>
          <w:i/>
          <w:iCs/>
          <w:color w:val="222222"/>
          <w:kern w:val="0"/>
          <w:sz w:val="24"/>
          <w:szCs w:val="24"/>
        </w:rPr>
        <w:t>Journal of Management Studies</w:t>
      </w:r>
      <w:r w:rsidRPr="00B301B0">
        <w:rPr>
          <w:color w:val="222222"/>
          <w:kern w:val="0"/>
          <w:sz w:val="24"/>
          <w:szCs w:val="24"/>
        </w:rPr>
        <w:t>, </w:t>
      </w:r>
      <w:r w:rsidRPr="00682CC8">
        <w:rPr>
          <w:color w:val="222222"/>
          <w:kern w:val="0"/>
          <w:sz w:val="24"/>
          <w:szCs w:val="24"/>
        </w:rPr>
        <w:t>48</w:t>
      </w:r>
      <w:r w:rsidRPr="00B301B0">
        <w:rPr>
          <w:color w:val="222222"/>
          <w:kern w:val="0"/>
          <w:sz w:val="24"/>
          <w:szCs w:val="24"/>
        </w:rPr>
        <w:t>(2), 471-486.</w:t>
      </w:r>
    </w:p>
    <w:p w14:paraId="797C850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Foley, S., Ngo, H. Y., &amp; Loi, R. (2012). The adoption of high performance work systems in foreign subsidiaries. </w:t>
      </w:r>
      <w:r w:rsidRPr="00682CC8">
        <w:rPr>
          <w:color w:val="222222"/>
          <w:kern w:val="0"/>
          <w:sz w:val="24"/>
          <w:szCs w:val="24"/>
        </w:rPr>
        <w:t>Journal of World Business</w:t>
      </w:r>
      <w:r w:rsidRPr="00B301B0">
        <w:rPr>
          <w:color w:val="222222"/>
          <w:kern w:val="0"/>
          <w:sz w:val="24"/>
          <w:szCs w:val="24"/>
        </w:rPr>
        <w:t>, </w:t>
      </w:r>
      <w:r w:rsidRPr="00682CC8">
        <w:rPr>
          <w:color w:val="222222"/>
          <w:kern w:val="0"/>
          <w:sz w:val="24"/>
          <w:szCs w:val="24"/>
        </w:rPr>
        <w:t>47</w:t>
      </w:r>
      <w:r w:rsidRPr="00B301B0">
        <w:rPr>
          <w:color w:val="222222"/>
          <w:kern w:val="0"/>
          <w:sz w:val="24"/>
          <w:szCs w:val="24"/>
        </w:rPr>
        <w:t>(1), 106-113.</w:t>
      </w:r>
    </w:p>
    <w:p w14:paraId="39077DEF"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Foss, N. J., &amp; Pedersen, T. (2002). Transferring knowledge in MNCs: The role of sources of subsidiary knowledge and organizational context. </w:t>
      </w:r>
      <w:r w:rsidRPr="00682CC8">
        <w:rPr>
          <w:i/>
          <w:iCs/>
          <w:color w:val="222222"/>
          <w:kern w:val="0"/>
          <w:sz w:val="24"/>
          <w:szCs w:val="24"/>
        </w:rPr>
        <w:t>Journal of International Management</w:t>
      </w:r>
      <w:r w:rsidRPr="00B301B0">
        <w:rPr>
          <w:color w:val="222222"/>
          <w:kern w:val="0"/>
          <w:sz w:val="24"/>
          <w:szCs w:val="24"/>
        </w:rPr>
        <w:t>, </w:t>
      </w:r>
      <w:r w:rsidRPr="00682CC8">
        <w:rPr>
          <w:color w:val="222222"/>
          <w:kern w:val="0"/>
          <w:sz w:val="24"/>
          <w:szCs w:val="24"/>
        </w:rPr>
        <w:t>8</w:t>
      </w:r>
      <w:r w:rsidRPr="00B301B0">
        <w:rPr>
          <w:color w:val="222222"/>
          <w:kern w:val="0"/>
          <w:sz w:val="24"/>
          <w:szCs w:val="24"/>
        </w:rPr>
        <w:t>(1), 49-67.</w:t>
      </w:r>
    </w:p>
    <w:p w14:paraId="6F771C5A"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Foss, N. J., &amp; Weber, L. (2016). Moving opportunism to the back seat: Bounded rationality, costly conflict, and hierarchical forms. </w:t>
      </w:r>
      <w:r w:rsidRPr="00682CC8">
        <w:rPr>
          <w:i/>
          <w:iCs/>
          <w:color w:val="222222"/>
          <w:kern w:val="0"/>
          <w:sz w:val="24"/>
          <w:szCs w:val="24"/>
        </w:rPr>
        <w:t>Academy of Management Review</w:t>
      </w:r>
      <w:r w:rsidRPr="00B301B0">
        <w:rPr>
          <w:color w:val="222222"/>
          <w:kern w:val="0"/>
          <w:sz w:val="24"/>
          <w:szCs w:val="24"/>
        </w:rPr>
        <w:t>, </w:t>
      </w:r>
      <w:r w:rsidRPr="00682CC8">
        <w:rPr>
          <w:color w:val="222222"/>
          <w:kern w:val="0"/>
          <w:sz w:val="24"/>
          <w:szCs w:val="24"/>
        </w:rPr>
        <w:t>41</w:t>
      </w:r>
      <w:r w:rsidRPr="00B301B0">
        <w:rPr>
          <w:color w:val="222222"/>
          <w:kern w:val="0"/>
          <w:sz w:val="24"/>
          <w:szCs w:val="24"/>
        </w:rPr>
        <w:t>(1), 61-79.</w:t>
      </w:r>
    </w:p>
    <w:p w14:paraId="4787A36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Gammelgaard, J., McDonald, F., Stephan, A., Tüselmann, H., &amp; Dörrenbächer, C. (2012). The impact of increases in subsidiary autonomy and network relationships on performance.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21</w:t>
      </w:r>
      <w:r w:rsidRPr="00B301B0">
        <w:rPr>
          <w:color w:val="222222"/>
          <w:kern w:val="0"/>
          <w:sz w:val="24"/>
          <w:szCs w:val="24"/>
        </w:rPr>
        <w:t>(6), 1158-1172.</w:t>
      </w:r>
    </w:p>
    <w:p w14:paraId="39957AD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Gates, S. R., &amp; Egelhoff, W. G. (1986). Centralization in headquarters–subsidiary relationships.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17</w:t>
      </w:r>
      <w:r w:rsidRPr="00B301B0">
        <w:rPr>
          <w:color w:val="222222"/>
          <w:kern w:val="0"/>
          <w:sz w:val="24"/>
          <w:szCs w:val="24"/>
        </w:rPr>
        <w:t>(2), 71-92.</w:t>
      </w:r>
    </w:p>
    <w:p w14:paraId="3695852F"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Gaur, A. S., &amp; Lu, J. W. (2007). Ownership strategies and survival of foreign subsidiaries: Impacts of institutional distance and experience. </w:t>
      </w:r>
      <w:r w:rsidRPr="00682CC8">
        <w:rPr>
          <w:i/>
          <w:iCs/>
          <w:color w:val="222222"/>
          <w:kern w:val="0"/>
          <w:sz w:val="24"/>
          <w:szCs w:val="24"/>
        </w:rPr>
        <w:t>Journal of Management</w:t>
      </w:r>
      <w:r w:rsidRPr="00B301B0">
        <w:rPr>
          <w:color w:val="222222"/>
          <w:kern w:val="0"/>
          <w:sz w:val="24"/>
          <w:szCs w:val="24"/>
        </w:rPr>
        <w:t>, </w:t>
      </w:r>
      <w:r w:rsidRPr="00682CC8">
        <w:rPr>
          <w:color w:val="222222"/>
          <w:kern w:val="0"/>
          <w:sz w:val="24"/>
          <w:szCs w:val="24"/>
        </w:rPr>
        <w:t>33</w:t>
      </w:r>
      <w:r w:rsidRPr="00B301B0">
        <w:rPr>
          <w:color w:val="222222"/>
          <w:kern w:val="0"/>
          <w:sz w:val="24"/>
          <w:szCs w:val="24"/>
        </w:rPr>
        <w:t>(1), 84-110.</w:t>
      </w:r>
    </w:p>
    <w:p w14:paraId="21232D13"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Gaur, A. S., Delios, A., &amp; Singh, K. (2007). Institutional environments, staffing strategies, and subsidiary performance. </w:t>
      </w:r>
      <w:r w:rsidRPr="00682CC8">
        <w:rPr>
          <w:i/>
          <w:iCs/>
          <w:color w:val="222222"/>
          <w:kern w:val="0"/>
          <w:sz w:val="24"/>
          <w:szCs w:val="24"/>
        </w:rPr>
        <w:t>Journal of Management</w:t>
      </w:r>
      <w:r w:rsidRPr="00B301B0">
        <w:rPr>
          <w:color w:val="222222"/>
          <w:kern w:val="0"/>
          <w:sz w:val="24"/>
          <w:szCs w:val="24"/>
        </w:rPr>
        <w:t>, </w:t>
      </w:r>
      <w:r w:rsidRPr="00682CC8">
        <w:rPr>
          <w:color w:val="222222"/>
          <w:kern w:val="0"/>
          <w:sz w:val="24"/>
          <w:szCs w:val="24"/>
        </w:rPr>
        <w:t>33</w:t>
      </w:r>
      <w:r w:rsidRPr="00B301B0">
        <w:rPr>
          <w:color w:val="222222"/>
          <w:kern w:val="0"/>
          <w:sz w:val="24"/>
          <w:szCs w:val="24"/>
        </w:rPr>
        <w:t>(4), 611-636.</w:t>
      </w:r>
    </w:p>
    <w:p w14:paraId="5D84F2F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Geleilate, J. M. G., Andrews, D. S., &amp; Fainshmidt, S. (2019). Subsidiary autonomy and subsidiary performance: A meta-analysis. </w:t>
      </w:r>
      <w:r w:rsidRPr="00682CC8">
        <w:rPr>
          <w:i/>
          <w:iCs/>
          <w:color w:val="222222"/>
          <w:kern w:val="0"/>
          <w:sz w:val="24"/>
          <w:szCs w:val="24"/>
        </w:rPr>
        <w:t>Journal of World Business</w:t>
      </w:r>
      <w:r w:rsidRPr="00B301B0">
        <w:rPr>
          <w:color w:val="222222"/>
          <w:kern w:val="0"/>
          <w:sz w:val="24"/>
          <w:szCs w:val="24"/>
        </w:rPr>
        <w:t>, doi.org/10.1016/j.jwb.2019.101049.</w:t>
      </w:r>
    </w:p>
    <w:p w14:paraId="5068D48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Geppert, M., &amp; Dörrenbächer, C. (2014). Politics and power within multinational corporations: Mainstream studies, emerging critical approaches and suggestions for future research. </w:t>
      </w:r>
      <w:r w:rsidRPr="00682CC8">
        <w:rPr>
          <w:i/>
          <w:iCs/>
          <w:color w:val="222222"/>
          <w:kern w:val="0"/>
          <w:sz w:val="24"/>
          <w:szCs w:val="24"/>
        </w:rPr>
        <w:t>International Journal of Management Reviews</w:t>
      </w:r>
      <w:r w:rsidRPr="00B301B0">
        <w:rPr>
          <w:color w:val="222222"/>
          <w:kern w:val="0"/>
          <w:sz w:val="24"/>
          <w:szCs w:val="24"/>
        </w:rPr>
        <w:t>, </w:t>
      </w:r>
      <w:r w:rsidRPr="00682CC8">
        <w:rPr>
          <w:color w:val="222222"/>
          <w:kern w:val="0"/>
          <w:sz w:val="24"/>
          <w:szCs w:val="24"/>
        </w:rPr>
        <w:t>16</w:t>
      </w:r>
      <w:r w:rsidRPr="00B301B0">
        <w:rPr>
          <w:color w:val="222222"/>
          <w:kern w:val="0"/>
          <w:sz w:val="24"/>
          <w:szCs w:val="24"/>
        </w:rPr>
        <w:t>(2), 226-244.</w:t>
      </w:r>
    </w:p>
    <w:p w14:paraId="60AD213E"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Geyskens, I., Steenkamp, J. B. E., &amp; Kumar, N. (2006). Make, buy, or ally: A transaction cost theory meta-analysis. </w:t>
      </w:r>
      <w:r w:rsidRPr="00682CC8">
        <w:rPr>
          <w:i/>
          <w:iCs/>
          <w:color w:val="222222"/>
          <w:kern w:val="0"/>
          <w:sz w:val="24"/>
          <w:szCs w:val="24"/>
        </w:rPr>
        <w:t>Academy of Management Journal</w:t>
      </w:r>
      <w:r w:rsidRPr="00B301B0">
        <w:rPr>
          <w:color w:val="222222"/>
          <w:kern w:val="0"/>
          <w:sz w:val="24"/>
          <w:szCs w:val="24"/>
        </w:rPr>
        <w:t>, </w:t>
      </w:r>
      <w:r w:rsidRPr="00682CC8">
        <w:rPr>
          <w:color w:val="222222"/>
          <w:kern w:val="0"/>
          <w:sz w:val="24"/>
          <w:szCs w:val="24"/>
        </w:rPr>
        <w:t>49</w:t>
      </w:r>
      <w:r w:rsidRPr="00B301B0">
        <w:rPr>
          <w:color w:val="222222"/>
          <w:kern w:val="0"/>
          <w:sz w:val="24"/>
          <w:szCs w:val="24"/>
        </w:rPr>
        <w:t>(3), 519-543.</w:t>
      </w:r>
    </w:p>
    <w:p w14:paraId="6CE1333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Ghoshal, S., &amp; Bartlett, C. A. (1990). The multinational corporation as an interorganizational network. </w:t>
      </w:r>
      <w:r w:rsidRPr="00682CC8">
        <w:rPr>
          <w:i/>
          <w:iCs/>
          <w:color w:val="222222"/>
          <w:kern w:val="0"/>
          <w:sz w:val="24"/>
          <w:szCs w:val="24"/>
        </w:rPr>
        <w:t>Academy of Management Review</w:t>
      </w:r>
      <w:r w:rsidRPr="00B301B0">
        <w:rPr>
          <w:color w:val="222222"/>
          <w:kern w:val="0"/>
          <w:sz w:val="24"/>
          <w:szCs w:val="24"/>
        </w:rPr>
        <w:t>, </w:t>
      </w:r>
      <w:r w:rsidRPr="00682CC8">
        <w:rPr>
          <w:color w:val="222222"/>
          <w:kern w:val="0"/>
          <w:sz w:val="24"/>
          <w:szCs w:val="24"/>
        </w:rPr>
        <w:t>15</w:t>
      </w:r>
      <w:r w:rsidRPr="00B301B0">
        <w:rPr>
          <w:color w:val="222222"/>
          <w:kern w:val="0"/>
          <w:sz w:val="24"/>
          <w:szCs w:val="24"/>
        </w:rPr>
        <w:t>(4), 603-626.</w:t>
      </w:r>
    </w:p>
    <w:p w14:paraId="1675DFAE"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Ghoshal, S., &amp; Moran, P. (1996). Bad for practice: A critique of the transaction cost theory. </w:t>
      </w:r>
      <w:r w:rsidRPr="00682CC8">
        <w:rPr>
          <w:i/>
          <w:iCs/>
          <w:color w:val="222222"/>
          <w:kern w:val="0"/>
          <w:sz w:val="24"/>
          <w:szCs w:val="24"/>
        </w:rPr>
        <w:t>Academy of Management Review</w:t>
      </w:r>
      <w:r w:rsidRPr="00B301B0">
        <w:rPr>
          <w:color w:val="222222"/>
          <w:kern w:val="0"/>
          <w:sz w:val="24"/>
          <w:szCs w:val="24"/>
        </w:rPr>
        <w:t>, </w:t>
      </w:r>
      <w:r w:rsidRPr="00682CC8">
        <w:rPr>
          <w:color w:val="222222"/>
          <w:kern w:val="0"/>
          <w:sz w:val="24"/>
          <w:szCs w:val="24"/>
        </w:rPr>
        <w:t>21</w:t>
      </w:r>
      <w:r w:rsidRPr="00B301B0">
        <w:rPr>
          <w:color w:val="222222"/>
          <w:kern w:val="0"/>
          <w:sz w:val="24"/>
          <w:szCs w:val="24"/>
        </w:rPr>
        <w:t>(1), 13-47.</w:t>
      </w:r>
    </w:p>
    <w:p w14:paraId="4312D9DF"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Gong, Y. (2003). Subsidiary staffing in multinational enterprises: Agency, resources, and performance. </w:t>
      </w:r>
      <w:r w:rsidRPr="00682CC8">
        <w:rPr>
          <w:i/>
          <w:iCs/>
          <w:color w:val="222222"/>
          <w:kern w:val="0"/>
          <w:sz w:val="24"/>
          <w:szCs w:val="24"/>
        </w:rPr>
        <w:t>Academy of Management journal</w:t>
      </w:r>
      <w:r w:rsidRPr="00B301B0">
        <w:rPr>
          <w:color w:val="222222"/>
          <w:kern w:val="0"/>
          <w:sz w:val="24"/>
          <w:szCs w:val="24"/>
        </w:rPr>
        <w:t>, </w:t>
      </w:r>
      <w:r w:rsidRPr="00682CC8">
        <w:rPr>
          <w:color w:val="222222"/>
          <w:kern w:val="0"/>
          <w:sz w:val="24"/>
          <w:szCs w:val="24"/>
        </w:rPr>
        <w:t>46</w:t>
      </w:r>
      <w:r w:rsidRPr="00B301B0">
        <w:rPr>
          <w:color w:val="222222"/>
          <w:kern w:val="0"/>
          <w:sz w:val="24"/>
          <w:szCs w:val="24"/>
        </w:rPr>
        <w:t>(6), 728-739.</w:t>
      </w:r>
    </w:p>
    <w:p w14:paraId="453D1AA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Gupta, A. K., Govindarajan, V., &amp; Malhotra, A. (1999). Feedback‐seeking behavior within multinational corporations.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20</w:t>
      </w:r>
      <w:r w:rsidRPr="00B301B0">
        <w:rPr>
          <w:color w:val="222222"/>
          <w:kern w:val="0"/>
          <w:sz w:val="24"/>
          <w:szCs w:val="24"/>
        </w:rPr>
        <w:t>(3), 205-222.</w:t>
      </w:r>
    </w:p>
    <w:p w14:paraId="5435307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Hall, P. A., &amp; Soskice, D. (2001). An introduction to varieties of capitalism. </w:t>
      </w:r>
      <w:r w:rsidRPr="00682CC8">
        <w:rPr>
          <w:color w:val="222222"/>
          <w:kern w:val="0"/>
          <w:sz w:val="24"/>
          <w:szCs w:val="24"/>
        </w:rPr>
        <w:t>op. cit</w:t>
      </w:r>
      <w:r w:rsidRPr="00B301B0">
        <w:rPr>
          <w:color w:val="222222"/>
          <w:kern w:val="0"/>
          <w:sz w:val="24"/>
          <w:szCs w:val="24"/>
        </w:rPr>
        <w:t>, 21-27.</w:t>
      </w:r>
    </w:p>
    <w:p w14:paraId="179057D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Hartmann, E., Feisel, E., &amp; Schober, H. (2010). Talent management of western MNCs in China: Balancing global integration and local responsiveness.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45</w:t>
      </w:r>
      <w:r w:rsidRPr="00B301B0">
        <w:rPr>
          <w:color w:val="222222"/>
          <w:kern w:val="0"/>
          <w:sz w:val="24"/>
          <w:szCs w:val="24"/>
        </w:rPr>
        <w:t>(2), 169-178.</w:t>
      </w:r>
    </w:p>
    <w:p w14:paraId="17867F17" w14:textId="77777777" w:rsidR="00B301B0" w:rsidRPr="00682CC8" w:rsidRDefault="00B301B0" w:rsidP="00682CC8">
      <w:pPr>
        <w:widowControl/>
        <w:overflowPunct/>
        <w:autoSpaceDE/>
        <w:autoSpaceDN/>
        <w:adjustRightInd/>
        <w:spacing w:after="200"/>
        <w:ind w:left="1440" w:hanging="720"/>
        <w:rPr>
          <w:color w:val="222222"/>
          <w:kern w:val="0"/>
          <w:sz w:val="24"/>
          <w:szCs w:val="24"/>
        </w:rPr>
      </w:pPr>
      <w:r w:rsidRPr="00682CC8">
        <w:rPr>
          <w:color w:val="222222"/>
          <w:kern w:val="0"/>
          <w:sz w:val="24"/>
          <w:szCs w:val="24"/>
        </w:rPr>
        <w:t>Hedges, L. V., &amp; Olkin, I. (1985). Statistical methods for meta analysis. Orlando, FL: Academic Press.</w:t>
      </w:r>
    </w:p>
    <w:p w14:paraId="1DC660BC" w14:textId="158677DD" w:rsidR="00B301B0" w:rsidRPr="00682CC8" w:rsidRDefault="00B301B0" w:rsidP="00682CC8">
      <w:pPr>
        <w:widowControl/>
        <w:overflowPunct/>
        <w:autoSpaceDE/>
        <w:autoSpaceDN/>
        <w:adjustRightInd/>
        <w:spacing w:after="200"/>
        <w:ind w:left="1440" w:hanging="720"/>
        <w:rPr>
          <w:color w:val="222222"/>
          <w:kern w:val="0"/>
          <w:sz w:val="24"/>
          <w:szCs w:val="24"/>
        </w:rPr>
      </w:pPr>
      <w:r w:rsidRPr="00682CC8">
        <w:rPr>
          <w:color w:val="222222"/>
          <w:kern w:val="0"/>
          <w:sz w:val="24"/>
          <w:szCs w:val="24"/>
        </w:rPr>
        <w:t xml:space="preserve">Hedlund, G. (1986). The hypermodern MNC - A heterarchy?. </w:t>
      </w:r>
      <w:r w:rsidRPr="00682CC8">
        <w:rPr>
          <w:i/>
          <w:iCs/>
          <w:color w:val="222222"/>
          <w:kern w:val="0"/>
          <w:sz w:val="24"/>
          <w:szCs w:val="24"/>
        </w:rPr>
        <w:t>Human Resource Management</w:t>
      </w:r>
      <w:r w:rsidR="00682CC8">
        <w:rPr>
          <w:i/>
          <w:iCs/>
          <w:color w:val="222222"/>
          <w:kern w:val="0"/>
          <w:sz w:val="24"/>
          <w:szCs w:val="24"/>
        </w:rPr>
        <w:t>.</w:t>
      </w:r>
      <w:r w:rsidRPr="00682CC8">
        <w:rPr>
          <w:color w:val="222222"/>
          <w:kern w:val="0"/>
          <w:sz w:val="24"/>
          <w:szCs w:val="24"/>
        </w:rPr>
        <w:t xml:space="preserve"> (1986-1998), 25(1), 9.</w:t>
      </w:r>
    </w:p>
    <w:p w14:paraId="5E79DBCB"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Hendry, J. (2002). The principal's other problems: Honest incompetence and the specification of objectives. </w:t>
      </w:r>
      <w:r w:rsidRPr="00682CC8">
        <w:rPr>
          <w:i/>
          <w:iCs/>
          <w:color w:val="222222"/>
          <w:kern w:val="0"/>
          <w:sz w:val="24"/>
          <w:szCs w:val="24"/>
        </w:rPr>
        <w:t>Academy of Management Review</w:t>
      </w:r>
      <w:r w:rsidRPr="00B301B0">
        <w:rPr>
          <w:color w:val="222222"/>
          <w:kern w:val="0"/>
          <w:sz w:val="24"/>
          <w:szCs w:val="24"/>
        </w:rPr>
        <w:t>, </w:t>
      </w:r>
      <w:r w:rsidRPr="00682CC8">
        <w:rPr>
          <w:color w:val="222222"/>
          <w:kern w:val="0"/>
          <w:sz w:val="24"/>
          <w:szCs w:val="24"/>
        </w:rPr>
        <w:t>27</w:t>
      </w:r>
      <w:r w:rsidRPr="00B301B0">
        <w:rPr>
          <w:color w:val="222222"/>
          <w:kern w:val="0"/>
          <w:sz w:val="24"/>
          <w:szCs w:val="24"/>
        </w:rPr>
        <w:t>(1), 98-113.</w:t>
      </w:r>
    </w:p>
    <w:p w14:paraId="03F1F03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Hoenen, A. K., &amp; Kostova, T. (2015). Utilizing the broader agency perspective for studying headquarters–subsidiary relations in multinational companies.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46</w:t>
      </w:r>
      <w:r w:rsidRPr="00B301B0">
        <w:rPr>
          <w:color w:val="222222"/>
          <w:kern w:val="0"/>
          <w:sz w:val="24"/>
          <w:szCs w:val="24"/>
        </w:rPr>
        <w:t>(1), 104-113.</w:t>
      </w:r>
    </w:p>
    <w:p w14:paraId="739A007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Holtbrügge, D. (2005). Configuration and co-ordination of value activities in German multinational corporations. </w:t>
      </w:r>
      <w:r w:rsidRPr="00682CC8">
        <w:rPr>
          <w:i/>
          <w:iCs/>
          <w:color w:val="222222"/>
          <w:kern w:val="0"/>
          <w:sz w:val="24"/>
          <w:szCs w:val="24"/>
        </w:rPr>
        <w:t>European Management Journal</w:t>
      </w:r>
      <w:r w:rsidRPr="00B301B0">
        <w:rPr>
          <w:color w:val="222222"/>
          <w:kern w:val="0"/>
          <w:sz w:val="24"/>
          <w:szCs w:val="24"/>
        </w:rPr>
        <w:t>, </w:t>
      </w:r>
      <w:r w:rsidRPr="00682CC8">
        <w:rPr>
          <w:color w:val="222222"/>
          <w:kern w:val="0"/>
          <w:sz w:val="24"/>
          <w:szCs w:val="24"/>
        </w:rPr>
        <w:t>23</w:t>
      </w:r>
      <w:r w:rsidRPr="00B301B0">
        <w:rPr>
          <w:color w:val="222222"/>
          <w:kern w:val="0"/>
          <w:sz w:val="24"/>
          <w:szCs w:val="24"/>
        </w:rPr>
        <w:t>(5), 564-575.</w:t>
      </w:r>
    </w:p>
    <w:p w14:paraId="760FD64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Homburg, C., &amp; Prigge, J. K. (2014). Exploring subsidiary desire for autonomy: A conceptual framework and empirical findings. </w:t>
      </w:r>
      <w:r w:rsidRPr="00682CC8">
        <w:rPr>
          <w:i/>
          <w:iCs/>
          <w:color w:val="222222"/>
          <w:kern w:val="0"/>
          <w:sz w:val="24"/>
          <w:szCs w:val="24"/>
        </w:rPr>
        <w:t>Journal of International Marketing,</w:t>
      </w:r>
      <w:r w:rsidRPr="00B301B0">
        <w:rPr>
          <w:color w:val="222222"/>
          <w:kern w:val="0"/>
          <w:sz w:val="24"/>
          <w:szCs w:val="24"/>
        </w:rPr>
        <w:t> </w:t>
      </w:r>
      <w:r w:rsidRPr="00682CC8">
        <w:rPr>
          <w:color w:val="222222"/>
          <w:kern w:val="0"/>
          <w:sz w:val="24"/>
          <w:szCs w:val="24"/>
        </w:rPr>
        <w:t>22</w:t>
      </w:r>
      <w:r w:rsidRPr="00B301B0">
        <w:rPr>
          <w:color w:val="222222"/>
          <w:kern w:val="0"/>
          <w:sz w:val="24"/>
          <w:szCs w:val="24"/>
        </w:rPr>
        <w:t>(4), 21-43.</w:t>
      </w:r>
    </w:p>
    <w:p w14:paraId="589D2D8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Hotho, J. J., &amp; Pedersen, T. (2012). Beyond the'rules of the game': Three institutional approaches and how they matter for international business. </w:t>
      </w:r>
      <w:r w:rsidRPr="00682CC8">
        <w:rPr>
          <w:color w:val="222222"/>
          <w:kern w:val="0"/>
          <w:sz w:val="24"/>
          <w:szCs w:val="24"/>
        </w:rPr>
        <w:t>Handbook of Institutional Approaches to International Business.</w:t>
      </w:r>
    </w:p>
    <w:p w14:paraId="20E76623"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Hunter, J. E., &amp; Schmidt, F. L. (1990). Dichotomization of continuous variables: The implications for meta-analysis. </w:t>
      </w:r>
      <w:r w:rsidRPr="00682CC8">
        <w:rPr>
          <w:i/>
          <w:iCs/>
          <w:color w:val="222222"/>
          <w:kern w:val="0"/>
          <w:sz w:val="24"/>
          <w:szCs w:val="24"/>
        </w:rPr>
        <w:t>Journal of Applied Psychology</w:t>
      </w:r>
      <w:r w:rsidRPr="00B301B0">
        <w:rPr>
          <w:color w:val="222222"/>
          <w:kern w:val="0"/>
          <w:sz w:val="24"/>
          <w:szCs w:val="24"/>
        </w:rPr>
        <w:t>, </w:t>
      </w:r>
      <w:r w:rsidRPr="00682CC8">
        <w:rPr>
          <w:color w:val="222222"/>
          <w:kern w:val="0"/>
          <w:sz w:val="24"/>
          <w:szCs w:val="24"/>
        </w:rPr>
        <w:t>75</w:t>
      </w:r>
      <w:r w:rsidRPr="00B301B0">
        <w:rPr>
          <w:color w:val="222222"/>
          <w:kern w:val="0"/>
          <w:sz w:val="24"/>
          <w:szCs w:val="24"/>
        </w:rPr>
        <w:t>(3), 334.</w:t>
      </w:r>
    </w:p>
    <w:p w14:paraId="6846100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Hunter, J. E., &amp; Schmidt, F. L. (2004). </w:t>
      </w:r>
      <w:r w:rsidRPr="00682CC8">
        <w:rPr>
          <w:color w:val="222222"/>
          <w:kern w:val="0"/>
          <w:sz w:val="24"/>
          <w:szCs w:val="24"/>
        </w:rPr>
        <w:t>Methods of meta-analysis: Correcting error and bias in research findings</w:t>
      </w:r>
      <w:r w:rsidRPr="00B301B0">
        <w:rPr>
          <w:color w:val="222222"/>
          <w:kern w:val="0"/>
          <w:sz w:val="24"/>
          <w:szCs w:val="24"/>
        </w:rPr>
        <w:t>. Sage.</w:t>
      </w:r>
    </w:p>
    <w:p w14:paraId="62E0AE2F"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Jensen, M. C., &amp; Meckling, W. H. (1976). Theory of the firm: Managerial behavior, agency costs and ownership structure. </w:t>
      </w:r>
      <w:r w:rsidRPr="00682CC8">
        <w:rPr>
          <w:i/>
          <w:iCs/>
          <w:color w:val="222222"/>
          <w:kern w:val="0"/>
          <w:sz w:val="24"/>
          <w:szCs w:val="24"/>
        </w:rPr>
        <w:t>Journal of Financial Economics</w:t>
      </w:r>
      <w:r w:rsidRPr="00B301B0">
        <w:rPr>
          <w:color w:val="222222"/>
          <w:kern w:val="0"/>
          <w:sz w:val="24"/>
          <w:szCs w:val="24"/>
        </w:rPr>
        <w:t>, </w:t>
      </w:r>
      <w:r w:rsidRPr="00682CC8">
        <w:rPr>
          <w:color w:val="222222"/>
          <w:kern w:val="0"/>
          <w:sz w:val="24"/>
          <w:szCs w:val="24"/>
        </w:rPr>
        <w:t>3</w:t>
      </w:r>
      <w:r w:rsidRPr="00B301B0">
        <w:rPr>
          <w:color w:val="222222"/>
          <w:kern w:val="0"/>
          <w:sz w:val="24"/>
          <w:szCs w:val="24"/>
        </w:rPr>
        <w:t>(4), 305-360.</w:t>
      </w:r>
    </w:p>
    <w:p w14:paraId="6087274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Karna, A., Richter, A., &amp; Riesenkampff, E. (2016). Revisiting the role of the environment in the capabilities–financial performance relationship: A meta‐analysis.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37</w:t>
      </w:r>
      <w:r w:rsidRPr="00B301B0">
        <w:rPr>
          <w:color w:val="222222"/>
          <w:kern w:val="0"/>
          <w:sz w:val="24"/>
          <w:szCs w:val="24"/>
        </w:rPr>
        <w:t>(6), 1154-1173.</w:t>
      </w:r>
    </w:p>
    <w:p w14:paraId="3BFA9F5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Kawai, N., &amp; Strange, R. (2014). Subsidiary autonomy and performance in Japanese multinationals in Europe.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23</w:t>
      </w:r>
      <w:r w:rsidRPr="00B301B0">
        <w:rPr>
          <w:color w:val="222222"/>
          <w:kern w:val="0"/>
          <w:sz w:val="24"/>
          <w:szCs w:val="24"/>
        </w:rPr>
        <w:t>(3), 504-515.</w:t>
      </w:r>
    </w:p>
    <w:p w14:paraId="18BFB09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Keupp, M. M., Palmié, M., &amp; Gassmann, O. (2011). Achieving subsidiary integration in international innovation by managerial “tools”. </w:t>
      </w:r>
      <w:r w:rsidRPr="00682CC8">
        <w:rPr>
          <w:i/>
          <w:iCs/>
          <w:color w:val="222222"/>
          <w:kern w:val="0"/>
          <w:sz w:val="24"/>
          <w:szCs w:val="24"/>
        </w:rPr>
        <w:t>Management International Review</w:t>
      </w:r>
      <w:r w:rsidRPr="00B301B0">
        <w:rPr>
          <w:color w:val="222222"/>
          <w:kern w:val="0"/>
          <w:sz w:val="24"/>
          <w:szCs w:val="24"/>
        </w:rPr>
        <w:t>, </w:t>
      </w:r>
      <w:r w:rsidRPr="00682CC8">
        <w:rPr>
          <w:color w:val="222222"/>
          <w:kern w:val="0"/>
          <w:sz w:val="24"/>
          <w:szCs w:val="24"/>
        </w:rPr>
        <w:t>51</w:t>
      </w:r>
      <w:r w:rsidRPr="00B301B0">
        <w:rPr>
          <w:color w:val="222222"/>
          <w:kern w:val="0"/>
          <w:sz w:val="24"/>
          <w:szCs w:val="24"/>
        </w:rPr>
        <w:t>(2), 213-239.</w:t>
      </w:r>
    </w:p>
    <w:p w14:paraId="0CE543A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Kim, B., Prescott, J. E., &amp; Kim, S. M. (2005). Differentiated governance of foreign subsidiaries in transnational corporations: An agency theory perspective. </w:t>
      </w:r>
      <w:r w:rsidRPr="00682CC8">
        <w:rPr>
          <w:i/>
          <w:iCs/>
          <w:color w:val="222222"/>
          <w:kern w:val="0"/>
          <w:sz w:val="24"/>
          <w:szCs w:val="24"/>
        </w:rPr>
        <w:t>Journal of International Management</w:t>
      </w:r>
      <w:r w:rsidRPr="00B301B0">
        <w:rPr>
          <w:color w:val="222222"/>
          <w:kern w:val="0"/>
          <w:sz w:val="24"/>
          <w:szCs w:val="24"/>
        </w:rPr>
        <w:t>, </w:t>
      </w:r>
      <w:r w:rsidRPr="00682CC8">
        <w:rPr>
          <w:color w:val="222222"/>
          <w:kern w:val="0"/>
          <w:sz w:val="24"/>
          <w:szCs w:val="24"/>
        </w:rPr>
        <w:t>11</w:t>
      </w:r>
      <w:r w:rsidRPr="00B301B0">
        <w:rPr>
          <w:color w:val="222222"/>
          <w:kern w:val="0"/>
          <w:sz w:val="24"/>
          <w:szCs w:val="24"/>
        </w:rPr>
        <w:t>(1), 43-66.</w:t>
      </w:r>
    </w:p>
    <w:p w14:paraId="52603D9F" w14:textId="3D2C678C"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Kirca, A. H., Hult, G. T. M., Roth, K., Cavusgil, S. T., Perryy, M. Z., Akdeniz, M. B., Deligonul, S., Mena, J., Pollitte, W., Hoppner, J., Miller, J. C., &amp; White, R. (2011). Firm-specific assets, multinationality, and financial performance: A meta-analytic review and theoretical integration. </w:t>
      </w:r>
      <w:r w:rsidRPr="00682CC8">
        <w:rPr>
          <w:i/>
          <w:iCs/>
          <w:color w:val="222222"/>
          <w:kern w:val="0"/>
          <w:sz w:val="24"/>
          <w:szCs w:val="24"/>
        </w:rPr>
        <w:t xml:space="preserve">Academy of management </w:t>
      </w:r>
      <w:r w:rsidR="00682CC8">
        <w:rPr>
          <w:i/>
          <w:iCs/>
          <w:color w:val="222222"/>
          <w:kern w:val="0"/>
          <w:sz w:val="24"/>
          <w:szCs w:val="24"/>
        </w:rPr>
        <w:t>J</w:t>
      </w:r>
      <w:r w:rsidRPr="00682CC8">
        <w:rPr>
          <w:i/>
          <w:iCs/>
          <w:color w:val="222222"/>
          <w:kern w:val="0"/>
          <w:sz w:val="24"/>
          <w:szCs w:val="24"/>
        </w:rPr>
        <w:t>ournal</w:t>
      </w:r>
      <w:r w:rsidRPr="00B301B0">
        <w:rPr>
          <w:color w:val="222222"/>
          <w:kern w:val="0"/>
          <w:sz w:val="24"/>
          <w:szCs w:val="24"/>
        </w:rPr>
        <w:t>, </w:t>
      </w:r>
      <w:r w:rsidRPr="00682CC8">
        <w:rPr>
          <w:color w:val="222222"/>
          <w:kern w:val="0"/>
          <w:sz w:val="24"/>
          <w:szCs w:val="24"/>
        </w:rPr>
        <w:t>54</w:t>
      </w:r>
      <w:r w:rsidRPr="00B301B0">
        <w:rPr>
          <w:color w:val="222222"/>
          <w:kern w:val="0"/>
          <w:sz w:val="24"/>
          <w:szCs w:val="24"/>
        </w:rPr>
        <w:t>(1), 47-72.</w:t>
      </w:r>
    </w:p>
    <w:p w14:paraId="5128D733"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Klueter, T., &amp; Monteiro, F. (2017). How does performance feedback affect boundary spanning in multinational corporations? Insights from technology scouts. </w:t>
      </w:r>
      <w:r w:rsidRPr="00682CC8">
        <w:rPr>
          <w:i/>
          <w:iCs/>
          <w:color w:val="222222"/>
          <w:kern w:val="0"/>
          <w:sz w:val="24"/>
          <w:szCs w:val="24"/>
        </w:rPr>
        <w:t>Journal of Management Studies</w:t>
      </w:r>
      <w:r w:rsidRPr="00B301B0">
        <w:rPr>
          <w:color w:val="222222"/>
          <w:kern w:val="0"/>
          <w:sz w:val="24"/>
          <w:szCs w:val="24"/>
        </w:rPr>
        <w:t>, </w:t>
      </w:r>
      <w:r w:rsidRPr="00682CC8">
        <w:rPr>
          <w:color w:val="222222"/>
          <w:kern w:val="0"/>
          <w:sz w:val="24"/>
          <w:szCs w:val="24"/>
        </w:rPr>
        <w:t>54</w:t>
      </w:r>
      <w:r w:rsidRPr="00B301B0">
        <w:rPr>
          <w:color w:val="222222"/>
          <w:kern w:val="0"/>
          <w:sz w:val="24"/>
          <w:szCs w:val="24"/>
        </w:rPr>
        <w:t>(4), 483-510.</w:t>
      </w:r>
    </w:p>
    <w:p w14:paraId="26D4A29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Kogut, B., &amp; Singh, H. (1988). The effect of national culture on the choice of entry mode.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19</w:t>
      </w:r>
      <w:r w:rsidRPr="00B301B0">
        <w:rPr>
          <w:color w:val="222222"/>
          <w:kern w:val="0"/>
          <w:sz w:val="24"/>
          <w:szCs w:val="24"/>
        </w:rPr>
        <w:t>(3), 411-432.</w:t>
      </w:r>
    </w:p>
    <w:p w14:paraId="466E0CEA"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Kostova, T. (1999). Transnational transfer of strategic organizational practices: A contextual perspective. </w:t>
      </w:r>
      <w:r w:rsidRPr="00682CC8">
        <w:rPr>
          <w:i/>
          <w:iCs/>
          <w:color w:val="222222"/>
          <w:kern w:val="0"/>
          <w:sz w:val="24"/>
          <w:szCs w:val="24"/>
        </w:rPr>
        <w:t>Academy of Management Review</w:t>
      </w:r>
      <w:r w:rsidRPr="00B301B0">
        <w:rPr>
          <w:color w:val="222222"/>
          <w:kern w:val="0"/>
          <w:sz w:val="24"/>
          <w:szCs w:val="24"/>
        </w:rPr>
        <w:t>, </w:t>
      </w:r>
      <w:r w:rsidRPr="00682CC8">
        <w:rPr>
          <w:color w:val="222222"/>
          <w:kern w:val="0"/>
          <w:sz w:val="24"/>
          <w:szCs w:val="24"/>
        </w:rPr>
        <w:t>24</w:t>
      </w:r>
      <w:r w:rsidRPr="00B301B0">
        <w:rPr>
          <w:color w:val="222222"/>
          <w:kern w:val="0"/>
          <w:sz w:val="24"/>
          <w:szCs w:val="24"/>
        </w:rPr>
        <w:t>(2), 308-324.</w:t>
      </w:r>
    </w:p>
    <w:p w14:paraId="06F23E3C"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Kostova, T., &amp; Roth, K. (2003). Social capital in multinational corporations and a micro-macro model of its formation. </w:t>
      </w:r>
      <w:r w:rsidRPr="00682CC8">
        <w:rPr>
          <w:i/>
          <w:iCs/>
          <w:color w:val="222222"/>
          <w:kern w:val="0"/>
          <w:sz w:val="24"/>
          <w:szCs w:val="24"/>
        </w:rPr>
        <w:t>Academy of Management Review</w:t>
      </w:r>
      <w:r w:rsidRPr="00B301B0">
        <w:rPr>
          <w:color w:val="222222"/>
          <w:kern w:val="0"/>
          <w:sz w:val="24"/>
          <w:szCs w:val="24"/>
        </w:rPr>
        <w:t>, </w:t>
      </w:r>
      <w:r w:rsidRPr="00682CC8">
        <w:rPr>
          <w:color w:val="222222"/>
          <w:kern w:val="0"/>
          <w:sz w:val="24"/>
          <w:szCs w:val="24"/>
        </w:rPr>
        <w:t>28</w:t>
      </w:r>
      <w:r w:rsidRPr="00B301B0">
        <w:rPr>
          <w:color w:val="222222"/>
          <w:kern w:val="0"/>
          <w:sz w:val="24"/>
          <w:szCs w:val="24"/>
        </w:rPr>
        <w:t>(2), 297-317.</w:t>
      </w:r>
    </w:p>
    <w:p w14:paraId="164A336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Kostova, T., &amp; Zaheer, S. (1999). Organizational legitimacy under conditions of complexity: The case of the multinational enterprise. </w:t>
      </w:r>
      <w:r w:rsidRPr="00682CC8">
        <w:rPr>
          <w:i/>
          <w:iCs/>
          <w:color w:val="222222"/>
          <w:kern w:val="0"/>
          <w:sz w:val="24"/>
          <w:szCs w:val="24"/>
        </w:rPr>
        <w:t>Academy of Management Review</w:t>
      </w:r>
      <w:r w:rsidRPr="00B301B0">
        <w:rPr>
          <w:color w:val="222222"/>
          <w:kern w:val="0"/>
          <w:sz w:val="24"/>
          <w:szCs w:val="24"/>
        </w:rPr>
        <w:t>, </w:t>
      </w:r>
      <w:r w:rsidRPr="00682CC8">
        <w:rPr>
          <w:color w:val="222222"/>
          <w:kern w:val="0"/>
          <w:sz w:val="24"/>
          <w:szCs w:val="24"/>
        </w:rPr>
        <w:t>24</w:t>
      </w:r>
      <w:r w:rsidRPr="00B301B0">
        <w:rPr>
          <w:color w:val="222222"/>
          <w:kern w:val="0"/>
          <w:sz w:val="24"/>
          <w:szCs w:val="24"/>
        </w:rPr>
        <w:t>(1), 64-81.</w:t>
      </w:r>
    </w:p>
    <w:p w14:paraId="37A1D0D4"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Kostova, T., Beugelsdijk, S., Scott, W. R., Kunst, V. E., Chua, C. H., &amp; van Essen, M. (2019). The construct of institutional distance through the lens of different institutional perspectives: Review, analysis, and recommendations. </w:t>
      </w:r>
      <w:r w:rsidRPr="00682CC8">
        <w:rPr>
          <w:i/>
          <w:iCs/>
          <w:color w:val="222222"/>
          <w:kern w:val="0"/>
          <w:sz w:val="24"/>
          <w:szCs w:val="24"/>
        </w:rPr>
        <w:t>Journal of International Business Studies</w:t>
      </w:r>
      <w:r w:rsidRPr="00B301B0">
        <w:rPr>
          <w:color w:val="222222"/>
          <w:kern w:val="0"/>
          <w:sz w:val="24"/>
          <w:szCs w:val="24"/>
        </w:rPr>
        <w:t>, doi.org/10.1057/s41267-019-00294-w.</w:t>
      </w:r>
    </w:p>
    <w:p w14:paraId="55D51E85"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Kostova, T., Marano, V., &amp; Tallman, S. (2016). Headquarters–subsidiary relationships in MNCs: Fifty years of evolving research.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51</w:t>
      </w:r>
      <w:r w:rsidRPr="00B301B0">
        <w:rPr>
          <w:color w:val="222222"/>
          <w:kern w:val="0"/>
          <w:sz w:val="24"/>
          <w:szCs w:val="24"/>
        </w:rPr>
        <w:t>(1), 176-184.</w:t>
      </w:r>
    </w:p>
    <w:p w14:paraId="6C00B56C"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Kostova, T., Nell, P. C., &amp; Hoenen, A. K. (2018). Understanding agency problems in headquarters-subsidiary relationships in multinational corporations: A contextualized model. </w:t>
      </w:r>
      <w:r w:rsidRPr="00682CC8">
        <w:rPr>
          <w:i/>
          <w:iCs/>
          <w:color w:val="222222"/>
          <w:kern w:val="0"/>
          <w:sz w:val="24"/>
          <w:szCs w:val="24"/>
        </w:rPr>
        <w:t>Journal of Management</w:t>
      </w:r>
      <w:r w:rsidRPr="00B301B0">
        <w:rPr>
          <w:color w:val="222222"/>
          <w:kern w:val="0"/>
          <w:sz w:val="24"/>
          <w:szCs w:val="24"/>
        </w:rPr>
        <w:t>, </w:t>
      </w:r>
      <w:r w:rsidRPr="00682CC8">
        <w:rPr>
          <w:color w:val="222222"/>
          <w:kern w:val="0"/>
          <w:sz w:val="24"/>
          <w:szCs w:val="24"/>
        </w:rPr>
        <w:t>44</w:t>
      </w:r>
      <w:r w:rsidRPr="00B301B0">
        <w:rPr>
          <w:color w:val="222222"/>
          <w:kern w:val="0"/>
          <w:sz w:val="24"/>
          <w:szCs w:val="24"/>
        </w:rPr>
        <w:t>(7), 2611-2637.</w:t>
      </w:r>
    </w:p>
    <w:p w14:paraId="723CD9A8"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Lazarova, M., Peretz, H., &amp; Fried, Y. (2017). Locals know best? Subsidiary HR autonomy and subsidiary performance.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52</w:t>
      </w:r>
      <w:r w:rsidRPr="00B301B0">
        <w:rPr>
          <w:color w:val="222222"/>
          <w:kern w:val="0"/>
          <w:sz w:val="24"/>
          <w:szCs w:val="24"/>
        </w:rPr>
        <w:t>(1), 83-96.</w:t>
      </w:r>
    </w:p>
    <w:p w14:paraId="2376F1C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Lee, H., Chung, C. C., &amp; Beamish, P. W. (2019). Configurational characteristics of mandate portfolios and their impact on foreign subsidiary survival.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54</w:t>
      </w:r>
      <w:r w:rsidRPr="00B301B0">
        <w:rPr>
          <w:color w:val="222222"/>
          <w:kern w:val="0"/>
          <w:sz w:val="24"/>
          <w:szCs w:val="24"/>
        </w:rPr>
        <w:t>(5), 100999.</w:t>
      </w:r>
    </w:p>
    <w:p w14:paraId="252525FF"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Lim, C., Hemmert, M., &amp; Kim, S. (2017). MNE subsidiary evolution from sales to innovation: Looking inside the black box.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26</w:t>
      </w:r>
      <w:r w:rsidRPr="00B301B0">
        <w:rPr>
          <w:color w:val="222222"/>
          <w:kern w:val="0"/>
          <w:sz w:val="24"/>
          <w:szCs w:val="24"/>
        </w:rPr>
        <w:t>(1), 145-155.</w:t>
      </w:r>
    </w:p>
    <w:p w14:paraId="1D2F79E9" w14:textId="77777777" w:rsidR="00B301B0" w:rsidRPr="00682CC8" w:rsidRDefault="00B301B0" w:rsidP="00682CC8">
      <w:pPr>
        <w:widowControl/>
        <w:overflowPunct/>
        <w:autoSpaceDE/>
        <w:autoSpaceDN/>
        <w:adjustRightInd/>
        <w:spacing w:after="200"/>
        <w:ind w:left="1440" w:hanging="720"/>
        <w:rPr>
          <w:color w:val="222222"/>
          <w:kern w:val="0"/>
          <w:sz w:val="24"/>
          <w:szCs w:val="24"/>
        </w:rPr>
      </w:pPr>
      <w:r w:rsidRPr="00682CC8">
        <w:rPr>
          <w:color w:val="222222"/>
          <w:kern w:val="0"/>
          <w:sz w:val="24"/>
          <w:szCs w:val="24"/>
        </w:rPr>
        <w:t>Lipsey, M. W., &amp; Wilson, D. B. (2001). Practical meta-analysis. SAGE.</w:t>
      </w:r>
    </w:p>
    <w:p w14:paraId="4164A40E"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Luo, Y. (2001). Determinants of entry in an emerging economy: A multilevel approach. </w:t>
      </w:r>
      <w:r w:rsidRPr="00682CC8">
        <w:rPr>
          <w:i/>
          <w:iCs/>
          <w:color w:val="222222"/>
          <w:kern w:val="0"/>
          <w:sz w:val="24"/>
          <w:szCs w:val="24"/>
        </w:rPr>
        <w:t>Journal of Management Studies</w:t>
      </w:r>
      <w:r w:rsidRPr="00B301B0">
        <w:rPr>
          <w:color w:val="222222"/>
          <w:kern w:val="0"/>
          <w:sz w:val="24"/>
          <w:szCs w:val="24"/>
        </w:rPr>
        <w:t>, </w:t>
      </w:r>
      <w:r w:rsidRPr="00682CC8">
        <w:rPr>
          <w:color w:val="222222"/>
          <w:kern w:val="0"/>
          <w:sz w:val="24"/>
          <w:szCs w:val="24"/>
        </w:rPr>
        <w:t>38</w:t>
      </w:r>
      <w:r w:rsidRPr="00B301B0">
        <w:rPr>
          <w:color w:val="222222"/>
          <w:kern w:val="0"/>
          <w:sz w:val="24"/>
          <w:szCs w:val="24"/>
        </w:rPr>
        <w:t>(3), 443-472.</w:t>
      </w:r>
    </w:p>
    <w:p w14:paraId="4CF680B5"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Luo, Y. (2006). Political behavior, social responsibility, and perceived corruption: A structuration perspective.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37</w:t>
      </w:r>
      <w:r w:rsidRPr="00B301B0">
        <w:rPr>
          <w:color w:val="222222"/>
          <w:kern w:val="0"/>
          <w:sz w:val="24"/>
          <w:szCs w:val="24"/>
        </w:rPr>
        <w:t>(6), 747-766.</w:t>
      </w:r>
    </w:p>
    <w:p w14:paraId="27B46E8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Mäkelä, K., Barner-Rasmussen, W., Ehrnrooth, M., &amp; Koveshnikov, A. (2019). Potential and recognized boundary spanners in multinational corporations.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54</w:t>
      </w:r>
      <w:r w:rsidRPr="00B301B0">
        <w:rPr>
          <w:color w:val="222222"/>
          <w:kern w:val="0"/>
          <w:sz w:val="24"/>
          <w:szCs w:val="24"/>
        </w:rPr>
        <w:t>(4), 335-349.</w:t>
      </w:r>
    </w:p>
    <w:p w14:paraId="50002108"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Menz, M., Kunisch, S., &amp; Collis, D. J. (2015). The corporate headquarters in the contemporary corporation: Advancing a multimarket firm perspective. </w:t>
      </w:r>
      <w:r w:rsidRPr="00682CC8">
        <w:rPr>
          <w:i/>
          <w:iCs/>
          <w:color w:val="222222"/>
          <w:kern w:val="0"/>
          <w:sz w:val="24"/>
          <w:szCs w:val="24"/>
        </w:rPr>
        <w:t>Academy of Management Annals</w:t>
      </w:r>
      <w:r w:rsidRPr="00B301B0">
        <w:rPr>
          <w:color w:val="222222"/>
          <w:kern w:val="0"/>
          <w:sz w:val="24"/>
          <w:szCs w:val="24"/>
        </w:rPr>
        <w:t>, </w:t>
      </w:r>
      <w:r w:rsidRPr="00682CC8">
        <w:rPr>
          <w:color w:val="222222"/>
          <w:kern w:val="0"/>
          <w:sz w:val="24"/>
          <w:szCs w:val="24"/>
        </w:rPr>
        <w:t>9</w:t>
      </w:r>
      <w:r w:rsidRPr="00B301B0">
        <w:rPr>
          <w:color w:val="222222"/>
          <w:kern w:val="0"/>
          <w:sz w:val="24"/>
          <w:szCs w:val="24"/>
        </w:rPr>
        <w:t>(1), 633-714.</w:t>
      </w:r>
    </w:p>
    <w:p w14:paraId="3000056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Meyer, K. E., Li, C., &amp; Schotter, A. P. (2020). Managing the MNE subsidiary: Advancing a multi-level and dynamic research agenda. </w:t>
      </w:r>
      <w:r w:rsidRPr="00682CC8">
        <w:rPr>
          <w:i/>
          <w:iCs/>
          <w:color w:val="222222"/>
          <w:kern w:val="0"/>
          <w:sz w:val="24"/>
          <w:szCs w:val="24"/>
        </w:rPr>
        <w:t>Journal of International Business Studies</w:t>
      </w:r>
      <w:r w:rsidRPr="00B301B0">
        <w:rPr>
          <w:color w:val="222222"/>
          <w:kern w:val="0"/>
          <w:sz w:val="24"/>
          <w:szCs w:val="24"/>
        </w:rPr>
        <w:t>, doi.org/10.1057/s41267-020-00318-w.</w:t>
      </w:r>
    </w:p>
    <w:p w14:paraId="0BDBFD9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Mudambi, R. (2011). Hierarchy, coordination, and innovation in the multinational enterprise. </w:t>
      </w:r>
      <w:r w:rsidRPr="00682CC8">
        <w:rPr>
          <w:i/>
          <w:iCs/>
          <w:color w:val="222222"/>
          <w:kern w:val="0"/>
          <w:sz w:val="24"/>
          <w:szCs w:val="24"/>
        </w:rPr>
        <w:t>Global Strategy Journal</w:t>
      </w:r>
      <w:r w:rsidRPr="00B301B0">
        <w:rPr>
          <w:color w:val="222222"/>
          <w:kern w:val="0"/>
          <w:sz w:val="24"/>
          <w:szCs w:val="24"/>
        </w:rPr>
        <w:t>, </w:t>
      </w:r>
      <w:r w:rsidRPr="00682CC8">
        <w:rPr>
          <w:color w:val="222222"/>
          <w:kern w:val="0"/>
          <w:sz w:val="24"/>
          <w:szCs w:val="24"/>
        </w:rPr>
        <w:t>1</w:t>
      </w:r>
      <w:r w:rsidRPr="00B301B0">
        <w:rPr>
          <w:color w:val="222222"/>
          <w:kern w:val="0"/>
          <w:sz w:val="24"/>
          <w:szCs w:val="24"/>
        </w:rPr>
        <w:t>(3-4), 317-323.</w:t>
      </w:r>
    </w:p>
    <w:p w14:paraId="119B392F"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Mudambi, R., &amp; Navarra, P. (2004). Divisional power, intra-firm bargaining and rent-seeking behavior in multidivisional corporations. </w:t>
      </w:r>
      <w:r w:rsidRPr="00682CC8">
        <w:rPr>
          <w:i/>
          <w:iCs/>
          <w:color w:val="222222"/>
          <w:kern w:val="0"/>
          <w:sz w:val="24"/>
          <w:szCs w:val="24"/>
        </w:rPr>
        <w:t>Economics Bulletin</w:t>
      </w:r>
      <w:r w:rsidRPr="00B301B0">
        <w:rPr>
          <w:color w:val="222222"/>
          <w:kern w:val="0"/>
          <w:sz w:val="24"/>
          <w:szCs w:val="24"/>
        </w:rPr>
        <w:t>, </w:t>
      </w:r>
      <w:r w:rsidRPr="00682CC8">
        <w:rPr>
          <w:color w:val="222222"/>
          <w:kern w:val="0"/>
          <w:sz w:val="24"/>
          <w:szCs w:val="24"/>
        </w:rPr>
        <w:t>4</w:t>
      </w:r>
      <w:r w:rsidRPr="00B301B0">
        <w:rPr>
          <w:color w:val="222222"/>
          <w:kern w:val="0"/>
          <w:sz w:val="24"/>
          <w:szCs w:val="24"/>
        </w:rPr>
        <w:t>(13), 1-10.</w:t>
      </w:r>
    </w:p>
    <w:p w14:paraId="0AED7893"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Nell, P. C., &amp; Ambos, B. (2013). Parenting advantage in the MNC: An embeddedness perspective on the value added by headquarters.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34</w:t>
      </w:r>
      <w:r w:rsidRPr="00B301B0">
        <w:rPr>
          <w:color w:val="222222"/>
          <w:kern w:val="0"/>
          <w:sz w:val="24"/>
          <w:szCs w:val="24"/>
        </w:rPr>
        <w:t>(9), 1086-1103.</w:t>
      </w:r>
    </w:p>
    <w:p w14:paraId="5337513B"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Nell, P. C., Ambos, B., &amp; Schlegelmilch, B. B. (2011). The MNC as an externally embedded organization: An investigation of embeddedness overlap in local subsidiary networks.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46</w:t>
      </w:r>
      <w:r w:rsidRPr="00B301B0">
        <w:rPr>
          <w:color w:val="222222"/>
          <w:kern w:val="0"/>
          <w:sz w:val="24"/>
          <w:szCs w:val="24"/>
        </w:rPr>
        <w:t>(4), 497-505.</w:t>
      </w:r>
    </w:p>
    <w:p w14:paraId="0C34164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Newburry, W., Zeira, Y., &amp; Yeheskel, O. (2003). Autonomy and effectiveness of equity international joint ventures (IJVs) in China.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12</w:t>
      </w:r>
      <w:r w:rsidRPr="00B301B0">
        <w:rPr>
          <w:color w:val="222222"/>
          <w:kern w:val="0"/>
          <w:sz w:val="24"/>
          <w:szCs w:val="24"/>
        </w:rPr>
        <w:t>(4), 395-419.</w:t>
      </w:r>
    </w:p>
    <w:p w14:paraId="4546A2F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Nguyen, Q. T., &amp; Rugman, A. M. (2015). Internal equity financing and the performance of multinational subsidiaries in emerging economies.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46</w:t>
      </w:r>
      <w:r w:rsidRPr="00B301B0">
        <w:rPr>
          <w:color w:val="222222"/>
          <w:kern w:val="0"/>
          <w:sz w:val="24"/>
          <w:szCs w:val="24"/>
        </w:rPr>
        <w:t>(4), 468-490.</w:t>
      </w:r>
    </w:p>
    <w:p w14:paraId="41E5BD89"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Nohria, N., &amp; Ghoshal, S. (1994). Differentiated fit and shared values: Alternatives for managing headquarters‐subsidiary relations.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15</w:t>
      </w:r>
      <w:r w:rsidRPr="00B301B0">
        <w:rPr>
          <w:color w:val="222222"/>
          <w:kern w:val="0"/>
          <w:sz w:val="24"/>
          <w:szCs w:val="24"/>
        </w:rPr>
        <w:t>(6), 491-502.</w:t>
      </w:r>
    </w:p>
    <w:p w14:paraId="25A4FD4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Nuruzzaman, N., Gaur, A. S., &amp; Sambharya, R. B. (2019). A microfoundations approach to studying innovation in multinational subsidiaries. </w:t>
      </w:r>
      <w:r w:rsidRPr="00682CC8">
        <w:rPr>
          <w:i/>
          <w:iCs/>
          <w:color w:val="222222"/>
          <w:kern w:val="0"/>
          <w:sz w:val="24"/>
          <w:szCs w:val="24"/>
        </w:rPr>
        <w:t>Global Strategy Journal</w:t>
      </w:r>
      <w:r w:rsidRPr="00B301B0">
        <w:rPr>
          <w:color w:val="222222"/>
          <w:kern w:val="0"/>
          <w:sz w:val="24"/>
          <w:szCs w:val="24"/>
        </w:rPr>
        <w:t>, </w:t>
      </w:r>
      <w:r w:rsidRPr="00682CC8">
        <w:rPr>
          <w:color w:val="222222"/>
          <w:kern w:val="0"/>
          <w:sz w:val="24"/>
          <w:szCs w:val="24"/>
        </w:rPr>
        <w:t>9</w:t>
      </w:r>
      <w:r w:rsidRPr="00B301B0">
        <w:rPr>
          <w:color w:val="222222"/>
          <w:kern w:val="0"/>
          <w:sz w:val="24"/>
          <w:szCs w:val="24"/>
        </w:rPr>
        <w:t>(1), 92-116.</w:t>
      </w:r>
    </w:p>
    <w:p w14:paraId="45952B5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O’Donnell, S. W. (2000). Managing foreign subsidiaries: agents of headquarters, or an interdependent network?.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21</w:t>
      </w:r>
      <w:r w:rsidRPr="00B301B0">
        <w:rPr>
          <w:color w:val="222222"/>
          <w:kern w:val="0"/>
          <w:sz w:val="24"/>
          <w:szCs w:val="24"/>
        </w:rPr>
        <w:t>(5), 525-548.</w:t>
      </w:r>
    </w:p>
    <w:p w14:paraId="06AD6CD3"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Olkin, I., &amp; Finn, J. D. (1995). Correlations redux. </w:t>
      </w:r>
      <w:r w:rsidRPr="00682CC8">
        <w:rPr>
          <w:i/>
          <w:iCs/>
          <w:color w:val="222222"/>
          <w:kern w:val="0"/>
          <w:sz w:val="24"/>
          <w:szCs w:val="24"/>
        </w:rPr>
        <w:t>Psychological Bulletin</w:t>
      </w:r>
      <w:r w:rsidRPr="00B301B0">
        <w:rPr>
          <w:color w:val="222222"/>
          <w:kern w:val="0"/>
          <w:sz w:val="24"/>
          <w:szCs w:val="24"/>
        </w:rPr>
        <w:t>, </w:t>
      </w:r>
      <w:r w:rsidRPr="00682CC8">
        <w:rPr>
          <w:color w:val="222222"/>
          <w:kern w:val="0"/>
          <w:sz w:val="24"/>
          <w:szCs w:val="24"/>
        </w:rPr>
        <w:t>118</w:t>
      </w:r>
      <w:r w:rsidRPr="00B301B0">
        <w:rPr>
          <w:color w:val="222222"/>
          <w:kern w:val="0"/>
          <w:sz w:val="24"/>
          <w:szCs w:val="24"/>
        </w:rPr>
        <w:t>(1), 155.</w:t>
      </w:r>
    </w:p>
    <w:p w14:paraId="46348C8E"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Parente, R., Melo, M., Andrews, D., Kumaraswamy, A., &amp; Vasconcelos, F. (2020). Public sector organizations and agricultural catch-up dilemma in emerging markets: The orchestrating role of Embrapa in Brazil. </w:t>
      </w:r>
      <w:r w:rsidRPr="00682CC8">
        <w:rPr>
          <w:i/>
          <w:iCs/>
          <w:color w:val="222222"/>
          <w:kern w:val="0"/>
          <w:sz w:val="24"/>
          <w:szCs w:val="24"/>
        </w:rPr>
        <w:t>Journal of International Business Studies</w:t>
      </w:r>
      <w:r w:rsidRPr="00B301B0">
        <w:rPr>
          <w:color w:val="222222"/>
          <w:kern w:val="0"/>
          <w:sz w:val="24"/>
          <w:szCs w:val="24"/>
        </w:rPr>
        <w:t>, doi.org/10.1057/s41267-020-00325-x.</w:t>
      </w:r>
    </w:p>
    <w:p w14:paraId="6900FC6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Paterson, S. L., &amp; Brock, D. M. (2002). The development of subsidiary-management research: review and theoretical analysis.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11</w:t>
      </w:r>
      <w:r w:rsidRPr="00B301B0">
        <w:rPr>
          <w:color w:val="222222"/>
          <w:kern w:val="0"/>
          <w:sz w:val="24"/>
          <w:szCs w:val="24"/>
        </w:rPr>
        <w:t>(2), 139-163.</w:t>
      </w:r>
    </w:p>
    <w:p w14:paraId="65DED214"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Phene, A., &amp; Almeida, P. (2008). Innovation in multinational subsidiaries: The role of knowledge assimilation and subsidiary capabilities.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39</w:t>
      </w:r>
      <w:r w:rsidRPr="00B301B0">
        <w:rPr>
          <w:color w:val="222222"/>
          <w:kern w:val="0"/>
          <w:sz w:val="24"/>
          <w:szCs w:val="24"/>
        </w:rPr>
        <w:t>(5), 901-919.</w:t>
      </w:r>
    </w:p>
    <w:p w14:paraId="302E35F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Picard, J. (1977). How European companies control marketing decisions abroad. </w:t>
      </w:r>
      <w:r w:rsidRPr="00682CC8">
        <w:rPr>
          <w:i/>
          <w:iCs/>
          <w:color w:val="222222"/>
          <w:kern w:val="0"/>
          <w:sz w:val="24"/>
          <w:szCs w:val="24"/>
        </w:rPr>
        <w:t>Columbia Journal of World Business</w:t>
      </w:r>
      <w:r w:rsidRPr="00B301B0">
        <w:rPr>
          <w:color w:val="222222"/>
          <w:kern w:val="0"/>
          <w:sz w:val="24"/>
          <w:szCs w:val="24"/>
        </w:rPr>
        <w:t>, </w:t>
      </w:r>
      <w:r w:rsidRPr="00682CC8">
        <w:rPr>
          <w:color w:val="222222"/>
          <w:kern w:val="0"/>
          <w:sz w:val="24"/>
          <w:szCs w:val="24"/>
        </w:rPr>
        <w:t>12</w:t>
      </w:r>
      <w:r w:rsidRPr="00B301B0">
        <w:rPr>
          <w:color w:val="222222"/>
          <w:kern w:val="0"/>
          <w:sz w:val="24"/>
          <w:szCs w:val="24"/>
        </w:rPr>
        <w:t>(2), 113-121.</w:t>
      </w:r>
    </w:p>
    <w:p w14:paraId="77D9F3E3" w14:textId="77777777" w:rsidR="00B301B0" w:rsidRPr="00682CC8" w:rsidRDefault="00B301B0" w:rsidP="00682CC8">
      <w:pPr>
        <w:widowControl/>
        <w:overflowPunct/>
        <w:autoSpaceDE/>
        <w:autoSpaceDN/>
        <w:adjustRightInd/>
        <w:spacing w:after="200"/>
        <w:ind w:left="1440" w:hanging="720"/>
        <w:rPr>
          <w:color w:val="222222"/>
          <w:kern w:val="0"/>
          <w:sz w:val="24"/>
          <w:szCs w:val="24"/>
        </w:rPr>
      </w:pPr>
      <w:r w:rsidRPr="00682CC8">
        <w:rPr>
          <w:color w:val="222222"/>
          <w:kern w:val="0"/>
          <w:sz w:val="24"/>
          <w:szCs w:val="24"/>
        </w:rPr>
        <w:t xml:space="preserve">Pryor, M. H. (1965). Planning in a world wide business. </w:t>
      </w:r>
      <w:r w:rsidRPr="00682CC8">
        <w:rPr>
          <w:i/>
          <w:iCs/>
          <w:color w:val="222222"/>
          <w:kern w:val="0"/>
          <w:sz w:val="24"/>
          <w:szCs w:val="24"/>
        </w:rPr>
        <w:t>Harvard Business Review</w:t>
      </w:r>
      <w:r w:rsidRPr="00682CC8">
        <w:rPr>
          <w:color w:val="222222"/>
          <w:kern w:val="0"/>
          <w:sz w:val="24"/>
          <w:szCs w:val="24"/>
        </w:rPr>
        <w:t>, 43(1), 130.</w:t>
      </w:r>
    </w:p>
    <w:p w14:paraId="7F6E4884"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Puck, J., Hödl, M. K., Filatotchev, I., Wolff, H. G., &amp; Bader, B. (2016). Ownership mode, cultural distance, and the extent of parent firms’ strategic control over subsidiaries in the PRC. </w:t>
      </w:r>
      <w:r w:rsidRPr="00682CC8">
        <w:rPr>
          <w:i/>
          <w:iCs/>
          <w:color w:val="222222"/>
          <w:kern w:val="0"/>
          <w:sz w:val="24"/>
          <w:szCs w:val="24"/>
        </w:rPr>
        <w:t>Asia Pacific Journal of Management</w:t>
      </w:r>
      <w:r w:rsidRPr="00B301B0">
        <w:rPr>
          <w:color w:val="222222"/>
          <w:kern w:val="0"/>
          <w:sz w:val="24"/>
          <w:szCs w:val="24"/>
        </w:rPr>
        <w:t>, </w:t>
      </w:r>
      <w:r w:rsidRPr="00682CC8">
        <w:rPr>
          <w:color w:val="222222"/>
          <w:kern w:val="0"/>
          <w:sz w:val="24"/>
          <w:szCs w:val="24"/>
        </w:rPr>
        <w:t>33</w:t>
      </w:r>
      <w:r w:rsidRPr="00B301B0">
        <w:rPr>
          <w:color w:val="222222"/>
          <w:kern w:val="0"/>
          <w:sz w:val="24"/>
          <w:szCs w:val="24"/>
        </w:rPr>
        <w:t>(4), 1075-1105.</w:t>
      </w:r>
    </w:p>
    <w:p w14:paraId="44E0F64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Rabbiosi, L. (2011). Subsidiary roles and reverse knowledge transfer: An investigation of the effects of coordination mechanisms. </w:t>
      </w:r>
      <w:r w:rsidRPr="00682CC8">
        <w:rPr>
          <w:i/>
          <w:iCs/>
          <w:color w:val="222222"/>
          <w:kern w:val="0"/>
          <w:sz w:val="24"/>
          <w:szCs w:val="24"/>
        </w:rPr>
        <w:t>Journal of International Management</w:t>
      </w:r>
      <w:r w:rsidRPr="00B301B0">
        <w:rPr>
          <w:color w:val="222222"/>
          <w:kern w:val="0"/>
          <w:sz w:val="24"/>
          <w:szCs w:val="24"/>
        </w:rPr>
        <w:t>, </w:t>
      </w:r>
      <w:r w:rsidRPr="00682CC8">
        <w:rPr>
          <w:color w:val="222222"/>
          <w:kern w:val="0"/>
          <w:sz w:val="24"/>
          <w:szCs w:val="24"/>
        </w:rPr>
        <w:t>17</w:t>
      </w:r>
      <w:r w:rsidRPr="00B301B0">
        <w:rPr>
          <w:color w:val="222222"/>
          <w:kern w:val="0"/>
          <w:sz w:val="24"/>
          <w:szCs w:val="24"/>
        </w:rPr>
        <w:t>(2), 97-113.</w:t>
      </w:r>
    </w:p>
    <w:p w14:paraId="0555B5A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Rabbiosi, L., &amp; Santangelo, G. D. (2019). Host country corruption and the organization of HQ–subsidiary relationships.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50</w:t>
      </w:r>
      <w:r w:rsidRPr="00B301B0">
        <w:rPr>
          <w:color w:val="222222"/>
          <w:kern w:val="0"/>
          <w:sz w:val="24"/>
          <w:szCs w:val="24"/>
        </w:rPr>
        <w:t>(1), 111-124.</w:t>
      </w:r>
    </w:p>
    <w:p w14:paraId="44276F2F"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Raudenbush, S. W., &amp; Bryk, A. S. (2002). </w:t>
      </w:r>
      <w:r w:rsidRPr="00682CC8">
        <w:rPr>
          <w:color w:val="222222"/>
          <w:kern w:val="0"/>
          <w:sz w:val="24"/>
          <w:szCs w:val="24"/>
        </w:rPr>
        <w:t>Hierarchical linear models: Applications and data analysis methods</w:t>
      </w:r>
      <w:r w:rsidRPr="00B301B0">
        <w:rPr>
          <w:color w:val="222222"/>
          <w:kern w:val="0"/>
          <w:sz w:val="24"/>
          <w:szCs w:val="24"/>
        </w:rPr>
        <w:t> (Vol. 1). sage.</w:t>
      </w:r>
    </w:p>
    <w:p w14:paraId="37E146E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Raziq, M. M., Borini, F. M., &amp; Perry, M. (2014). Subsidiary initiatives and subsidiary autonomy: Evidence from New Zealand and Brazil. </w:t>
      </w:r>
      <w:r w:rsidRPr="00682CC8">
        <w:rPr>
          <w:i/>
          <w:iCs/>
          <w:color w:val="222222"/>
          <w:kern w:val="0"/>
          <w:sz w:val="24"/>
          <w:szCs w:val="24"/>
        </w:rPr>
        <w:t>International Entrepreneurship and Management Journal</w:t>
      </w:r>
      <w:r w:rsidRPr="00B301B0">
        <w:rPr>
          <w:color w:val="222222"/>
          <w:kern w:val="0"/>
          <w:sz w:val="24"/>
          <w:szCs w:val="24"/>
        </w:rPr>
        <w:t>, </w:t>
      </w:r>
      <w:r w:rsidRPr="00682CC8">
        <w:rPr>
          <w:color w:val="222222"/>
          <w:kern w:val="0"/>
          <w:sz w:val="24"/>
          <w:szCs w:val="24"/>
        </w:rPr>
        <w:t>10</w:t>
      </w:r>
      <w:r w:rsidRPr="00B301B0">
        <w:rPr>
          <w:color w:val="222222"/>
          <w:kern w:val="0"/>
          <w:sz w:val="24"/>
          <w:szCs w:val="24"/>
        </w:rPr>
        <w:t>(3), 589-605.</w:t>
      </w:r>
    </w:p>
    <w:p w14:paraId="5869C3D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Riviere, M., Bass, A. E., &amp; Andersson, U. (2020). Dynamic capability development in multinational enterprises: Reconciling routine reconfiguration between the headquarters and subsidiaries. </w:t>
      </w:r>
      <w:r w:rsidRPr="00682CC8">
        <w:rPr>
          <w:i/>
          <w:iCs/>
          <w:color w:val="222222"/>
          <w:kern w:val="0"/>
          <w:sz w:val="24"/>
          <w:szCs w:val="24"/>
        </w:rPr>
        <w:t>Global Strategy Journal</w:t>
      </w:r>
      <w:r w:rsidRPr="00682CC8">
        <w:rPr>
          <w:color w:val="222222"/>
          <w:kern w:val="0"/>
          <w:sz w:val="24"/>
          <w:szCs w:val="24"/>
        </w:rPr>
        <w:t xml:space="preserve">, </w:t>
      </w:r>
      <w:r w:rsidRPr="00B301B0">
        <w:rPr>
          <w:color w:val="222222"/>
          <w:kern w:val="0"/>
          <w:sz w:val="24"/>
          <w:szCs w:val="24"/>
        </w:rPr>
        <w:t>doi.org/10.1002/gsj.1389.</w:t>
      </w:r>
    </w:p>
    <w:p w14:paraId="6C89EFBB"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Rodriguez, P., Uhlenbruck, K., &amp; Eden, L. (2005). Government corruption and the entry strategies of multinationals. </w:t>
      </w:r>
      <w:r w:rsidRPr="00682CC8">
        <w:rPr>
          <w:i/>
          <w:iCs/>
          <w:color w:val="222222"/>
          <w:kern w:val="0"/>
          <w:sz w:val="24"/>
          <w:szCs w:val="24"/>
        </w:rPr>
        <w:t>Academy of Management Review</w:t>
      </w:r>
      <w:r w:rsidRPr="00B301B0">
        <w:rPr>
          <w:color w:val="222222"/>
          <w:kern w:val="0"/>
          <w:sz w:val="24"/>
          <w:szCs w:val="24"/>
        </w:rPr>
        <w:t>, </w:t>
      </w:r>
      <w:r w:rsidRPr="00682CC8">
        <w:rPr>
          <w:color w:val="222222"/>
          <w:kern w:val="0"/>
          <w:sz w:val="24"/>
          <w:szCs w:val="24"/>
        </w:rPr>
        <w:t>30</w:t>
      </w:r>
      <w:r w:rsidRPr="00B301B0">
        <w:rPr>
          <w:color w:val="222222"/>
          <w:kern w:val="0"/>
          <w:sz w:val="24"/>
          <w:szCs w:val="24"/>
        </w:rPr>
        <w:t>(2), 383-396.</w:t>
      </w:r>
    </w:p>
    <w:p w14:paraId="02BECBBA"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Rosenthal, R. (1979). The file drawer problem and tolerance for null results. </w:t>
      </w:r>
      <w:r w:rsidRPr="00682CC8">
        <w:rPr>
          <w:i/>
          <w:iCs/>
          <w:color w:val="222222"/>
          <w:kern w:val="0"/>
          <w:sz w:val="24"/>
          <w:szCs w:val="24"/>
        </w:rPr>
        <w:t>Psychological Bulletin</w:t>
      </w:r>
      <w:r w:rsidRPr="00B301B0">
        <w:rPr>
          <w:color w:val="222222"/>
          <w:kern w:val="0"/>
          <w:sz w:val="24"/>
          <w:szCs w:val="24"/>
        </w:rPr>
        <w:t>, </w:t>
      </w:r>
      <w:r w:rsidRPr="00682CC8">
        <w:rPr>
          <w:color w:val="222222"/>
          <w:kern w:val="0"/>
          <w:sz w:val="24"/>
          <w:szCs w:val="24"/>
        </w:rPr>
        <w:t>86</w:t>
      </w:r>
      <w:r w:rsidRPr="00B301B0">
        <w:rPr>
          <w:color w:val="222222"/>
          <w:kern w:val="0"/>
          <w:sz w:val="24"/>
          <w:szCs w:val="24"/>
        </w:rPr>
        <w:t>(3), 638.</w:t>
      </w:r>
    </w:p>
    <w:p w14:paraId="6C9A5C89"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Roth, K., &amp; O'Donnell, S. (1996). Foreign subsidiary compensation strategy: An agency theory perspective. </w:t>
      </w:r>
      <w:r w:rsidRPr="00682CC8">
        <w:rPr>
          <w:i/>
          <w:iCs/>
          <w:color w:val="222222"/>
          <w:kern w:val="0"/>
          <w:sz w:val="24"/>
          <w:szCs w:val="24"/>
        </w:rPr>
        <w:t>Academy of Management Journal</w:t>
      </w:r>
      <w:r w:rsidRPr="00B301B0">
        <w:rPr>
          <w:color w:val="222222"/>
          <w:kern w:val="0"/>
          <w:sz w:val="24"/>
          <w:szCs w:val="24"/>
        </w:rPr>
        <w:t>, </w:t>
      </w:r>
      <w:r w:rsidRPr="00682CC8">
        <w:rPr>
          <w:color w:val="222222"/>
          <w:kern w:val="0"/>
          <w:sz w:val="24"/>
          <w:szCs w:val="24"/>
        </w:rPr>
        <w:t>39</w:t>
      </w:r>
      <w:r w:rsidRPr="00B301B0">
        <w:rPr>
          <w:color w:val="222222"/>
          <w:kern w:val="0"/>
          <w:sz w:val="24"/>
          <w:szCs w:val="24"/>
        </w:rPr>
        <w:t>(3), 678-703.</w:t>
      </w:r>
    </w:p>
    <w:p w14:paraId="78DCD5E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Rugman, A. M., &amp; Verbeke, A. (2001). Subsidiary‐specific advantages in multinational enterprises.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22</w:t>
      </w:r>
      <w:r w:rsidRPr="00B301B0">
        <w:rPr>
          <w:color w:val="222222"/>
          <w:kern w:val="0"/>
          <w:sz w:val="24"/>
          <w:szCs w:val="24"/>
        </w:rPr>
        <w:t>(3), 237-250.</w:t>
      </w:r>
    </w:p>
    <w:p w14:paraId="4B07D411"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Ryan, P., Buciuni, G., Giblin, M., &amp; Andersson, U. (2020). Subsidiary upgrading and global value chain governance in the multinational enterprise. </w:t>
      </w:r>
      <w:r w:rsidRPr="00682CC8">
        <w:rPr>
          <w:i/>
          <w:iCs/>
          <w:color w:val="222222"/>
          <w:kern w:val="0"/>
          <w:sz w:val="24"/>
          <w:szCs w:val="24"/>
        </w:rPr>
        <w:t>Global Strategy Journal</w:t>
      </w:r>
      <w:r w:rsidRPr="00B301B0">
        <w:rPr>
          <w:color w:val="222222"/>
          <w:kern w:val="0"/>
          <w:sz w:val="24"/>
          <w:szCs w:val="24"/>
        </w:rPr>
        <w:t>, </w:t>
      </w:r>
      <w:r w:rsidRPr="00682CC8">
        <w:rPr>
          <w:color w:val="222222"/>
          <w:kern w:val="0"/>
          <w:sz w:val="24"/>
          <w:szCs w:val="24"/>
        </w:rPr>
        <w:t>10</w:t>
      </w:r>
      <w:r w:rsidRPr="00B301B0">
        <w:rPr>
          <w:color w:val="222222"/>
          <w:kern w:val="0"/>
          <w:sz w:val="24"/>
          <w:szCs w:val="24"/>
        </w:rPr>
        <w:t>(3), 496-519.</w:t>
      </w:r>
    </w:p>
    <w:p w14:paraId="065F6A78"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Santangelo, G. D., Meyer, K. E., &amp; Jindra, B. (2016). MNE subsidiaries’ outsourcing and insourcing of R&amp;D: The role of local institutions. </w:t>
      </w:r>
      <w:r w:rsidRPr="00682CC8">
        <w:rPr>
          <w:i/>
          <w:iCs/>
          <w:color w:val="222222"/>
          <w:kern w:val="0"/>
          <w:sz w:val="24"/>
          <w:szCs w:val="24"/>
        </w:rPr>
        <w:t>Global Strategy Journal</w:t>
      </w:r>
      <w:r w:rsidRPr="00B301B0">
        <w:rPr>
          <w:color w:val="222222"/>
          <w:kern w:val="0"/>
          <w:sz w:val="24"/>
          <w:szCs w:val="24"/>
        </w:rPr>
        <w:t>, </w:t>
      </w:r>
      <w:r w:rsidRPr="00682CC8">
        <w:rPr>
          <w:color w:val="222222"/>
          <w:kern w:val="0"/>
          <w:sz w:val="24"/>
          <w:szCs w:val="24"/>
        </w:rPr>
        <w:t>6</w:t>
      </w:r>
      <w:r w:rsidRPr="00B301B0">
        <w:rPr>
          <w:color w:val="222222"/>
          <w:kern w:val="0"/>
          <w:sz w:val="24"/>
          <w:szCs w:val="24"/>
        </w:rPr>
        <w:t>(4), 247-268.</w:t>
      </w:r>
    </w:p>
    <w:p w14:paraId="15842C5A"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Sarabi, A., Froese, F. J., Chng, D. H., &amp; Meyer, K. E. (2020). Entrepreneurial leadership and MNE subsidiary performance: The moderating role of subsidiary context. </w:t>
      </w:r>
      <w:r w:rsidRPr="00682CC8">
        <w:rPr>
          <w:i/>
          <w:iCs/>
          <w:color w:val="222222"/>
          <w:kern w:val="0"/>
          <w:sz w:val="24"/>
          <w:szCs w:val="24"/>
        </w:rPr>
        <w:t>International Business Review</w:t>
      </w:r>
      <w:r w:rsidRPr="00B301B0">
        <w:rPr>
          <w:color w:val="222222"/>
          <w:kern w:val="0"/>
          <w:sz w:val="24"/>
          <w:szCs w:val="24"/>
        </w:rPr>
        <w:t>, doi.org/10.1016/j.ibusrev.2020.101672.</w:t>
      </w:r>
    </w:p>
    <w:p w14:paraId="0AA6395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Sartor, M. A., &amp; Beamish, P. W. (2018). Host market government corruption and the equity-based foreign entry strategies of multinational enterprises.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49</w:t>
      </w:r>
      <w:r w:rsidRPr="00B301B0">
        <w:rPr>
          <w:color w:val="222222"/>
          <w:kern w:val="0"/>
          <w:sz w:val="24"/>
          <w:szCs w:val="24"/>
        </w:rPr>
        <w:t>(3), 346-370.</w:t>
      </w:r>
    </w:p>
    <w:p w14:paraId="25F34EE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Schmitt, J., Decreton, B., &amp; Nell, P. C. (2019). How corporate headquarters add value in the digital age. </w:t>
      </w:r>
      <w:r w:rsidRPr="00682CC8">
        <w:rPr>
          <w:i/>
          <w:iCs/>
          <w:color w:val="222222"/>
          <w:kern w:val="0"/>
          <w:sz w:val="24"/>
          <w:szCs w:val="24"/>
        </w:rPr>
        <w:t>Journal of Organization Design</w:t>
      </w:r>
      <w:r w:rsidRPr="00B301B0">
        <w:rPr>
          <w:color w:val="222222"/>
          <w:kern w:val="0"/>
          <w:sz w:val="24"/>
          <w:szCs w:val="24"/>
        </w:rPr>
        <w:t>, </w:t>
      </w:r>
      <w:r w:rsidRPr="00682CC8">
        <w:rPr>
          <w:color w:val="222222"/>
          <w:kern w:val="0"/>
          <w:sz w:val="24"/>
          <w:szCs w:val="24"/>
        </w:rPr>
        <w:t>8</w:t>
      </w:r>
      <w:r w:rsidRPr="00B301B0">
        <w:rPr>
          <w:color w:val="222222"/>
          <w:kern w:val="0"/>
          <w:sz w:val="24"/>
          <w:szCs w:val="24"/>
        </w:rPr>
        <w:t>(1), 1-10.</w:t>
      </w:r>
    </w:p>
    <w:p w14:paraId="0226842E"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Schomaker, M. S., &amp; Zaheer, S. (2014). The role of language in knowledge transfer to geographically dispersed manufacturing operations. </w:t>
      </w:r>
      <w:r w:rsidRPr="00682CC8">
        <w:rPr>
          <w:i/>
          <w:iCs/>
          <w:color w:val="222222"/>
          <w:kern w:val="0"/>
          <w:sz w:val="24"/>
          <w:szCs w:val="24"/>
        </w:rPr>
        <w:t>Journal of International Management</w:t>
      </w:r>
      <w:r w:rsidRPr="00B301B0">
        <w:rPr>
          <w:color w:val="222222"/>
          <w:kern w:val="0"/>
          <w:sz w:val="24"/>
          <w:szCs w:val="24"/>
        </w:rPr>
        <w:t>, </w:t>
      </w:r>
      <w:r w:rsidRPr="00682CC8">
        <w:rPr>
          <w:color w:val="222222"/>
          <w:kern w:val="0"/>
          <w:sz w:val="24"/>
          <w:szCs w:val="24"/>
        </w:rPr>
        <w:t>20</w:t>
      </w:r>
      <w:r w:rsidRPr="00B301B0">
        <w:rPr>
          <w:color w:val="222222"/>
          <w:kern w:val="0"/>
          <w:sz w:val="24"/>
          <w:szCs w:val="24"/>
        </w:rPr>
        <w:t>(1), 55-72.</w:t>
      </w:r>
    </w:p>
    <w:p w14:paraId="1AA99C2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Schotter, A., &amp; Beamish, P. W. (2011). Performance effects of MNC headquarters–subsidiary conflict and the role of boundary spanners: The case of headquarter initiative rejection. </w:t>
      </w:r>
      <w:r w:rsidRPr="00682CC8">
        <w:rPr>
          <w:i/>
          <w:iCs/>
          <w:color w:val="222222"/>
          <w:kern w:val="0"/>
          <w:sz w:val="24"/>
          <w:szCs w:val="24"/>
        </w:rPr>
        <w:t>Journal of International Management</w:t>
      </w:r>
      <w:r w:rsidRPr="00B301B0">
        <w:rPr>
          <w:color w:val="222222"/>
          <w:kern w:val="0"/>
          <w:sz w:val="24"/>
          <w:szCs w:val="24"/>
        </w:rPr>
        <w:t>, </w:t>
      </w:r>
      <w:r w:rsidRPr="00682CC8">
        <w:rPr>
          <w:color w:val="222222"/>
          <w:kern w:val="0"/>
          <w:sz w:val="24"/>
          <w:szCs w:val="24"/>
        </w:rPr>
        <w:t>17</w:t>
      </w:r>
      <w:r w:rsidRPr="00B301B0">
        <w:rPr>
          <w:color w:val="222222"/>
          <w:kern w:val="0"/>
          <w:sz w:val="24"/>
          <w:szCs w:val="24"/>
        </w:rPr>
        <w:t>(3), 243-259.</w:t>
      </w:r>
    </w:p>
    <w:p w14:paraId="77D8239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Sengul, M., &amp; Gimeno, J. (2013). Constrained delegation: Limiting subsidiaries’ decision rights and resources in firms that compete across multiple industries. </w:t>
      </w:r>
      <w:r w:rsidRPr="00682CC8">
        <w:rPr>
          <w:i/>
          <w:iCs/>
          <w:color w:val="222222"/>
          <w:kern w:val="0"/>
          <w:sz w:val="24"/>
          <w:szCs w:val="24"/>
        </w:rPr>
        <w:t>Administrative Science Quarterly</w:t>
      </w:r>
      <w:r w:rsidRPr="00B301B0">
        <w:rPr>
          <w:color w:val="222222"/>
          <w:kern w:val="0"/>
          <w:sz w:val="24"/>
          <w:szCs w:val="24"/>
        </w:rPr>
        <w:t>, </w:t>
      </w:r>
      <w:r w:rsidRPr="00682CC8">
        <w:rPr>
          <w:color w:val="222222"/>
          <w:kern w:val="0"/>
          <w:sz w:val="24"/>
          <w:szCs w:val="24"/>
        </w:rPr>
        <w:t>58</w:t>
      </w:r>
      <w:r w:rsidRPr="00B301B0">
        <w:rPr>
          <w:color w:val="222222"/>
          <w:kern w:val="0"/>
          <w:sz w:val="24"/>
          <w:szCs w:val="24"/>
        </w:rPr>
        <w:t>(3), 420-471.</w:t>
      </w:r>
    </w:p>
    <w:p w14:paraId="39D9404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Sengul, M., &amp; Obloj, T. (2017). Better safe than sorry: Subsidiary performance feedback and internal governance in multiunit firms. </w:t>
      </w:r>
      <w:r w:rsidRPr="00682CC8">
        <w:rPr>
          <w:i/>
          <w:iCs/>
          <w:color w:val="222222"/>
          <w:kern w:val="0"/>
          <w:sz w:val="24"/>
          <w:szCs w:val="24"/>
        </w:rPr>
        <w:t>Journal of Management</w:t>
      </w:r>
      <w:r w:rsidRPr="00B301B0">
        <w:rPr>
          <w:color w:val="222222"/>
          <w:kern w:val="0"/>
          <w:sz w:val="24"/>
          <w:szCs w:val="24"/>
        </w:rPr>
        <w:t>, </w:t>
      </w:r>
      <w:r w:rsidRPr="00682CC8">
        <w:rPr>
          <w:color w:val="222222"/>
          <w:kern w:val="0"/>
          <w:sz w:val="24"/>
          <w:szCs w:val="24"/>
        </w:rPr>
        <w:t>43</w:t>
      </w:r>
      <w:r w:rsidRPr="00B301B0">
        <w:rPr>
          <w:color w:val="222222"/>
          <w:kern w:val="0"/>
          <w:sz w:val="24"/>
          <w:szCs w:val="24"/>
        </w:rPr>
        <w:t>(8), 2526-2554.</w:t>
      </w:r>
    </w:p>
    <w:p w14:paraId="5E83AC19"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 xml:space="preserve">Shaw, J. D., &amp; Ertug, G. (2017). The suitability of simulations and meta-analyses for submissions to academy of management journal. </w:t>
      </w:r>
      <w:r w:rsidRPr="00682CC8">
        <w:rPr>
          <w:i/>
          <w:iCs/>
          <w:color w:val="222222"/>
          <w:kern w:val="0"/>
          <w:sz w:val="24"/>
          <w:szCs w:val="24"/>
        </w:rPr>
        <w:t>Academy of Management Journal</w:t>
      </w:r>
      <w:r w:rsidRPr="00682CC8">
        <w:rPr>
          <w:color w:val="222222"/>
          <w:kern w:val="0"/>
          <w:sz w:val="24"/>
          <w:szCs w:val="24"/>
        </w:rPr>
        <w:t xml:space="preserve">, </w:t>
      </w:r>
      <w:r w:rsidRPr="00B301B0">
        <w:rPr>
          <w:color w:val="222222"/>
          <w:kern w:val="0"/>
          <w:sz w:val="24"/>
          <w:szCs w:val="24"/>
        </w:rPr>
        <w:t>doi.org/10.5465/amj.2017.4006</w:t>
      </w:r>
    </w:p>
    <w:p w14:paraId="7C6E1FC8"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Slangen, A. H. (2013). Greenfield or acquisition entry? The roles of policy uncertainty and MNE legitimacy in host countries. </w:t>
      </w:r>
      <w:r w:rsidRPr="00682CC8">
        <w:rPr>
          <w:i/>
          <w:iCs/>
          <w:color w:val="222222"/>
          <w:kern w:val="0"/>
          <w:sz w:val="24"/>
          <w:szCs w:val="24"/>
        </w:rPr>
        <w:t>Global Strategy Journal</w:t>
      </w:r>
      <w:r w:rsidRPr="00B301B0">
        <w:rPr>
          <w:color w:val="222222"/>
          <w:kern w:val="0"/>
          <w:sz w:val="24"/>
          <w:szCs w:val="24"/>
        </w:rPr>
        <w:t>, </w:t>
      </w:r>
      <w:r w:rsidRPr="00682CC8">
        <w:rPr>
          <w:color w:val="222222"/>
          <w:kern w:val="0"/>
          <w:sz w:val="24"/>
          <w:szCs w:val="24"/>
        </w:rPr>
        <w:t>3</w:t>
      </w:r>
      <w:r w:rsidRPr="00B301B0">
        <w:rPr>
          <w:color w:val="222222"/>
          <w:kern w:val="0"/>
          <w:sz w:val="24"/>
          <w:szCs w:val="24"/>
        </w:rPr>
        <w:t>(3), 262-280.</w:t>
      </w:r>
    </w:p>
    <w:p w14:paraId="27C640A8"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Slangen, A. H., &amp; Hennart, J. F. (2008). Do foreign greenfields outperform foreign acquisitions or vice versa? An institutional perspective. </w:t>
      </w:r>
      <w:r w:rsidRPr="00682CC8">
        <w:rPr>
          <w:i/>
          <w:iCs/>
          <w:color w:val="222222"/>
          <w:kern w:val="0"/>
          <w:sz w:val="24"/>
          <w:szCs w:val="24"/>
        </w:rPr>
        <w:t>Journal of Management Studies</w:t>
      </w:r>
      <w:r w:rsidRPr="00B301B0">
        <w:rPr>
          <w:color w:val="222222"/>
          <w:kern w:val="0"/>
          <w:sz w:val="24"/>
          <w:szCs w:val="24"/>
        </w:rPr>
        <w:t>, </w:t>
      </w:r>
      <w:r w:rsidRPr="00682CC8">
        <w:rPr>
          <w:color w:val="222222"/>
          <w:kern w:val="0"/>
          <w:sz w:val="24"/>
          <w:szCs w:val="24"/>
        </w:rPr>
        <w:t>45</w:t>
      </w:r>
      <w:r w:rsidRPr="00B301B0">
        <w:rPr>
          <w:color w:val="222222"/>
          <w:kern w:val="0"/>
          <w:sz w:val="24"/>
          <w:szCs w:val="24"/>
        </w:rPr>
        <w:t>(7), 1301-1328.</w:t>
      </w:r>
    </w:p>
    <w:p w14:paraId="7BAB3063"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Spencer, J., &amp; Gomez, C. (2011). MNEs and corruption: The impact of national institutions and subsidiary strategy. </w:t>
      </w:r>
      <w:r w:rsidRPr="00682CC8">
        <w:rPr>
          <w:i/>
          <w:iCs/>
          <w:color w:val="222222"/>
          <w:kern w:val="0"/>
          <w:sz w:val="24"/>
          <w:szCs w:val="24"/>
        </w:rPr>
        <w:t>Strategic Management Journal</w:t>
      </w:r>
      <w:r w:rsidRPr="00B301B0">
        <w:rPr>
          <w:color w:val="222222"/>
          <w:kern w:val="0"/>
          <w:sz w:val="24"/>
          <w:szCs w:val="24"/>
        </w:rPr>
        <w:t>, </w:t>
      </w:r>
      <w:r w:rsidRPr="00682CC8">
        <w:rPr>
          <w:color w:val="222222"/>
          <w:kern w:val="0"/>
          <w:sz w:val="24"/>
          <w:szCs w:val="24"/>
        </w:rPr>
        <w:t>32</w:t>
      </w:r>
      <w:r w:rsidRPr="00B301B0">
        <w:rPr>
          <w:color w:val="222222"/>
          <w:kern w:val="0"/>
          <w:sz w:val="24"/>
          <w:szCs w:val="24"/>
        </w:rPr>
        <w:t>(3), 280-300.</w:t>
      </w:r>
    </w:p>
    <w:p w14:paraId="716C517B"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 xml:space="preserve">Stopford, J. M., &amp; Wells, L. T. </w:t>
      </w:r>
      <w:r w:rsidRPr="00682CC8">
        <w:rPr>
          <w:color w:val="222222"/>
          <w:kern w:val="0"/>
          <w:sz w:val="24"/>
          <w:szCs w:val="24"/>
        </w:rPr>
        <w:t>Managing the Multinational Enterprise: Organization of the Firm and Ownership of the Subsidiary.</w:t>
      </w:r>
      <w:r w:rsidRPr="00B301B0">
        <w:rPr>
          <w:color w:val="222222"/>
          <w:kern w:val="0"/>
          <w:sz w:val="24"/>
          <w:szCs w:val="24"/>
        </w:rPr>
        <w:t xml:space="preserve"> NY: Basic Books, 1972, French ed.</w:t>
      </w:r>
    </w:p>
    <w:p w14:paraId="637EBDEA" w14:textId="77777777" w:rsidR="00B301B0" w:rsidRPr="00682CC8" w:rsidRDefault="00B301B0" w:rsidP="00682CC8">
      <w:pPr>
        <w:widowControl/>
        <w:overflowPunct/>
        <w:autoSpaceDE/>
        <w:autoSpaceDN/>
        <w:adjustRightInd/>
        <w:spacing w:after="200"/>
        <w:ind w:left="1440" w:hanging="720"/>
        <w:rPr>
          <w:color w:val="222222"/>
          <w:kern w:val="0"/>
          <w:sz w:val="24"/>
          <w:szCs w:val="24"/>
        </w:rPr>
      </w:pPr>
      <w:r w:rsidRPr="00682CC8">
        <w:rPr>
          <w:color w:val="222222"/>
          <w:kern w:val="0"/>
          <w:sz w:val="24"/>
          <w:szCs w:val="24"/>
        </w:rPr>
        <w:t>Tallman S, &amp; Yip G. (2009). Strategy and the multinational enterprise. In The Oxford Handbook of International Business, 2ºed, Oxford University Press: New York, pp. 307– 340.</w:t>
      </w:r>
    </w:p>
    <w:p w14:paraId="104898F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Tippmann, E., Sharkey Scott, P., &amp; Parker, A. (2017). Boundary capabilities in MNCs: Knowledge transformation for creative solution development. </w:t>
      </w:r>
      <w:r w:rsidRPr="00682CC8">
        <w:rPr>
          <w:i/>
          <w:iCs/>
          <w:color w:val="222222"/>
          <w:kern w:val="0"/>
          <w:sz w:val="24"/>
          <w:szCs w:val="24"/>
        </w:rPr>
        <w:t>Journal of Management Studies</w:t>
      </w:r>
      <w:r w:rsidRPr="00B301B0">
        <w:rPr>
          <w:color w:val="222222"/>
          <w:kern w:val="0"/>
          <w:sz w:val="24"/>
          <w:szCs w:val="24"/>
        </w:rPr>
        <w:t>, </w:t>
      </w:r>
      <w:r w:rsidRPr="00682CC8">
        <w:rPr>
          <w:color w:val="222222"/>
          <w:kern w:val="0"/>
          <w:sz w:val="24"/>
          <w:szCs w:val="24"/>
        </w:rPr>
        <w:t>54</w:t>
      </w:r>
      <w:r w:rsidRPr="00B301B0">
        <w:rPr>
          <w:color w:val="222222"/>
          <w:kern w:val="0"/>
          <w:sz w:val="24"/>
          <w:szCs w:val="24"/>
        </w:rPr>
        <w:t>(4), 455-482.</w:t>
      </w:r>
    </w:p>
    <w:p w14:paraId="4C2034B6"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Tran, Y., Mahnke, V., &amp; Ambos, B. (2010). The effect of quantity, quality and timing of headquarters-initiated knowledge flows on subsidiary performance. </w:t>
      </w:r>
      <w:r w:rsidRPr="00682CC8">
        <w:rPr>
          <w:i/>
          <w:iCs/>
          <w:color w:val="222222"/>
          <w:kern w:val="0"/>
          <w:sz w:val="24"/>
          <w:szCs w:val="24"/>
        </w:rPr>
        <w:t>Management International Review</w:t>
      </w:r>
      <w:r w:rsidRPr="00B301B0">
        <w:rPr>
          <w:color w:val="222222"/>
          <w:kern w:val="0"/>
          <w:sz w:val="24"/>
          <w:szCs w:val="24"/>
        </w:rPr>
        <w:t>, </w:t>
      </w:r>
      <w:r w:rsidRPr="00682CC8">
        <w:rPr>
          <w:color w:val="222222"/>
          <w:kern w:val="0"/>
          <w:sz w:val="24"/>
          <w:szCs w:val="24"/>
        </w:rPr>
        <w:t>50</w:t>
      </w:r>
      <w:r w:rsidRPr="00B301B0">
        <w:rPr>
          <w:color w:val="222222"/>
          <w:kern w:val="0"/>
          <w:sz w:val="24"/>
          <w:szCs w:val="24"/>
        </w:rPr>
        <w:t>(4), 493-511.</w:t>
      </w:r>
    </w:p>
    <w:p w14:paraId="0A92F7D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 xml:space="preserve">Tung, R. L., &amp; Verbeke, A. (2010). Beyond Hofstede and GLOBE: Improving the quality of cross-cultural research. </w:t>
      </w:r>
      <w:r w:rsidRPr="00682CC8">
        <w:rPr>
          <w:i/>
          <w:iCs/>
          <w:color w:val="222222"/>
          <w:kern w:val="0"/>
          <w:sz w:val="24"/>
          <w:szCs w:val="24"/>
        </w:rPr>
        <w:t>Journal of International Business Studies</w:t>
      </w:r>
      <w:r w:rsidRPr="00682CC8">
        <w:rPr>
          <w:color w:val="222222"/>
          <w:kern w:val="0"/>
          <w:sz w:val="24"/>
          <w:szCs w:val="24"/>
        </w:rPr>
        <w:t xml:space="preserve">, </w:t>
      </w:r>
      <w:r w:rsidRPr="00B301B0">
        <w:rPr>
          <w:color w:val="222222"/>
          <w:kern w:val="0"/>
          <w:sz w:val="24"/>
          <w:szCs w:val="24"/>
        </w:rPr>
        <w:t>41, 1259-1274.</w:t>
      </w:r>
    </w:p>
    <w:p w14:paraId="4339F4A0"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Van Wijk, R., Jansen, J. J., &amp; Lyles, M. A. (2008). Inter‐and intra‐organizational knowledge transfer: a meta‐analytic review and assessment of its antecedents and consequences. </w:t>
      </w:r>
      <w:r w:rsidRPr="00682CC8">
        <w:rPr>
          <w:i/>
          <w:iCs/>
          <w:color w:val="222222"/>
          <w:kern w:val="0"/>
          <w:sz w:val="24"/>
          <w:szCs w:val="24"/>
        </w:rPr>
        <w:t>Journal of Management Studies</w:t>
      </w:r>
      <w:r w:rsidRPr="00B301B0">
        <w:rPr>
          <w:color w:val="222222"/>
          <w:kern w:val="0"/>
          <w:sz w:val="24"/>
          <w:szCs w:val="24"/>
        </w:rPr>
        <w:t>, </w:t>
      </w:r>
      <w:r w:rsidRPr="00682CC8">
        <w:rPr>
          <w:color w:val="222222"/>
          <w:kern w:val="0"/>
          <w:sz w:val="24"/>
          <w:szCs w:val="24"/>
        </w:rPr>
        <w:t>45</w:t>
      </w:r>
      <w:r w:rsidRPr="00B301B0">
        <w:rPr>
          <w:color w:val="222222"/>
          <w:kern w:val="0"/>
          <w:sz w:val="24"/>
          <w:szCs w:val="24"/>
        </w:rPr>
        <w:t>(4), 830-853.</w:t>
      </w:r>
    </w:p>
    <w:p w14:paraId="216A86F4"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Verbeke, A., &amp; Kano, L. (2016). An internalization theory perspective on the global and regional strategies of multinational enterprises.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51</w:t>
      </w:r>
      <w:r w:rsidRPr="00B301B0">
        <w:rPr>
          <w:color w:val="222222"/>
          <w:kern w:val="0"/>
          <w:sz w:val="24"/>
          <w:szCs w:val="24"/>
        </w:rPr>
        <w:t>(1), 83-92.</w:t>
      </w:r>
    </w:p>
    <w:p w14:paraId="0EC7F68A"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Verbeke, A., Kano, L., &amp; Yuan, W. (2016). Inside the regional multinationals: A new value chain perspective on subsidiary capabilities.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25</w:t>
      </w:r>
      <w:r w:rsidRPr="00B301B0">
        <w:rPr>
          <w:color w:val="222222"/>
          <w:kern w:val="0"/>
          <w:sz w:val="24"/>
          <w:szCs w:val="24"/>
        </w:rPr>
        <w:t>(3), 785-793.</w:t>
      </w:r>
    </w:p>
    <w:p w14:paraId="2849D2F1" w14:textId="77777777" w:rsidR="00B301B0" w:rsidRPr="00682CC8" w:rsidRDefault="00B301B0" w:rsidP="00682CC8">
      <w:pPr>
        <w:widowControl/>
        <w:overflowPunct/>
        <w:autoSpaceDE/>
        <w:autoSpaceDN/>
        <w:adjustRightInd/>
        <w:spacing w:after="200"/>
        <w:ind w:left="1440" w:hanging="720"/>
        <w:rPr>
          <w:color w:val="222222"/>
          <w:kern w:val="0"/>
          <w:sz w:val="24"/>
          <w:szCs w:val="24"/>
        </w:rPr>
      </w:pPr>
      <w:r w:rsidRPr="00682CC8">
        <w:rPr>
          <w:color w:val="222222"/>
          <w:kern w:val="0"/>
          <w:sz w:val="24"/>
          <w:szCs w:val="24"/>
        </w:rPr>
        <w:t xml:space="preserve">Vernon, R. (1966) International Investment and International Trade in the Product Cycle. </w:t>
      </w:r>
      <w:r w:rsidRPr="00682CC8">
        <w:rPr>
          <w:i/>
          <w:iCs/>
          <w:color w:val="222222"/>
          <w:kern w:val="0"/>
          <w:sz w:val="24"/>
          <w:szCs w:val="24"/>
        </w:rPr>
        <w:t>The Quarterly Journal of Economics</w:t>
      </w:r>
      <w:r w:rsidRPr="00682CC8">
        <w:rPr>
          <w:color w:val="222222"/>
          <w:kern w:val="0"/>
          <w:sz w:val="24"/>
          <w:szCs w:val="24"/>
        </w:rPr>
        <w:t>, 80, 190-207.</w:t>
      </w:r>
    </w:p>
    <w:p w14:paraId="332E33FB"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Viswesvaran, C., &amp; Ones, D. S. (1995). Theory testing: Combining psychometric meta‐analysis and structural equations modeling. </w:t>
      </w:r>
      <w:r w:rsidRPr="00682CC8">
        <w:rPr>
          <w:i/>
          <w:iCs/>
          <w:color w:val="222222"/>
          <w:kern w:val="0"/>
          <w:sz w:val="24"/>
          <w:szCs w:val="24"/>
        </w:rPr>
        <w:t>Personnel Psychology</w:t>
      </w:r>
      <w:r w:rsidRPr="00B301B0">
        <w:rPr>
          <w:color w:val="222222"/>
          <w:kern w:val="0"/>
          <w:sz w:val="24"/>
          <w:szCs w:val="24"/>
        </w:rPr>
        <w:t>, </w:t>
      </w:r>
      <w:r w:rsidRPr="00682CC8">
        <w:rPr>
          <w:color w:val="222222"/>
          <w:kern w:val="0"/>
          <w:sz w:val="24"/>
          <w:szCs w:val="24"/>
        </w:rPr>
        <w:t>48</w:t>
      </w:r>
      <w:r w:rsidRPr="00B301B0">
        <w:rPr>
          <w:color w:val="222222"/>
          <w:kern w:val="0"/>
          <w:sz w:val="24"/>
          <w:szCs w:val="24"/>
        </w:rPr>
        <w:t>(4), 865-885.</w:t>
      </w:r>
    </w:p>
    <w:p w14:paraId="0E8CE22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Wang, S. L., Luo, Y., Lu, X., Sun, J., &amp; Maksimov, V. (2014). Autonomy delegation to foreign subsidiaries: An enabling mechanism for emerging-market multinationals.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45</w:t>
      </w:r>
      <w:r w:rsidRPr="00B301B0">
        <w:rPr>
          <w:color w:val="222222"/>
          <w:kern w:val="0"/>
          <w:sz w:val="24"/>
          <w:szCs w:val="24"/>
        </w:rPr>
        <w:t>(2), 111-130.</w:t>
      </w:r>
    </w:p>
    <w:p w14:paraId="4DCCADF6" w14:textId="77777777" w:rsidR="00B301B0" w:rsidRPr="00682CC8" w:rsidRDefault="00B301B0" w:rsidP="00682CC8">
      <w:pPr>
        <w:widowControl/>
        <w:overflowPunct/>
        <w:autoSpaceDE/>
        <w:autoSpaceDN/>
        <w:adjustRightInd/>
        <w:spacing w:after="200"/>
        <w:ind w:left="1440" w:hanging="720"/>
        <w:rPr>
          <w:color w:val="222222"/>
          <w:kern w:val="0"/>
          <w:sz w:val="24"/>
          <w:szCs w:val="24"/>
        </w:rPr>
      </w:pPr>
      <w:r w:rsidRPr="00682CC8">
        <w:rPr>
          <w:color w:val="222222"/>
          <w:kern w:val="0"/>
          <w:sz w:val="24"/>
          <w:szCs w:val="24"/>
        </w:rPr>
        <w:t xml:space="preserve">Williams, C. R. (1967). Regional management overseas. </w:t>
      </w:r>
      <w:r w:rsidRPr="00682CC8">
        <w:rPr>
          <w:i/>
          <w:iCs/>
          <w:color w:val="222222"/>
          <w:kern w:val="0"/>
          <w:sz w:val="24"/>
          <w:szCs w:val="24"/>
        </w:rPr>
        <w:t>Harvard Business Review</w:t>
      </w:r>
      <w:r w:rsidRPr="00682CC8">
        <w:rPr>
          <w:color w:val="222222"/>
          <w:kern w:val="0"/>
          <w:sz w:val="24"/>
          <w:szCs w:val="24"/>
        </w:rPr>
        <w:t>, 45(1), 87.</w:t>
      </w:r>
    </w:p>
    <w:p w14:paraId="403A8E42"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Williamson, O. E. (1975). Markets and hierarchies. </w:t>
      </w:r>
      <w:r w:rsidRPr="00682CC8">
        <w:rPr>
          <w:color w:val="222222"/>
          <w:kern w:val="0"/>
          <w:sz w:val="24"/>
          <w:szCs w:val="24"/>
        </w:rPr>
        <w:t>New York: Free Press.</w:t>
      </w:r>
    </w:p>
    <w:p w14:paraId="2170564A"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Witt, M. A. (2019). De-globalization: Theories, predictions, and opportunities for international business research.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50</w:t>
      </w:r>
      <w:r w:rsidRPr="00B301B0">
        <w:rPr>
          <w:color w:val="222222"/>
          <w:kern w:val="0"/>
          <w:sz w:val="24"/>
          <w:szCs w:val="24"/>
        </w:rPr>
        <w:t>(7), 1053-1077.</w:t>
      </w:r>
    </w:p>
    <w:p w14:paraId="6DAB2654"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Witt, M. A., &amp; Jackson, G. (2016). Varieties of capitalism and institutional comparative advantage: A test and reinterpretation. </w:t>
      </w:r>
      <w:r w:rsidRPr="00682CC8">
        <w:rPr>
          <w:i/>
          <w:iCs/>
          <w:color w:val="222222"/>
          <w:kern w:val="0"/>
          <w:sz w:val="24"/>
          <w:szCs w:val="24"/>
        </w:rPr>
        <w:t>Journal of International Business Studies</w:t>
      </w:r>
      <w:r w:rsidRPr="00B301B0">
        <w:rPr>
          <w:color w:val="222222"/>
          <w:kern w:val="0"/>
          <w:sz w:val="24"/>
          <w:szCs w:val="24"/>
        </w:rPr>
        <w:t>, </w:t>
      </w:r>
      <w:r w:rsidRPr="00682CC8">
        <w:rPr>
          <w:color w:val="222222"/>
          <w:kern w:val="0"/>
          <w:sz w:val="24"/>
          <w:szCs w:val="24"/>
        </w:rPr>
        <w:t>47</w:t>
      </w:r>
      <w:r w:rsidRPr="00B301B0">
        <w:rPr>
          <w:color w:val="222222"/>
          <w:kern w:val="0"/>
          <w:sz w:val="24"/>
          <w:szCs w:val="24"/>
        </w:rPr>
        <w:t>(7), 778-806.</w:t>
      </w:r>
    </w:p>
    <w:p w14:paraId="59EA4F5D"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Xu, D., &amp; Shenkar, O. (2002). Note: Institutional distance and the multinational enterprise. </w:t>
      </w:r>
      <w:r w:rsidRPr="00682CC8">
        <w:rPr>
          <w:i/>
          <w:iCs/>
          <w:color w:val="222222"/>
          <w:kern w:val="0"/>
          <w:sz w:val="24"/>
          <w:szCs w:val="24"/>
        </w:rPr>
        <w:t>Academy of Management Review</w:t>
      </w:r>
      <w:r w:rsidRPr="00B301B0">
        <w:rPr>
          <w:color w:val="222222"/>
          <w:kern w:val="0"/>
          <w:sz w:val="24"/>
          <w:szCs w:val="24"/>
        </w:rPr>
        <w:t>, </w:t>
      </w:r>
      <w:r w:rsidRPr="00682CC8">
        <w:rPr>
          <w:color w:val="222222"/>
          <w:kern w:val="0"/>
          <w:sz w:val="24"/>
          <w:szCs w:val="24"/>
        </w:rPr>
        <w:t>27</w:t>
      </w:r>
      <w:r w:rsidRPr="00B301B0">
        <w:rPr>
          <w:color w:val="222222"/>
          <w:kern w:val="0"/>
          <w:sz w:val="24"/>
          <w:szCs w:val="24"/>
        </w:rPr>
        <w:t>(4), 608-618.</w:t>
      </w:r>
    </w:p>
    <w:p w14:paraId="0CF37D87"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Young, S., &amp; Tavares, A. T. (2004). Centralization and autonomy: back to the future. </w:t>
      </w:r>
      <w:r w:rsidRPr="00682CC8">
        <w:rPr>
          <w:i/>
          <w:iCs/>
          <w:color w:val="222222"/>
          <w:kern w:val="0"/>
          <w:sz w:val="24"/>
          <w:szCs w:val="24"/>
        </w:rPr>
        <w:t>International Business Review</w:t>
      </w:r>
      <w:r w:rsidRPr="00B301B0">
        <w:rPr>
          <w:color w:val="222222"/>
          <w:kern w:val="0"/>
          <w:sz w:val="24"/>
          <w:szCs w:val="24"/>
        </w:rPr>
        <w:t>, </w:t>
      </w:r>
      <w:r w:rsidRPr="00682CC8">
        <w:rPr>
          <w:color w:val="222222"/>
          <w:kern w:val="0"/>
          <w:sz w:val="24"/>
          <w:szCs w:val="24"/>
        </w:rPr>
        <w:t>13</w:t>
      </w:r>
      <w:r w:rsidRPr="00B301B0">
        <w:rPr>
          <w:color w:val="222222"/>
          <w:kern w:val="0"/>
          <w:sz w:val="24"/>
          <w:szCs w:val="24"/>
        </w:rPr>
        <w:t>(2), 215-237.</w:t>
      </w:r>
    </w:p>
    <w:p w14:paraId="7423563E" w14:textId="77777777" w:rsidR="00B301B0" w:rsidRPr="00B301B0" w:rsidRDefault="00B301B0" w:rsidP="00682CC8">
      <w:pPr>
        <w:widowControl/>
        <w:overflowPunct/>
        <w:autoSpaceDE/>
        <w:autoSpaceDN/>
        <w:adjustRightInd/>
        <w:spacing w:after="200"/>
        <w:ind w:left="1440" w:hanging="720"/>
        <w:rPr>
          <w:color w:val="222222"/>
          <w:kern w:val="0"/>
          <w:sz w:val="24"/>
          <w:szCs w:val="24"/>
        </w:rPr>
      </w:pPr>
      <w:r w:rsidRPr="00B301B0">
        <w:rPr>
          <w:color w:val="222222"/>
          <w:kern w:val="0"/>
          <w:sz w:val="24"/>
          <w:szCs w:val="24"/>
        </w:rPr>
        <w:t>Zeng, R., Grøgaard, B., &amp; Steel, P. (2018). Complements or substitutes? A meta-analysis of the role of integration mechanisms for knowledge transfer in the MNE network. </w:t>
      </w:r>
      <w:r w:rsidRPr="00682CC8">
        <w:rPr>
          <w:i/>
          <w:iCs/>
          <w:color w:val="222222"/>
          <w:kern w:val="0"/>
          <w:sz w:val="24"/>
          <w:szCs w:val="24"/>
        </w:rPr>
        <w:t>Journal of World Business</w:t>
      </w:r>
      <w:r w:rsidRPr="00B301B0">
        <w:rPr>
          <w:color w:val="222222"/>
          <w:kern w:val="0"/>
          <w:sz w:val="24"/>
          <w:szCs w:val="24"/>
        </w:rPr>
        <w:t>, </w:t>
      </w:r>
      <w:r w:rsidRPr="00682CC8">
        <w:rPr>
          <w:color w:val="222222"/>
          <w:kern w:val="0"/>
          <w:sz w:val="24"/>
          <w:szCs w:val="24"/>
        </w:rPr>
        <w:t>53</w:t>
      </w:r>
      <w:r w:rsidRPr="00B301B0">
        <w:rPr>
          <w:color w:val="222222"/>
          <w:kern w:val="0"/>
          <w:sz w:val="24"/>
          <w:szCs w:val="24"/>
        </w:rPr>
        <w:t>(4), 415-432.</w:t>
      </w:r>
    </w:p>
    <w:p w14:paraId="0AB07D31" w14:textId="77777777" w:rsidR="00B301B0" w:rsidRPr="00B301B0" w:rsidRDefault="00B301B0" w:rsidP="00B301B0">
      <w:pPr>
        <w:widowControl/>
        <w:overflowPunct/>
        <w:autoSpaceDE/>
        <w:autoSpaceDN/>
        <w:adjustRightInd/>
        <w:ind w:left="720"/>
        <w:jc w:val="both"/>
        <w:rPr>
          <w:rFonts w:ascii="Arial" w:hAnsi="Arial" w:cs="Arial"/>
          <w:color w:val="222222"/>
          <w:kern w:val="0"/>
          <w:sz w:val="26"/>
          <w:szCs w:val="26"/>
        </w:rPr>
      </w:pPr>
    </w:p>
    <w:p w14:paraId="2FBF6D3C" w14:textId="77777777" w:rsidR="00B301B0" w:rsidRPr="00B301B0" w:rsidRDefault="00B301B0" w:rsidP="00B301B0">
      <w:pPr>
        <w:widowControl/>
        <w:overflowPunct/>
        <w:autoSpaceDE/>
        <w:autoSpaceDN/>
        <w:adjustRightInd/>
        <w:spacing w:line="480" w:lineRule="auto"/>
        <w:ind w:left="720" w:firstLine="720"/>
        <w:jc w:val="both"/>
        <w:rPr>
          <w:kern w:val="0"/>
          <w:sz w:val="24"/>
          <w:szCs w:val="24"/>
        </w:rPr>
      </w:pPr>
      <w:r w:rsidRPr="00B301B0">
        <w:rPr>
          <w:kern w:val="0"/>
          <w:sz w:val="24"/>
          <w:szCs w:val="24"/>
        </w:rPr>
        <w:t xml:space="preserve"> </w:t>
      </w:r>
    </w:p>
    <w:p w14:paraId="5DCE659F" w14:textId="77777777" w:rsidR="00B301B0" w:rsidRPr="00B301B0" w:rsidRDefault="00B301B0" w:rsidP="00B301B0">
      <w:pPr>
        <w:widowControl/>
        <w:overflowPunct/>
        <w:autoSpaceDE/>
        <w:autoSpaceDN/>
        <w:adjustRightInd/>
        <w:ind w:left="720"/>
        <w:rPr>
          <w:b/>
          <w:bCs/>
          <w:kern w:val="0"/>
          <w:sz w:val="24"/>
          <w:szCs w:val="24"/>
        </w:rPr>
        <w:sectPr w:rsidR="00B301B0" w:rsidRPr="00B301B0" w:rsidSect="00DB7B9A">
          <w:footerReference w:type="even" r:id="rId10"/>
          <w:footerReference w:type="default" r:id="rId11"/>
          <w:pgSz w:w="12240" w:h="15840"/>
          <w:pgMar w:top="1440" w:right="1440" w:bottom="1440" w:left="1440" w:header="720" w:footer="720" w:gutter="0"/>
          <w:pgNumType w:start="1"/>
          <w:cols w:space="720"/>
          <w:docGrid w:linePitch="360"/>
        </w:sectPr>
      </w:pPr>
    </w:p>
    <w:p w14:paraId="521D61E6" w14:textId="77777777" w:rsidR="00B301B0" w:rsidRPr="00B301B0" w:rsidRDefault="00B301B0" w:rsidP="00B301B0">
      <w:pPr>
        <w:widowControl/>
        <w:overflowPunct/>
        <w:autoSpaceDE/>
        <w:autoSpaceDN/>
        <w:adjustRightInd/>
        <w:ind w:left="720"/>
        <w:rPr>
          <w:kern w:val="0"/>
          <w:sz w:val="24"/>
          <w:szCs w:val="24"/>
        </w:rPr>
      </w:pPr>
      <w:r w:rsidRPr="00B301B0">
        <w:rPr>
          <w:kern w:val="0"/>
          <w:sz w:val="24"/>
          <w:szCs w:val="24"/>
        </w:rPr>
        <w:t xml:space="preserve">Table 1. Overarching research traditions on the drivers of subsidiary autonomy </w:t>
      </w:r>
    </w:p>
    <w:p w14:paraId="4C4185ED" w14:textId="77777777" w:rsidR="00B301B0" w:rsidRPr="00B301B0" w:rsidRDefault="00B301B0" w:rsidP="00B301B0">
      <w:pPr>
        <w:widowControl/>
        <w:overflowPunct/>
        <w:autoSpaceDE/>
        <w:autoSpaceDN/>
        <w:adjustRightInd/>
        <w:ind w:left="720"/>
        <w:jc w:val="both"/>
        <w:rPr>
          <w:b/>
          <w:bCs/>
          <w:kern w:val="0"/>
          <w:sz w:val="22"/>
          <w:szCs w:val="22"/>
        </w:rPr>
      </w:pPr>
    </w:p>
    <w:p w14:paraId="08BBB8FB" w14:textId="77777777" w:rsidR="00B301B0" w:rsidRPr="00B301B0" w:rsidRDefault="00B301B0" w:rsidP="00B301B0">
      <w:pPr>
        <w:widowControl/>
        <w:overflowPunct/>
        <w:autoSpaceDE/>
        <w:autoSpaceDN/>
        <w:adjustRightInd/>
        <w:jc w:val="both"/>
        <w:rPr>
          <w:b/>
          <w:bCs/>
          <w:kern w:val="0"/>
          <w:sz w:val="22"/>
          <w:szCs w:val="22"/>
        </w:rPr>
      </w:pPr>
    </w:p>
    <w:tbl>
      <w:tblPr>
        <w:tblW w:w="121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145"/>
        <w:gridCol w:w="1905"/>
        <w:gridCol w:w="3065"/>
        <w:gridCol w:w="2790"/>
      </w:tblGrid>
      <w:tr w:rsidR="00B301B0" w:rsidRPr="00B301B0" w14:paraId="13D6B262" w14:textId="77777777" w:rsidTr="00DB7B9A">
        <w:trPr>
          <w:trHeight w:val="144"/>
        </w:trPr>
        <w:tc>
          <w:tcPr>
            <w:tcW w:w="2245" w:type="dxa"/>
            <w:shd w:val="clear" w:color="auto" w:fill="F2F2F2" w:themeFill="background1" w:themeFillShade="F2"/>
            <w:noWrap/>
            <w:hideMark/>
          </w:tcPr>
          <w:p w14:paraId="24B42D88" w14:textId="77777777" w:rsidR="00B301B0" w:rsidRPr="00B301B0" w:rsidRDefault="00B301B0" w:rsidP="00B301B0">
            <w:pPr>
              <w:widowControl/>
              <w:overflowPunct/>
              <w:autoSpaceDE/>
              <w:autoSpaceDN/>
              <w:adjustRightInd/>
              <w:rPr>
                <w:iCs/>
                <w:kern w:val="0"/>
                <w:lang w:bidi="he-IL"/>
              </w:rPr>
            </w:pPr>
            <w:r w:rsidRPr="00B301B0">
              <w:rPr>
                <w:iCs/>
                <w:kern w:val="0"/>
              </w:rPr>
              <w:t>Research tradition</w:t>
            </w:r>
          </w:p>
        </w:tc>
        <w:tc>
          <w:tcPr>
            <w:tcW w:w="2145" w:type="dxa"/>
            <w:shd w:val="clear" w:color="auto" w:fill="F2F2F2" w:themeFill="background1" w:themeFillShade="F2"/>
            <w:hideMark/>
          </w:tcPr>
          <w:p w14:paraId="2F4384A9" w14:textId="77777777" w:rsidR="00B301B0" w:rsidRPr="00B301B0" w:rsidRDefault="00B301B0" w:rsidP="00B301B0">
            <w:pPr>
              <w:widowControl/>
              <w:overflowPunct/>
              <w:autoSpaceDE/>
              <w:autoSpaceDN/>
              <w:adjustRightInd/>
              <w:rPr>
                <w:iCs/>
                <w:kern w:val="0"/>
              </w:rPr>
            </w:pPr>
            <w:r w:rsidRPr="00B301B0">
              <w:rPr>
                <w:iCs/>
                <w:kern w:val="0"/>
              </w:rPr>
              <w:t>Common variables</w:t>
            </w:r>
          </w:p>
        </w:tc>
        <w:tc>
          <w:tcPr>
            <w:tcW w:w="1905" w:type="dxa"/>
            <w:shd w:val="clear" w:color="auto" w:fill="F2F2F2" w:themeFill="background1" w:themeFillShade="F2"/>
            <w:hideMark/>
          </w:tcPr>
          <w:p w14:paraId="4C452175" w14:textId="77777777" w:rsidR="00B301B0" w:rsidRPr="00B301B0" w:rsidRDefault="00B301B0" w:rsidP="00B301B0">
            <w:pPr>
              <w:widowControl/>
              <w:overflowPunct/>
              <w:autoSpaceDE/>
              <w:autoSpaceDN/>
              <w:adjustRightInd/>
              <w:rPr>
                <w:iCs/>
                <w:kern w:val="0"/>
              </w:rPr>
            </w:pPr>
            <w:r w:rsidRPr="00B301B0">
              <w:rPr>
                <w:iCs/>
                <w:kern w:val="0"/>
              </w:rPr>
              <w:t>Mechanisms</w:t>
            </w:r>
          </w:p>
        </w:tc>
        <w:tc>
          <w:tcPr>
            <w:tcW w:w="3065" w:type="dxa"/>
            <w:shd w:val="clear" w:color="auto" w:fill="F2F2F2" w:themeFill="background1" w:themeFillShade="F2"/>
            <w:hideMark/>
          </w:tcPr>
          <w:p w14:paraId="13216C15" w14:textId="77777777" w:rsidR="00B301B0" w:rsidRPr="00B301B0" w:rsidRDefault="00B301B0" w:rsidP="00B301B0">
            <w:pPr>
              <w:widowControl/>
              <w:overflowPunct/>
              <w:autoSpaceDE/>
              <w:autoSpaceDN/>
              <w:adjustRightInd/>
              <w:rPr>
                <w:iCs/>
                <w:kern w:val="0"/>
              </w:rPr>
            </w:pPr>
            <w:r w:rsidRPr="00B301B0">
              <w:rPr>
                <w:iCs/>
                <w:kern w:val="0"/>
              </w:rPr>
              <w:t xml:space="preserve">Exemplars of rationale </w:t>
            </w:r>
          </w:p>
        </w:tc>
        <w:tc>
          <w:tcPr>
            <w:tcW w:w="2790" w:type="dxa"/>
            <w:shd w:val="clear" w:color="auto" w:fill="F2F2F2" w:themeFill="background1" w:themeFillShade="F2"/>
            <w:hideMark/>
          </w:tcPr>
          <w:p w14:paraId="043C2EA9" w14:textId="77777777" w:rsidR="00B301B0" w:rsidRPr="00B301B0" w:rsidRDefault="00B301B0" w:rsidP="00B301B0">
            <w:pPr>
              <w:widowControl/>
              <w:overflowPunct/>
              <w:autoSpaceDE/>
              <w:autoSpaceDN/>
              <w:adjustRightInd/>
              <w:rPr>
                <w:iCs/>
                <w:kern w:val="0"/>
              </w:rPr>
            </w:pPr>
            <w:r w:rsidRPr="00B301B0">
              <w:rPr>
                <w:iCs/>
                <w:kern w:val="0"/>
              </w:rPr>
              <w:t>Select literature</w:t>
            </w:r>
          </w:p>
        </w:tc>
      </w:tr>
      <w:tr w:rsidR="00B301B0" w:rsidRPr="00B301B0" w14:paraId="024889CE" w14:textId="77777777" w:rsidTr="00DB7B9A">
        <w:trPr>
          <w:trHeight w:val="2026"/>
        </w:trPr>
        <w:tc>
          <w:tcPr>
            <w:tcW w:w="2245" w:type="dxa"/>
            <w:shd w:val="clear" w:color="auto" w:fill="auto"/>
            <w:noWrap/>
            <w:vAlign w:val="center"/>
            <w:hideMark/>
          </w:tcPr>
          <w:p w14:paraId="2E861ACA" w14:textId="77777777" w:rsidR="00B301B0" w:rsidRPr="00B301B0" w:rsidRDefault="00B301B0" w:rsidP="00B301B0">
            <w:pPr>
              <w:widowControl/>
              <w:overflowPunct/>
              <w:autoSpaceDE/>
              <w:autoSpaceDN/>
              <w:adjustRightInd/>
              <w:rPr>
                <w:i/>
                <w:kern w:val="0"/>
              </w:rPr>
            </w:pPr>
            <w:r w:rsidRPr="00B301B0">
              <w:rPr>
                <w:i/>
                <w:kern w:val="0"/>
              </w:rPr>
              <w:t>Agency theory</w:t>
            </w:r>
          </w:p>
        </w:tc>
        <w:tc>
          <w:tcPr>
            <w:tcW w:w="2145" w:type="dxa"/>
            <w:shd w:val="clear" w:color="auto" w:fill="auto"/>
            <w:vAlign w:val="center"/>
            <w:hideMark/>
          </w:tcPr>
          <w:p w14:paraId="69BE9245" w14:textId="77777777" w:rsidR="00B301B0" w:rsidRPr="00B301B0" w:rsidRDefault="00B301B0" w:rsidP="00B301B0">
            <w:pPr>
              <w:widowControl/>
              <w:overflowPunct/>
              <w:autoSpaceDE/>
              <w:autoSpaceDN/>
              <w:adjustRightInd/>
              <w:rPr>
                <w:iCs/>
                <w:kern w:val="0"/>
              </w:rPr>
            </w:pPr>
            <w:r w:rsidRPr="00B301B0">
              <w:rPr>
                <w:iCs/>
                <w:kern w:val="0"/>
              </w:rPr>
              <w:t xml:space="preserve">HQ-SUB conflict </w:t>
            </w:r>
          </w:p>
          <w:p w14:paraId="4EFE4791" w14:textId="77777777" w:rsidR="00B301B0" w:rsidRPr="00B301B0" w:rsidRDefault="00B301B0" w:rsidP="00B301B0">
            <w:pPr>
              <w:widowControl/>
              <w:overflowPunct/>
              <w:autoSpaceDE/>
              <w:autoSpaceDN/>
              <w:adjustRightInd/>
              <w:rPr>
                <w:iCs/>
                <w:kern w:val="0"/>
              </w:rPr>
            </w:pPr>
            <w:r w:rsidRPr="00B301B0">
              <w:rPr>
                <w:iCs/>
                <w:kern w:val="0"/>
              </w:rPr>
              <w:t>Goal alignment</w:t>
            </w:r>
          </w:p>
          <w:p w14:paraId="0C0C721A" w14:textId="77777777" w:rsidR="00B301B0" w:rsidRPr="00B301B0" w:rsidRDefault="00B301B0" w:rsidP="00B301B0">
            <w:pPr>
              <w:widowControl/>
              <w:overflowPunct/>
              <w:autoSpaceDE/>
              <w:autoSpaceDN/>
              <w:adjustRightInd/>
              <w:rPr>
                <w:iCs/>
                <w:kern w:val="0"/>
              </w:rPr>
            </w:pPr>
            <w:r w:rsidRPr="00B301B0">
              <w:rPr>
                <w:iCs/>
                <w:kern w:val="0"/>
              </w:rPr>
              <w:t xml:space="preserve">Strategic relatedness </w:t>
            </w:r>
          </w:p>
          <w:p w14:paraId="5481FC8D" w14:textId="77777777" w:rsidR="00B301B0" w:rsidRPr="00B301B0" w:rsidRDefault="00B301B0" w:rsidP="00B301B0">
            <w:pPr>
              <w:widowControl/>
              <w:overflowPunct/>
              <w:autoSpaceDE/>
              <w:autoSpaceDN/>
              <w:adjustRightInd/>
              <w:rPr>
                <w:iCs/>
                <w:kern w:val="0"/>
              </w:rPr>
            </w:pPr>
            <w:r w:rsidRPr="00B301B0">
              <w:rPr>
                <w:iCs/>
                <w:kern w:val="0"/>
              </w:rPr>
              <w:t>Shared values</w:t>
            </w:r>
          </w:p>
          <w:p w14:paraId="19C29467" w14:textId="77777777" w:rsidR="00B301B0" w:rsidRPr="00B301B0" w:rsidRDefault="00B301B0" w:rsidP="00B301B0">
            <w:pPr>
              <w:widowControl/>
              <w:overflowPunct/>
              <w:autoSpaceDE/>
              <w:autoSpaceDN/>
              <w:adjustRightInd/>
              <w:rPr>
                <w:iCs/>
                <w:kern w:val="0"/>
              </w:rPr>
            </w:pPr>
          </w:p>
        </w:tc>
        <w:tc>
          <w:tcPr>
            <w:tcW w:w="1905" w:type="dxa"/>
            <w:shd w:val="clear" w:color="auto" w:fill="auto"/>
            <w:vAlign w:val="center"/>
            <w:hideMark/>
          </w:tcPr>
          <w:p w14:paraId="58C3EB77" w14:textId="77777777" w:rsidR="00B301B0" w:rsidRPr="00B301B0" w:rsidRDefault="00B301B0" w:rsidP="00B301B0">
            <w:pPr>
              <w:widowControl/>
              <w:overflowPunct/>
              <w:autoSpaceDE/>
              <w:autoSpaceDN/>
              <w:adjustRightInd/>
              <w:rPr>
                <w:iCs/>
                <w:kern w:val="0"/>
              </w:rPr>
            </w:pPr>
            <w:r w:rsidRPr="00B301B0">
              <w:rPr>
                <w:iCs/>
                <w:kern w:val="0"/>
              </w:rPr>
              <w:t>Opportunism</w:t>
            </w:r>
          </w:p>
          <w:p w14:paraId="6F2D08F9" w14:textId="77777777" w:rsidR="00B301B0" w:rsidRPr="00B301B0" w:rsidRDefault="00B301B0" w:rsidP="00B301B0">
            <w:pPr>
              <w:widowControl/>
              <w:overflowPunct/>
              <w:autoSpaceDE/>
              <w:autoSpaceDN/>
              <w:adjustRightInd/>
              <w:rPr>
                <w:iCs/>
                <w:kern w:val="0"/>
              </w:rPr>
            </w:pPr>
            <w:r w:rsidRPr="00B301B0">
              <w:rPr>
                <w:iCs/>
                <w:kern w:val="0"/>
              </w:rPr>
              <w:t>Goal Alignment</w:t>
            </w:r>
          </w:p>
        </w:tc>
        <w:tc>
          <w:tcPr>
            <w:tcW w:w="3065" w:type="dxa"/>
            <w:shd w:val="clear" w:color="auto" w:fill="auto"/>
            <w:vAlign w:val="center"/>
            <w:hideMark/>
          </w:tcPr>
          <w:p w14:paraId="2DBE2302" w14:textId="77777777" w:rsidR="00B301B0" w:rsidRPr="00B301B0" w:rsidRDefault="00B301B0" w:rsidP="00B301B0">
            <w:pPr>
              <w:widowControl/>
              <w:overflowPunct/>
              <w:autoSpaceDE/>
              <w:autoSpaceDN/>
              <w:adjustRightInd/>
              <w:rPr>
                <w:iCs/>
                <w:kern w:val="0"/>
              </w:rPr>
            </w:pPr>
            <w:r w:rsidRPr="00B301B0">
              <w:rPr>
                <w:iCs/>
                <w:kern w:val="0"/>
              </w:rPr>
              <w:t>1.) Headquarters will allocate autonomy when mechanisms to monitor subsidiaries and mitigate goal conflict are implemented.</w:t>
            </w:r>
          </w:p>
          <w:p w14:paraId="7251C297" w14:textId="77777777" w:rsidR="00B301B0" w:rsidRPr="00B301B0" w:rsidRDefault="00B301B0" w:rsidP="00B301B0">
            <w:pPr>
              <w:widowControl/>
              <w:overflowPunct/>
              <w:autoSpaceDE/>
              <w:autoSpaceDN/>
              <w:adjustRightInd/>
              <w:rPr>
                <w:iCs/>
                <w:kern w:val="0"/>
              </w:rPr>
            </w:pPr>
          </w:p>
          <w:p w14:paraId="45A303E8" w14:textId="77777777" w:rsidR="00B301B0" w:rsidRPr="00B301B0" w:rsidRDefault="00B301B0" w:rsidP="00B301B0">
            <w:pPr>
              <w:widowControl/>
              <w:overflowPunct/>
              <w:autoSpaceDE/>
              <w:autoSpaceDN/>
              <w:adjustRightInd/>
              <w:rPr>
                <w:iCs/>
                <w:kern w:val="0"/>
              </w:rPr>
            </w:pPr>
            <w:r w:rsidRPr="00B301B0">
              <w:rPr>
                <w:iCs/>
                <w:kern w:val="0"/>
              </w:rPr>
              <w:t>2.) Headquarters will retain control to protect own interests and prevent subsidiary opportunistic behavior.</w:t>
            </w:r>
          </w:p>
        </w:tc>
        <w:tc>
          <w:tcPr>
            <w:tcW w:w="2790" w:type="dxa"/>
            <w:shd w:val="clear" w:color="auto" w:fill="auto"/>
            <w:vAlign w:val="center"/>
            <w:hideMark/>
          </w:tcPr>
          <w:p w14:paraId="19D9A83C" w14:textId="77777777" w:rsidR="00B301B0" w:rsidRPr="00B301B0" w:rsidRDefault="00B301B0" w:rsidP="00B301B0">
            <w:pPr>
              <w:widowControl/>
              <w:overflowPunct/>
              <w:autoSpaceDE/>
              <w:autoSpaceDN/>
              <w:adjustRightInd/>
              <w:rPr>
                <w:iCs/>
                <w:kern w:val="0"/>
              </w:rPr>
            </w:pPr>
            <w:r w:rsidRPr="00B301B0">
              <w:rPr>
                <w:iCs/>
                <w:kern w:val="0"/>
              </w:rPr>
              <w:t>O’Donnell (2000)</w:t>
            </w:r>
          </w:p>
          <w:p w14:paraId="4E17CE2D" w14:textId="77777777" w:rsidR="00B301B0" w:rsidRPr="00B301B0" w:rsidRDefault="00B301B0" w:rsidP="00B301B0">
            <w:pPr>
              <w:widowControl/>
              <w:overflowPunct/>
              <w:autoSpaceDE/>
              <w:autoSpaceDN/>
              <w:adjustRightInd/>
              <w:rPr>
                <w:iCs/>
                <w:kern w:val="0"/>
              </w:rPr>
            </w:pPr>
            <w:r w:rsidRPr="00B301B0">
              <w:rPr>
                <w:iCs/>
                <w:kern w:val="0"/>
              </w:rPr>
              <w:t>Scott et al. (2010)</w:t>
            </w:r>
          </w:p>
          <w:p w14:paraId="024D8006" w14:textId="77777777" w:rsidR="00B301B0" w:rsidRPr="00B301B0" w:rsidRDefault="00B301B0" w:rsidP="00B301B0">
            <w:pPr>
              <w:widowControl/>
              <w:overflowPunct/>
              <w:autoSpaceDE/>
              <w:autoSpaceDN/>
              <w:adjustRightInd/>
              <w:rPr>
                <w:iCs/>
                <w:kern w:val="0"/>
              </w:rPr>
            </w:pPr>
            <w:r w:rsidRPr="00B301B0">
              <w:rPr>
                <w:iCs/>
                <w:kern w:val="0"/>
              </w:rPr>
              <w:t>Ambos et al. (2011)</w:t>
            </w:r>
          </w:p>
          <w:p w14:paraId="72351A54" w14:textId="77777777" w:rsidR="00B301B0" w:rsidRPr="00B301B0" w:rsidRDefault="00B301B0" w:rsidP="00B301B0">
            <w:pPr>
              <w:widowControl/>
              <w:overflowPunct/>
              <w:autoSpaceDE/>
              <w:autoSpaceDN/>
              <w:adjustRightInd/>
              <w:rPr>
                <w:iCs/>
                <w:kern w:val="0"/>
              </w:rPr>
            </w:pPr>
            <w:r w:rsidRPr="00B301B0">
              <w:rPr>
                <w:iCs/>
                <w:kern w:val="0"/>
              </w:rPr>
              <w:t>Lazarova et al. (2017)</w:t>
            </w:r>
          </w:p>
          <w:p w14:paraId="7A3FF28A" w14:textId="77777777" w:rsidR="00B301B0" w:rsidRPr="00B301B0" w:rsidRDefault="00B301B0" w:rsidP="00B301B0">
            <w:pPr>
              <w:widowControl/>
              <w:overflowPunct/>
              <w:autoSpaceDE/>
              <w:autoSpaceDN/>
              <w:adjustRightInd/>
              <w:rPr>
                <w:iCs/>
                <w:kern w:val="0"/>
              </w:rPr>
            </w:pPr>
            <w:r w:rsidRPr="00B301B0">
              <w:rPr>
                <w:iCs/>
                <w:kern w:val="0"/>
              </w:rPr>
              <w:t>Ambos et al. (2019)</w:t>
            </w:r>
          </w:p>
        </w:tc>
      </w:tr>
      <w:tr w:rsidR="00B301B0" w:rsidRPr="00B301B0" w14:paraId="5B7364AC" w14:textId="77777777" w:rsidTr="00DB7B9A">
        <w:trPr>
          <w:trHeight w:val="2026"/>
        </w:trPr>
        <w:tc>
          <w:tcPr>
            <w:tcW w:w="2245" w:type="dxa"/>
            <w:shd w:val="clear" w:color="auto" w:fill="auto"/>
            <w:noWrap/>
            <w:vAlign w:val="center"/>
            <w:hideMark/>
          </w:tcPr>
          <w:p w14:paraId="33DB4614" w14:textId="77777777" w:rsidR="00B301B0" w:rsidRPr="00B301B0" w:rsidRDefault="00B301B0" w:rsidP="00B301B0">
            <w:pPr>
              <w:widowControl/>
              <w:overflowPunct/>
              <w:autoSpaceDE/>
              <w:autoSpaceDN/>
              <w:adjustRightInd/>
              <w:rPr>
                <w:i/>
                <w:kern w:val="0"/>
              </w:rPr>
            </w:pPr>
            <w:r w:rsidRPr="00B301B0">
              <w:rPr>
                <w:i/>
                <w:kern w:val="0"/>
              </w:rPr>
              <w:t>Institutional theory</w:t>
            </w:r>
          </w:p>
        </w:tc>
        <w:tc>
          <w:tcPr>
            <w:tcW w:w="2145" w:type="dxa"/>
            <w:shd w:val="clear" w:color="auto" w:fill="auto"/>
            <w:vAlign w:val="center"/>
            <w:hideMark/>
          </w:tcPr>
          <w:p w14:paraId="7E1C477A" w14:textId="77777777" w:rsidR="00B301B0" w:rsidRPr="00B301B0" w:rsidRDefault="00B301B0" w:rsidP="00B301B0">
            <w:pPr>
              <w:widowControl/>
              <w:overflowPunct/>
              <w:autoSpaceDE/>
              <w:autoSpaceDN/>
              <w:adjustRightInd/>
              <w:rPr>
                <w:iCs/>
                <w:kern w:val="0"/>
              </w:rPr>
            </w:pPr>
            <w:r w:rsidRPr="00B301B0">
              <w:rPr>
                <w:iCs/>
                <w:kern w:val="0"/>
              </w:rPr>
              <w:t xml:space="preserve">Institutional distance </w:t>
            </w:r>
          </w:p>
          <w:p w14:paraId="1DEF1ED7" w14:textId="77777777" w:rsidR="00B301B0" w:rsidRPr="00B301B0" w:rsidRDefault="00B301B0" w:rsidP="00B301B0">
            <w:pPr>
              <w:widowControl/>
              <w:overflowPunct/>
              <w:autoSpaceDE/>
              <w:autoSpaceDN/>
              <w:adjustRightInd/>
              <w:rPr>
                <w:iCs/>
                <w:kern w:val="0"/>
              </w:rPr>
            </w:pPr>
            <w:r w:rsidRPr="00B301B0">
              <w:rPr>
                <w:iCs/>
                <w:kern w:val="0"/>
              </w:rPr>
              <w:t>Cultural distance</w:t>
            </w:r>
          </w:p>
          <w:p w14:paraId="797ED9F8" w14:textId="77777777" w:rsidR="00B301B0" w:rsidRPr="00B301B0" w:rsidRDefault="00B301B0" w:rsidP="00B301B0">
            <w:pPr>
              <w:widowControl/>
              <w:overflowPunct/>
              <w:autoSpaceDE/>
              <w:autoSpaceDN/>
              <w:adjustRightInd/>
              <w:rPr>
                <w:iCs/>
                <w:kern w:val="0"/>
              </w:rPr>
            </w:pPr>
            <w:r w:rsidRPr="00B301B0">
              <w:rPr>
                <w:iCs/>
                <w:kern w:val="0"/>
              </w:rPr>
              <w:t>Institutional constraints</w:t>
            </w:r>
          </w:p>
        </w:tc>
        <w:tc>
          <w:tcPr>
            <w:tcW w:w="1905" w:type="dxa"/>
            <w:shd w:val="clear" w:color="auto" w:fill="auto"/>
            <w:vAlign w:val="center"/>
            <w:hideMark/>
          </w:tcPr>
          <w:p w14:paraId="127D0452" w14:textId="77777777" w:rsidR="00B301B0" w:rsidRPr="00B301B0" w:rsidRDefault="00B301B0" w:rsidP="00B301B0">
            <w:pPr>
              <w:widowControl/>
              <w:overflowPunct/>
              <w:autoSpaceDE/>
              <w:autoSpaceDN/>
              <w:adjustRightInd/>
              <w:rPr>
                <w:iCs/>
                <w:kern w:val="0"/>
              </w:rPr>
            </w:pPr>
            <w:r w:rsidRPr="00B301B0">
              <w:rPr>
                <w:iCs/>
                <w:kern w:val="0"/>
              </w:rPr>
              <w:t>Legitimacy</w:t>
            </w:r>
          </w:p>
          <w:p w14:paraId="611B6FC4" w14:textId="77777777" w:rsidR="00B301B0" w:rsidRPr="00B301B0" w:rsidRDefault="00B301B0" w:rsidP="00B301B0">
            <w:pPr>
              <w:widowControl/>
              <w:overflowPunct/>
              <w:autoSpaceDE/>
              <w:autoSpaceDN/>
              <w:adjustRightInd/>
              <w:rPr>
                <w:iCs/>
                <w:kern w:val="0"/>
              </w:rPr>
            </w:pPr>
            <w:r w:rsidRPr="00B301B0">
              <w:rPr>
                <w:iCs/>
                <w:kern w:val="0"/>
              </w:rPr>
              <w:t>Responsiveness</w:t>
            </w:r>
          </w:p>
          <w:p w14:paraId="749B91F5" w14:textId="77777777" w:rsidR="00B301B0" w:rsidRPr="00B301B0" w:rsidRDefault="00B301B0" w:rsidP="00B301B0">
            <w:pPr>
              <w:widowControl/>
              <w:overflowPunct/>
              <w:autoSpaceDE/>
              <w:autoSpaceDN/>
              <w:adjustRightInd/>
              <w:rPr>
                <w:iCs/>
                <w:kern w:val="0"/>
              </w:rPr>
            </w:pPr>
            <w:r w:rsidRPr="00B301B0">
              <w:rPr>
                <w:iCs/>
                <w:kern w:val="0"/>
              </w:rPr>
              <w:t>Embeddedness</w:t>
            </w:r>
          </w:p>
        </w:tc>
        <w:tc>
          <w:tcPr>
            <w:tcW w:w="3065" w:type="dxa"/>
            <w:shd w:val="clear" w:color="auto" w:fill="auto"/>
            <w:vAlign w:val="center"/>
            <w:hideMark/>
          </w:tcPr>
          <w:p w14:paraId="0F3B6974" w14:textId="77777777" w:rsidR="00B301B0" w:rsidRPr="00B301B0" w:rsidRDefault="00B301B0" w:rsidP="00B301B0">
            <w:pPr>
              <w:widowControl/>
              <w:overflowPunct/>
              <w:autoSpaceDE/>
              <w:autoSpaceDN/>
              <w:adjustRightInd/>
              <w:rPr>
                <w:iCs/>
                <w:kern w:val="0"/>
              </w:rPr>
            </w:pPr>
            <w:r w:rsidRPr="00B301B0">
              <w:rPr>
                <w:iCs/>
                <w:kern w:val="0"/>
              </w:rPr>
              <w:t>1.) Headquarters will allocate autonomy in institutionally distal environments due to knowledge gaps between home and host-country markets.</w:t>
            </w:r>
          </w:p>
          <w:p w14:paraId="75494DF2" w14:textId="77777777" w:rsidR="00B301B0" w:rsidRPr="00B301B0" w:rsidRDefault="00B301B0" w:rsidP="00B301B0">
            <w:pPr>
              <w:widowControl/>
              <w:overflowPunct/>
              <w:autoSpaceDE/>
              <w:autoSpaceDN/>
              <w:adjustRightInd/>
              <w:rPr>
                <w:iCs/>
                <w:kern w:val="0"/>
              </w:rPr>
            </w:pPr>
          </w:p>
          <w:p w14:paraId="18402FB5" w14:textId="77777777" w:rsidR="00B301B0" w:rsidRPr="00B301B0" w:rsidRDefault="00B301B0" w:rsidP="00B301B0">
            <w:pPr>
              <w:widowControl/>
              <w:overflowPunct/>
              <w:autoSpaceDE/>
              <w:autoSpaceDN/>
              <w:adjustRightInd/>
              <w:rPr>
                <w:iCs/>
                <w:kern w:val="0"/>
              </w:rPr>
            </w:pPr>
            <w:r w:rsidRPr="00B301B0">
              <w:rPr>
                <w:iCs/>
                <w:kern w:val="0"/>
              </w:rPr>
              <w:t>2.) Headquarters will retain control in institutionally proximal environments to monitor subsidiary behavior.</w:t>
            </w:r>
          </w:p>
        </w:tc>
        <w:tc>
          <w:tcPr>
            <w:tcW w:w="2790" w:type="dxa"/>
            <w:shd w:val="clear" w:color="auto" w:fill="auto"/>
            <w:vAlign w:val="center"/>
            <w:hideMark/>
          </w:tcPr>
          <w:p w14:paraId="7172F0B8" w14:textId="77777777" w:rsidR="00B301B0" w:rsidRPr="00B301B0" w:rsidRDefault="00B301B0" w:rsidP="00B301B0">
            <w:pPr>
              <w:widowControl/>
              <w:overflowPunct/>
              <w:autoSpaceDE/>
              <w:autoSpaceDN/>
              <w:adjustRightInd/>
              <w:rPr>
                <w:iCs/>
                <w:kern w:val="0"/>
              </w:rPr>
            </w:pPr>
            <w:r w:rsidRPr="00B301B0">
              <w:rPr>
                <w:iCs/>
                <w:kern w:val="0"/>
              </w:rPr>
              <w:t>Gomez &amp; Werner (2004)</w:t>
            </w:r>
          </w:p>
          <w:p w14:paraId="6189A500" w14:textId="77777777" w:rsidR="00B301B0" w:rsidRPr="00B301B0" w:rsidRDefault="00B301B0" w:rsidP="00B301B0">
            <w:pPr>
              <w:widowControl/>
              <w:overflowPunct/>
              <w:autoSpaceDE/>
              <w:autoSpaceDN/>
              <w:adjustRightInd/>
              <w:rPr>
                <w:iCs/>
                <w:kern w:val="0"/>
              </w:rPr>
            </w:pPr>
            <w:r w:rsidRPr="00B301B0">
              <w:rPr>
                <w:iCs/>
                <w:kern w:val="0"/>
              </w:rPr>
              <w:t>Gaur et al. (2007)</w:t>
            </w:r>
          </w:p>
          <w:p w14:paraId="788BC90A" w14:textId="77777777" w:rsidR="00B301B0" w:rsidRPr="00B301B0" w:rsidRDefault="00B301B0" w:rsidP="00B301B0">
            <w:pPr>
              <w:widowControl/>
              <w:overflowPunct/>
              <w:autoSpaceDE/>
              <w:autoSpaceDN/>
              <w:adjustRightInd/>
              <w:rPr>
                <w:iCs/>
                <w:kern w:val="0"/>
              </w:rPr>
            </w:pPr>
            <w:r w:rsidRPr="00B301B0">
              <w:rPr>
                <w:iCs/>
                <w:kern w:val="0"/>
              </w:rPr>
              <w:t>Fenton-O’Creevy et al. (2008)</w:t>
            </w:r>
          </w:p>
          <w:p w14:paraId="25AC6EE2" w14:textId="77777777" w:rsidR="00B301B0" w:rsidRPr="00B301B0" w:rsidRDefault="00B301B0" w:rsidP="00B301B0">
            <w:pPr>
              <w:widowControl/>
              <w:overflowPunct/>
              <w:autoSpaceDE/>
              <w:autoSpaceDN/>
              <w:adjustRightInd/>
              <w:rPr>
                <w:iCs/>
                <w:kern w:val="0"/>
              </w:rPr>
            </w:pPr>
            <w:r w:rsidRPr="00B301B0">
              <w:rPr>
                <w:iCs/>
                <w:kern w:val="0"/>
              </w:rPr>
              <w:t>Slangen &amp; Hennart (2008)</w:t>
            </w:r>
          </w:p>
          <w:p w14:paraId="63269D74" w14:textId="77777777" w:rsidR="00B301B0" w:rsidRPr="00B301B0" w:rsidRDefault="00B301B0" w:rsidP="00B301B0">
            <w:pPr>
              <w:widowControl/>
              <w:overflowPunct/>
              <w:autoSpaceDE/>
              <w:autoSpaceDN/>
              <w:adjustRightInd/>
              <w:rPr>
                <w:iCs/>
                <w:kern w:val="0"/>
              </w:rPr>
            </w:pPr>
            <w:r w:rsidRPr="00B301B0">
              <w:rPr>
                <w:iCs/>
                <w:kern w:val="0"/>
              </w:rPr>
              <w:t>Kawai &amp; Strange (2014)</w:t>
            </w:r>
          </w:p>
        </w:tc>
      </w:tr>
      <w:tr w:rsidR="00B301B0" w:rsidRPr="00B301B0" w14:paraId="2D9FC999" w14:textId="77777777" w:rsidTr="00DB7B9A">
        <w:trPr>
          <w:trHeight w:val="2026"/>
        </w:trPr>
        <w:tc>
          <w:tcPr>
            <w:tcW w:w="2245" w:type="dxa"/>
            <w:shd w:val="clear" w:color="auto" w:fill="auto"/>
            <w:noWrap/>
            <w:vAlign w:val="center"/>
            <w:hideMark/>
          </w:tcPr>
          <w:p w14:paraId="74EA0C26" w14:textId="77777777" w:rsidR="00B301B0" w:rsidRPr="00B301B0" w:rsidRDefault="00B301B0" w:rsidP="00B301B0">
            <w:pPr>
              <w:widowControl/>
              <w:overflowPunct/>
              <w:autoSpaceDE/>
              <w:autoSpaceDN/>
              <w:adjustRightInd/>
              <w:rPr>
                <w:i/>
                <w:kern w:val="0"/>
              </w:rPr>
            </w:pPr>
            <w:r w:rsidRPr="00B301B0">
              <w:rPr>
                <w:i/>
                <w:kern w:val="0"/>
              </w:rPr>
              <w:t xml:space="preserve">Global strategy </w:t>
            </w:r>
            <w:r w:rsidRPr="00B301B0">
              <w:rPr>
                <w:i/>
                <w:kern w:val="0"/>
                <w:vertAlign w:val="superscript"/>
              </w:rPr>
              <w:t>A</w:t>
            </w:r>
          </w:p>
        </w:tc>
        <w:tc>
          <w:tcPr>
            <w:tcW w:w="2145" w:type="dxa"/>
            <w:shd w:val="clear" w:color="auto" w:fill="auto"/>
            <w:vAlign w:val="center"/>
            <w:hideMark/>
          </w:tcPr>
          <w:p w14:paraId="51E0FCB3" w14:textId="77777777" w:rsidR="00B301B0" w:rsidRPr="00B301B0" w:rsidRDefault="00B301B0" w:rsidP="00B301B0">
            <w:pPr>
              <w:widowControl/>
              <w:overflowPunct/>
              <w:autoSpaceDE/>
              <w:autoSpaceDN/>
              <w:adjustRightInd/>
              <w:rPr>
                <w:iCs/>
                <w:kern w:val="0"/>
              </w:rPr>
            </w:pPr>
            <w:r w:rsidRPr="00B301B0">
              <w:rPr>
                <w:iCs/>
                <w:kern w:val="0"/>
              </w:rPr>
              <w:t>Subsidiary power</w:t>
            </w:r>
          </w:p>
          <w:p w14:paraId="3F4B3246" w14:textId="77777777" w:rsidR="00B301B0" w:rsidRPr="00B301B0" w:rsidRDefault="00B301B0" w:rsidP="00B301B0">
            <w:pPr>
              <w:widowControl/>
              <w:overflowPunct/>
              <w:autoSpaceDE/>
              <w:autoSpaceDN/>
              <w:adjustRightInd/>
              <w:rPr>
                <w:iCs/>
                <w:kern w:val="0"/>
              </w:rPr>
            </w:pPr>
            <w:r w:rsidRPr="00B301B0">
              <w:rPr>
                <w:iCs/>
                <w:kern w:val="0"/>
              </w:rPr>
              <w:t>Vertical dependence</w:t>
            </w:r>
          </w:p>
          <w:p w14:paraId="42D479B3" w14:textId="77777777" w:rsidR="00B301B0" w:rsidRPr="00B301B0" w:rsidRDefault="00B301B0" w:rsidP="00B301B0">
            <w:pPr>
              <w:widowControl/>
              <w:overflowPunct/>
              <w:autoSpaceDE/>
              <w:autoSpaceDN/>
              <w:adjustRightInd/>
              <w:rPr>
                <w:iCs/>
                <w:kern w:val="0"/>
              </w:rPr>
            </w:pPr>
            <w:r w:rsidRPr="00B301B0">
              <w:rPr>
                <w:iCs/>
                <w:kern w:val="0"/>
              </w:rPr>
              <w:t>Subsidiary resources</w:t>
            </w:r>
          </w:p>
          <w:p w14:paraId="6C4DB2CC" w14:textId="77777777" w:rsidR="00B301B0" w:rsidRPr="00B301B0" w:rsidRDefault="00B301B0" w:rsidP="00B301B0">
            <w:pPr>
              <w:widowControl/>
              <w:overflowPunct/>
              <w:autoSpaceDE/>
              <w:autoSpaceDN/>
              <w:adjustRightInd/>
              <w:rPr>
                <w:iCs/>
                <w:kern w:val="0"/>
              </w:rPr>
            </w:pPr>
            <w:r w:rsidRPr="00B301B0">
              <w:rPr>
                <w:iCs/>
                <w:kern w:val="0"/>
              </w:rPr>
              <w:t>Local responsiveness</w:t>
            </w:r>
          </w:p>
          <w:p w14:paraId="7BD13617" w14:textId="77777777" w:rsidR="00B301B0" w:rsidRPr="00B301B0" w:rsidRDefault="00B301B0" w:rsidP="00B301B0">
            <w:pPr>
              <w:widowControl/>
              <w:overflowPunct/>
              <w:autoSpaceDE/>
              <w:autoSpaceDN/>
              <w:adjustRightInd/>
              <w:rPr>
                <w:iCs/>
                <w:kern w:val="0"/>
              </w:rPr>
            </w:pPr>
            <w:r w:rsidRPr="00B301B0">
              <w:rPr>
                <w:iCs/>
                <w:kern w:val="0"/>
              </w:rPr>
              <w:t>Value chain breadth</w:t>
            </w:r>
          </w:p>
          <w:p w14:paraId="24150578" w14:textId="77777777" w:rsidR="00B301B0" w:rsidRPr="00B301B0" w:rsidRDefault="00B301B0" w:rsidP="00B301B0">
            <w:pPr>
              <w:widowControl/>
              <w:overflowPunct/>
              <w:autoSpaceDE/>
              <w:autoSpaceDN/>
              <w:adjustRightInd/>
              <w:rPr>
                <w:iCs/>
                <w:kern w:val="0"/>
              </w:rPr>
            </w:pPr>
          </w:p>
        </w:tc>
        <w:tc>
          <w:tcPr>
            <w:tcW w:w="1905" w:type="dxa"/>
            <w:shd w:val="clear" w:color="auto" w:fill="auto"/>
            <w:vAlign w:val="center"/>
            <w:hideMark/>
          </w:tcPr>
          <w:p w14:paraId="557FA2D6" w14:textId="77777777" w:rsidR="00B301B0" w:rsidRPr="00B301B0" w:rsidRDefault="00B301B0" w:rsidP="00B301B0">
            <w:pPr>
              <w:widowControl/>
              <w:overflowPunct/>
              <w:autoSpaceDE/>
              <w:autoSpaceDN/>
              <w:adjustRightInd/>
              <w:rPr>
                <w:iCs/>
                <w:kern w:val="0"/>
              </w:rPr>
            </w:pPr>
            <w:r w:rsidRPr="00B301B0">
              <w:rPr>
                <w:iCs/>
                <w:kern w:val="0"/>
              </w:rPr>
              <w:t>Efficiency</w:t>
            </w:r>
          </w:p>
          <w:p w14:paraId="1C96C835" w14:textId="77777777" w:rsidR="00B301B0" w:rsidRPr="00B301B0" w:rsidRDefault="00B301B0" w:rsidP="00B301B0">
            <w:pPr>
              <w:widowControl/>
              <w:overflowPunct/>
              <w:autoSpaceDE/>
              <w:autoSpaceDN/>
              <w:adjustRightInd/>
              <w:rPr>
                <w:iCs/>
                <w:kern w:val="0"/>
              </w:rPr>
            </w:pPr>
            <w:r w:rsidRPr="00B301B0">
              <w:rPr>
                <w:iCs/>
                <w:kern w:val="0"/>
              </w:rPr>
              <w:t>Value creation</w:t>
            </w:r>
          </w:p>
          <w:p w14:paraId="5F8B5246" w14:textId="77777777" w:rsidR="00B301B0" w:rsidRPr="00B301B0" w:rsidRDefault="00B301B0" w:rsidP="00B301B0">
            <w:pPr>
              <w:widowControl/>
              <w:overflowPunct/>
              <w:autoSpaceDE/>
              <w:autoSpaceDN/>
              <w:adjustRightInd/>
              <w:rPr>
                <w:iCs/>
                <w:kern w:val="0"/>
              </w:rPr>
            </w:pPr>
            <w:r w:rsidRPr="00B301B0">
              <w:rPr>
                <w:iCs/>
                <w:kern w:val="0"/>
              </w:rPr>
              <w:t>Bargaining Power</w:t>
            </w:r>
          </w:p>
        </w:tc>
        <w:tc>
          <w:tcPr>
            <w:tcW w:w="3065" w:type="dxa"/>
            <w:shd w:val="clear" w:color="auto" w:fill="auto"/>
            <w:vAlign w:val="center"/>
            <w:hideMark/>
          </w:tcPr>
          <w:p w14:paraId="7EE02A08" w14:textId="77777777" w:rsidR="00B301B0" w:rsidRPr="00B301B0" w:rsidRDefault="00B301B0" w:rsidP="00B301B0">
            <w:pPr>
              <w:widowControl/>
              <w:overflowPunct/>
              <w:autoSpaceDE/>
              <w:autoSpaceDN/>
              <w:adjustRightInd/>
              <w:rPr>
                <w:iCs/>
                <w:kern w:val="0"/>
              </w:rPr>
            </w:pPr>
            <w:r w:rsidRPr="00B301B0">
              <w:rPr>
                <w:iCs/>
                <w:kern w:val="0"/>
              </w:rPr>
              <w:t>1.) Headquarters will allocate autonomy to enable innovation and the development of resource-based advantages, reflective of the MNE’s strategy.</w:t>
            </w:r>
          </w:p>
          <w:p w14:paraId="78B9769B" w14:textId="77777777" w:rsidR="00B301B0" w:rsidRPr="00B301B0" w:rsidRDefault="00B301B0" w:rsidP="00B301B0">
            <w:pPr>
              <w:widowControl/>
              <w:overflowPunct/>
              <w:autoSpaceDE/>
              <w:autoSpaceDN/>
              <w:adjustRightInd/>
              <w:rPr>
                <w:iCs/>
                <w:kern w:val="0"/>
              </w:rPr>
            </w:pPr>
          </w:p>
          <w:p w14:paraId="7E080254" w14:textId="77777777" w:rsidR="00B301B0" w:rsidRPr="00B301B0" w:rsidRDefault="00B301B0" w:rsidP="00B301B0">
            <w:pPr>
              <w:widowControl/>
              <w:overflowPunct/>
              <w:autoSpaceDE/>
              <w:autoSpaceDN/>
              <w:adjustRightInd/>
              <w:rPr>
                <w:iCs/>
                <w:kern w:val="0"/>
              </w:rPr>
            </w:pPr>
            <w:r w:rsidRPr="00B301B0">
              <w:rPr>
                <w:iCs/>
                <w:kern w:val="0"/>
              </w:rPr>
              <w:t>2.) Headquarters will retain control when subsidiaries are vertically integrated and focused on global integration.</w:t>
            </w:r>
          </w:p>
        </w:tc>
        <w:tc>
          <w:tcPr>
            <w:tcW w:w="2790" w:type="dxa"/>
            <w:shd w:val="clear" w:color="auto" w:fill="auto"/>
            <w:vAlign w:val="center"/>
            <w:hideMark/>
          </w:tcPr>
          <w:p w14:paraId="144E519F" w14:textId="77777777" w:rsidR="00B301B0" w:rsidRPr="00B301B0" w:rsidRDefault="00B301B0" w:rsidP="00B301B0">
            <w:pPr>
              <w:widowControl/>
              <w:overflowPunct/>
              <w:autoSpaceDE/>
              <w:autoSpaceDN/>
              <w:adjustRightInd/>
              <w:rPr>
                <w:iCs/>
                <w:kern w:val="0"/>
              </w:rPr>
            </w:pPr>
            <w:r w:rsidRPr="00B301B0">
              <w:rPr>
                <w:iCs/>
                <w:kern w:val="0"/>
              </w:rPr>
              <w:t>Rugman &amp; Verbeke (2001)</w:t>
            </w:r>
          </w:p>
          <w:p w14:paraId="1B9DF30B" w14:textId="77777777" w:rsidR="00B301B0" w:rsidRPr="00B301B0" w:rsidRDefault="00B301B0" w:rsidP="00B301B0">
            <w:pPr>
              <w:widowControl/>
              <w:overflowPunct/>
              <w:autoSpaceDE/>
              <w:autoSpaceDN/>
              <w:adjustRightInd/>
              <w:rPr>
                <w:iCs/>
                <w:kern w:val="0"/>
              </w:rPr>
            </w:pPr>
            <w:r w:rsidRPr="00B301B0">
              <w:rPr>
                <w:iCs/>
                <w:kern w:val="0"/>
              </w:rPr>
              <w:t>Mudambi &amp; Navarra (2004)</w:t>
            </w:r>
          </w:p>
          <w:p w14:paraId="15819BE7" w14:textId="77777777" w:rsidR="00B301B0" w:rsidRPr="00B301B0" w:rsidRDefault="00B301B0" w:rsidP="00B301B0">
            <w:pPr>
              <w:widowControl/>
              <w:overflowPunct/>
              <w:autoSpaceDE/>
              <w:autoSpaceDN/>
              <w:adjustRightInd/>
              <w:rPr>
                <w:iCs/>
                <w:kern w:val="0"/>
              </w:rPr>
            </w:pPr>
            <w:r w:rsidRPr="00B301B0">
              <w:rPr>
                <w:iCs/>
                <w:kern w:val="0"/>
              </w:rPr>
              <w:t xml:space="preserve">Birkinshaw et al. (2005) </w:t>
            </w:r>
          </w:p>
          <w:p w14:paraId="2846BB85" w14:textId="77777777" w:rsidR="00B301B0" w:rsidRPr="00B301B0" w:rsidRDefault="00B301B0" w:rsidP="00B301B0">
            <w:pPr>
              <w:widowControl/>
              <w:overflowPunct/>
              <w:autoSpaceDE/>
              <w:autoSpaceDN/>
              <w:adjustRightInd/>
              <w:rPr>
                <w:iCs/>
                <w:kern w:val="0"/>
              </w:rPr>
            </w:pPr>
            <w:r w:rsidRPr="00B301B0">
              <w:rPr>
                <w:iCs/>
                <w:kern w:val="0"/>
              </w:rPr>
              <w:t>Venaik et al. (2005)</w:t>
            </w:r>
          </w:p>
          <w:p w14:paraId="3C94A58C" w14:textId="77777777" w:rsidR="00B301B0" w:rsidRPr="00B301B0" w:rsidRDefault="00B301B0" w:rsidP="00B301B0">
            <w:pPr>
              <w:widowControl/>
              <w:overflowPunct/>
              <w:autoSpaceDE/>
              <w:autoSpaceDN/>
              <w:adjustRightInd/>
              <w:rPr>
                <w:iCs/>
                <w:kern w:val="0"/>
              </w:rPr>
            </w:pPr>
            <w:r w:rsidRPr="00B301B0">
              <w:rPr>
                <w:iCs/>
                <w:kern w:val="0"/>
              </w:rPr>
              <w:t>Zhan &amp; Chen (2013)</w:t>
            </w:r>
          </w:p>
        </w:tc>
      </w:tr>
    </w:tbl>
    <w:p w14:paraId="6605AEF9" w14:textId="77777777" w:rsidR="00B301B0" w:rsidRPr="00B301B0" w:rsidRDefault="00B301B0" w:rsidP="00B301B0">
      <w:pPr>
        <w:widowControl/>
        <w:overflowPunct/>
        <w:autoSpaceDE/>
        <w:autoSpaceDN/>
        <w:adjustRightInd/>
        <w:ind w:left="720"/>
        <w:jc w:val="both"/>
        <w:rPr>
          <w:kern w:val="0"/>
          <w:sz w:val="22"/>
          <w:szCs w:val="22"/>
        </w:rPr>
      </w:pPr>
      <w:r w:rsidRPr="00B301B0">
        <w:rPr>
          <w:bCs/>
          <w:kern w:val="0"/>
        </w:rPr>
        <w:t>Notes:</w:t>
      </w:r>
      <w:r w:rsidRPr="00B301B0">
        <w:rPr>
          <w:b/>
          <w:kern w:val="0"/>
        </w:rPr>
        <w:t xml:space="preserve"> </w:t>
      </w:r>
      <w:r w:rsidRPr="00B301B0">
        <w:rPr>
          <w:bCs/>
          <w:kern w:val="0"/>
        </w:rPr>
        <w:t>The table is illustrative and in no way exhaustive of all possible theories, variables, explanations and literature; A = This category encompasses several distinct research traditions, but in this study, it refers mostly to resource-based theorizing; for the sake of brevity, some of the citations in this table are not included in the reference list but are available upon request.</w:t>
      </w:r>
      <w:r w:rsidRPr="00B301B0">
        <w:rPr>
          <w:kern w:val="0"/>
          <w:sz w:val="22"/>
          <w:szCs w:val="22"/>
        </w:rPr>
        <w:t xml:space="preserve"> </w:t>
      </w:r>
    </w:p>
    <w:p w14:paraId="03166FBC" w14:textId="77777777" w:rsidR="00B301B0" w:rsidRPr="00B301B0" w:rsidRDefault="00B301B0" w:rsidP="00B301B0">
      <w:pPr>
        <w:widowControl/>
        <w:overflowPunct/>
        <w:autoSpaceDE/>
        <w:autoSpaceDN/>
        <w:adjustRightInd/>
        <w:ind w:left="720"/>
        <w:rPr>
          <w:kern w:val="0"/>
          <w:sz w:val="22"/>
          <w:szCs w:val="22"/>
        </w:rPr>
      </w:pPr>
      <w:r w:rsidRPr="00B301B0">
        <w:rPr>
          <w:kern w:val="0"/>
          <w:sz w:val="22"/>
          <w:szCs w:val="22"/>
        </w:rPr>
        <w:br w:type="page"/>
      </w:r>
    </w:p>
    <w:p w14:paraId="0EC93AA5" w14:textId="77777777" w:rsidR="00B301B0" w:rsidRPr="00B301B0" w:rsidRDefault="00B301B0" w:rsidP="00B301B0">
      <w:pPr>
        <w:widowControl/>
        <w:overflowPunct/>
        <w:autoSpaceDE/>
        <w:autoSpaceDN/>
        <w:adjustRightInd/>
        <w:ind w:left="720"/>
        <w:jc w:val="both"/>
        <w:rPr>
          <w:kern w:val="0"/>
          <w:sz w:val="24"/>
          <w:szCs w:val="24"/>
        </w:rPr>
      </w:pPr>
      <w:r w:rsidRPr="00B301B0">
        <w:rPr>
          <w:kern w:val="0"/>
          <w:sz w:val="24"/>
          <w:szCs w:val="24"/>
        </w:rPr>
        <w:t>Table 2. Summary of main constructs included in final sample</w:t>
      </w:r>
    </w:p>
    <w:p w14:paraId="58DB7A06" w14:textId="77777777" w:rsidR="00B301B0" w:rsidRPr="00B301B0" w:rsidRDefault="00B301B0" w:rsidP="00B301B0">
      <w:pPr>
        <w:widowControl/>
        <w:overflowPunct/>
        <w:autoSpaceDE/>
        <w:autoSpaceDN/>
        <w:adjustRightInd/>
        <w:jc w:val="both"/>
        <w:rPr>
          <w:b/>
          <w:bCs/>
          <w:kern w:val="0"/>
          <w:sz w:val="24"/>
          <w:szCs w:val="24"/>
        </w:rPr>
      </w:pPr>
    </w:p>
    <w:tbl>
      <w:tblPr>
        <w:tblStyle w:val="TableGrid"/>
        <w:tblW w:w="12138" w:type="dxa"/>
        <w:tblInd w:w="805" w:type="dxa"/>
        <w:tblLook w:val="04A0" w:firstRow="1" w:lastRow="0" w:firstColumn="1" w:lastColumn="0" w:noHBand="0" w:noVBand="1"/>
      </w:tblPr>
      <w:tblGrid>
        <w:gridCol w:w="2304"/>
        <w:gridCol w:w="3456"/>
        <w:gridCol w:w="3456"/>
        <w:gridCol w:w="2922"/>
      </w:tblGrid>
      <w:tr w:rsidR="00B301B0" w:rsidRPr="00B301B0" w14:paraId="2DFCF415" w14:textId="77777777" w:rsidTr="00DB7B9A">
        <w:trPr>
          <w:trHeight w:val="20"/>
        </w:trPr>
        <w:tc>
          <w:tcPr>
            <w:tcW w:w="2304" w:type="dxa"/>
            <w:shd w:val="clear" w:color="auto" w:fill="F2F2F2" w:themeFill="background1" w:themeFillShade="F2"/>
            <w:vAlign w:val="center"/>
          </w:tcPr>
          <w:p w14:paraId="76E51DDB" w14:textId="77777777" w:rsidR="00B301B0" w:rsidRPr="00B301B0" w:rsidRDefault="00B301B0" w:rsidP="00B301B0">
            <w:pPr>
              <w:widowControl/>
              <w:overflowPunct/>
              <w:autoSpaceDE/>
              <w:autoSpaceDN/>
              <w:adjustRightInd/>
              <w:rPr>
                <w:kern w:val="0"/>
              </w:rPr>
            </w:pPr>
            <w:r w:rsidRPr="00B301B0">
              <w:rPr>
                <w:kern w:val="0"/>
              </w:rPr>
              <w:t>Construct</w:t>
            </w:r>
          </w:p>
        </w:tc>
        <w:tc>
          <w:tcPr>
            <w:tcW w:w="3456" w:type="dxa"/>
            <w:shd w:val="clear" w:color="auto" w:fill="F2F2F2" w:themeFill="background1" w:themeFillShade="F2"/>
            <w:vAlign w:val="center"/>
          </w:tcPr>
          <w:p w14:paraId="4EB7470E" w14:textId="77777777" w:rsidR="00B301B0" w:rsidRPr="00B301B0" w:rsidRDefault="00B301B0" w:rsidP="00B301B0">
            <w:pPr>
              <w:widowControl/>
              <w:overflowPunct/>
              <w:autoSpaceDE/>
              <w:autoSpaceDN/>
              <w:adjustRightInd/>
              <w:rPr>
                <w:kern w:val="0"/>
              </w:rPr>
            </w:pPr>
            <w:r w:rsidRPr="00B301B0">
              <w:rPr>
                <w:kern w:val="0"/>
              </w:rPr>
              <w:t>General Definition</w:t>
            </w:r>
          </w:p>
        </w:tc>
        <w:tc>
          <w:tcPr>
            <w:tcW w:w="3456" w:type="dxa"/>
            <w:shd w:val="clear" w:color="auto" w:fill="F2F2F2" w:themeFill="background1" w:themeFillShade="F2"/>
            <w:vAlign w:val="center"/>
          </w:tcPr>
          <w:p w14:paraId="682DBE86" w14:textId="77777777" w:rsidR="00B301B0" w:rsidRPr="00B301B0" w:rsidRDefault="00B301B0" w:rsidP="00B301B0">
            <w:pPr>
              <w:widowControl/>
              <w:overflowPunct/>
              <w:autoSpaceDE/>
              <w:autoSpaceDN/>
              <w:adjustRightInd/>
              <w:rPr>
                <w:kern w:val="0"/>
              </w:rPr>
            </w:pPr>
            <w:r w:rsidRPr="00B301B0">
              <w:rPr>
                <w:kern w:val="0"/>
              </w:rPr>
              <w:t>Exemplars of label(s)</w:t>
            </w:r>
          </w:p>
        </w:tc>
        <w:tc>
          <w:tcPr>
            <w:tcW w:w="2922" w:type="dxa"/>
            <w:shd w:val="clear" w:color="auto" w:fill="F2F2F2" w:themeFill="background1" w:themeFillShade="F2"/>
            <w:vAlign w:val="center"/>
          </w:tcPr>
          <w:p w14:paraId="3DF2FDBC" w14:textId="77777777" w:rsidR="00B301B0" w:rsidRPr="00B301B0" w:rsidRDefault="00B301B0" w:rsidP="00B301B0">
            <w:pPr>
              <w:widowControl/>
              <w:overflowPunct/>
              <w:autoSpaceDE/>
              <w:autoSpaceDN/>
              <w:adjustRightInd/>
              <w:rPr>
                <w:kern w:val="0"/>
              </w:rPr>
            </w:pPr>
            <w:r w:rsidRPr="00B301B0">
              <w:rPr>
                <w:kern w:val="0"/>
              </w:rPr>
              <w:t>Select literature</w:t>
            </w:r>
          </w:p>
        </w:tc>
      </w:tr>
      <w:tr w:rsidR="00B301B0" w:rsidRPr="00B301B0" w14:paraId="01A86F84" w14:textId="77777777" w:rsidTr="00DB7B9A">
        <w:trPr>
          <w:trHeight w:val="720"/>
        </w:trPr>
        <w:tc>
          <w:tcPr>
            <w:tcW w:w="2304" w:type="dxa"/>
            <w:vAlign w:val="center"/>
          </w:tcPr>
          <w:p w14:paraId="5C2C9ADA" w14:textId="77777777" w:rsidR="00B301B0" w:rsidRPr="00B301B0" w:rsidRDefault="00B301B0" w:rsidP="00B301B0">
            <w:pPr>
              <w:widowControl/>
              <w:overflowPunct/>
              <w:autoSpaceDE/>
              <w:autoSpaceDN/>
              <w:adjustRightInd/>
              <w:rPr>
                <w:i/>
                <w:iCs/>
                <w:kern w:val="0"/>
              </w:rPr>
            </w:pPr>
            <w:r w:rsidRPr="00B301B0">
              <w:rPr>
                <w:i/>
                <w:iCs/>
                <w:kern w:val="0"/>
              </w:rPr>
              <w:t>Autonomy</w:t>
            </w:r>
          </w:p>
        </w:tc>
        <w:tc>
          <w:tcPr>
            <w:tcW w:w="3456" w:type="dxa"/>
            <w:vAlign w:val="center"/>
          </w:tcPr>
          <w:p w14:paraId="363D7324" w14:textId="77777777" w:rsidR="00B301B0" w:rsidRPr="00B301B0" w:rsidRDefault="00B301B0" w:rsidP="00B301B0">
            <w:pPr>
              <w:widowControl/>
              <w:overflowPunct/>
              <w:autoSpaceDE/>
              <w:autoSpaceDN/>
              <w:adjustRightInd/>
              <w:rPr>
                <w:kern w:val="0"/>
              </w:rPr>
            </w:pPr>
            <w:r w:rsidRPr="00B301B0">
              <w:rPr>
                <w:kern w:val="0"/>
              </w:rPr>
              <w:t>Degree of subsidiary decision-making latitude (</w:t>
            </w:r>
            <w:r w:rsidRPr="00B301B0">
              <w:rPr>
                <w:i/>
                <w:iCs/>
                <w:kern w:val="0"/>
              </w:rPr>
              <w:t>centralization)</w:t>
            </w:r>
          </w:p>
        </w:tc>
        <w:tc>
          <w:tcPr>
            <w:tcW w:w="3456" w:type="dxa"/>
            <w:vAlign w:val="center"/>
          </w:tcPr>
          <w:p w14:paraId="6E76ECAA" w14:textId="77777777" w:rsidR="00B301B0" w:rsidRPr="00B301B0" w:rsidRDefault="00B301B0" w:rsidP="00B301B0">
            <w:pPr>
              <w:widowControl/>
              <w:overflowPunct/>
              <w:autoSpaceDE/>
              <w:autoSpaceDN/>
              <w:adjustRightInd/>
              <w:rPr>
                <w:kern w:val="0"/>
              </w:rPr>
            </w:pPr>
            <w:r w:rsidRPr="00B301B0">
              <w:rPr>
                <w:kern w:val="0"/>
              </w:rPr>
              <w:t>Autonomy</w:t>
            </w:r>
          </w:p>
          <w:p w14:paraId="636225A0" w14:textId="77777777" w:rsidR="00B301B0" w:rsidRPr="00B301B0" w:rsidRDefault="00B301B0" w:rsidP="00B301B0">
            <w:pPr>
              <w:widowControl/>
              <w:overflowPunct/>
              <w:autoSpaceDE/>
              <w:autoSpaceDN/>
              <w:adjustRightInd/>
              <w:rPr>
                <w:kern w:val="0"/>
              </w:rPr>
            </w:pPr>
            <w:r w:rsidRPr="00B301B0">
              <w:rPr>
                <w:kern w:val="0"/>
              </w:rPr>
              <w:t>Decentralization</w:t>
            </w:r>
          </w:p>
          <w:p w14:paraId="474A4C4F" w14:textId="77777777" w:rsidR="00B301B0" w:rsidRPr="00B301B0" w:rsidRDefault="00B301B0" w:rsidP="00B301B0">
            <w:pPr>
              <w:widowControl/>
              <w:overflowPunct/>
              <w:autoSpaceDE/>
              <w:autoSpaceDN/>
              <w:adjustRightInd/>
              <w:rPr>
                <w:kern w:val="0"/>
              </w:rPr>
            </w:pPr>
            <w:r w:rsidRPr="00B301B0">
              <w:rPr>
                <w:kern w:val="0"/>
              </w:rPr>
              <w:t>Tightness of control</w:t>
            </w:r>
          </w:p>
        </w:tc>
        <w:tc>
          <w:tcPr>
            <w:tcW w:w="2922" w:type="dxa"/>
            <w:vAlign w:val="center"/>
          </w:tcPr>
          <w:p w14:paraId="085E3CBB" w14:textId="77777777" w:rsidR="00B301B0" w:rsidRPr="00B301B0" w:rsidRDefault="00B301B0" w:rsidP="00B301B0">
            <w:pPr>
              <w:widowControl/>
              <w:overflowPunct/>
              <w:autoSpaceDE/>
              <w:autoSpaceDN/>
              <w:adjustRightInd/>
              <w:rPr>
                <w:kern w:val="0"/>
              </w:rPr>
            </w:pPr>
            <w:r w:rsidRPr="00B301B0">
              <w:rPr>
                <w:kern w:val="0"/>
              </w:rPr>
              <w:t>Jarillo &amp; Martinez (1990)</w:t>
            </w:r>
          </w:p>
          <w:p w14:paraId="224C9718" w14:textId="77777777" w:rsidR="00B301B0" w:rsidRPr="00B301B0" w:rsidRDefault="00B301B0" w:rsidP="00B301B0">
            <w:pPr>
              <w:widowControl/>
              <w:overflowPunct/>
              <w:autoSpaceDE/>
              <w:autoSpaceDN/>
              <w:adjustRightInd/>
              <w:rPr>
                <w:kern w:val="0"/>
              </w:rPr>
            </w:pPr>
            <w:r w:rsidRPr="00B301B0">
              <w:rPr>
                <w:kern w:val="0"/>
              </w:rPr>
              <w:t>Taggart (1997)</w:t>
            </w:r>
          </w:p>
          <w:p w14:paraId="6F4D404B" w14:textId="77777777" w:rsidR="00B301B0" w:rsidRPr="00B301B0" w:rsidRDefault="00B301B0" w:rsidP="00B301B0">
            <w:pPr>
              <w:widowControl/>
              <w:overflowPunct/>
              <w:autoSpaceDE/>
              <w:autoSpaceDN/>
              <w:adjustRightInd/>
              <w:rPr>
                <w:kern w:val="0"/>
              </w:rPr>
            </w:pPr>
            <w:r w:rsidRPr="00B301B0">
              <w:rPr>
                <w:kern w:val="0"/>
              </w:rPr>
              <w:t>Nobel &amp; Birkinshaw (1998)</w:t>
            </w:r>
          </w:p>
        </w:tc>
      </w:tr>
      <w:tr w:rsidR="00B301B0" w:rsidRPr="00B301B0" w14:paraId="256874B9" w14:textId="77777777" w:rsidTr="00DB7B9A">
        <w:trPr>
          <w:trHeight w:val="720"/>
        </w:trPr>
        <w:tc>
          <w:tcPr>
            <w:tcW w:w="2304" w:type="dxa"/>
            <w:vAlign w:val="center"/>
          </w:tcPr>
          <w:p w14:paraId="35CACE94" w14:textId="77777777" w:rsidR="00B301B0" w:rsidRPr="00B301B0" w:rsidRDefault="00B301B0" w:rsidP="00B301B0">
            <w:pPr>
              <w:widowControl/>
              <w:overflowPunct/>
              <w:autoSpaceDE/>
              <w:autoSpaceDN/>
              <w:adjustRightInd/>
              <w:rPr>
                <w:i/>
                <w:iCs/>
                <w:kern w:val="0"/>
              </w:rPr>
            </w:pPr>
            <w:r w:rsidRPr="00B301B0">
              <w:rPr>
                <w:i/>
                <w:iCs/>
                <w:kern w:val="0"/>
              </w:rPr>
              <w:t>Goal alignment</w:t>
            </w:r>
          </w:p>
        </w:tc>
        <w:tc>
          <w:tcPr>
            <w:tcW w:w="3456" w:type="dxa"/>
            <w:vAlign w:val="center"/>
          </w:tcPr>
          <w:p w14:paraId="4063E360" w14:textId="77777777" w:rsidR="00B301B0" w:rsidRPr="00B301B0" w:rsidRDefault="00B301B0" w:rsidP="00B301B0">
            <w:pPr>
              <w:widowControl/>
              <w:overflowPunct/>
              <w:autoSpaceDE/>
              <w:autoSpaceDN/>
              <w:adjustRightInd/>
              <w:rPr>
                <w:kern w:val="0"/>
              </w:rPr>
            </w:pPr>
            <w:r w:rsidRPr="00B301B0">
              <w:rPr>
                <w:kern w:val="0"/>
              </w:rPr>
              <w:t>Extent to which a subsidiary and its headquarters have the same goals/vision</w:t>
            </w:r>
          </w:p>
        </w:tc>
        <w:tc>
          <w:tcPr>
            <w:tcW w:w="3456" w:type="dxa"/>
            <w:vAlign w:val="center"/>
          </w:tcPr>
          <w:p w14:paraId="5316B67C" w14:textId="77777777" w:rsidR="00B301B0" w:rsidRPr="00B301B0" w:rsidRDefault="00B301B0" w:rsidP="00B301B0">
            <w:pPr>
              <w:widowControl/>
              <w:overflowPunct/>
              <w:autoSpaceDE/>
              <w:autoSpaceDN/>
              <w:adjustRightInd/>
              <w:rPr>
                <w:kern w:val="0"/>
              </w:rPr>
            </w:pPr>
            <w:r w:rsidRPr="00B301B0">
              <w:rPr>
                <w:kern w:val="0"/>
              </w:rPr>
              <w:t>Shared vision</w:t>
            </w:r>
          </w:p>
          <w:p w14:paraId="2963A05E" w14:textId="77777777" w:rsidR="00B301B0" w:rsidRPr="00B301B0" w:rsidRDefault="00B301B0" w:rsidP="00B301B0">
            <w:pPr>
              <w:widowControl/>
              <w:overflowPunct/>
              <w:autoSpaceDE/>
              <w:autoSpaceDN/>
              <w:adjustRightInd/>
              <w:rPr>
                <w:kern w:val="0"/>
              </w:rPr>
            </w:pPr>
            <w:r w:rsidRPr="00B301B0">
              <w:rPr>
                <w:kern w:val="0"/>
              </w:rPr>
              <w:t>Goal conflict</w:t>
            </w:r>
          </w:p>
          <w:p w14:paraId="6E0C1082" w14:textId="77777777" w:rsidR="00B301B0" w:rsidRPr="00B301B0" w:rsidRDefault="00B301B0" w:rsidP="00B301B0">
            <w:pPr>
              <w:widowControl/>
              <w:overflowPunct/>
              <w:autoSpaceDE/>
              <w:autoSpaceDN/>
              <w:adjustRightInd/>
              <w:rPr>
                <w:kern w:val="0"/>
              </w:rPr>
            </w:pPr>
            <w:r w:rsidRPr="00B301B0">
              <w:rPr>
                <w:kern w:val="0"/>
              </w:rPr>
              <w:t>Organizational identification</w:t>
            </w:r>
          </w:p>
        </w:tc>
        <w:tc>
          <w:tcPr>
            <w:tcW w:w="2922" w:type="dxa"/>
            <w:vAlign w:val="center"/>
          </w:tcPr>
          <w:p w14:paraId="5FE24DAD" w14:textId="77777777" w:rsidR="00B301B0" w:rsidRPr="00B301B0" w:rsidRDefault="00B301B0" w:rsidP="00B301B0">
            <w:pPr>
              <w:widowControl/>
              <w:overflowPunct/>
              <w:autoSpaceDE/>
              <w:autoSpaceDN/>
              <w:adjustRightInd/>
              <w:rPr>
                <w:kern w:val="0"/>
              </w:rPr>
            </w:pPr>
            <w:r w:rsidRPr="00B301B0">
              <w:rPr>
                <w:kern w:val="0"/>
              </w:rPr>
              <w:t>Birkinshaw et al. (2000)</w:t>
            </w:r>
          </w:p>
          <w:p w14:paraId="07CAC8D5" w14:textId="77777777" w:rsidR="00B301B0" w:rsidRPr="00B301B0" w:rsidRDefault="00B301B0" w:rsidP="00B301B0">
            <w:pPr>
              <w:widowControl/>
              <w:overflowPunct/>
              <w:autoSpaceDE/>
              <w:autoSpaceDN/>
              <w:adjustRightInd/>
              <w:rPr>
                <w:kern w:val="0"/>
              </w:rPr>
            </w:pPr>
            <w:r w:rsidRPr="00B301B0">
              <w:rPr>
                <w:kern w:val="0"/>
              </w:rPr>
              <w:t>Williams &amp; van Triest (2009</w:t>
            </w:r>
          </w:p>
          <w:p w14:paraId="098744D6" w14:textId="77777777" w:rsidR="00B301B0" w:rsidRPr="00B301B0" w:rsidRDefault="00B301B0" w:rsidP="00B301B0">
            <w:pPr>
              <w:widowControl/>
              <w:overflowPunct/>
              <w:autoSpaceDE/>
              <w:autoSpaceDN/>
              <w:adjustRightInd/>
              <w:rPr>
                <w:kern w:val="0"/>
              </w:rPr>
            </w:pPr>
            <w:r w:rsidRPr="00B301B0">
              <w:rPr>
                <w:kern w:val="0"/>
              </w:rPr>
              <w:t>Hombrug &amp; Prigge (2014)</w:t>
            </w:r>
          </w:p>
        </w:tc>
      </w:tr>
      <w:tr w:rsidR="00B301B0" w:rsidRPr="00B301B0" w14:paraId="30A28FBC" w14:textId="77777777" w:rsidTr="00DB7B9A">
        <w:trPr>
          <w:trHeight w:val="720"/>
        </w:trPr>
        <w:tc>
          <w:tcPr>
            <w:tcW w:w="2304" w:type="dxa"/>
            <w:vAlign w:val="center"/>
          </w:tcPr>
          <w:p w14:paraId="3352B2C7" w14:textId="77777777" w:rsidR="00B301B0" w:rsidRPr="00B301B0" w:rsidRDefault="00B301B0" w:rsidP="00B301B0">
            <w:pPr>
              <w:widowControl/>
              <w:overflowPunct/>
              <w:autoSpaceDE/>
              <w:autoSpaceDN/>
              <w:adjustRightInd/>
              <w:rPr>
                <w:i/>
                <w:iCs/>
                <w:kern w:val="0"/>
              </w:rPr>
            </w:pPr>
            <w:r w:rsidRPr="00B301B0">
              <w:rPr>
                <w:i/>
                <w:iCs/>
                <w:kern w:val="0"/>
              </w:rPr>
              <w:t>Past performance</w:t>
            </w:r>
          </w:p>
        </w:tc>
        <w:tc>
          <w:tcPr>
            <w:tcW w:w="3456" w:type="dxa"/>
            <w:vAlign w:val="center"/>
          </w:tcPr>
          <w:p w14:paraId="06A14068" w14:textId="77777777" w:rsidR="00B301B0" w:rsidRPr="00B301B0" w:rsidRDefault="00B301B0" w:rsidP="00B301B0">
            <w:pPr>
              <w:widowControl/>
              <w:overflowPunct/>
              <w:autoSpaceDE/>
              <w:autoSpaceDN/>
              <w:adjustRightInd/>
              <w:rPr>
                <w:kern w:val="0"/>
              </w:rPr>
            </w:pPr>
            <w:r w:rsidRPr="00B301B0">
              <w:rPr>
                <w:kern w:val="0"/>
              </w:rPr>
              <w:t>Past subsidiary financial and operational performance</w:t>
            </w:r>
          </w:p>
        </w:tc>
        <w:tc>
          <w:tcPr>
            <w:tcW w:w="3456" w:type="dxa"/>
            <w:vAlign w:val="center"/>
          </w:tcPr>
          <w:p w14:paraId="73308D86" w14:textId="77777777" w:rsidR="00B301B0" w:rsidRPr="00B301B0" w:rsidRDefault="00B301B0" w:rsidP="00B301B0">
            <w:pPr>
              <w:widowControl/>
              <w:overflowPunct/>
              <w:autoSpaceDE/>
              <w:autoSpaceDN/>
              <w:adjustRightInd/>
              <w:rPr>
                <w:kern w:val="0"/>
              </w:rPr>
            </w:pPr>
            <w:r w:rsidRPr="00B301B0">
              <w:rPr>
                <w:kern w:val="0"/>
              </w:rPr>
              <w:t>Return on assets (ROA)</w:t>
            </w:r>
          </w:p>
          <w:p w14:paraId="28B25347" w14:textId="77777777" w:rsidR="00B301B0" w:rsidRPr="00B301B0" w:rsidRDefault="00B301B0" w:rsidP="00B301B0">
            <w:pPr>
              <w:widowControl/>
              <w:overflowPunct/>
              <w:autoSpaceDE/>
              <w:autoSpaceDN/>
              <w:adjustRightInd/>
              <w:rPr>
                <w:kern w:val="0"/>
              </w:rPr>
            </w:pPr>
            <w:r w:rsidRPr="00B301B0">
              <w:rPr>
                <w:kern w:val="0"/>
              </w:rPr>
              <w:t>Sales growths</w:t>
            </w:r>
          </w:p>
          <w:p w14:paraId="5C319F89" w14:textId="77777777" w:rsidR="00B301B0" w:rsidRPr="00B301B0" w:rsidRDefault="00B301B0" w:rsidP="00B301B0">
            <w:pPr>
              <w:widowControl/>
              <w:overflowPunct/>
              <w:autoSpaceDE/>
              <w:autoSpaceDN/>
              <w:adjustRightInd/>
              <w:rPr>
                <w:kern w:val="0"/>
              </w:rPr>
            </w:pPr>
            <w:r w:rsidRPr="00B301B0">
              <w:rPr>
                <w:kern w:val="0"/>
              </w:rPr>
              <w:t>Innovation performance</w:t>
            </w:r>
          </w:p>
        </w:tc>
        <w:tc>
          <w:tcPr>
            <w:tcW w:w="2922" w:type="dxa"/>
            <w:vAlign w:val="center"/>
          </w:tcPr>
          <w:p w14:paraId="76C23551" w14:textId="77777777" w:rsidR="00B301B0" w:rsidRPr="00B301B0" w:rsidRDefault="00B301B0" w:rsidP="00B301B0">
            <w:pPr>
              <w:widowControl/>
              <w:overflowPunct/>
              <w:autoSpaceDE/>
              <w:autoSpaceDN/>
              <w:adjustRightInd/>
              <w:rPr>
                <w:kern w:val="0"/>
              </w:rPr>
            </w:pPr>
            <w:r w:rsidRPr="00B301B0">
              <w:rPr>
                <w:kern w:val="0"/>
              </w:rPr>
              <w:t>Newburry et al. (2003)</w:t>
            </w:r>
          </w:p>
          <w:p w14:paraId="13844982" w14:textId="77777777" w:rsidR="00B301B0" w:rsidRPr="00B301B0" w:rsidRDefault="00B301B0" w:rsidP="00B301B0">
            <w:pPr>
              <w:widowControl/>
              <w:overflowPunct/>
              <w:autoSpaceDE/>
              <w:autoSpaceDN/>
              <w:adjustRightInd/>
              <w:rPr>
                <w:kern w:val="0"/>
              </w:rPr>
            </w:pPr>
            <w:r w:rsidRPr="00B301B0">
              <w:rPr>
                <w:kern w:val="0"/>
              </w:rPr>
              <w:t>Nell et al. (2011)</w:t>
            </w:r>
          </w:p>
          <w:p w14:paraId="5504B50D" w14:textId="77777777" w:rsidR="00B301B0" w:rsidRPr="00B301B0" w:rsidRDefault="00B301B0" w:rsidP="00B301B0">
            <w:pPr>
              <w:widowControl/>
              <w:overflowPunct/>
              <w:autoSpaceDE/>
              <w:autoSpaceDN/>
              <w:adjustRightInd/>
              <w:rPr>
                <w:kern w:val="0"/>
              </w:rPr>
            </w:pPr>
            <w:r w:rsidRPr="00B301B0">
              <w:rPr>
                <w:kern w:val="0"/>
              </w:rPr>
              <w:t>Nguyen &amp; Rugman (2015)</w:t>
            </w:r>
          </w:p>
        </w:tc>
      </w:tr>
      <w:tr w:rsidR="00B301B0" w:rsidRPr="00B301B0" w14:paraId="1B0760AF" w14:textId="77777777" w:rsidTr="00DB7B9A">
        <w:trPr>
          <w:trHeight w:val="720"/>
        </w:trPr>
        <w:tc>
          <w:tcPr>
            <w:tcW w:w="2304" w:type="dxa"/>
            <w:vAlign w:val="center"/>
          </w:tcPr>
          <w:p w14:paraId="6770FB3B" w14:textId="77777777" w:rsidR="00B301B0" w:rsidRPr="00B301B0" w:rsidRDefault="00B301B0" w:rsidP="00B301B0">
            <w:pPr>
              <w:widowControl/>
              <w:overflowPunct/>
              <w:autoSpaceDE/>
              <w:autoSpaceDN/>
              <w:adjustRightInd/>
              <w:rPr>
                <w:i/>
                <w:iCs/>
                <w:kern w:val="0"/>
              </w:rPr>
            </w:pPr>
            <w:r w:rsidRPr="00B301B0">
              <w:rPr>
                <w:i/>
                <w:iCs/>
                <w:kern w:val="0"/>
              </w:rPr>
              <w:t>Institutional distance</w:t>
            </w:r>
          </w:p>
        </w:tc>
        <w:tc>
          <w:tcPr>
            <w:tcW w:w="3456" w:type="dxa"/>
            <w:vAlign w:val="center"/>
          </w:tcPr>
          <w:p w14:paraId="746301C3" w14:textId="77777777" w:rsidR="00B301B0" w:rsidRPr="00B301B0" w:rsidRDefault="00B301B0" w:rsidP="00B301B0">
            <w:pPr>
              <w:widowControl/>
              <w:overflowPunct/>
              <w:autoSpaceDE/>
              <w:autoSpaceDN/>
              <w:adjustRightInd/>
              <w:rPr>
                <w:kern w:val="0"/>
              </w:rPr>
            </w:pPr>
            <w:r w:rsidRPr="00B301B0">
              <w:rPr>
                <w:kern w:val="0"/>
              </w:rPr>
              <w:t>Degree of similarity between the MNE home and subsidiary host country</w:t>
            </w:r>
          </w:p>
        </w:tc>
        <w:tc>
          <w:tcPr>
            <w:tcW w:w="3456" w:type="dxa"/>
            <w:vAlign w:val="center"/>
          </w:tcPr>
          <w:p w14:paraId="1547954C" w14:textId="77777777" w:rsidR="00B301B0" w:rsidRPr="00B301B0" w:rsidRDefault="00B301B0" w:rsidP="00B301B0">
            <w:pPr>
              <w:widowControl/>
              <w:overflowPunct/>
              <w:autoSpaceDE/>
              <w:autoSpaceDN/>
              <w:adjustRightInd/>
              <w:rPr>
                <w:kern w:val="0"/>
              </w:rPr>
            </w:pPr>
            <w:r w:rsidRPr="00B301B0">
              <w:rPr>
                <w:kern w:val="0"/>
              </w:rPr>
              <w:t>Institutional distance</w:t>
            </w:r>
          </w:p>
          <w:p w14:paraId="76373708" w14:textId="77777777" w:rsidR="00B301B0" w:rsidRPr="00B301B0" w:rsidRDefault="00B301B0" w:rsidP="00B301B0">
            <w:pPr>
              <w:widowControl/>
              <w:overflowPunct/>
              <w:autoSpaceDE/>
              <w:autoSpaceDN/>
              <w:adjustRightInd/>
              <w:rPr>
                <w:kern w:val="0"/>
              </w:rPr>
            </w:pPr>
            <w:r w:rsidRPr="00B301B0">
              <w:rPr>
                <w:kern w:val="0"/>
              </w:rPr>
              <w:t>Cultural distance</w:t>
            </w:r>
          </w:p>
          <w:p w14:paraId="3F47377A" w14:textId="77777777" w:rsidR="00B301B0" w:rsidRPr="00B301B0" w:rsidRDefault="00B301B0" w:rsidP="00B301B0">
            <w:pPr>
              <w:widowControl/>
              <w:overflowPunct/>
              <w:autoSpaceDE/>
              <w:autoSpaceDN/>
              <w:adjustRightInd/>
              <w:rPr>
                <w:kern w:val="0"/>
              </w:rPr>
            </w:pPr>
            <w:r w:rsidRPr="00B301B0">
              <w:rPr>
                <w:kern w:val="0"/>
              </w:rPr>
              <w:t>Regulative distance</w:t>
            </w:r>
          </w:p>
        </w:tc>
        <w:tc>
          <w:tcPr>
            <w:tcW w:w="2922" w:type="dxa"/>
            <w:vAlign w:val="center"/>
          </w:tcPr>
          <w:p w14:paraId="2A2809AE" w14:textId="77777777" w:rsidR="00B301B0" w:rsidRPr="00B301B0" w:rsidRDefault="00B301B0" w:rsidP="00B301B0">
            <w:pPr>
              <w:widowControl/>
              <w:overflowPunct/>
              <w:autoSpaceDE/>
              <w:autoSpaceDN/>
              <w:adjustRightInd/>
              <w:rPr>
                <w:kern w:val="0"/>
              </w:rPr>
            </w:pPr>
            <w:r w:rsidRPr="00B301B0">
              <w:rPr>
                <w:kern w:val="0"/>
              </w:rPr>
              <w:t>Luo (2001)</w:t>
            </w:r>
          </w:p>
          <w:p w14:paraId="5D082131" w14:textId="77777777" w:rsidR="00B301B0" w:rsidRPr="00B301B0" w:rsidRDefault="00B301B0" w:rsidP="00B301B0">
            <w:pPr>
              <w:widowControl/>
              <w:overflowPunct/>
              <w:autoSpaceDE/>
              <w:autoSpaceDN/>
              <w:adjustRightInd/>
              <w:rPr>
                <w:kern w:val="0"/>
              </w:rPr>
            </w:pPr>
            <w:r w:rsidRPr="00B301B0">
              <w:rPr>
                <w:kern w:val="0"/>
              </w:rPr>
              <w:t>Verbeke et al. (2013)</w:t>
            </w:r>
          </w:p>
          <w:p w14:paraId="1BEE2B7F" w14:textId="77777777" w:rsidR="00B301B0" w:rsidRPr="00B301B0" w:rsidRDefault="00B301B0" w:rsidP="00B301B0">
            <w:pPr>
              <w:widowControl/>
              <w:overflowPunct/>
              <w:autoSpaceDE/>
              <w:autoSpaceDN/>
              <w:adjustRightInd/>
              <w:rPr>
                <w:kern w:val="0"/>
              </w:rPr>
            </w:pPr>
            <w:r w:rsidRPr="00B301B0">
              <w:rPr>
                <w:kern w:val="0"/>
              </w:rPr>
              <w:t>Meyer &amp; Estrin (2014)</w:t>
            </w:r>
          </w:p>
        </w:tc>
      </w:tr>
      <w:tr w:rsidR="00B301B0" w:rsidRPr="00B301B0" w14:paraId="668D7DD8" w14:textId="77777777" w:rsidTr="00DB7B9A">
        <w:trPr>
          <w:trHeight w:val="720"/>
        </w:trPr>
        <w:tc>
          <w:tcPr>
            <w:tcW w:w="2304" w:type="dxa"/>
            <w:vAlign w:val="center"/>
          </w:tcPr>
          <w:p w14:paraId="0514E03C" w14:textId="77777777" w:rsidR="00B301B0" w:rsidRPr="00B301B0" w:rsidRDefault="00B301B0" w:rsidP="00B301B0">
            <w:pPr>
              <w:widowControl/>
              <w:overflowPunct/>
              <w:autoSpaceDE/>
              <w:autoSpaceDN/>
              <w:adjustRightInd/>
              <w:rPr>
                <w:i/>
                <w:iCs/>
                <w:kern w:val="0"/>
              </w:rPr>
            </w:pPr>
            <w:r w:rsidRPr="00B301B0">
              <w:rPr>
                <w:i/>
                <w:iCs/>
                <w:kern w:val="0"/>
              </w:rPr>
              <w:t>Host country constraints</w:t>
            </w:r>
          </w:p>
        </w:tc>
        <w:tc>
          <w:tcPr>
            <w:tcW w:w="3456" w:type="dxa"/>
            <w:vAlign w:val="center"/>
          </w:tcPr>
          <w:p w14:paraId="0CEB1C4A" w14:textId="77777777" w:rsidR="00B301B0" w:rsidRPr="00B301B0" w:rsidRDefault="00B301B0" w:rsidP="00B301B0">
            <w:pPr>
              <w:widowControl/>
              <w:overflowPunct/>
              <w:autoSpaceDE/>
              <w:autoSpaceDN/>
              <w:adjustRightInd/>
              <w:rPr>
                <w:kern w:val="0"/>
              </w:rPr>
            </w:pPr>
            <w:r w:rsidRPr="00B301B0">
              <w:rPr>
                <w:kern w:val="0"/>
              </w:rPr>
              <w:t>Extent to which the host country environment is presents challenges</w:t>
            </w:r>
          </w:p>
        </w:tc>
        <w:tc>
          <w:tcPr>
            <w:tcW w:w="3456" w:type="dxa"/>
            <w:vAlign w:val="center"/>
          </w:tcPr>
          <w:p w14:paraId="32A90917" w14:textId="77777777" w:rsidR="00B301B0" w:rsidRPr="00B301B0" w:rsidRDefault="00B301B0" w:rsidP="00B301B0">
            <w:pPr>
              <w:widowControl/>
              <w:overflowPunct/>
              <w:autoSpaceDE/>
              <w:autoSpaceDN/>
              <w:adjustRightInd/>
              <w:rPr>
                <w:kern w:val="0"/>
              </w:rPr>
            </w:pPr>
            <w:r w:rsidRPr="00B301B0">
              <w:rPr>
                <w:kern w:val="0"/>
              </w:rPr>
              <w:t>Host country volatility</w:t>
            </w:r>
          </w:p>
          <w:p w14:paraId="19CE98C4" w14:textId="77777777" w:rsidR="00B301B0" w:rsidRPr="00B301B0" w:rsidRDefault="00B301B0" w:rsidP="00B301B0">
            <w:pPr>
              <w:widowControl/>
              <w:overflowPunct/>
              <w:autoSpaceDE/>
              <w:autoSpaceDN/>
              <w:adjustRightInd/>
              <w:rPr>
                <w:kern w:val="0"/>
              </w:rPr>
            </w:pPr>
            <w:r w:rsidRPr="00B301B0">
              <w:rPr>
                <w:kern w:val="0"/>
              </w:rPr>
              <w:t>Environmental complexity</w:t>
            </w:r>
          </w:p>
          <w:p w14:paraId="25C74FC7" w14:textId="77777777" w:rsidR="00B301B0" w:rsidRPr="00B301B0" w:rsidRDefault="00B301B0" w:rsidP="00B301B0">
            <w:pPr>
              <w:widowControl/>
              <w:overflowPunct/>
              <w:autoSpaceDE/>
              <w:autoSpaceDN/>
              <w:adjustRightInd/>
              <w:rPr>
                <w:kern w:val="0"/>
              </w:rPr>
            </w:pPr>
            <w:r w:rsidRPr="00B301B0">
              <w:rPr>
                <w:kern w:val="0"/>
              </w:rPr>
              <w:t>Domestic political risk</w:t>
            </w:r>
          </w:p>
        </w:tc>
        <w:tc>
          <w:tcPr>
            <w:tcW w:w="2922" w:type="dxa"/>
            <w:vAlign w:val="center"/>
          </w:tcPr>
          <w:p w14:paraId="6A4C3E16" w14:textId="77777777" w:rsidR="00B301B0" w:rsidRPr="00B301B0" w:rsidRDefault="00B301B0" w:rsidP="00B301B0">
            <w:pPr>
              <w:widowControl/>
              <w:overflowPunct/>
              <w:autoSpaceDE/>
              <w:autoSpaceDN/>
              <w:adjustRightInd/>
              <w:rPr>
                <w:kern w:val="0"/>
              </w:rPr>
            </w:pPr>
            <w:r w:rsidRPr="00B301B0">
              <w:rPr>
                <w:kern w:val="0"/>
              </w:rPr>
              <w:t>Slangen (2013)</w:t>
            </w:r>
          </w:p>
          <w:p w14:paraId="09F6C60F" w14:textId="77777777" w:rsidR="00B301B0" w:rsidRPr="00B301B0" w:rsidRDefault="00B301B0" w:rsidP="00B301B0">
            <w:pPr>
              <w:widowControl/>
              <w:overflowPunct/>
              <w:autoSpaceDE/>
              <w:autoSpaceDN/>
              <w:adjustRightInd/>
              <w:rPr>
                <w:kern w:val="0"/>
              </w:rPr>
            </w:pPr>
            <w:r w:rsidRPr="00B301B0">
              <w:rPr>
                <w:kern w:val="0"/>
              </w:rPr>
              <w:t>Wang et al. (2014)</w:t>
            </w:r>
          </w:p>
          <w:p w14:paraId="5B18EEC9" w14:textId="77777777" w:rsidR="00B301B0" w:rsidRPr="00B301B0" w:rsidRDefault="00B301B0" w:rsidP="00B301B0">
            <w:pPr>
              <w:widowControl/>
              <w:overflowPunct/>
              <w:autoSpaceDE/>
              <w:autoSpaceDN/>
              <w:adjustRightInd/>
              <w:rPr>
                <w:kern w:val="0"/>
              </w:rPr>
            </w:pPr>
            <w:r w:rsidRPr="00B301B0">
              <w:rPr>
                <w:kern w:val="0"/>
              </w:rPr>
              <w:t>Santangelo et al. (2018)</w:t>
            </w:r>
          </w:p>
        </w:tc>
      </w:tr>
      <w:tr w:rsidR="00B301B0" w:rsidRPr="00B301B0" w14:paraId="11723F13" w14:textId="77777777" w:rsidTr="00DB7B9A">
        <w:trPr>
          <w:trHeight w:val="720"/>
        </w:trPr>
        <w:tc>
          <w:tcPr>
            <w:tcW w:w="2304" w:type="dxa"/>
            <w:vAlign w:val="center"/>
          </w:tcPr>
          <w:p w14:paraId="5D21A5BA" w14:textId="77777777" w:rsidR="00B301B0" w:rsidRPr="00B301B0" w:rsidRDefault="00B301B0" w:rsidP="00B301B0">
            <w:pPr>
              <w:widowControl/>
              <w:overflowPunct/>
              <w:autoSpaceDE/>
              <w:autoSpaceDN/>
              <w:adjustRightInd/>
              <w:rPr>
                <w:i/>
                <w:iCs/>
                <w:kern w:val="0"/>
              </w:rPr>
            </w:pPr>
            <w:r w:rsidRPr="00B301B0">
              <w:rPr>
                <w:i/>
                <w:iCs/>
                <w:kern w:val="0"/>
              </w:rPr>
              <w:t>Value chain breadth</w:t>
            </w:r>
          </w:p>
        </w:tc>
        <w:tc>
          <w:tcPr>
            <w:tcW w:w="3456" w:type="dxa"/>
            <w:vAlign w:val="center"/>
          </w:tcPr>
          <w:p w14:paraId="6EDFBDBD" w14:textId="77777777" w:rsidR="00B301B0" w:rsidRPr="00B301B0" w:rsidRDefault="00B301B0" w:rsidP="00B301B0">
            <w:pPr>
              <w:widowControl/>
              <w:overflowPunct/>
              <w:autoSpaceDE/>
              <w:autoSpaceDN/>
              <w:adjustRightInd/>
              <w:rPr>
                <w:kern w:val="0"/>
              </w:rPr>
            </w:pPr>
            <w:r w:rsidRPr="00B301B0">
              <w:rPr>
                <w:kern w:val="0"/>
              </w:rPr>
              <w:t>Number of value chain activities a subsidiary undertakes</w:t>
            </w:r>
          </w:p>
        </w:tc>
        <w:tc>
          <w:tcPr>
            <w:tcW w:w="3456" w:type="dxa"/>
            <w:vAlign w:val="center"/>
          </w:tcPr>
          <w:p w14:paraId="187EEE74" w14:textId="77777777" w:rsidR="00B301B0" w:rsidRPr="00B301B0" w:rsidRDefault="00B301B0" w:rsidP="00B301B0">
            <w:pPr>
              <w:widowControl/>
              <w:overflowPunct/>
              <w:autoSpaceDE/>
              <w:autoSpaceDN/>
              <w:adjustRightInd/>
              <w:rPr>
                <w:kern w:val="0"/>
              </w:rPr>
            </w:pPr>
            <w:r w:rsidRPr="00B301B0">
              <w:rPr>
                <w:kern w:val="0"/>
              </w:rPr>
              <w:t>Subsidiary functions</w:t>
            </w:r>
          </w:p>
          <w:p w14:paraId="588E961B" w14:textId="77777777" w:rsidR="00B301B0" w:rsidRPr="00B301B0" w:rsidRDefault="00B301B0" w:rsidP="00B301B0">
            <w:pPr>
              <w:widowControl/>
              <w:overflowPunct/>
              <w:autoSpaceDE/>
              <w:autoSpaceDN/>
              <w:adjustRightInd/>
              <w:rPr>
                <w:kern w:val="0"/>
              </w:rPr>
            </w:pPr>
            <w:r w:rsidRPr="00B301B0">
              <w:rPr>
                <w:kern w:val="0"/>
              </w:rPr>
              <w:t>Value chain scope</w:t>
            </w:r>
          </w:p>
          <w:p w14:paraId="71216BF6" w14:textId="77777777" w:rsidR="00B301B0" w:rsidRPr="00B301B0" w:rsidRDefault="00B301B0" w:rsidP="00B301B0">
            <w:pPr>
              <w:widowControl/>
              <w:overflowPunct/>
              <w:autoSpaceDE/>
              <w:autoSpaceDN/>
              <w:adjustRightInd/>
              <w:rPr>
                <w:kern w:val="0"/>
              </w:rPr>
            </w:pPr>
            <w:r w:rsidRPr="00B301B0">
              <w:rPr>
                <w:kern w:val="0"/>
              </w:rPr>
              <w:t>Miniature replica</w:t>
            </w:r>
          </w:p>
        </w:tc>
        <w:tc>
          <w:tcPr>
            <w:tcW w:w="2922" w:type="dxa"/>
            <w:vAlign w:val="center"/>
          </w:tcPr>
          <w:p w14:paraId="2A37BA9F" w14:textId="77777777" w:rsidR="00B301B0" w:rsidRPr="00B301B0" w:rsidRDefault="00B301B0" w:rsidP="00B301B0">
            <w:pPr>
              <w:widowControl/>
              <w:overflowPunct/>
              <w:autoSpaceDE/>
              <w:autoSpaceDN/>
              <w:adjustRightInd/>
              <w:rPr>
                <w:kern w:val="0"/>
              </w:rPr>
            </w:pPr>
            <w:r w:rsidRPr="00B301B0">
              <w:rPr>
                <w:kern w:val="0"/>
              </w:rPr>
              <w:t>Bouquet &amp; Birkinshaw (2008)</w:t>
            </w:r>
          </w:p>
          <w:p w14:paraId="36FF4226" w14:textId="77777777" w:rsidR="00B301B0" w:rsidRPr="00B301B0" w:rsidRDefault="00B301B0" w:rsidP="00B301B0">
            <w:pPr>
              <w:widowControl/>
              <w:overflowPunct/>
              <w:autoSpaceDE/>
              <w:autoSpaceDN/>
              <w:adjustRightInd/>
              <w:rPr>
                <w:kern w:val="0"/>
              </w:rPr>
            </w:pPr>
            <w:r w:rsidRPr="00B301B0">
              <w:rPr>
                <w:kern w:val="0"/>
              </w:rPr>
              <w:t>Ambos &amp; Birkinshaw (2010)</w:t>
            </w:r>
          </w:p>
          <w:p w14:paraId="79998438" w14:textId="77777777" w:rsidR="00B301B0" w:rsidRPr="00B301B0" w:rsidRDefault="00B301B0" w:rsidP="00B301B0">
            <w:pPr>
              <w:widowControl/>
              <w:overflowPunct/>
              <w:autoSpaceDE/>
              <w:autoSpaceDN/>
              <w:adjustRightInd/>
              <w:rPr>
                <w:kern w:val="0"/>
              </w:rPr>
            </w:pPr>
            <w:r w:rsidRPr="00B301B0">
              <w:rPr>
                <w:kern w:val="0"/>
              </w:rPr>
              <w:t>Nell &amp; Ambos (2013)</w:t>
            </w:r>
          </w:p>
        </w:tc>
      </w:tr>
      <w:tr w:rsidR="00B301B0" w:rsidRPr="00B301B0" w14:paraId="72FC0531" w14:textId="77777777" w:rsidTr="00DB7B9A">
        <w:trPr>
          <w:trHeight w:val="720"/>
        </w:trPr>
        <w:tc>
          <w:tcPr>
            <w:tcW w:w="2304" w:type="dxa"/>
            <w:vAlign w:val="center"/>
          </w:tcPr>
          <w:p w14:paraId="66EA7093" w14:textId="77777777" w:rsidR="00B301B0" w:rsidRPr="00B301B0" w:rsidRDefault="00B301B0" w:rsidP="00B301B0">
            <w:pPr>
              <w:widowControl/>
              <w:overflowPunct/>
              <w:autoSpaceDE/>
              <w:autoSpaceDN/>
              <w:adjustRightInd/>
              <w:rPr>
                <w:i/>
                <w:iCs/>
                <w:kern w:val="0"/>
              </w:rPr>
            </w:pPr>
            <w:r w:rsidRPr="00B301B0">
              <w:rPr>
                <w:i/>
                <w:iCs/>
                <w:kern w:val="0"/>
              </w:rPr>
              <w:t>Localization</w:t>
            </w:r>
          </w:p>
        </w:tc>
        <w:tc>
          <w:tcPr>
            <w:tcW w:w="3456" w:type="dxa"/>
            <w:vAlign w:val="center"/>
          </w:tcPr>
          <w:p w14:paraId="4AEDABD7" w14:textId="77777777" w:rsidR="00B301B0" w:rsidRPr="00B301B0" w:rsidRDefault="00B301B0" w:rsidP="00B301B0">
            <w:pPr>
              <w:widowControl/>
              <w:overflowPunct/>
              <w:autoSpaceDE/>
              <w:autoSpaceDN/>
              <w:adjustRightInd/>
              <w:rPr>
                <w:kern w:val="0"/>
              </w:rPr>
            </w:pPr>
            <w:r w:rsidRPr="00B301B0">
              <w:rPr>
                <w:kern w:val="0"/>
              </w:rPr>
              <w:t>Degree of subsidiary local responsiveness (</w:t>
            </w:r>
            <w:r w:rsidRPr="00B301B0">
              <w:rPr>
                <w:i/>
                <w:iCs/>
                <w:kern w:val="0"/>
              </w:rPr>
              <w:t>global integration</w:t>
            </w:r>
            <w:r w:rsidRPr="00B301B0">
              <w:rPr>
                <w:kern w:val="0"/>
              </w:rPr>
              <w:t>)</w:t>
            </w:r>
          </w:p>
        </w:tc>
        <w:tc>
          <w:tcPr>
            <w:tcW w:w="3456" w:type="dxa"/>
            <w:vAlign w:val="center"/>
          </w:tcPr>
          <w:p w14:paraId="1AE63B4A" w14:textId="77777777" w:rsidR="00B301B0" w:rsidRPr="00B301B0" w:rsidRDefault="00B301B0" w:rsidP="00B301B0">
            <w:pPr>
              <w:widowControl/>
              <w:overflowPunct/>
              <w:autoSpaceDE/>
              <w:autoSpaceDN/>
              <w:adjustRightInd/>
              <w:rPr>
                <w:kern w:val="0"/>
              </w:rPr>
            </w:pPr>
            <w:r w:rsidRPr="00B301B0">
              <w:rPr>
                <w:kern w:val="0"/>
              </w:rPr>
              <w:t>International strategy type</w:t>
            </w:r>
          </w:p>
          <w:p w14:paraId="0D7D33BE" w14:textId="77777777" w:rsidR="00B301B0" w:rsidRPr="00B301B0" w:rsidRDefault="00B301B0" w:rsidP="00B301B0">
            <w:pPr>
              <w:widowControl/>
              <w:overflowPunct/>
              <w:autoSpaceDE/>
              <w:autoSpaceDN/>
              <w:adjustRightInd/>
              <w:rPr>
                <w:kern w:val="0"/>
              </w:rPr>
            </w:pPr>
            <w:r w:rsidRPr="00B301B0">
              <w:rPr>
                <w:kern w:val="0"/>
              </w:rPr>
              <w:t xml:space="preserve">Local responsiveness </w:t>
            </w:r>
          </w:p>
          <w:p w14:paraId="1736B9CC" w14:textId="77777777" w:rsidR="00B301B0" w:rsidRPr="00B301B0" w:rsidRDefault="00B301B0" w:rsidP="00B301B0">
            <w:pPr>
              <w:widowControl/>
              <w:overflowPunct/>
              <w:autoSpaceDE/>
              <w:autoSpaceDN/>
              <w:adjustRightInd/>
              <w:rPr>
                <w:kern w:val="0"/>
              </w:rPr>
            </w:pPr>
            <w:r w:rsidRPr="00B301B0">
              <w:rPr>
                <w:kern w:val="0"/>
              </w:rPr>
              <w:t>Local differentiation</w:t>
            </w:r>
          </w:p>
        </w:tc>
        <w:tc>
          <w:tcPr>
            <w:tcW w:w="2922" w:type="dxa"/>
            <w:vAlign w:val="center"/>
          </w:tcPr>
          <w:p w14:paraId="29827C4F" w14:textId="77777777" w:rsidR="00B301B0" w:rsidRPr="00B301B0" w:rsidRDefault="00B301B0" w:rsidP="00B301B0">
            <w:pPr>
              <w:widowControl/>
              <w:overflowPunct/>
              <w:autoSpaceDE/>
              <w:autoSpaceDN/>
              <w:adjustRightInd/>
              <w:rPr>
                <w:kern w:val="0"/>
              </w:rPr>
            </w:pPr>
            <w:r w:rsidRPr="00B301B0">
              <w:rPr>
                <w:kern w:val="0"/>
              </w:rPr>
              <w:t>Gomez &amp; Werner (2004)</w:t>
            </w:r>
          </w:p>
          <w:p w14:paraId="0DE7BB31" w14:textId="77777777" w:rsidR="00B301B0" w:rsidRPr="00B301B0" w:rsidRDefault="00B301B0" w:rsidP="00B301B0">
            <w:pPr>
              <w:widowControl/>
              <w:overflowPunct/>
              <w:autoSpaceDE/>
              <w:autoSpaceDN/>
              <w:adjustRightInd/>
              <w:rPr>
                <w:kern w:val="0"/>
              </w:rPr>
            </w:pPr>
            <w:r w:rsidRPr="00B301B0">
              <w:rPr>
                <w:kern w:val="0"/>
              </w:rPr>
              <w:t>Ambos &amp; Schlegelmilch (2008)</w:t>
            </w:r>
          </w:p>
          <w:p w14:paraId="0E050E23" w14:textId="77777777" w:rsidR="00B301B0" w:rsidRPr="00B301B0" w:rsidRDefault="00B301B0" w:rsidP="00B301B0">
            <w:pPr>
              <w:widowControl/>
              <w:overflowPunct/>
              <w:autoSpaceDE/>
              <w:autoSpaceDN/>
              <w:adjustRightInd/>
              <w:rPr>
                <w:kern w:val="0"/>
              </w:rPr>
            </w:pPr>
            <w:r w:rsidRPr="00B301B0">
              <w:rPr>
                <w:kern w:val="0"/>
              </w:rPr>
              <w:t>Rabbiosi &amp; Santangelo (2018)</w:t>
            </w:r>
          </w:p>
        </w:tc>
      </w:tr>
    </w:tbl>
    <w:p w14:paraId="496016A5" w14:textId="77777777" w:rsidR="00B301B0" w:rsidRPr="00B301B0" w:rsidRDefault="00B301B0" w:rsidP="00B301B0">
      <w:pPr>
        <w:widowControl/>
        <w:overflowPunct/>
        <w:autoSpaceDE/>
        <w:autoSpaceDN/>
        <w:adjustRightInd/>
        <w:rPr>
          <w:kern w:val="0"/>
          <w:sz w:val="22"/>
          <w:szCs w:val="22"/>
        </w:rPr>
      </w:pPr>
    </w:p>
    <w:p w14:paraId="06519CE0" w14:textId="77777777" w:rsidR="00B301B0" w:rsidRPr="00B301B0" w:rsidRDefault="00B301B0" w:rsidP="00B301B0">
      <w:pPr>
        <w:widowControl/>
        <w:overflowPunct/>
        <w:autoSpaceDE/>
        <w:autoSpaceDN/>
        <w:adjustRightInd/>
        <w:ind w:left="720"/>
        <w:rPr>
          <w:kern w:val="0"/>
          <w:sz w:val="22"/>
          <w:szCs w:val="22"/>
        </w:rPr>
      </w:pPr>
      <w:r w:rsidRPr="00B301B0">
        <w:rPr>
          <w:kern w:val="0"/>
          <w:sz w:val="22"/>
          <w:szCs w:val="22"/>
        </w:rPr>
        <w:br w:type="page"/>
      </w:r>
    </w:p>
    <w:p w14:paraId="03FBE431" w14:textId="77777777" w:rsidR="00B301B0" w:rsidRPr="00B301B0" w:rsidRDefault="00B301B0" w:rsidP="00B301B0">
      <w:pPr>
        <w:widowControl/>
        <w:overflowPunct/>
        <w:autoSpaceDE/>
        <w:autoSpaceDN/>
        <w:adjustRightInd/>
        <w:ind w:left="720"/>
        <w:jc w:val="both"/>
        <w:rPr>
          <w:kern w:val="0"/>
          <w:sz w:val="24"/>
          <w:szCs w:val="24"/>
        </w:rPr>
      </w:pPr>
      <w:r w:rsidRPr="00B301B0">
        <w:rPr>
          <w:kern w:val="0"/>
          <w:sz w:val="24"/>
          <w:szCs w:val="24"/>
        </w:rPr>
        <w:t>Table 3. HOMA results</w:t>
      </w:r>
    </w:p>
    <w:p w14:paraId="716DE2B8" w14:textId="77777777" w:rsidR="00B301B0" w:rsidRPr="00B301B0" w:rsidRDefault="00B301B0" w:rsidP="00B301B0">
      <w:pPr>
        <w:widowControl/>
        <w:overflowPunct/>
        <w:autoSpaceDE/>
        <w:autoSpaceDN/>
        <w:adjustRightInd/>
        <w:jc w:val="both"/>
        <w:rPr>
          <w:b/>
          <w:bCs/>
          <w:kern w:val="0"/>
          <w:sz w:val="22"/>
          <w:szCs w:val="22"/>
        </w:rPr>
      </w:pPr>
    </w:p>
    <w:p w14:paraId="1F9FB285" w14:textId="77777777" w:rsidR="00B301B0" w:rsidRPr="00B301B0" w:rsidRDefault="00B301B0" w:rsidP="00B301B0">
      <w:pPr>
        <w:widowControl/>
        <w:overflowPunct/>
        <w:autoSpaceDE/>
        <w:autoSpaceDN/>
        <w:adjustRightInd/>
        <w:ind w:left="720"/>
        <w:jc w:val="both"/>
        <w:rPr>
          <w:b/>
          <w:bCs/>
          <w:kern w:val="0"/>
          <w:sz w:val="22"/>
          <w:szCs w:val="22"/>
        </w:rPr>
      </w:pPr>
    </w:p>
    <w:tbl>
      <w:tblPr>
        <w:tblW w:w="9289" w:type="dxa"/>
        <w:tblInd w:w="733" w:type="dxa"/>
        <w:tblLook w:val="04A0" w:firstRow="1" w:lastRow="0" w:firstColumn="1" w:lastColumn="0" w:noHBand="0" w:noVBand="1"/>
      </w:tblPr>
      <w:tblGrid>
        <w:gridCol w:w="2880"/>
        <w:gridCol w:w="1080"/>
        <w:gridCol w:w="1080"/>
        <w:gridCol w:w="1083"/>
        <w:gridCol w:w="2086"/>
        <w:gridCol w:w="1080"/>
      </w:tblGrid>
      <w:tr w:rsidR="00B301B0" w:rsidRPr="00B301B0" w14:paraId="1B224037" w14:textId="77777777" w:rsidTr="00DB7B9A">
        <w:trPr>
          <w:cantSplit/>
          <w:trHeight w:val="20"/>
        </w:trPr>
        <w:tc>
          <w:tcPr>
            <w:tcW w:w="2880" w:type="dxa"/>
            <w:tcBorders>
              <w:top w:val="single" w:sz="4" w:space="0" w:color="auto"/>
              <w:bottom w:val="single" w:sz="4" w:space="0" w:color="auto"/>
            </w:tcBorders>
            <w:shd w:val="clear" w:color="auto" w:fill="auto"/>
            <w:vAlign w:val="center"/>
            <w:hideMark/>
          </w:tcPr>
          <w:p w14:paraId="4C904D97" w14:textId="77777777" w:rsidR="00B301B0" w:rsidRPr="00B301B0" w:rsidRDefault="00B301B0" w:rsidP="00B301B0">
            <w:pPr>
              <w:widowControl/>
              <w:overflowPunct/>
              <w:autoSpaceDE/>
              <w:autoSpaceDN/>
              <w:adjustRightInd/>
              <w:rPr>
                <w:kern w:val="0"/>
              </w:rPr>
            </w:pPr>
            <w:r w:rsidRPr="00B301B0">
              <w:rPr>
                <w:kern w:val="0"/>
              </w:rPr>
              <w:t>Predictor</w:t>
            </w:r>
          </w:p>
        </w:tc>
        <w:tc>
          <w:tcPr>
            <w:tcW w:w="1080" w:type="dxa"/>
            <w:tcBorders>
              <w:top w:val="single" w:sz="4" w:space="0" w:color="auto"/>
              <w:bottom w:val="single" w:sz="4" w:space="0" w:color="auto"/>
            </w:tcBorders>
            <w:shd w:val="clear" w:color="auto" w:fill="auto"/>
            <w:vAlign w:val="center"/>
            <w:hideMark/>
          </w:tcPr>
          <w:p w14:paraId="56FD7950" w14:textId="77777777" w:rsidR="00B301B0" w:rsidRPr="00B301B0" w:rsidRDefault="00B301B0" w:rsidP="00B301B0">
            <w:pPr>
              <w:widowControl/>
              <w:overflowPunct/>
              <w:autoSpaceDE/>
              <w:autoSpaceDN/>
              <w:adjustRightInd/>
              <w:jc w:val="center"/>
              <w:rPr>
                <w:kern w:val="0"/>
              </w:rPr>
            </w:pPr>
            <w:r w:rsidRPr="00B301B0">
              <w:rPr>
                <w:kern w:val="0"/>
              </w:rPr>
              <w:t>K</w:t>
            </w:r>
          </w:p>
        </w:tc>
        <w:tc>
          <w:tcPr>
            <w:tcW w:w="1080" w:type="dxa"/>
            <w:tcBorders>
              <w:top w:val="single" w:sz="4" w:space="0" w:color="auto"/>
              <w:bottom w:val="single" w:sz="4" w:space="0" w:color="auto"/>
            </w:tcBorders>
            <w:shd w:val="clear" w:color="auto" w:fill="auto"/>
            <w:vAlign w:val="center"/>
            <w:hideMark/>
          </w:tcPr>
          <w:p w14:paraId="5523DBA3" w14:textId="77777777" w:rsidR="00B301B0" w:rsidRPr="00B301B0" w:rsidRDefault="00B301B0" w:rsidP="00B301B0">
            <w:pPr>
              <w:widowControl/>
              <w:overflowPunct/>
              <w:autoSpaceDE/>
              <w:autoSpaceDN/>
              <w:adjustRightInd/>
              <w:jc w:val="center"/>
              <w:rPr>
                <w:kern w:val="0"/>
              </w:rPr>
            </w:pPr>
            <w:r w:rsidRPr="00B301B0">
              <w:rPr>
                <w:kern w:val="0"/>
              </w:rPr>
              <w:t>N</w:t>
            </w:r>
          </w:p>
        </w:tc>
        <w:tc>
          <w:tcPr>
            <w:tcW w:w="1083" w:type="dxa"/>
            <w:tcBorders>
              <w:top w:val="single" w:sz="4" w:space="0" w:color="auto"/>
              <w:bottom w:val="single" w:sz="4" w:space="0" w:color="auto"/>
            </w:tcBorders>
            <w:shd w:val="clear" w:color="auto" w:fill="auto"/>
            <w:vAlign w:val="center"/>
            <w:hideMark/>
          </w:tcPr>
          <w:p w14:paraId="5BADD36E" w14:textId="77777777" w:rsidR="00B301B0" w:rsidRPr="00B301B0" w:rsidRDefault="00B301B0" w:rsidP="00B301B0">
            <w:pPr>
              <w:widowControl/>
              <w:overflowPunct/>
              <w:autoSpaceDE/>
              <w:autoSpaceDN/>
              <w:adjustRightInd/>
              <w:jc w:val="center"/>
              <w:rPr>
                <w:kern w:val="0"/>
              </w:rPr>
            </w:pPr>
            <w:r w:rsidRPr="00B301B0">
              <w:rPr>
                <w:kern w:val="0"/>
              </w:rPr>
              <w:t xml:space="preserve">Corrected </w:t>
            </w:r>
          </w:p>
          <w:p w14:paraId="36950D49" w14:textId="77777777" w:rsidR="00B301B0" w:rsidRPr="00B301B0" w:rsidRDefault="00B301B0" w:rsidP="00B301B0">
            <w:pPr>
              <w:widowControl/>
              <w:overflowPunct/>
              <w:autoSpaceDE/>
              <w:autoSpaceDN/>
              <w:adjustRightInd/>
              <w:jc w:val="center"/>
              <w:rPr>
                <w:kern w:val="0"/>
              </w:rPr>
            </w:pPr>
            <w:r w:rsidRPr="00B301B0">
              <w:rPr>
                <w:kern w:val="0"/>
              </w:rPr>
              <w:t>R-mean</w:t>
            </w:r>
          </w:p>
        </w:tc>
        <w:tc>
          <w:tcPr>
            <w:tcW w:w="2086" w:type="dxa"/>
            <w:tcBorders>
              <w:top w:val="single" w:sz="4" w:space="0" w:color="auto"/>
              <w:bottom w:val="single" w:sz="4" w:space="0" w:color="auto"/>
            </w:tcBorders>
            <w:shd w:val="clear" w:color="auto" w:fill="auto"/>
            <w:vAlign w:val="center"/>
            <w:hideMark/>
          </w:tcPr>
          <w:p w14:paraId="0F2B79B2" w14:textId="77777777" w:rsidR="00B301B0" w:rsidRPr="00B301B0" w:rsidRDefault="00B301B0" w:rsidP="00B301B0">
            <w:pPr>
              <w:widowControl/>
              <w:overflowPunct/>
              <w:autoSpaceDE/>
              <w:autoSpaceDN/>
              <w:adjustRightInd/>
              <w:jc w:val="center"/>
              <w:rPr>
                <w:kern w:val="0"/>
              </w:rPr>
            </w:pPr>
            <w:r w:rsidRPr="00B301B0">
              <w:rPr>
                <w:kern w:val="0"/>
              </w:rPr>
              <w:t>95% confidence interval</w:t>
            </w:r>
          </w:p>
        </w:tc>
        <w:tc>
          <w:tcPr>
            <w:tcW w:w="1080" w:type="dxa"/>
            <w:tcBorders>
              <w:top w:val="single" w:sz="4" w:space="0" w:color="auto"/>
              <w:bottom w:val="single" w:sz="4" w:space="0" w:color="auto"/>
            </w:tcBorders>
            <w:shd w:val="clear" w:color="auto" w:fill="auto"/>
            <w:vAlign w:val="center"/>
            <w:hideMark/>
          </w:tcPr>
          <w:p w14:paraId="11E862C8" w14:textId="77777777" w:rsidR="00B301B0" w:rsidRPr="00B301B0" w:rsidRDefault="00B301B0" w:rsidP="00B301B0">
            <w:pPr>
              <w:widowControl/>
              <w:overflowPunct/>
              <w:autoSpaceDE/>
              <w:autoSpaceDN/>
              <w:adjustRightInd/>
              <w:jc w:val="center"/>
              <w:rPr>
                <w:kern w:val="0"/>
              </w:rPr>
            </w:pPr>
            <w:r w:rsidRPr="00B301B0">
              <w:rPr>
                <w:kern w:val="0"/>
              </w:rPr>
              <w:t>Q-test</w:t>
            </w:r>
          </w:p>
        </w:tc>
      </w:tr>
      <w:tr w:rsidR="00B301B0" w:rsidRPr="00B301B0" w14:paraId="008E0F46" w14:textId="77777777" w:rsidTr="00DB7B9A">
        <w:trPr>
          <w:cantSplit/>
          <w:trHeight w:val="20"/>
        </w:trPr>
        <w:tc>
          <w:tcPr>
            <w:tcW w:w="2880" w:type="dxa"/>
            <w:tcBorders>
              <w:top w:val="single" w:sz="4" w:space="0" w:color="auto"/>
            </w:tcBorders>
            <w:shd w:val="clear" w:color="auto" w:fill="auto"/>
            <w:noWrap/>
            <w:vAlign w:val="bottom"/>
          </w:tcPr>
          <w:p w14:paraId="0C06423E" w14:textId="77777777" w:rsidR="00B301B0" w:rsidRPr="00B301B0" w:rsidRDefault="00B301B0" w:rsidP="00B301B0">
            <w:pPr>
              <w:widowControl/>
              <w:overflowPunct/>
              <w:autoSpaceDE/>
              <w:autoSpaceDN/>
              <w:adjustRightInd/>
              <w:rPr>
                <w:i/>
                <w:iCs/>
                <w:color w:val="000000"/>
                <w:kern w:val="0"/>
              </w:rPr>
            </w:pPr>
            <w:r w:rsidRPr="00B301B0">
              <w:rPr>
                <w:i/>
                <w:iCs/>
                <w:color w:val="000000"/>
                <w:kern w:val="0"/>
              </w:rPr>
              <w:t>Agency Theory</w:t>
            </w:r>
          </w:p>
        </w:tc>
        <w:tc>
          <w:tcPr>
            <w:tcW w:w="1080" w:type="dxa"/>
            <w:tcBorders>
              <w:top w:val="single" w:sz="4" w:space="0" w:color="auto"/>
            </w:tcBorders>
            <w:shd w:val="clear" w:color="auto" w:fill="auto"/>
            <w:noWrap/>
            <w:vAlign w:val="bottom"/>
          </w:tcPr>
          <w:p w14:paraId="67280A34" w14:textId="77777777" w:rsidR="00B301B0" w:rsidRPr="00B301B0" w:rsidRDefault="00B301B0" w:rsidP="00B301B0">
            <w:pPr>
              <w:widowControl/>
              <w:overflowPunct/>
              <w:autoSpaceDE/>
              <w:autoSpaceDN/>
              <w:adjustRightInd/>
              <w:jc w:val="center"/>
              <w:rPr>
                <w:color w:val="000000"/>
                <w:kern w:val="0"/>
              </w:rPr>
            </w:pPr>
          </w:p>
        </w:tc>
        <w:tc>
          <w:tcPr>
            <w:tcW w:w="1080" w:type="dxa"/>
            <w:tcBorders>
              <w:top w:val="single" w:sz="4" w:space="0" w:color="auto"/>
            </w:tcBorders>
            <w:shd w:val="clear" w:color="auto" w:fill="auto"/>
            <w:noWrap/>
            <w:vAlign w:val="bottom"/>
          </w:tcPr>
          <w:p w14:paraId="061C6A40" w14:textId="77777777" w:rsidR="00B301B0" w:rsidRPr="00B301B0" w:rsidRDefault="00B301B0" w:rsidP="00B301B0">
            <w:pPr>
              <w:widowControl/>
              <w:overflowPunct/>
              <w:autoSpaceDE/>
              <w:autoSpaceDN/>
              <w:adjustRightInd/>
              <w:jc w:val="center"/>
              <w:rPr>
                <w:color w:val="000000"/>
                <w:kern w:val="0"/>
              </w:rPr>
            </w:pPr>
          </w:p>
        </w:tc>
        <w:tc>
          <w:tcPr>
            <w:tcW w:w="1083" w:type="dxa"/>
            <w:tcBorders>
              <w:top w:val="single" w:sz="4" w:space="0" w:color="auto"/>
            </w:tcBorders>
            <w:shd w:val="clear" w:color="auto" w:fill="auto"/>
            <w:noWrap/>
            <w:vAlign w:val="bottom"/>
          </w:tcPr>
          <w:p w14:paraId="0B24C84F" w14:textId="77777777" w:rsidR="00B301B0" w:rsidRPr="00B301B0" w:rsidRDefault="00B301B0" w:rsidP="00B301B0">
            <w:pPr>
              <w:widowControl/>
              <w:overflowPunct/>
              <w:autoSpaceDE/>
              <w:autoSpaceDN/>
              <w:adjustRightInd/>
              <w:jc w:val="center"/>
              <w:rPr>
                <w:color w:val="000000"/>
                <w:kern w:val="0"/>
              </w:rPr>
            </w:pPr>
          </w:p>
        </w:tc>
        <w:tc>
          <w:tcPr>
            <w:tcW w:w="2086" w:type="dxa"/>
            <w:tcBorders>
              <w:top w:val="single" w:sz="4" w:space="0" w:color="auto"/>
            </w:tcBorders>
            <w:shd w:val="clear" w:color="auto" w:fill="auto"/>
            <w:noWrap/>
            <w:vAlign w:val="bottom"/>
          </w:tcPr>
          <w:p w14:paraId="1D2534E0" w14:textId="77777777" w:rsidR="00B301B0" w:rsidRPr="00B301B0" w:rsidRDefault="00B301B0" w:rsidP="00B301B0">
            <w:pPr>
              <w:widowControl/>
              <w:overflowPunct/>
              <w:autoSpaceDE/>
              <w:autoSpaceDN/>
              <w:adjustRightInd/>
              <w:jc w:val="center"/>
              <w:rPr>
                <w:color w:val="000000"/>
                <w:kern w:val="0"/>
              </w:rPr>
            </w:pPr>
          </w:p>
        </w:tc>
        <w:tc>
          <w:tcPr>
            <w:tcW w:w="1080" w:type="dxa"/>
            <w:tcBorders>
              <w:top w:val="single" w:sz="4" w:space="0" w:color="auto"/>
            </w:tcBorders>
            <w:shd w:val="clear" w:color="auto" w:fill="auto"/>
            <w:noWrap/>
            <w:vAlign w:val="bottom"/>
          </w:tcPr>
          <w:p w14:paraId="376A355D" w14:textId="77777777" w:rsidR="00B301B0" w:rsidRPr="00B301B0" w:rsidRDefault="00B301B0" w:rsidP="00B301B0">
            <w:pPr>
              <w:widowControl/>
              <w:overflowPunct/>
              <w:autoSpaceDE/>
              <w:autoSpaceDN/>
              <w:adjustRightInd/>
              <w:jc w:val="center"/>
              <w:rPr>
                <w:color w:val="000000"/>
                <w:kern w:val="0"/>
              </w:rPr>
            </w:pPr>
          </w:p>
        </w:tc>
      </w:tr>
      <w:tr w:rsidR="00B301B0" w:rsidRPr="00B301B0" w14:paraId="4ECDE52A" w14:textId="77777777" w:rsidTr="00DB7B9A">
        <w:trPr>
          <w:cantSplit/>
          <w:trHeight w:val="20"/>
        </w:trPr>
        <w:tc>
          <w:tcPr>
            <w:tcW w:w="2880" w:type="dxa"/>
            <w:shd w:val="clear" w:color="auto" w:fill="auto"/>
            <w:noWrap/>
            <w:vAlign w:val="bottom"/>
            <w:hideMark/>
          </w:tcPr>
          <w:p w14:paraId="64ECA5C7"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Goal alignment</w:t>
            </w:r>
          </w:p>
        </w:tc>
        <w:tc>
          <w:tcPr>
            <w:tcW w:w="1080" w:type="dxa"/>
            <w:shd w:val="clear" w:color="auto" w:fill="auto"/>
            <w:noWrap/>
            <w:vAlign w:val="bottom"/>
            <w:hideMark/>
          </w:tcPr>
          <w:p w14:paraId="65A0A9B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33</w:t>
            </w:r>
          </w:p>
        </w:tc>
        <w:tc>
          <w:tcPr>
            <w:tcW w:w="1080" w:type="dxa"/>
            <w:shd w:val="clear" w:color="auto" w:fill="auto"/>
            <w:noWrap/>
            <w:vAlign w:val="bottom"/>
            <w:hideMark/>
          </w:tcPr>
          <w:p w14:paraId="5F9BE8C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5754</w:t>
            </w:r>
          </w:p>
        </w:tc>
        <w:tc>
          <w:tcPr>
            <w:tcW w:w="1083" w:type="dxa"/>
            <w:shd w:val="clear" w:color="auto" w:fill="auto"/>
            <w:noWrap/>
            <w:vAlign w:val="bottom"/>
            <w:hideMark/>
          </w:tcPr>
          <w:p w14:paraId="7B3D506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-0.047</w:t>
            </w:r>
          </w:p>
        </w:tc>
        <w:tc>
          <w:tcPr>
            <w:tcW w:w="2086" w:type="dxa"/>
            <w:shd w:val="clear" w:color="auto" w:fill="auto"/>
            <w:noWrap/>
            <w:vAlign w:val="bottom"/>
            <w:hideMark/>
          </w:tcPr>
          <w:p w14:paraId="7A42C89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-0.116 to 0.022</w:t>
            </w:r>
          </w:p>
        </w:tc>
        <w:tc>
          <w:tcPr>
            <w:tcW w:w="1080" w:type="dxa"/>
            <w:shd w:val="clear" w:color="auto" w:fill="auto"/>
            <w:noWrap/>
            <w:vAlign w:val="bottom"/>
            <w:hideMark/>
          </w:tcPr>
          <w:p w14:paraId="6F168A8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213.20*</w:t>
            </w:r>
          </w:p>
        </w:tc>
      </w:tr>
      <w:tr w:rsidR="00B301B0" w:rsidRPr="00B301B0" w14:paraId="1FC42B05" w14:textId="77777777" w:rsidTr="00DB7B9A">
        <w:trPr>
          <w:cantSplit/>
          <w:trHeight w:val="20"/>
        </w:trPr>
        <w:tc>
          <w:tcPr>
            <w:tcW w:w="2880" w:type="dxa"/>
            <w:shd w:val="clear" w:color="auto" w:fill="auto"/>
            <w:noWrap/>
            <w:vAlign w:val="bottom"/>
            <w:hideMark/>
          </w:tcPr>
          <w:p w14:paraId="4BDD6109"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Past Performance</w:t>
            </w:r>
          </w:p>
        </w:tc>
        <w:tc>
          <w:tcPr>
            <w:tcW w:w="1080" w:type="dxa"/>
            <w:shd w:val="clear" w:color="auto" w:fill="auto"/>
            <w:noWrap/>
            <w:vAlign w:val="bottom"/>
            <w:hideMark/>
          </w:tcPr>
          <w:p w14:paraId="06E07BE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20</w:t>
            </w:r>
          </w:p>
        </w:tc>
        <w:tc>
          <w:tcPr>
            <w:tcW w:w="1080" w:type="dxa"/>
            <w:shd w:val="clear" w:color="auto" w:fill="auto"/>
            <w:noWrap/>
            <w:vAlign w:val="bottom"/>
            <w:hideMark/>
          </w:tcPr>
          <w:p w14:paraId="6CFCFF8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3679</w:t>
            </w:r>
          </w:p>
        </w:tc>
        <w:tc>
          <w:tcPr>
            <w:tcW w:w="1083" w:type="dxa"/>
            <w:shd w:val="clear" w:color="auto" w:fill="auto"/>
            <w:noWrap/>
            <w:vAlign w:val="bottom"/>
            <w:hideMark/>
          </w:tcPr>
          <w:p w14:paraId="40E42FB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0.058</w:t>
            </w:r>
          </w:p>
        </w:tc>
        <w:tc>
          <w:tcPr>
            <w:tcW w:w="2086" w:type="dxa"/>
            <w:shd w:val="clear" w:color="auto" w:fill="auto"/>
            <w:noWrap/>
            <w:vAlign w:val="bottom"/>
            <w:hideMark/>
          </w:tcPr>
          <w:p w14:paraId="0D067C2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-0.035 to 0.151</w:t>
            </w:r>
          </w:p>
        </w:tc>
        <w:tc>
          <w:tcPr>
            <w:tcW w:w="1080" w:type="dxa"/>
            <w:shd w:val="clear" w:color="auto" w:fill="auto"/>
            <w:noWrap/>
            <w:vAlign w:val="bottom"/>
            <w:hideMark/>
          </w:tcPr>
          <w:p w14:paraId="4CD4EE3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139.56*</w:t>
            </w:r>
          </w:p>
        </w:tc>
      </w:tr>
      <w:tr w:rsidR="00B301B0" w:rsidRPr="00B301B0" w14:paraId="6D7C3031" w14:textId="77777777" w:rsidTr="00DB7B9A">
        <w:trPr>
          <w:cantSplit/>
          <w:trHeight w:val="20"/>
        </w:trPr>
        <w:tc>
          <w:tcPr>
            <w:tcW w:w="2880" w:type="dxa"/>
            <w:shd w:val="clear" w:color="auto" w:fill="auto"/>
            <w:noWrap/>
            <w:vAlign w:val="bottom"/>
          </w:tcPr>
          <w:p w14:paraId="43B333A3" w14:textId="77777777" w:rsidR="00B301B0" w:rsidRPr="00B301B0" w:rsidRDefault="00B301B0" w:rsidP="00B301B0">
            <w:pPr>
              <w:widowControl/>
              <w:overflowPunct/>
              <w:autoSpaceDE/>
              <w:autoSpaceDN/>
              <w:adjustRightInd/>
              <w:rPr>
                <w:i/>
                <w:iCs/>
                <w:color w:val="000000"/>
                <w:kern w:val="0"/>
              </w:rPr>
            </w:pPr>
            <w:r w:rsidRPr="00B301B0">
              <w:rPr>
                <w:i/>
                <w:iCs/>
                <w:color w:val="000000"/>
                <w:kern w:val="0"/>
              </w:rPr>
              <w:t>Institutional Theory</w:t>
            </w:r>
          </w:p>
        </w:tc>
        <w:tc>
          <w:tcPr>
            <w:tcW w:w="1080" w:type="dxa"/>
            <w:shd w:val="clear" w:color="auto" w:fill="auto"/>
            <w:noWrap/>
            <w:vAlign w:val="bottom"/>
          </w:tcPr>
          <w:p w14:paraId="4CD0BF5E" w14:textId="77777777" w:rsidR="00B301B0" w:rsidRPr="00B301B0" w:rsidRDefault="00B301B0" w:rsidP="00B301B0">
            <w:pPr>
              <w:widowControl/>
              <w:overflowPunct/>
              <w:autoSpaceDE/>
              <w:autoSpaceDN/>
              <w:adjustRightInd/>
              <w:jc w:val="center"/>
              <w:rPr>
                <w:color w:val="000000"/>
                <w:kern w:val="0"/>
              </w:rPr>
            </w:pPr>
          </w:p>
        </w:tc>
        <w:tc>
          <w:tcPr>
            <w:tcW w:w="1080" w:type="dxa"/>
            <w:shd w:val="clear" w:color="auto" w:fill="auto"/>
            <w:noWrap/>
            <w:vAlign w:val="bottom"/>
          </w:tcPr>
          <w:p w14:paraId="7F4A5A1A" w14:textId="77777777" w:rsidR="00B301B0" w:rsidRPr="00B301B0" w:rsidRDefault="00B301B0" w:rsidP="00B301B0">
            <w:pPr>
              <w:widowControl/>
              <w:overflowPunct/>
              <w:autoSpaceDE/>
              <w:autoSpaceDN/>
              <w:adjustRightInd/>
              <w:jc w:val="center"/>
              <w:rPr>
                <w:color w:val="000000"/>
                <w:kern w:val="0"/>
              </w:rPr>
            </w:pPr>
          </w:p>
        </w:tc>
        <w:tc>
          <w:tcPr>
            <w:tcW w:w="1083" w:type="dxa"/>
            <w:shd w:val="clear" w:color="auto" w:fill="auto"/>
            <w:noWrap/>
            <w:vAlign w:val="bottom"/>
          </w:tcPr>
          <w:p w14:paraId="626F994B" w14:textId="77777777" w:rsidR="00B301B0" w:rsidRPr="00B301B0" w:rsidRDefault="00B301B0" w:rsidP="00B301B0">
            <w:pPr>
              <w:widowControl/>
              <w:overflowPunct/>
              <w:autoSpaceDE/>
              <w:autoSpaceDN/>
              <w:adjustRightInd/>
              <w:jc w:val="center"/>
              <w:rPr>
                <w:color w:val="000000"/>
                <w:kern w:val="0"/>
              </w:rPr>
            </w:pPr>
          </w:p>
        </w:tc>
        <w:tc>
          <w:tcPr>
            <w:tcW w:w="2086" w:type="dxa"/>
            <w:shd w:val="clear" w:color="auto" w:fill="auto"/>
            <w:noWrap/>
            <w:vAlign w:val="bottom"/>
          </w:tcPr>
          <w:p w14:paraId="6E58CA34" w14:textId="77777777" w:rsidR="00B301B0" w:rsidRPr="00B301B0" w:rsidRDefault="00B301B0" w:rsidP="00B301B0">
            <w:pPr>
              <w:widowControl/>
              <w:overflowPunct/>
              <w:autoSpaceDE/>
              <w:autoSpaceDN/>
              <w:adjustRightInd/>
              <w:jc w:val="center"/>
              <w:rPr>
                <w:color w:val="000000"/>
                <w:kern w:val="0"/>
              </w:rPr>
            </w:pPr>
          </w:p>
        </w:tc>
        <w:tc>
          <w:tcPr>
            <w:tcW w:w="1080" w:type="dxa"/>
            <w:shd w:val="clear" w:color="auto" w:fill="auto"/>
            <w:noWrap/>
            <w:vAlign w:val="bottom"/>
          </w:tcPr>
          <w:p w14:paraId="5F5225AC" w14:textId="77777777" w:rsidR="00B301B0" w:rsidRPr="00B301B0" w:rsidRDefault="00B301B0" w:rsidP="00B301B0">
            <w:pPr>
              <w:widowControl/>
              <w:overflowPunct/>
              <w:autoSpaceDE/>
              <w:autoSpaceDN/>
              <w:adjustRightInd/>
              <w:jc w:val="center"/>
              <w:rPr>
                <w:color w:val="000000"/>
                <w:kern w:val="0"/>
              </w:rPr>
            </w:pPr>
          </w:p>
        </w:tc>
      </w:tr>
      <w:tr w:rsidR="00B301B0" w:rsidRPr="00B301B0" w14:paraId="70FD0858" w14:textId="77777777" w:rsidTr="00DB7B9A">
        <w:trPr>
          <w:cantSplit/>
          <w:trHeight w:val="20"/>
        </w:trPr>
        <w:tc>
          <w:tcPr>
            <w:tcW w:w="2880" w:type="dxa"/>
            <w:shd w:val="clear" w:color="auto" w:fill="auto"/>
            <w:noWrap/>
            <w:vAlign w:val="bottom"/>
            <w:hideMark/>
          </w:tcPr>
          <w:p w14:paraId="5051B98B"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Institutional distance</w:t>
            </w:r>
          </w:p>
        </w:tc>
        <w:tc>
          <w:tcPr>
            <w:tcW w:w="1080" w:type="dxa"/>
            <w:shd w:val="clear" w:color="auto" w:fill="auto"/>
            <w:noWrap/>
            <w:vAlign w:val="bottom"/>
            <w:hideMark/>
          </w:tcPr>
          <w:p w14:paraId="6A47D92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54</w:t>
            </w:r>
          </w:p>
        </w:tc>
        <w:tc>
          <w:tcPr>
            <w:tcW w:w="1080" w:type="dxa"/>
            <w:shd w:val="clear" w:color="auto" w:fill="auto"/>
            <w:noWrap/>
            <w:vAlign w:val="bottom"/>
            <w:hideMark/>
          </w:tcPr>
          <w:p w14:paraId="61623D8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12160</w:t>
            </w:r>
          </w:p>
        </w:tc>
        <w:tc>
          <w:tcPr>
            <w:tcW w:w="1083" w:type="dxa"/>
            <w:shd w:val="clear" w:color="auto" w:fill="auto"/>
            <w:noWrap/>
            <w:vAlign w:val="bottom"/>
            <w:hideMark/>
          </w:tcPr>
          <w:p w14:paraId="10DE484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0.018</w:t>
            </w:r>
          </w:p>
        </w:tc>
        <w:tc>
          <w:tcPr>
            <w:tcW w:w="2086" w:type="dxa"/>
            <w:shd w:val="clear" w:color="auto" w:fill="auto"/>
            <w:noWrap/>
            <w:vAlign w:val="bottom"/>
            <w:hideMark/>
          </w:tcPr>
          <w:p w14:paraId="3A8740B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-0.050 to 0.086</w:t>
            </w:r>
          </w:p>
        </w:tc>
        <w:tc>
          <w:tcPr>
            <w:tcW w:w="1080" w:type="dxa"/>
            <w:shd w:val="clear" w:color="auto" w:fill="auto"/>
            <w:noWrap/>
            <w:vAlign w:val="bottom"/>
            <w:hideMark/>
          </w:tcPr>
          <w:p w14:paraId="71CA17B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732.59*</w:t>
            </w:r>
          </w:p>
        </w:tc>
      </w:tr>
      <w:tr w:rsidR="00B301B0" w:rsidRPr="00B301B0" w14:paraId="4733439D" w14:textId="77777777" w:rsidTr="00DB7B9A">
        <w:trPr>
          <w:cantSplit/>
          <w:trHeight w:val="20"/>
        </w:trPr>
        <w:tc>
          <w:tcPr>
            <w:tcW w:w="2880" w:type="dxa"/>
            <w:shd w:val="clear" w:color="auto" w:fill="auto"/>
            <w:noWrap/>
            <w:vAlign w:val="bottom"/>
            <w:hideMark/>
          </w:tcPr>
          <w:p w14:paraId="363606CA"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Host country constraints</w:t>
            </w:r>
          </w:p>
        </w:tc>
        <w:tc>
          <w:tcPr>
            <w:tcW w:w="1080" w:type="dxa"/>
            <w:shd w:val="clear" w:color="auto" w:fill="auto"/>
            <w:noWrap/>
            <w:vAlign w:val="bottom"/>
            <w:hideMark/>
          </w:tcPr>
          <w:p w14:paraId="51AF3FB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29</w:t>
            </w:r>
          </w:p>
        </w:tc>
        <w:tc>
          <w:tcPr>
            <w:tcW w:w="1080" w:type="dxa"/>
            <w:shd w:val="clear" w:color="auto" w:fill="auto"/>
            <w:noWrap/>
            <w:vAlign w:val="bottom"/>
            <w:hideMark/>
          </w:tcPr>
          <w:p w14:paraId="4B2CECA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8821</w:t>
            </w:r>
          </w:p>
        </w:tc>
        <w:tc>
          <w:tcPr>
            <w:tcW w:w="1083" w:type="dxa"/>
            <w:shd w:val="clear" w:color="auto" w:fill="auto"/>
            <w:noWrap/>
            <w:vAlign w:val="bottom"/>
            <w:hideMark/>
          </w:tcPr>
          <w:p w14:paraId="157FCF5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0.018</w:t>
            </w:r>
          </w:p>
        </w:tc>
        <w:tc>
          <w:tcPr>
            <w:tcW w:w="2086" w:type="dxa"/>
            <w:shd w:val="clear" w:color="auto" w:fill="auto"/>
            <w:noWrap/>
            <w:vAlign w:val="bottom"/>
            <w:hideMark/>
          </w:tcPr>
          <w:p w14:paraId="6340E13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-0.062 to 0.099</w:t>
            </w:r>
          </w:p>
        </w:tc>
        <w:tc>
          <w:tcPr>
            <w:tcW w:w="1080" w:type="dxa"/>
            <w:shd w:val="clear" w:color="auto" w:fill="auto"/>
            <w:noWrap/>
            <w:vAlign w:val="bottom"/>
            <w:hideMark/>
          </w:tcPr>
          <w:p w14:paraId="4B0CDAD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378.33*</w:t>
            </w:r>
          </w:p>
        </w:tc>
      </w:tr>
      <w:tr w:rsidR="00B301B0" w:rsidRPr="00B301B0" w14:paraId="7CB79C51" w14:textId="77777777" w:rsidTr="00DB7B9A">
        <w:trPr>
          <w:cantSplit/>
          <w:trHeight w:val="20"/>
        </w:trPr>
        <w:tc>
          <w:tcPr>
            <w:tcW w:w="2880" w:type="dxa"/>
            <w:shd w:val="clear" w:color="auto" w:fill="auto"/>
            <w:noWrap/>
            <w:vAlign w:val="bottom"/>
          </w:tcPr>
          <w:p w14:paraId="14B5C703" w14:textId="77777777" w:rsidR="00B301B0" w:rsidRPr="00B301B0" w:rsidRDefault="00B301B0" w:rsidP="00B301B0">
            <w:pPr>
              <w:widowControl/>
              <w:overflowPunct/>
              <w:autoSpaceDE/>
              <w:autoSpaceDN/>
              <w:adjustRightInd/>
              <w:rPr>
                <w:i/>
                <w:iCs/>
                <w:color w:val="000000"/>
                <w:kern w:val="0"/>
              </w:rPr>
            </w:pPr>
            <w:r w:rsidRPr="00B301B0">
              <w:rPr>
                <w:i/>
                <w:iCs/>
                <w:color w:val="000000"/>
                <w:kern w:val="0"/>
              </w:rPr>
              <w:t>Global Strategy</w:t>
            </w:r>
          </w:p>
        </w:tc>
        <w:tc>
          <w:tcPr>
            <w:tcW w:w="1080" w:type="dxa"/>
            <w:shd w:val="clear" w:color="auto" w:fill="auto"/>
            <w:noWrap/>
            <w:vAlign w:val="bottom"/>
          </w:tcPr>
          <w:p w14:paraId="1CA083ED" w14:textId="77777777" w:rsidR="00B301B0" w:rsidRPr="00B301B0" w:rsidRDefault="00B301B0" w:rsidP="00B301B0">
            <w:pPr>
              <w:widowControl/>
              <w:overflowPunct/>
              <w:autoSpaceDE/>
              <w:autoSpaceDN/>
              <w:adjustRightInd/>
              <w:jc w:val="center"/>
              <w:rPr>
                <w:color w:val="000000"/>
                <w:kern w:val="0"/>
              </w:rPr>
            </w:pPr>
          </w:p>
        </w:tc>
        <w:tc>
          <w:tcPr>
            <w:tcW w:w="1080" w:type="dxa"/>
            <w:shd w:val="clear" w:color="auto" w:fill="auto"/>
            <w:noWrap/>
            <w:vAlign w:val="bottom"/>
          </w:tcPr>
          <w:p w14:paraId="54F1D9A9" w14:textId="77777777" w:rsidR="00B301B0" w:rsidRPr="00B301B0" w:rsidRDefault="00B301B0" w:rsidP="00B301B0">
            <w:pPr>
              <w:widowControl/>
              <w:overflowPunct/>
              <w:autoSpaceDE/>
              <w:autoSpaceDN/>
              <w:adjustRightInd/>
              <w:jc w:val="center"/>
              <w:rPr>
                <w:color w:val="000000"/>
                <w:kern w:val="0"/>
              </w:rPr>
            </w:pPr>
          </w:p>
        </w:tc>
        <w:tc>
          <w:tcPr>
            <w:tcW w:w="1083" w:type="dxa"/>
            <w:shd w:val="clear" w:color="auto" w:fill="auto"/>
            <w:noWrap/>
            <w:vAlign w:val="bottom"/>
          </w:tcPr>
          <w:p w14:paraId="5D381BEF" w14:textId="77777777" w:rsidR="00B301B0" w:rsidRPr="00B301B0" w:rsidRDefault="00B301B0" w:rsidP="00B301B0">
            <w:pPr>
              <w:widowControl/>
              <w:overflowPunct/>
              <w:autoSpaceDE/>
              <w:autoSpaceDN/>
              <w:adjustRightInd/>
              <w:jc w:val="center"/>
              <w:rPr>
                <w:color w:val="000000"/>
                <w:kern w:val="0"/>
              </w:rPr>
            </w:pPr>
          </w:p>
        </w:tc>
        <w:tc>
          <w:tcPr>
            <w:tcW w:w="2086" w:type="dxa"/>
            <w:shd w:val="clear" w:color="auto" w:fill="auto"/>
            <w:noWrap/>
            <w:vAlign w:val="bottom"/>
          </w:tcPr>
          <w:p w14:paraId="4C947D1C" w14:textId="77777777" w:rsidR="00B301B0" w:rsidRPr="00B301B0" w:rsidRDefault="00B301B0" w:rsidP="00B301B0">
            <w:pPr>
              <w:widowControl/>
              <w:overflowPunct/>
              <w:autoSpaceDE/>
              <w:autoSpaceDN/>
              <w:adjustRightInd/>
              <w:jc w:val="center"/>
              <w:rPr>
                <w:color w:val="000000"/>
                <w:kern w:val="0"/>
              </w:rPr>
            </w:pPr>
          </w:p>
        </w:tc>
        <w:tc>
          <w:tcPr>
            <w:tcW w:w="1080" w:type="dxa"/>
            <w:shd w:val="clear" w:color="auto" w:fill="auto"/>
            <w:noWrap/>
            <w:vAlign w:val="bottom"/>
          </w:tcPr>
          <w:p w14:paraId="77907A7A" w14:textId="77777777" w:rsidR="00B301B0" w:rsidRPr="00B301B0" w:rsidRDefault="00B301B0" w:rsidP="00B301B0">
            <w:pPr>
              <w:widowControl/>
              <w:overflowPunct/>
              <w:autoSpaceDE/>
              <w:autoSpaceDN/>
              <w:adjustRightInd/>
              <w:jc w:val="center"/>
              <w:rPr>
                <w:color w:val="000000"/>
                <w:kern w:val="0"/>
              </w:rPr>
            </w:pPr>
          </w:p>
        </w:tc>
      </w:tr>
      <w:tr w:rsidR="00B301B0" w:rsidRPr="00B301B0" w14:paraId="43A26D9D" w14:textId="77777777" w:rsidTr="00DB7B9A">
        <w:trPr>
          <w:cantSplit/>
          <w:trHeight w:val="20"/>
        </w:trPr>
        <w:tc>
          <w:tcPr>
            <w:tcW w:w="2880" w:type="dxa"/>
            <w:shd w:val="clear" w:color="auto" w:fill="auto"/>
            <w:noWrap/>
            <w:vAlign w:val="bottom"/>
            <w:hideMark/>
          </w:tcPr>
          <w:p w14:paraId="2AF4D553"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Full operations</w:t>
            </w:r>
          </w:p>
        </w:tc>
        <w:tc>
          <w:tcPr>
            <w:tcW w:w="1080" w:type="dxa"/>
            <w:shd w:val="clear" w:color="auto" w:fill="auto"/>
            <w:noWrap/>
            <w:vAlign w:val="bottom"/>
            <w:hideMark/>
          </w:tcPr>
          <w:p w14:paraId="0DA89B6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15</w:t>
            </w:r>
          </w:p>
        </w:tc>
        <w:tc>
          <w:tcPr>
            <w:tcW w:w="1080" w:type="dxa"/>
            <w:shd w:val="clear" w:color="auto" w:fill="auto"/>
            <w:noWrap/>
            <w:vAlign w:val="bottom"/>
            <w:hideMark/>
          </w:tcPr>
          <w:p w14:paraId="185EBED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2689</w:t>
            </w:r>
          </w:p>
        </w:tc>
        <w:tc>
          <w:tcPr>
            <w:tcW w:w="1083" w:type="dxa"/>
            <w:shd w:val="clear" w:color="auto" w:fill="auto"/>
            <w:noWrap/>
            <w:vAlign w:val="bottom"/>
            <w:hideMark/>
          </w:tcPr>
          <w:p w14:paraId="05CC4B0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0.123</w:t>
            </w:r>
          </w:p>
        </w:tc>
        <w:tc>
          <w:tcPr>
            <w:tcW w:w="2086" w:type="dxa"/>
            <w:shd w:val="clear" w:color="auto" w:fill="auto"/>
            <w:noWrap/>
            <w:vAlign w:val="bottom"/>
            <w:hideMark/>
          </w:tcPr>
          <w:p w14:paraId="0967D86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-0.018 to 0.265</w:t>
            </w:r>
          </w:p>
        </w:tc>
        <w:tc>
          <w:tcPr>
            <w:tcW w:w="1080" w:type="dxa"/>
            <w:shd w:val="clear" w:color="auto" w:fill="auto"/>
            <w:noWrap/>
            <w:vAlign w:val="bottom"/>
            <w:hideMark/>
          </w:tcPr>
          <w:p w14:paraId="6FE51D5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185.85*</w:t>
            </w:r>
          </w:p>
        </w:tc>
      </w:tr>
      <w:tr w:rsidR="00B301B0" w:rsidRPr="00B301B0" w14:paraId="12B87198" w14:textId="77777777" w:rsidTr="00DB7B9A">
        <w:trPr>
          <w:cantSplit/>
          <w:trHeight w:val="20"/>
        </w:trPr>
        <w:tc>
          <w:tcPr>
            <w:tcW w:w="2880" w:type="dxa"/>
            <w:tcBorders>
              <w:bottom w:val="dashed" w:sz="4" w:space="0" w:color="auto"/>
            </w:tcBorders>
            <w:shd w:val="clear" w:color="auto" w:fill="auto"/>
            <w:noWrap/>
            <w:vAlign w:val="bottom"/>
            <w:hideMark/>
          </w:tcPr>
          <w:p w14:paraId="4953FB13"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Localization</w:t>
            </w:r>
          </w:p>
        </w:tc>
        <w:tc>
          <w:tcPr>
            <w:tcW w:w="1080" w:type="dxa"/>
            <w:tcBorders>
              <w:bottom w:val="dashed" w:sz="4" w:space="0" w:color="auto"/>
            </w:tcBorders>
            <w:shd w:val="clear" w:color="auto" w:fill="auto"/>
            <w:noWrap/>
            <w:vAlign w:val="bottom"/>
            <w:hideMark/>
          </w:tcPr>
          <w:p w14:paraId="35D3D5F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24</w:t>
            </w:r>
          </w:p>
        </w:tc>
        <w:tc>
          <w:tcPr>
            <w:tcW w:w="1080" w:type="dxa"/>
            <w:tcBorders>
              <w:bottom w:val="dashed" w:sz="4" w:space="0" w:color="auto"/>
            </w:tcBorders>
            <w:shd w:val="clear" w:color="auto" w:fill="auto"/>
            <w:noWrap/>
            <w:vAlign w:val="bottom"/>
            <w:hideMark/>
          </w:tcPr>
          <w:p w14:paraId="1AC4BC0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3320</w:t>
            </w:r>
          </w:p>
        </w:tc>
        <w:tc>
          <w:tcPr>
            <w:tcW w:w="1083" w:type="dxa"/>
            <w:tcBorders>
              <w:bottom w:val="dashed" w:sz="4" w:space="0" w:color="auto"/>
            </w:tcBorders>
            <w:shd w:val="clear" w:color="auto" w:fill="auto"/>
            <w:noWrap/>
            <w:vAlign w:val="bottom"/>
            <w:hideMark/>
          </w:tcPr>
          <w:p w14:paraId="086D203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0.080</w:t>
            </w:r>
          </w:p>
        </w:tc>
        <w:tc>
          <w:tcPr>
            <w:tcW w:w="2086" w:type="dxa"/>
            <w:tcBorders>
              <w:bottom w:val="dashed" w:sz="4" w:space="0" w:color="auto"/>
            </w:tcBorders>
            <w:shd w:val="clear" w:color="auto" w:fill="auto"/>
            <w:noWrap/>
            <w:vAlign w:val="bottom"/>
            <w:hideMark/>
          </w:tcPr>
          <w:p w14:paraId="5D79E47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-0.028 to 0.188</w:t>
            </w:r>
          </w:p>
        </w:tc>
        <w:tc>
          <w:tcPr>
            <w:tcW w:w="1080" w:type="dxa"/>
            <w:tcBorders>
              <w:bottom w:val="dashed" w:sz="4" w:space="0" w:color="auto"/>
            </w:tcBorders>
            <w:shd w:val="clear" w:color="auto" w:fill="auto"/>
            <w:noWrap/>
            <w:vAlign w:val="bottom"/>
            <w:hideMark/>
          </w:tcPr>
          <w:p w14:paraId="283EF7E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217.47*</w:t>
            </w:r>
          </w:p>
        </w:tc>
      </w:tr>
      <w:tr w:rsidR="00B301B0" w:rsidRPr="00B301B0" w14:paraId="1F8871F8" w14:textId="77777777" w:rsidTr="00DB7B9A">
        <w:trPr>
          <w:cantSplit/>
          <w:trHeight w:val="20"/>
        </w:trPr>
        <w:tc>
          <w:tcPr>
            <w:tcW w:w="2880" w:type="dxa"/>
            <w:tcBorders>
              <w:top w:val="dashed" w:sz="4" w:space="0" w:color="auto"/>
            </w:tcBorders>
            <w:shd w:val="clear" w:color="auto" w:fill="auto"/>
            <w:noWrap/>
            <w:vAlign w:val="bottom"/>
          </w:tcPr>
          <w:p w14:paraId="48EA9B8D" w14:textId="77777777" w:rsidR="00B301B0" w:rsidRPr="00B301B0" w:rsidRDefault="00B301B0" w:rsidP="00B301B0">
            <w:pPr>
              <w:widowControl/>
              <w:overflowPunct/>
              <w:autoSpaceDE/>
              <w:autoSpaceDN/>
              <w:adjustRightInd/>
              <w:rPr>
                <w:i/>
                <w:iCs/>
                <w:color w:val="000000"/>
                <w:kern w:val="0"/>
              </w:rPr>
            </w:pPr>
            <w:r w:rsidRPr="00B301B0">
              <w:rPr>
                <w:i/>
                <w:iCs/>
                <w:color w:val="000000"/>
                <w:kern w:val="0"/>
              </w:rPr>
              <w:t xml:space="preserve">Additional – Context </w:t>
            </w:r>
          </w:p>
        </w:tc>
        <w:tc>
          <w:tcPr>
            <w:tcW w:w="1080" w:type="dxa"/>
            <w:tcBorders>
              <w:top w:val="dashed" w:sz="4" w:space="0" w:color="auto"/>
            </w:tcBorders>
            <w:shd w:val="clear" w:color="auto" w:fill="auto"/>
            <w:noWrap/>
            <w:vAlign w:val="bottom"/>
          </w:tcPr>
          <w:p w14:paraId="6B5E4710" w14:textId="77777777" w:rsidR="00B301B0" w:rsidRPr="00B301B0" w:rsidRDefault="00B301B0" w:rsidP="00B301B0">
            <w:pPr>
              <w:widowControl/>
              <w:overflowPunct/>
              <w:autoSpaceDE/>
              <w:autoSpaceDN/>
              <w:adjustRightInd/>
              <w:jc w:val="center"/>
              <w:rPr>
                <w:color w:val="000000"/>
                <w:kern w:val="0"/>
              </w:rPr>
            </w:pPr>
          </w:p>
        </w:tc>
        <w:tc>
          <w:tcPr>
            <w:tcW w:w="1080" w:type="dxa"/>
            <w:tcBorders>
              <w:top w:val="dashed" w:sz="4" w:space="0" w:color="auto"/>
            </w:tcBorders>
            <w:shd w:val="clear" w:color="auto" w:fill="auto"/>
            <w:noWrap/>
            <w:vAlign w:val="bottom"/>
          </w:tcPr>
          <w:p w14:paraId="1AD91EA9" w14:textId="77777777" w:rsidR="00B301B0" w:rsidRPr="00B301B0" w:rsidRDefault="00B301B0" w:rsidP="00B301B0">
            <w:pPr>
              <w:widowControl/>
              <w:overflowPunct/>
              <w:autoSpaceDE/>
              <w:autoSpaceDN/>
              <w:adjustRightInd/>
              <w:jc w:val="center"/>
              <w:rPr>
                <w:color w:val="000000"/>
                <w:kern w:val="0"/>
              </w:rPr>
            </w:pPr>
          </w:p>
        </w:tc>
        <w:tc>
          <w:tcPr>
            <w:tcW w:w="1083" w:type="dxa"/>
            <w:tcBorders>
              <w:top w:val="dashed" w:sz="4" w:space="0" w:color="auto"/>
            </w:tcBorders>
            <w:shd w:val="clear" w:color="auto" w:fill="auto"/>
            <w:noWrap/>
            <w:vAlign w:val="bottom"/>
          </w:tcPr>
          <w:p w14:paraId="1679F7F6" w14:textId="77777777" w:rsidR="00B301B0" w:rsidRPr="00B301B0" w:rsidRDefault="00B301B0" w:rsidP="00B301B0">
            <w:pPr>
              <w:widowControl/>
              <w:overflowPunct/>
              <w:autoSpaceDE/>
              <w:autoSpaceDN/>
              <w:adjustRightInd/>
              <w:jc w:val="center"/>
              <w:rPr>
                <w:color w:val="000000"/>
                <w:kern w:val="0"/>
              </w:rPr>
            </w:pPr>
          </w:p>
        </w:tc>
        <w:tc>
          <w:tcPr>
            <w:tcW w:w="2086" w:type="dxa"/>
            <w:tcBorders>
              <w:top w:val="dashed" w:sz="4" w:space="0" w:color="auto"/>
            </w:tcBorders>
            <w:shd w:val="clear" w:color="auto" w:fill="auto"/>
            <w:noWrap/>
            <w:vAlign w:val="bottom"/>
          </w:tcPr>
          <w:p w14:paraId="602A658B" w14:textId="77777777" w:rsidR="00B301B0" w:rsidRPr="00B301B0" w:rsidRDefault="00B301B0" w:rsidP="00B301B0">
            <w:pPr>
              <w:widowControl/>
              <w:overflowPunct/>
              <w:autoSpaceDE/>
              <w:autoSpaceDN/>
              <w:adjustRightInd/>
              <w:jc w:val="center"/>
              <w:rPr>
                <w:color w:val="000000"/>
                <w:kern w:val="0"/>
              </w:rPr>
            </w:pPr>
          </w:p>
        </w:tc>
        <w:tc>
          <w:tcPr>
            <w:tcW w:w="1080" w:type="dxa"/>
            <w:tcBorders>
              <w:top w:val="dashed" w:sz="4" w:space="0" w:color="auto"/>
            </w:tcBorders>
            <w:shd w:val="clear" w:color="auto" w:fill="auto"/>
            <w:noWrap/>
            <w:vAlign w:val="bottom"/>
          </w:tcPr>
          <w:p w14:paraId="558662C8" w14:textId="77777777" w:rsidR="00B301B0" w:rsidRPr="00B301B0" w:rsidRDefault="00B301B0" w:rsidP="00B301B0">
            <w:pPr>
              <w:widowControl/>
              <w:overflowPunct/>
              <w:autoSpaceDE/>
              <w:autoSpaceDN/>
              <w:adjustRightInd/>
              <w:jc w:val="center"/>
              <w:rPr>
                <w:color w:val="000000"/>
                <w:kern w:val="0"/>
              </w:rPr>
            </w:pPr>
          </w:p>
        </w:tc>
      </w:tr>
      <w:tr w:rsidR="00B301B0" w:rsidRPr="00B301B0" w14:paraId="07949437" w14:textId="77777777" w:rsidTr="00DB7B9A">
        <w:trPr>
          <w:cantSplit/>
          <w:trHeight w:val="20"/>
        </w:trPr>
        <w:tc>
          <w:tcPr>
            <w:tcW w:w="2880" w:type="dxa"/>
            <w:shd w:val="clear" w:color="auto" w:fill="auto"/>
            <w:noWrap/>
            <w:vAlign w:val="bottom"/>
            <w:hideMark/>
          </w:tcPr>
          <w:p w14:paraId="5088EC5E"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Industry pressures</w:t>
            </w:r>
          </w:p>
        </w:tc>
        <w:tc>
          <w:tcPr>
            <w:tcW w:w="1080" w:type="dxa"/>
            <w:shd w:val="clear" w:color="auto" w:fill="auto"/>
            <w:noWrap/>
            <w:vAlign w:val="bottom"/>
            <w:hideMark/>
          </w:tcPr>
          <w:p w14:paraId="2FE0B19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37</w:t>
            </w:r>
          </w:p>
        </w:tc>
        <w:tc>
          <w:tcPr>
            <w:tcW w:w="1080" w:type="dxa"/>
            <w:shd w:val="clear" w:color="auto" w:fill="auto"/>
            <w:noWrap/>
            <w:vAlign w:val="bottom"/>
            <w:hideMark/>
          </w:tcPr>
          <w:p w14:paraId="5A0A70E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10527</w:t>
            </w:r>
          </w:p>
        </w:tc>
        <w:tc>
          <w:tcPr>
            <w:tcW w:w="1083" w:type="dxa"/>
            <w:shd w:val="clear" w:color="auto" w:fill="auto"/>
            <w:noWrap/>
            <w:vAlign w:val="bottom"/>
            <w:hideMark/>
          </w:tcPr>
          <w:p w14:paraId="5D99655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-0.076</w:t>
            </w:r>
          </w:p>
        </w:tc>
        <w:tc>
          <w:tcPr>
            <w:tcW w:w="2086" w:type="dxa"/>
            <w:shd w:val="clear" w:color="auto" w:fill="auto"/>
            <w:noWrap/>
            <w:vAlign w:val="bottom"/>
            <w:hideMark/>
          </w:tcPr>
          <w:p w14:paraId="60D0BEB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 xml:space="preserve">-0.147 to -0.006* </w:t>
            </w:r>
          </w:p>
        </w:tc>
        <w:tc>
          <w:tcPr>
            <w:tcW w:w="1080" w:type="dxa"/>
            <w:shd w:val="clear" w:color="auto" w:fill="auto"/>
            <w:noWrap/>
            <w:vAlign w:val="bottom"/>
            <w:hideMark/>
          </w:tcPr>
          <w:p w14:paraId="43329BE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433.44*</w:t>
            </w:r>
          </w:p>
        </w:tc>
      </w:tr>
      <w:tr w:rsidR="00B301B0" w:rsidRPr="00B301B0" w14:paraId="004B8479" w14:textId="77777777" w:rsidTr="00DB7B9A">
        <w:trPr>
          <w:cantSplit/>
          <w:trHeight w:val="20"/>
        </w:trPr>
        <w:tc>
          <w:tcPr>
            <w:tcW w:w="2880" w:type="dxa"/>
            <w:shd w:val="clear" w:color="auto" w:fill="auto"/>
            <w:noWrap/>
            <w:vAlign w:val="bottom"/>
            <w:hideMark/>
          </w:tcPr>
          <w:p w14:paraId="6A06AF89"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Geographic Distance</w:t>
            </w:r>
          </w:p>
        </w:tc>
        <w:tc>
          <w:tcPr>
            <w:tcW w:w="1080" w:type="dxa"/>
            <w:shd w:val="clear" w:color="auto" w:fill="auto"/>
            <w:noWrap/>
            <w:vAlign w:val="bottom"/>
            <w:hideMark/>
          </w:tcPr>
          <w:p w14:paraId="1D89056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11</w:t>
            </w:r>
          </w:p>
        </w:tc>
        <w:tc>
          <w:tcPr>
            <w:tcW w:w="1080" w:type="dxa"/>
            <w:shd w:val="clear" w:color="auto" w:fill="auto"/>
            <w:noWrap/>
            <w:vAlign w:val="bottom"/>
            <w:hideMark/>
          </w:tcPr>
          <w:p w14:paraId="2CA0B96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1835</w:t>
            </w:r>
          </w:p>
        </w:tc>
        <w:tc>
          <w:tcPr>
            <w:tcW w:w="1083" w:type="dxa"/>
            <w:shd w:val="clear" w:color="auto" w:fill="auto"/>
            <w:noWrap/>
            <w:vAlign w:val="bottom"/>
            <w:hideMark/>
          </w:tcPr>
          <w:p w14:paraId="2CF46ED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-0.019</w:t>
            </w:r>
          </w:p>
        </w:tc>
        <w:tc>
          <w:tcPr>
            <w:tcW w:w="2086" w:type="dxa"/>
            <w:shd w:val="clear" w:color="auto" w:fill="auto"/>
            <w:noWrap/>
            <w:vAlign w:val="bottom"/>
            <w:hideMark/>
          </w:tcPr>
          <w:p w14:paraId="384E101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-0.088 to 0.050</w:t>
            </w:r>
          </w:p>
        </w:tc>
        <w:tc>
          <w:tcPr>
            <w:tcW w:w="1080" w:type="dxa"/>
            <w:shd w:val="clear" w:color="auto" w:fill="auto"/>
            <w:noWrap/>
            <w:vAlign w:val="bottom"/>
            <w:hideMark/>
          </w:tcPr>
          <w:p w14:paraId="25CB38B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20.81*</w:t>
            </w:r>
          </w:p>
        </w:tc>
      </w:tr>
      <w:tr w:rsidR="00B301B0" w:rsidRPr="00B301B0" w14:paraId="3996493F" w14:textId="77777777" w:rsidTr="00DB7B9A">
        <w:trPr>
          <w:cantSplit/>
          <w:trHeight w:val="20"/>
        </w:trPr>
        <w:tc>
          <w:tcPr>
            <w:tcW w:w="2880" w:type="dxa"/>
            <w:shd w:val="clear" w:color="auto" w:fill="auto"/>
            <w:noWrap/>
            <w:vAlign w:val="bottom"/>
          </w:tcPr>
          <w:p w14:paraId="6C25CE13" w14:textId="77777777" w:rsidR="00B301B0" w:rsidRPr="00B301B0" w:rsidRDefault="00B301B0" w:rsidP="00B301B0">
            <w:pPr>
              <w:widowControl/>
              <w:overflowPunct/>
              <w:autoSpaceDE/>
              <w:autoSpaceDN/>
              <w:adjustRightInd/>
              <w:rPr>
                <w:i/>
                <w:iCs/>
                <w:color w:val="000000"/>
                <w:kern w:val="0"/>
              </w:rPr>
            </w:pPr>
            <w:r w:rsidRPr="00B301B0">
              <w:rPr>
                <w:i/>
                <w:iCs/>
                <w:color w:val="000000"/>
                <w:kern w:val="0"/>
              </w:rPr>
              <w:t xml:space="preserve">Additional – Subsidiary </w:t>
            </w:r>
          </w:p>
        </w:tc>
        <w:tc>
          <w:tcPr>
            <w:tcW w:w="1080" w:type="dxa"/>
            <w:shd w:val="clear" w:color="auto" w:fill="auto"/>
            <w:noWrap/>
            <w:vAlign w:val="bottom"/>
          </w:tcPr>
          <w:p w14:paraId="015FB0FC" w14:textId="77777777" w:rsidR="00B301B0" w:rsidRPr="00B301B0" w:rsidRDefault="00B301B0" w:rsidP="00B301B0">
            <w:pPr>
              <w:widowControl/>
              <w:overflowPunct/>
              <w:autoSpaceDE/>
              <w:autoSpaceDN/>
              <w:adjustRightInd/>
              <w:jc w:val="center"/>
              <w:rPr>
                <w:color w:val="000000"/>
                <w:kern w:val="0"/>
              </w:rPr>
            </w:pPr>
          </w:p>
        </w:tc>
        <w:tc>
          <w:tcPr>
            <w:tcW w:w="1080" w:type="dxa"/>
            <w:shd w:val="clear" w:color="auto" w:fill="auto"/>
            <w:noWrap/>
            <w:vAlign w:val="bottom"/>
          </w:tcPr>
          <w:p w14:paraId="4F155BA2" w14:textId="77777777" w:rsidR="00B301B0" w:rsidRPr="00B301B0" w:rsidRDefault="00B301B0" w:rsidP="00B301B0">
            <w:pPr>
              <w:widowControl/>
              <w:overflowPunct/>
              <w:autoSpaceDE/>
              <w:autoSpaceDN/>
              <w:adjustRightInd/>
              <w:jc w:val="center"/>
              <w:rPr>
                <w:color w:val="000000"/>
                <w:kern w:val="0"/>
              </w:rPr>
            </w:pPr>
          </w:p>
        </w:tc>
        <w:tc>
          <w:tcPr>
            <w:tcW w:w="1083" w:type="dxa"/>
            <w:shd w:val="clear" w:color="auto" w:fill="auto"/>
            <w:noWrap/>
            <w:vAlign w:val="bottom"/>
          </w:tcPr>
          <w:p w14:paraId="01693684" w14:textId="77777777" w:rsidR="00B301B0" w:rsidRPr="00B301B0" w:rsidRDefault="00B301B0" w:rsidP="00B301B0">
            <w:pPr>
              <w:widowControl/>
              <w:overflowPunct/>
              <w:autoSpaceDE/>
              <w:autoSpaceDN/>
              <w:adjustRightInd/>
              <w:jc w:val="center"/>
              <w:rPr>
                <w:color w:val="000000"/>
                <w:kern w:val="0"/>
              </w:rPr>
            </w:pPr>
          </w:p>
        </w:tc>
        <w:tc>
          <w:tcPr>
            <w:tcW w:w="2086" w:type="dxa"/>
            <w:shd w:val="clear" w:color="auto" w:fill="auto"/>
            <w:noWrap/>
            <w:vAlign w:val="bottom"/>
          </w:tcPr>
          <w:p w14:paraId="3C5D0AAB" w14:textId="77777777" w:rsidR="00B301B0" w:rsidRPr="00B301B0" w:rsidRDefault="00B301B0" w:rsidP="00B301B0">
            <w:pPr>
              <w:widowControl/>
              <w:overflowPunct/>
              <w:autoSpaceDE/>
              <w:autoSpaceDN/>
              <w:adjustRightInd/>
              <w:jc w:val="center"/>
              <w:rPr>
                <w:color w:val="000000"/>
                <w:kern w:val="0"/>
              </w:rPr>
            </w:pPr>
          </w:p>
        </w:tc>
        <w:tc>
          <w:tcPr>
            <w:tcW w:w="1080" w:type="dxa"/>
            <w:shd w:val="clear" w:color="auto" w:fill="auto"/>
            <w:noWrap/>
            <w:vAlign w:val="bottom"/>
          </w:tcPr>
          <w:p w14:paraId="586F1C1C" w14:textId="77777777" w:rsidR="00B301B0" w:rsidRPr="00B301B0" w:rsidRDefault="00B301B0" w:rsidP="00B301B0">
            <w:pPr>
              <w:widowControl/>
              <w:overflowPunct/>
              <w:autoSpaceDE/>
              <w:autoSpaceDN/>
              <w:adjustRightInd/>
              <w:jc w:val="center"/>
              <w:rPr>
                <w:color w:val="000000"/>
                <w:kern w:val="0"/>
              </w:rPr>
            </w:pPr>
          </w:p>
        </w:tc>
      </w:tr>
      <w:tr w:rsidR="00B301B0" w:rsidRPr="00B301B0" w14:paraId="5B210EF7" w14:textId="77777777" w:rsidTr="00DB7B9A">
        <w:trPr>
          <w:cantSplit/>
          <w:trHeight w:val="20"/>
        </w:trPr>
        <w:tc>
          <w:tcPr>
            <w:tcW w:w="2880" w:type="dxa"/>
            <w:shd w:val="clear" w:color="auto" w:fill="auto"/>
            <w:noWrap/>
            <w:vAlign w:val="bottom"/>
            <w:hideMark/>
          </w:tcPr>
          <w:p w14:paraId="5584BF04"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Greenfield entry</w:t>
            </w:r>
          </w:p>
        </w:tc>
        <w:tc>
          <w:tcPr>
            <w:tcW w:w="1080" w:type="dxa"/>
            <w:shd w:val="clear" w:color="auto" w:fill="auto"/>
            <w:noWrap/>
            <w:vAlign w:val="bottom"/>
            <w:hideMark/>
          </w:tcPr>
          <w:p w14:paraId="60A0E11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32</w:t>
            </w:r>
          </w:p>
        </w:tc>
        <w:tc>
          <w:tcPr>
            <w:tcW w:w="1080" w:type="dxa"/>
            <w:shd w:val="clear" w:color="auto" w:fill="auto"/>
            <w:noWrap/>
            <w:vAlign w:val="bottom"/>
            <w:hideMark/>
          </w:tcPr>
          <w:p w14:paraId="16E7BA4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9900</w:t>
            </w:r>
          </w:p>
        </w:tc>
        <w:tc>
          <w:tcPr>
            <w:tcW w:w="1083" w:type="dxa"/>
            <w:shd w:val="clear" w:color="auto" w:fill="auto"/>
            <w:noWrap/>
            <w:vAlign w:val="bottom"/>
            <w:hideMark/>
          </w:tcPr>
          <w:p w14:paraId="52E2BD0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-0.050</w:t>
            </w:r>
          </w:p>
        </w:tc>
        <w:tc>
          <w:tcPr>
            <w:tcW w:w="2086" w:type="dxa"/>
            <w:shd w:val="clear" w:color="auto" w:fill="auto"/>
            <w:noWrap/>
            <w:vAlign w:val="bottom"/>
            <w:hideMark/>
          </w:tcPr>
          <w:p w14:paraId="5F7A204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-0.112 to 0.013</w:t>
            </w:r>
          </w:p>
        </w:tc>
        <w:tc>
          <w:tcPr>
            <w:tcW w:w="1080" w:type="dxa"/>
            <w:shd w:val="clear" w:color="auto" w:fill="auto"/>
            <w:noWrap/>
            <w:vAlign w:val="bottom"/>
            <w:hideMark/>
          </w:tcPr>
          <w:p w14:paraId="6B34941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263.03*</w:t>
            </w:r>
          </w:p>
        </w:tc>
      </w:tr>
      <w:tr w:rsidR="00B301B0" w:rsidRPr="00B301B0" w14:paraId="52AE82CD" w14:textId="77777777" w:rsidTr="00DB7B9A">
        <w:trPr>
          <w:cantSplit/>
          <w:trHeight w:val="20"/>
        </w:trPr>
        <w:tc>
          <w:tcPr>
            <w:tcW w:w="2880" w:type="dxa"/>
            <w:shd w:val="clear" w:color="auto" w:fill="auto"/>
            <w:noWrap/>
            <w:vAlign w:val="bottom"/>
            <w:hideMark/>
          </w:tcPr>
          <w:p w14:paraId="1E47FBF7"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Wholly owned</w:t>
            </w:r>
          </w:p>
        </w:tc>
        <w:tc>
          <w:tcPr>
            <w:tcW w:w="1080" w:type="dxa"/>
            <w:shd w:val="clear" w:color="auto" w:fill="auto"/>
            <w:noWrap/>
            <w:vAlign w:val="bottom"/>
            <w:hideMark/>
          </w:tcPr>
          <w:p w14:paraId="4A99EB3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w:t>
            </w:r>
          </w:p>
        </w:tc>
        <w:tc>
          <w:tcPr>
            <w:tcW w:w="1080" w:type="dxa"/>
            <w:shd w:val="clear" w:color="auto" w:fill="auto"/>
            <w:noWrap/>
            <w:vAlign w:val="bottom"/>
            <w:hideMark/>
          </w:tcPr>
          <w:p w14:paraId="0DE1E84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3230</w:t>
            </w:r>
          </w:p>
        </w:tc>
        <w:tc>
          <w:tcPr>
            <w:tcW w:w="1083" w:type="dxa"/>
            <w:shd w:val="clear" w:color="auto" w:fill="auto"/>
            <w:noWrap/>
            <w:vAlign w:val="bottom"/>
            <w:hideMark/>
          </w:tcPr>
          <w:p w14:paraId="2E98242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-0.035</w:t>
            </w:r>
          </w:p>
        </w:tc>
        <w:tc>
          <w:tcPr>
            <w:tcW w:w="2086" w:type="dxa"/>
            <w:shd w:val="clear" w:color="auto" w:fill="auto"/>
            <w:noWrap/>
            <w:vAlign w:val="bottom"/>
            <w:hideMark/>
          </w:tcPr>
          <w:p w14:paraId="1DB0203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-0.158 to 0.088</w:t>
            </w:r>
          </w:p>
        </w:tc>
        <w:tc>
          <w:tcPr>
            <w:tcW w:w="1080" w:type="dxa"/>
            <w:shd w:val="clear" w:color="auto" w:fill="auto"/>
            <w:noWrap/>
            <w:vAlign w:val="bottom"/>
            <w:hideMark/>
          </w:tcPr>
          <w:p w14:paraId="08D0F0B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107.75*</w:t>
            </w:r>
          </w:p>
        </w:tc>
      </w:tr>
      <w:tr w:rsidR="00B301B0" w:rsidRPr="00B301B0" w14:paraId="25D6E00C" w14:textId="77777777" w:rsidTr="00DB7B9A">
        <w:trPr>
          <w:cantSplit/>
          <w:trHeight w:val="20"/>
        </w:trPr>
        <w:tc>
          <w:tcPr>
            <w:tcW w:w="2880" w:type="dxa"/>
            <w:shd w:val="clear" w:color="auto" w:fill="auto"/>
            <w:noWrap/>
            <w:vAlign w:val="bottom"/>
          </w:tcPr>
          <w:p w14:paraId="0BDCDDC6"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Global product focus</w:t>
            </w:r>
          </w:p>
        </w:tc>
        <w:tc>
          <w:tcPr>
            <w:tcW w:w="1080" w:type="dxa"/>
            <w:shd w:val="clear" w:color="auto" w:fill="auto"/>
            <w:noWrap/>
            <w:vAlign w:val="bottom"/>
          </w:tcPr>
          <w:p w14:paraId="3334AC9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w:t>
            </w:r>
          </w:p>
        </w:tc>
        <w:tc>
          <w:tcPr>
            <w:tcW w:w="1080" w:type="dxa"/>
            <w:shd w:val="clear" w:color="auto" w:fill="auto"/>
            <w:noWrap/>
            <w:vAlign w:val="bottom"/>
          </w:tcPr>
          <w:p w14:paraId="06CE683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2428</w:t>
            </w:r>
          </w:p>
        </w:tc>
        <w:tc>
          <w:tcPr>
            <w:tcW w:w="1083" w:type="dxa"/>
            <w:shd w:val="clear" w:color="auto" w:fill="auto"/>
            <w:noWrap/>
            <w:vAlign w:val="bottom"/>
          </w:tcPr>
          <w:p w14:paraId="3780B86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0.039</w:t>
            </w:r>
          </w:p>
        </w:tc>
        <w:tc>
          <w:tcPr>
            <w:tcW w:w="2086" w:type="dxa"/>
            <w:shd w:val="clear" w:color="auto" w:fill="auto"/>
            <w:noWrap/>
            <w:vAlign w:val="bottom"/>
          </w:tcPr>
          <w:p w14:paraId="602F50F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-0.111 to 0.189</w:t>
            </w:r>
          </w:p>
        </w:tc>
        <w:tc>
          <w:tcPr>
            <w:tcW w:w="1080" w:type="dxa"/>
            <w:shd w:val="clear" w:color="auto" w:fill="auto"/>
            <w:noWrap/>
            <w:vAlign w:val="bottom"/>
          </w:tcPr>
          <w:p w14:paraId="1242C04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175.29*</w:t>
            </w:r>
          </w:p>
        </w:tc>
      </w:tr>
      <w:tr w:rsidR="00B301B0" w:rsidRPr="00B301B0" w14:paraId="6C256C9B" w14:textId="77777777" w:rsidTr="00DB7B9A">
        <w:trPr>
          <w:cantSplit/>
          <w:trHeight w:val="20"/>
        </w:trPr>
        <w:tc>
          <w:tcPr>
            <w:tcW w:w="2880" w:type="dxa"/>
            <w:shd w:val="clear" w:color="auto" w:fill="auto"/>
            <w:noWrap/>
            <w:vAlign w:val="bottom"/>
            <w:hideMark/>
          </w:tcPr>
          <w:p w14:paraId="3F5E030D"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Subsidiary age</w:t>
            </w:r>
          </w:p>
        </w:tc>
        <w:tc>
          <w:tcPr>
            <w:tcW w:w="1080" w:type="dxa"/>
            <w:shd w:val="clear" w:color="auto" w:fill="auto"/>
            <w:noWrap/>
            <w:vAlign w:val="bottom"/>
            <w:hideMark/>
          </w:tcPr>
          <w:p w14:paraId="14A7E9A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77</w:t>
            </w:r>
          </w:p>
        </w:tc>
        <w:tc>
          <w:tcPr>
            <w:tcW w:w="1080" w:type="dxa"/>
            <w:shd w:val="clear" w:color="auto" w:fill="auto"/>
            <w:noWrap/>
            <w:vAlign w:val="bottom"/>
            <w:hideMark/>
          </w:tcPr>
          <w:p w14:paraId="08BAB28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18721</w:t>
            </w:r>
          </w:p>
        </w:tc>
        <w:tc>
          <w:tcPr>
            <w:tcW w:w="1083" w:type="dxa"/>
            <w:shd w:val="clear" w:color="auto" w:fill="auto"/>
            <w:noWrap/>
            <w:vAlign w:val="bottom"/>
            <w:hideMark/>
          </w:tcPr>
          <w:p w14:paraId="7D5F0A1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0.019</w:t>
            </w:r>
          </w:p>
        </w:tc>
        <w:tc>
          <w:tcPr>
            <w:tcW w:w="2086" w:type="dxa"/>
            <w:shd w:val="clear" w:color="auto" w:fill="auto"/>
            <w:noWrap/>
            <w:vAlign w:val="bottom"/>
            <w:hideMark/>
          </w:tcPr>
          <w:p w14:paraId="42128DD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-0.009 to 0.047</w:t>
            </w:r>
          </w:p>
        </w:tc>
        <w:tc>
          <w:tcPr>
            <w:tcW w:w="1080" w:type="dxa"/>
            <w:shd w:val="clear" w:color="auto" w:fill="auto"/>
            <w:noWrap/>
            <w:vAlign w:val="bottom"/>
            <w:hideMark/>
          </w:tcPr>
          <w:p w14:paraId="5CD82C3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240.16*</w:t>
            </w:r>
          </w:p>
        </w:tc>
      </w:tr>
      <w:tr w:rsidR="00B301B0" w:rsidRPr="00B301B0" w14:paraId="7AFB77FC" w14:textId="77777777" w:rsidTr="00DB7B9A">
        <w:trPr>
          <w:cantSplit/>
          <w:trHeight w:val="20"/>
        </w:trPr>
        <w:tc>
          <w:tcPr>
            <w:tcW w:w="2880" w:type="dxa"/>
            <w:shd w:val="clear" w:color="auto" w:fill="auto"/>
            <w:noWrap/>
            <w:vAlign w:val="bottom"/>
            <w:hideMark/>
          </w:tcPr>
          <w:p w14:paraId="72C477B5"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Subsidiary size</w:t>
            </w:r>
          </w:p>
        </w:tc>
        <w:tc>
          <w:tcPr>
            <w:tcW w:w="1080" w:type="dxa"/>
            <w:shd w:val="clear" w:color="auto" w:fill="auto"/>
            <w:noWrap/>
            <w:vAlign w:val="bottom"/>
            <w:hideMark/>
          </w:tcPr>
          <w:p w14:paraId="76314F4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94</w:t>
            </w:r>
          </w:p>
        </w:tc>
        <w:tc>
          <w:tcPr>
            <w:tcW w:w="1080" w:type="dxa"/>
            <w:shd w:val="clear" w:color="auto" w:fill="auto"/>
            <w:noWrap/>
            <w:vAlign w:val="bottom"/>
            <w:hideMark/>
          </w:tcPr>
          <w:p w14:paraId="5CBACEE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20018</w:t>
            </w:r>
          </w:p>
        </w:tc>
        <w:tc>
          <w:tcPr>
            <w:tcW w:w="1083" w:type="dxa"/>
            <w:shd w:val="clear" w:color="auto" w:fill="auto"/>
            <w:noWrap/>
            <w:vAlign w:val="bottom"/>
            <w:hideMark/>
          </w:tcPr>
          <w:p w14:paraId="05A1313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0.009</w:t>
            </w:r>
          </w:p>
        </w:tc>
        <w:tc>
          <w:tcPr>
            <w:tcW w:w="2086" w:type="dxa"/>
            <w:shd w:val="clear" w:color="auto" w:fill="auto"/>
            <w:noWrap/>
            <w:vAlign w:val="bottom"/>
            <w:hideMark/>
          </w:tcPr>
          <w:p w14:paraId="13EAD48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-0.018 to 0.036</w:t>
            </w:r>
          </w:p>
        </w:tc>
        <w:tc>
          <w:tcPr>
            <w:tcW w:w="1080" w:type="dxa"/>
            <w:shd w:val="clear" w:color="auto" w:fill="auto"/>
            <w:noWrap/>
            <w:vAlign w:val="bottom"/>
            <w:hideMark/>
          </w:tcPr>
          <w:p w14:paraId="32E7A04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308.66*</w:t>
            </w:r>
          </w:p>
        </w:tc>
      </w:tr>
      <w:tr w:rsidR="00B301B0" w:rsidRPr="00B301B0" w14:paraId="5BBC26F5" w14:textId="77777777" w:rsidTr="00DB7B9A">
        <w:trPr>
          <w:cantSplit/>
          <w:trHeight w:val="20"/>
        </w:trPr>
        <w:tc>
          <w:tcPr>
            <w:tcW w:w="2880" w:type="dxa"/>
            <w:shd w:val="clear" w:color="auto" w:fill="auto"/>
            <w:noWrap/>
            <w:vAlign w:val="bottom"/>
          </w:tcPr>
          <w:p w14:paraId="1C36FC5B" w14:textId="77777777" w:rsidR="00B301B0" w:rsidRPr="00B301B0" w:rsidRDefault="00B301B0" w:rsidP="00B301B0">
            <w:pPr>
              <w:widowControl/>
              <w:overflowPunct/>
              <w:autoSpaceDE/>
              <w:autoSpaceDN/>
              <w:adjustRightInd/>
              <w:rPr>
                <w:i/>
                <w:iCs/>
                <w:color w:val="000000"/>
                <w:kern w:val="0"/>
              </w:rPr>
            </w:pPr>
            <w:r w:rsidRPr="00B301B0">
              <w:rPr>
                <w:i/>
                <w:iCs/>
                <w:color w:val="000000"/>
                <w:kern w:val="0"/>
              </w:rPr>
              <w:t xml:space="preserve">Additional – MNE </w:t>
            </w:r>
          </w:p>
        </w:tc>
        <w:tc>
          <w:tcPr>
            <w:tcW w:w="1080" w:type="dxa"/>
            <w:shd w:val="clear" w:color="auto" w:fill="auto"/>
            <w:noWrap/>
            <w:vAlign w:val="bottom"/>
          </w:tcPr>
          <w:p w14:paraId="047BE1A4" w14:textId="77777777" w:rsidR="00B301B0" w:rsidRPr="00B301B0" w:rsidRDefault="00B301B0" w:rsidP="00B301B0">
            <w:pPr>
              <w:widowControl/>
              <w:overflowPunct/>
              <w:autoSpaceDE/>
              <w:autoSpaceDN/>
              <w:adjustRightInd/>
              <w:jc w:val="center"/>
              <w:rPr>
                <w:color w:val="000000"/>
                <w:kern w:val="0"/>
              </w:rPr>
            </w:pPr>
          </w:p>
        </w:tc>
        <w:tc>
          <w:tcPr>
            <w:tcW w:w="1080" w:type="dxa"/>
            <w:shd w:val="clear" w:color="auto" w:fill="auto"/>
            <w:noWrap/>
            <w:vAlign w:val="bottom"/>
          </w:tcPr>
          <w:p w14:paraId="1F8BF4FF" w14:textId="77777777" w:rsidR="00B301B0" w:rsidRPr="00B301B0" w:rsidRDefault="00B301B0" w:rsidP="00B301B0">
            <w:pPr>
              <w:widowControl/>
              <w:overflowPunct/>
              <w:autoSpaceDE/>
              <w:autoSpaceDN/>
              <w:adjustRightInd/>
              <w:jc w:val="center"/>
              <w:rPr>
                <w:color w:val="000000"/>
                <w:kern w:val="0"/>
              </w:rPr>
            </w:pPr>
          </w:p>
        </w:tc>
        <w:tc>
          <w:tcPr>
            <w:tcW w:w="1083" w:type="dxa"/>
            <w:shd w:val="clear" w:color="auto" w:fill="auto"/>
            <w:noWrap/>
            <w:vAlign w:val="bottom"/>
          </w:tcPr>
          <w:p w14:paraId="574298C0" w14:textId="77777777" w:rsidR="00B301B0" w:rsidRPr="00B301B0" w:rsidRDefault="00B301B0" w:rsidP="00B301B0">
            <w:pPr>
              <w:widowControl/>
              <w:overflowPunct/>
              <w:autoSpaceDE/>
              <w:autoSpaceDN/>
              <w:adjustRightInd/>
              <w:jc w:val="center"/>
              <w:rPr>
                <w:color w:val="000000"/>
                <w:kern w:val="0"/>
              </w:rPr>
            </w:pPr>
          </w:p>
        </w:tc>
        <w:tc>
          <w:tcPr>
            <w:tcW w:w="2086" w:type="dxa"/>
            <w:shd w:val="clear" w:color="auto" w:fill="auto"/>
            <w:noWrap/>
            <w:vAlign w:val="bottom"/>
          </w:tcPr>
          <w:p w14:paraId="30EAEDD8" w14:textId="77777777" w:rsidR="00B301B0" w:rsidRPr="00B301B0" w:rsidRDefault="00B301B0" w:rsidP="00B301B0">
            <w:pPr>
              <w:widowControl/>
              <w:overflowPunct/>
              <w:autoSpaceDE/>
              <w:autoSpaceDN/>
              <w:adjustRightInd/>
              <w:jc w:val="center"/>
              <w:rPr>
                <w:color w:val="000000"/>
                <w:kern w:val="0"/>
              </w:rPr>
            </w:pPr>
          </w:p>
        </w:tc>
        <w:tc>
          <w:tcPr>
            <w:tcW w:w="1080" w:type="dxa"/>
            <w:shd w:val="clear" w:color="auto" w:fill="auto"/>
            <w:noWrap/>
            <w:vAlign w:val="bottom"/>
          </w:tcPr>
          <w:p w14:paraId="3FB3471E" w14:textId="77777777" w:rsidR="00B301B0" w:rsidRPr="00B301B0" w:rsidRDefault="00B301B0" w:rsidP="00B301B0">
            <w:pPr>
              <w:widowControl/>
              <w:overflowPunct/>
              <w:autoSpaceDE/>
              <w:autoSpaceDN/>
              <w:adjustRightInd/>
              <w:jc w:val="center"/>
              <w:rPr>
                <w:color w:val="000000"/>
                <w:kern w:val="0"/>
              </w:rPr>
            </w:pPr>
          </w:p>
        </w:tc>
      </w:tr>
      <w:tr w:rsidR="00B301B0" w:rsidRPr="00B301B0" w14:paraId="0B154E63" w14:textId="77777777" w:rsidTr="00DB7B9A">
        <w:trPr>
          <w:cantSplit/>
          <w:trHeight w:val="20"/>
        </w:trPr>
        <w:tc>
          <w:tcPr>
            <w:tcW w:w="2880" w:type="dxa"/>
            <w:shd w:val="clear" w:color="auto" w:fill="auto"/>
            <w:noWrap/>
            <w:vAlign w:val="bottom"/>
          </w:tcPr>
          <w:p w14:paraId="5C2F75C5"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MNE size</w:t>
            </w:r>
          </w:p>
        </w:tc>
        <w:tc>
          <w:tcPr>
            <w:tcW w:w="1080" w:type="dxa"/>
            <w:shd w:val="clear" w:color="auto" w:fill="auto"/>
            <w:noWrap/>
            <w:vAlign w:val="bottom"/>
          </w:tcPr>
          <w:p w14:paraId="23C5EE9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25</w:t>
            </w:r>
          </w:p>
        </w:tc>
        <w:tc>
          <w:tcPr>
            <w:tcW w:w="1080" w:type="dxa"/>
            <w:shd w:val="clear" w:color="auto" w:fill="auto"/>
            <w:noWrap/>
            <w:vAlign w:val="bottom"/>
          </w:tcPr>
          <w:p w14:paraId="7B5E0F0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6011</w:t>
            </w:r>
          </w:p>
        </w:tc>
        <w:tc>
          <w:tcPr>
            <w:tcW w:w="1083" w:type="dxa"/>
            <w:shd w:val="clear" w:color="auto" w:fill="auto"/>
            <w:noWrap/>
            <w:vAlign w:val="bottom"/>
          </w:tcPr>
          <w:p w14:paraId="6272B3D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-0.032</w:t>
            </w:r>
          </w:p>
        </w:tc>
        <w:tc>
          <w:tcPr>
            <w:tcW w:w="2086" w:type="dxa"/>
            <w:shd w:val="clear" w:color="auto" w:fill="auto"/>
            <w:noWrap/>
            <w:vAlign w:val="bottom"/>
          </w:tcPr>
          <w:p w14:paraId="656B141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-0.088 to 0.024</w:t>
            </w:r>
          </w:p>
        </w:tc>
        <w:tc>
          <w:tcPr>
            <w:tcW w:w="1080" w:type="dxa"/>
            <w:shd w:val="clear" w:color="auto" w:fill="auto"/>
            <w:noWrap/>
            <w:vAlign w:val="bottom"/>
          </w:tcPr>
          <w:p w14:paraId="57EF1C1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92.21*</w:t>
            </w:r>
          </w:p>
        </w:tc>
      </w:tr>
      <w:tr w:rsidR="00B301B0" w:rsidRPr="00B301B0" w14:paraId="619F8C7D" w14:textId="77777777" w:rsidTr="00DB7B9A">
        <w:trPr>
          <w:cantSplit/>
          <w:trHeight w:val="20"/>
        </w:trPr>
        <w:tc>
          <w:tcPr>
            <w:tcW w:w="2880" w:type="dxa"/>
            <w:shd w:val="clear" w:color="auto" w:fill="auto"/>
            <w:noWrap/>
            <w:vAlign w:val="bottom"/>
          </w:tcPr>
          <w:p w14:paraId="4B6CF000"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MNE experience</w:t>
            </w:r>
          </w:p>
        </w:tc>
        <w:tc>
          <w:tcPr>
            <w:tcW w:w="1080" w:type="dxa"/>
            <w:shd w:val="clear" w:color="auto" w:fill="auto"/>
            <w:noWrap/>
            <w:vAlign w:val="bottom"/>
          </w:tcPr>
          <w:p w14:paraId="2D40072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19</w:t>
            </w:r>
          </w:p>
        </w:tc>
        <w:tc>
          <w:tcPr>
            <w:tcW w:w="1080" w:type="dxa"/>
            <w:shd w:val="clear" w:color="auto" w:fill="auto"/>
            <w:noWrap/>
            <w:vAlign w:val="bottom"/>
          </w:tcPr>
          <w:p w14:paraId="0C5ED37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2812</w:t>
            </w:r>
          </w:p>
        </w:tc>
        <w:tc>
          <w:tcPr>
            <w:tcW w:w="1083" w:type="dxa"/>
            <w:shd w:val="clear" w:color="auto" w:fill="auto"/>
            <w:noWrap/>
            <w:vAlign w:val="bottom"/>
          </w:tcPr>
          <w:p w14:paraId="2CE21D9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0.006</w:t>
            </w:r>
          </w:p>
        </w:tc>
        <w:tc>
          <w:tcPr>
            <w:tcW w:w="2086" w:type="dxa"/>
            <w:shd w:val="clear" w:color="auto" w:fill="auto"/>
            <w:noWrap/>
            <w:vAlign w:val="bottom"/>
          </w:tcPr>
          <w:p w14:paraId="79971D7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-0.060 to 0.071</w:t>
            </w:r>
          </w:p>
        </w:tc>
        <w:tc>
          <w:tcPr>
            <w:tcW w:w="1080" w:type="dxa"/>
            <w:shd w:val="clear" w:color="auto" w:fill="auto"/>
            <w:noWrap/>
            <w:vAlign w:val="bottom"/>
          </w:tcPr>
          <w:p w14:paraId="35538EF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53.38*</w:t>
            </w:r>
          </w:p>
        </w:tc>
      </w:tr>
      <w:tr w:rsidR="00B301B0" w:rsidRPr="00B301B0" w14:paraId="3835D14C" w14:textId="77777777" w:rsidTr="00DB7B9A">
        <w:trPr>
          <w:cantSplit/>
          <w:trHeight w:val="20"/>
        </w:trPr>
        <w:tc>
          <w:tcPr>
            <w:tcW w:w="2880" w:type="dxa"/>
            <w:shd w:val="clear" w:color="auto" w:fill="auto"/>
            <w:noWrap/>
            <w:vAlign w:val="bottom"/>
          </w:tcPr>
          <w:p w14:paraId="40DD888D" w14:textId="77777777" w:rsidR="00B301B0" w:rsidRPr="00B301B0" w:rsidRDefault="00B301B0" w:rsidP="00B301B0">
            <w:pPr>
              <w:widowControl/>
              <w:overflowPunct/>
              <w:autoSpaceDE/>
              <w:autoSpaceDN/>
              <w:adjustRightInd/>
              <w:rPr>
                <w:i/>
                <w:iCs/>
                <w:color w:val="000000"/>
                <w:kern w:val="0"/>
              </w:rPr>
            </w:pPr>
            <w:r w:rsidRPr="00B301B0">
              <w:rPr>
                <w:i/>
                <w:iCs/>
                <w:color w:val="000000"/>
                <w:kern w:val="0"/>
              </w:rPr>
              <w:t>Additional – HQ-SUB</w:t>
            </w:r>
          </w:p>
        </w:tc>
        <w:tc>
          <w:tcPr>
            <w:tcW w:w="1080" w:type="dxa"/>
            <w:shd w:val="clear" w:color="auto" w:fill="auto"/>
            <w:noWrap/>
            <w:vAlign w:val="bottom"/>
          </w:tcPr>
          <w:p w14:paraId="0DCC6DB4" w14:textId="77777777" w:rsidR="00B301B0" w:rsidRPr="00B301B0" w:rsidRDefault="00B301B0" w:rsidP="00B301B0">
            <w:pPr>
              <w:widowControl/>
              <w:overflowPunct/>
              <w:autoSpaceDE/>
              <w:autoSpaceDN/>
              <w:adjustRightInd/>
              <w:jc w:val="center"/>
              <w:rPr>
                <w:color w:val="000000"/>
                <w:kern w:val="0"/>
              </w:rPr>
            </w:pPr>
          </w:p>
        </w:tc>
        <w:tc>
          <w:tcPr>
            <w:tcW w:w="1080" w:type="dxa"/>
            <w:shd w:val="clear" w:color="auto" w:fill="auto"/>
            <w:noWrap/>
            <w:vAlign w:val="bottom"/>
          </w:tcPr>
          <w:p w14:paraId="76995C1E" w14:textId="77777777" w:rsidR="00B301B0" w:rsidRPr="00B301B0" w:rsidRDefault="00B301B0" w:rsidP="00B301B0">
            <w:pPr>
              <w:widowControl/>
              <w:overflowPunct/>
              <w:autoSpaceDE/>
              <w:autoSpaceDN/>
              <w:adjustRightInd/>
              <w:jc w:val="center"/>
              <w:rPr>
                <w:color w:val="000000"/>
                <w:kern w:val="0"/>
              </w:rPr>
            </w:pPr>
          </w:p>
        </w:tc>
        <w:tc>
          <w:tcPr>
            <w:tcW w:w="1083" w:type="dxa"/>
            <w:shd w:val="clear" w:color="auto" w:fill="auto"/>
            <w:noWrap/>
            <w:vAlign w:val="bottom"/>
          </w:tcPr>
          <w:p w14:paraId="746FE0E8" w14:textId="77777777" w:rsidR="00B301B0" w:rsidRPr="00B301B0" w:rsidRDefault="00B301B0" w:rsidP="00B301B0">
            <w:pPr>
              <w:widowControl/>
              <w:overflowPunct/>
              <w:autoSpaceDE/>
              <w:autoSpaceDN/>
              <w:adjustRightInd/>
              <w:jc w:val="center"/>
              <w:rPr>
                <w:color w:val="000000"/>
                <w:kern w:val="0"/>
              </w:rPr>
            </w:pPr>
          </w:p>
        </w:tc>
        <w:tc>
          <w:tcPr>
            <w:tcW w:w="2086" w:type="dxa"/>
            <w:shd w:val="clear" w:color="auto" w:fill="auto"/>
            <w:noWrap/>
            <w:vAlign w:val="bottom"/>
          </w:tcPr>
          <w:p w14:paraId="031427C9" w14:textId="77777777" w:rsidR="00B301B0" w:rsidRPr="00B301B0" w:rsidRDefault="00B301B0" w:rsidP="00B301B0">
            <w:pPr>
              <w:widowControl/>
              <w:overflowPunct/>
              <w:autoSpaceDE/>
              <w:autoSpaceDN/>
              <w:adjustRightInd/>
              <w:jc w:val="center"/>
              <w:rPr>
                <w:color w:val="000000"/>
                <w:kern w:val="0"/>
              </w:rPr>
            </w:pPr>
          </w:p>
        </w:tc>
        <w:tc>
          <w:tcPr>
            <w:tcW w:w="1080" w:type="dxa"/>
            <w:shd w:val="clear" w:color="auto" w:fill="auto"/>
            <w:noWrap/>
            <w:vAlign w:val="bottom"/>
          </w:tcPr>
          <w:p w14:paraId="3746F51B" w14:textId="77777777" w:rsidR="00B301B0" w:rsidRPr="00B301B0" w:rsidRDefault="00B301B0" w:rsidP="00B301B0">
            <w:pPr>
              <w:widowControl/>
              <w:overflowPunct/>
              <w:autoSpaceDE/>
              <w:autoSpaceDN/>
              <w:adjustRightInd/>
              <w:jc w:val="center"/>
              <w:rPr>
                <w:color w:val="000000"/>
                <w:kern w:val="0"/>
              </w:rPr>
            </w:pPr>
          </w:p>
        </w:tc>
      </w:tr>
      <w:tr w:rsidR="00B301B0" w:rsidRPr="00B301B0" w14:paraId="0CB2EB72" w14:textId="77777777" w:rsidTr="00DB7B9A">
        <w:trPr>
          <w:cantSplit/>
          <w:trHeight w:val="20"/>
        </w:trPr>
        <w:tc>
          <w:tcPr>
            <w:tcW w:w="2880" w:type="dxa"/>
            <w:shd w:val="clear" w:color="auto" w:fill="auto"/>
            <w:noWrap/>
            <w:vAlign w:val="bottom"/>
          </w:tcPr>
          <w:p w14:paraId="03AB1BD7"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Socialization</w:t>
            </w:r>
          </w:p>
        </w:tc>
        <w:tc>
          <w:tcPr>
            <w:tcW w:w="1080" w:type="dxa"/>
            <w:shd w:val="clear" w:color="auto" w:fill="auto"/>
            <w:noWrap/>
            <w:vAlign w:val="bottom"/>
          </w:tcPr>
          <w:p w14:paraId="5657C8A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23</w:t>
            </w:r>
          </w:p>
        </w:tc>
        <w:tc>
          <w:tcPr>
            <w:tcW w:w="1080" w:type="dxa"/>
            <w:shd w:val="clear" w:color="auto" w:fill="auto"/>
            <w:noWrap/>
            <w:vAlign w:val="bottom"/>
          </w:tcPr>
          <w:p w14:paraId="00BA1F7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4206</w:t>
            </w:r>
          </w:p>
        </w:tc>
        <w:tc>
          <w:tcPr>
            <w:tcW w:w="1083" w:type="dxa"/>
            <w:shd w:val="clear" w:color="auto" w:fill="auto"/>
            <w:noWrap/>
            <w:vAlign w:val="bottom"/>
          </w:tcPr>
          <w:p w14:paraId="7F56D04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-0.177</w:t>
            </w:r>
          </w:p>
        </w:tc>
        <w:tc>
          <w:tcPr>
            <w:tcW w:w="2086" w:type="dxa"/>
            <w:shd w:val="clear" w:color="auto" w:fill="auto"/>
            <w:noWrap/>
            <w:vAlign w:val="bottom"/>
          </w:tcPr>
          <w:p w14:paraId="40822EA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-0.298 to -0.057*</w:t>
            </w:r>
          </w:p>
        </w:tc>
        <w:tc>
          <w:tcPr>
            <w:tcW w:w="1080" w:type="dxa"/>
            <w:shd w:val="clear" w:color="auto" w:fill="auto"/>
            <w:noWrap/>
            <w:vAlign w:val="bottom"/>
          </w:tcPr>
          <w:p w14:paraId="5D43CA4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328.03*</w:t>
            </w:r>
          </w:p>
        </w:tc>
      </w:tr>
      <w:tr w:rsidR="00B301B0" w:rsidRPr="00B301B0" w14:paraId="1928FF2D" w14:textId="77777777" w:rsidTr="00DB7B9A">
        <w:trPr>
          <w:cantSplit/>
          <w:trHeight w:val="20"/>
        </w:trPr>
        <w:tc>
          <w:tcPr>
            <w:tcW w:w="2880" w:type="dxa"/>
            <w:shd w:val="clear" w:color="auto" w:fill="auto"/>
            <w:noWrap/>
            <w:vAlign w:val="bottom"/>
          </w:tcPr>
          <w:p w14:paraId="46FF20FF"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Formalization</w:t>
            </w:r>
          </w:p>
        </w:tc>
        <w:tc>
          <w:tcPr>
            <w:tcW w:w="1080" w:type="dxa"/>
            <w:shd w:val="clear" w:color="auto" w:fill="auto"/>
            <w:noWrap/>
            <w:vAlign w:val="bottom"/>
          </w:tcPr>
          <w:p w14:paraId="44A1B36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24</w:t>
            </w:r>
          </w:p>
        </w:tc>
        <w:tc>
          <w:tcPr>
            <w:tcW w:w="1080" w:type="dxa"/>
            <w:shd w:val="clear" w:color="auto" w:fill="auto"/>
            <w:noWrap/>
            <w:vAlign w:val="bottom"/>
          </w:tcPr>
          <w:p w14:paraId="0A6C24F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4251</w:t>
            </w:r>
          </w:p>
        </w:tc>
        <w:tc>
          <w:tcPr>
            <w:tcW w:w="1083" w:type="dxa"/>
            <w:shd w:val="clear" w:color="auto" w:fill="auto"/>
            <w:noWrap/>
            <w:vAlign w:val="bottom"/>
          </w:tcPr>
          <w:p w14:paraId="71D2506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-0.181</w:t>
            </w:r>
          </w:p>
        </w:tc>
        <w:tc>
          <w:tcPr>
            <w:tcW w:w="2086" w:type="dxa"/>
            <w:shd w:val="clear" w:color="auto" w:fill="auto"/>
            <w:noWrap/>
            <w:vAlign w:val="bottom"/>
          </w:tcPr>
          <w:p w14:paraId="2C6335E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-0.352 to -0.010*</w:t>
            </w:r>
          </w:p>
        </w:tc>
        <w:tc>
          <w:tcPr>
            <w:tcW w:w="1080" w:type="dxa"/>
            <w:shd w:val="clear" w:color="auto" w:fill="auto"/>
            <w:noWrap/>
            <w:vAlign w:val="bottom"/>
          </w:tcPr>
          <w:p w14:paraId="751747C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698.10*</w:t>
            </w:r>
          </w:p>
        </w:tc>
      </w:tr>
      <w:tr w:rsidR="00B301B0" w:rsidRPr="00B301B0" w14:paraId="423B7FC4" w14:textId="77777777" w:rsidTr="00DB7B9A">
        <w:trPr>
          <w:cantSplit/>
          <w:trHeight w:val="20"/>
        </w:trPr>
        <w:tc>
          <w:tcPr>
            <w:tcW w:w="2880" w:type="dxa"/>
            <w:tcBorders>
              <w:bottom w:val="single" w:sz="4" w:space="0" w:color="auto"/>
            </w:tcBorders>
            <w:shd w:val="clear" w:color="auto" w:fill="auto"/>
            <w:noWrap/>
            <w:vAlign w:val="bottom"/>
          </w:tcPr>
          <w:p w14:paraId="54D21439"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Communication Frequency</w:t>
            </w:r>
          </w:p>
        </w:tc>
        <w:tc>
          <w:tcPr>
            <w:tcW w:w="1080" w:type="dxa"/>
            <w:tcBorders>
              <w:bottom w:val="single" w:sz="4" w:space="0" w:color="auto"/>
            </w:tcBorders>
            <w:shd w:val="clear" w:color="auto" w:fill="auto"/>
            <w:noWrap/>
            <w:vAlign w:val="bottom"/>
          </w:tcPr>
          <w:p w14:paraId="1A5EB55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15</w:t>
            </w:r>
          </w:p>
        </w:tc>
        <w:tc>
          <w:tcPr>
            <w:tcW w:w="1080" w:type="dxa"/>
            <w:tcBorders>
              <w:bottom w:val="single" w:sz="4" w:space="0" w:color="auto"/>
            </w:tcBorders>
            <w:shd w:val="clear" w:color="auto" w:fill="auto"/>
            <w:noWrap/>
            <w:vAlign w:val="bottom"/>
          </w:tcPr>
          <w:p w14:paraId="3E605E6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3189</w:t>
            </w:r>
          </w:p>
        </w:tc>
        <w:tc>
          <w:tcPr>
            <w:tcW w:w="1083" w:type="dxa"/>
            <w:tcBorders>
              <w:bottom w:val="single" w:sz="4" w:space="0" w:color="auto"/>
            </w:tcBorders>
            <w:shd w:val="clear" w:color="auto" w:fill="auto"/>
            <w:noWrap/>
            <w:vAlign w:val="bottom"/>
          </w:tcPr>
          <w:p w14:paraId="1212FA1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-0.137</w:t>
            </w:r>
          </w:p>
        </w:tc>
        <w:tc>
          <w:tcPr>
            <w:tcW w:w="2086" w:type="dxa"/>
            <w:tcBorders>
              <w:bottom w:val="single" w:sz="4" w:space="0" w:color="auto"/>
            </w:tcBorders>
            <w:shd w:val="clear" w:color="auto" w:fill="auto"/>
            <w:noWrap/>
            <w:vAlign w:val="bottom"/>
          </w:tcPr>
          <w:p w14:paraId="7D11790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-0.208 to -0.066*</w:t>
            </w:r>
          </w:p>
        </w:tc>
        <w:tc>
          <w:tcPr>
            <w:tcW w:w="1080" w:type="dxa"/>
            <w:tcBorders>
              <w:bottom w:val="single" w:sz="4" w:space="0" w:color="auto"/>
            </w:tcBorders>
            <w:shd w:val="clear" w:color="auto" w:fill="auto"/>
            <w:noWrap/>
            <w:vAlign w:val="bottom"/>
          </w:tcPr>
          <w:p w14:paraId="225C191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59.98*</w:t>
            </w:r>
          </w:p>
        </w:tc>
      </w:tr>
    </w:tbl>
    <w:p w14:paraId="7FA15811" w14:textId="77777777" w:rsidR="00B301B0" w:rsidRPr="00B301B0" w:rsidRDefault="00B301B0" w:rsidP="00B301B0">
      <w:pPr>
        <w:widowControl/>
        <w:overflowPunct/>
        <w:autoSpaceDE/>
        <w:autoSpaceDN/>
        <w:adjustRightInd/>
        <w:ind w:left="720" w:right="3690"/>
        <w:jc w:val="both"/>
        <w:rPr>
          <w:kern w:val="0"/>
        </w:rPr>
      </w:pPr>
      <w:r w:rsidRPr="00B301B0">
        <w:rPr>
          <w:kern w:val="0"/>
        </w:rPr>
        <w:t>Notes: K = number of study relationships; N = total sample size for K studies; Q-test = Cochran’s sample heterogeneity test.</w:t>
      </w:r>
    </w:p>
    <w:p w14:paraId="6BBC8A85" w14:textId="77777777" w:rsidR="00B301B0" w:rsidRPr="00B301B0" w:rsidRDefault="00B301B0" w:rsidP="00B301B0">
      <w:pPr>
        <w:widowControl/>
        <w:overflowPunct/>
        <w:autoSpaceDE/>
        <w:autoSpaceDN/>
        <w:adjustRightInd/>
        <w:ind w:left="720"/>
        <w:rPr>
          <w:b/>
          <w:bCs/>
          <w:kern w:val="0"/>
        </w:rPr>
      </w:pPr>
    </w:p>
    <w:p w14:paraId="3B1B0462" w14:textId="77777777" w:rsidR="00B301B0" w:rsidRPr="00B301B0" w:rsidRDefault="00B301B0" w:rsidP="00B301B0">
      <w:pPr>
        <w:widowControl/>
        <w:overflowPunct/>
        <w:autoSpaceDE/>
        <w:autoSpaceDN/>
        <w:adjustRightInd/>
        <w:ind w:left="720"/>
        <w:rPr>
          <w:kern w:val="0"/>
          <w:sz w:val="22"/>
          <w:szCs w:val="22"/>
        </w:rPr>
      </w:pPr>
      <w:r w:rsidRPr="00B301B0">
        <w:rPr>
          <w:kern w:val="0"/>
          <w:sz w:val="22"/>
          <w:szCs w:val="22"/>
        </w:rPr>
        <w:br w:type="page"/>
      </w:r>
    </w:p>
    <w:p w14:paraId="1683E504" w14:textId="77777777" w:rsidR="00B301B0" w:rsidRPr="00B301B0" w:rsidRDefault="00B301B0" w:rsidP="00B301B0">
      <w:pPr>
        <w:widowControl/>
        <w:overflowPunct/>
        <w:autoSpaceDE/>
        <w:autoSpaceDN/>
        <w:adjustRightInd/>
        <w:ind w:left="720"/>
        <w:rPr>
          <w:kern w:val="0"/>
          <w:sz w:val="24"/>
          <w:szCs w:val="24"/>
        </w:rPr>
      </w:pPr>
      <w:r w:rsidRPr="00B301B0">
        <w:rPr>
          <w:kern w:val="0"/>
          <w:sz w:val="24"/>
          <w:szCs w:val="24"/>
        </w:rPr>
        <w:t>Table 4. MASEM path model results</w:t>
      </w:r>
    </w:p>
    <w:p w14:paraId="5CF593E2" w14:textId="77777777" w:rsidR="00B301B0" w:rsidRPr="00B301B0" w:rsidRDefault="00B301B0" w:rsidP="00B301B0">
      <w:pPr>
        <w:widowControl/>
        <w:overflowPunct/>
        <w:autoSpaceDE/>
        <w:autoSpaceDN/>
        <w:adjustRightInd/>
        <w:rPr>
          <w:kern w:val="0"/>
          <w:sz w:val="22"/>
          <w:szCs w:val="22"/>
        </w:rPr>
      </w:pPr>
    </w:p>
    <w:tbl>
      <w:tblPr>
        <w:tblStyle w:val="TableGrid"/>
        <w:tblW w:w="0" w:type="auto"/>
        <w:tblInd w:w="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1440"/>
        <w:gridCol w:w="1440"/>
        <w:gridCol w:w="1440"/>
        <w:gridCol w:w="1440"/>
      </w:tblGrid>
      <w:tr w:rsidR="00B301B0" w:rsidRPr="00B301B0" w14:paraId="17EAE5EE" w14:textId="77777777" w:rsidTr="00DB7B9A">
        <w:tc>
          <w:tcPr>
            <w:tcW w:w="2592" w:type="dxa"/>
            <w:tcBorders>
              <w:top w:val="single" w:sz="4" w:space="0" w:color="auto"/>
            </w:tcBorders>
          </w:tcPr>
          <w:p w14:paraId="54371F3D" w14:textId="77777777" w:rsidR="00B301B0" w:rsidRPr="00B301B0" w:rsidRDefault="00B301B0" w:rsidP="00B301B0">
            <w:pPr>
              <w:widowControl/>
              <w:overflowPunct/>
              <w:autoSpaceDE/>
              <w:autoSpaceDN/>
              <w:adjustRightInd/>
              <w:rPr>
                <w:kern w:val="0"/>
              </w:rPr>
            </w:pPr>
          </w:p>
        </w:tc>
        <w:tc>
          <w:tcPr>
            <w:tcW w:w="1440" w:type="dxa"/>
            <w:tcBorders>
              <w:top w:val="single" w:sz="4" w:space="0" w:color="auto"/>
            </w:tcBorders>
            <w:vAlign w:val="center"/>
          </w:tcPr>
          <w:p w14:paraId="61B654B4" w14:textId="77777777" w:rsidR="00B301B0" w:rsidRPr="00B301B0" w:rsidRDefault="00B301B0" w:rsidP="00B301B0">
            <w:pPr>
              <w:widowControl/>
              <w:overflowPunct/>
              <w:autoSpaceDE/>
              <w:autoSpaceDN/>
              <w:adjustRightInd/>
              <w:jc w:val="center"/>
              <w:rPr>
                <w:kern w:val="0"/>
              </w:rPr>
            </w:pPr>
          </w:p>
        </w:tc>
        <w:tc>
          <w:tcPr>
            <w:tcW w:w="1440" w:type="dxa"/>
            <w:tcBorders>
              <w:top w:val="single" w:sz="4" w:space="0" w:color="auto"/>
            </w:tcBorders>
            <w:vAlign w:val="center"/>
          </w:tcPr>
          <w:p w14:paraId="2ADC6CA9" w14:textId="77777777" w:rsidR="00B301B0" w:rsidRPr="00B301B0" w:rsidRDefault="00B301B0" w:rsidP="00B301B0">
            <w:pPr>
              <w:widowControl/>
              <w:overflowPunct/>
              <w:autoSpaceDE/>
              <w:autoSpaceDN/>
              <w:adjustRightInd/>
              <w:jc w:val="center"/>
              <w:rPr>
                <w:kern w:val="0"/>
              </w:rPr>
            </w:pPr>
          </w:p>
        </w:tc>
        <w:tc>
          <w:tcPr>
            <w:tcW w:w="2880" w:type="dxa"/>
            <w:gridSpan w:val="2"/>
            <w:tcBorders>
              <w:top w:val="single" w:sz="4" w:space="0" w:color="auto"/>
              <w:bottom w:val="single" w:sz="4" w:space="0" w:color="auto"/>
            </w:tcBorders>
          </w:tcPr>
          <w:p w14:paraId="65415F1E" w14:textId="77777777" w:rsidR="00B301B0" w:rsidRPr="00B301B0" w:rsidRDefault="00B301B0" w:rsidP="00B301B0">
            <w:pPr>
              <w:widowControl/>
              <w:overflowPunct/>
              <w:autoSpaceDE/>
              <w:autoSpaceDN/>
              <w:adjustRightInd/>
              <w:jc w:val="center"/>
              <w:rPr>
                <w:kern w:val="0"/>
              </w:rPr>
            </w:pPr>
            <w:r w:rsidRPr="00B301B0">
              <w:rPr>
                <w:kern w:val="0"/>
              </w:rPr>
              <w:t>95% Confidence interval</w:t>
            </w:r>
          </w:p>
        </w:tc>
      </w:tr>
      <w:tr w:rsidR="00B301B0" w:rsidRPr="00B301B0" w14:paraId="7C8339B5" w14:textId="77777777" w:rsidTr="00DB7B9A">
        <w:tc>
          <w:tcPr>
            <w:tcW w:w="2592" w:type="dxa"/>
            <w:tcBorders>
              <w:bottom w:val="single" w:sz="4" w:space="0" w:color="auto"/>
            </w:tcBorders>
          </w:tcPr>
          <w:p w14:paraId="2983A1BF" w14:textId="77777777" w:rsidR="00B301B0" w:rsidRPr="00B301B0" w:rsidRDefault="00B301B0" w:rsidP="00B301B0">
            <w:pPr>
              <w:widowControl/>
              <w:overflowPunct/>
              <w:autoSpaceDE/>
              <w:autoSpaceDN/>
              <w:adjustRightInd/>
              <w:rPr>
                <w:kern w:val="0"/>
              </w:rPr>
            </w:pPr>
            <w:r w:rsidRPr="00B301B0">
              <w:rPr>
                <w:kern w:val="0"/>
              </w:rPr>
              <w:t>Variable</w:t>
            </w:r>
          </w:p>
        </w:tc>
        <w:tc>
          <w:tcPr>
            <w:tcW w:w="1440" w:type="dxa"/>
            <w:tcBorders>
              <w:bottom w:val="single" w:sz="4" w:space="0" w:color="auto"/>
            </w:tcBorders>
            <w:vAlign w:val="center"/>
          </w:tcPr>
          <w:p w14:paraId="39E0DE66" w14:textId="77777777" w:rsidR="00B301B0" w:rsidRPr="00B301B0" w:rsidRDefault="00B301B0" w:rsidP="00B301B0">
            <w:pPr>
              <w:widowControl/>
              <w:overflowPunct/>
              <w:autoSpaceDE/>
              <w:autoSpaceDN/>
              <w:adjustRightInd/>
              <w:jc w:val="center"/>
              <w:rPr>
                <w:kern w:val="0"/>
              </w:rPr>
            </w:pPr>
            <w:r w:rsidRPr="00B301B0">
              <w:rPr>
                <w:kern w:val="0"/>
              </w:rPr>
              <w:t>Coef.</w:t>
            </w:r>
          </w:p>
        </w:tc>
        <w:tc>
          <w:tcPr>
            <w:tcW w:w="1440" w:type="dxa"/>
            <w:tcBorders>
              <w:bottom w:val="single" w:sz="4" w:space="0" w:color="auto"/>
            </w:tcBorders>
            <w:vAlign w:val="center"/>
          </w:tcPr>
          <w:p w14:paraId="02C0C9DF" w14:textId="77777777" w:rsidR="00B301B0" w:rsidRPr="00B301B0" w:rsidRDefault="00B301B0" w:rsidP="00B301B0">
            <w:pPr>
              <w:widowControl/>
              <w:overflowPunct/>
              <w:autoSpaceDE/>
              <w:autoSpaceDN/>
              <w:adjustRightInd/>
              <w:jc w:val="center"/>
              <w:rPr>
                <w:kern w:val="0"/>
              </w:rPr>
            </w:pPr>
            <w:r w:rsidRPr="00B301B0">
              <w:rPr>
                <w:kern w:val="0"/>
              </w:rPr>
              <w:t>P &gt; |Z|</w:t>
            </w:r>
          </w:p>
        </w:tc>
        <w:tc>
          <w:tcPr>
            <w:tcW w:w="1440" w:type="dxa"/>
            <w:tcBorders>
              <w:top w:val="single" w:sz="4" w:space="0" w:color="auto"/>
              <w:bottom w:val="single" w:sz="4" w:space="0" w:color="auto"/>
            </w:tcBorders>
          </w:tcPr>
          <w:p w14:paraId="390D292F" w14:textId="77777777" w:rsidR="00B301B0" w:rsidRPr="00B301B0" w:rsidRDefault="00B301B0" w:rsidP="00B301B0">
            <w:pPr>
              <w:widowControl/>
              <w:overflowPunct/>
              <w:autoSpaceDE/>
              <w:autoSpaceDN/>
              <w:adjustRightInd/>
              <w:jc w:val="center"/>
              <w:rPr>
                <w:kern w:val="0"/>
              </w:rPr>
            </w:pPr>
            <w:r w:rsidRPr="00B301B0">
              <w:rPr>
                <w:kern w:val="0"/>
              </w:rPr>
              <w:t xml:space="preserve">Lower </w:t>
            </w:r>
          </w:p>
        </w:tc>
        <w:tc>
          <w:tcPr>
            <w:tcW w:w="1440" w:type="dxa"/>
            <w:tcBorders>
              <w:top w:val="single" w:sz="4" w:space="0" w:color="auto"/>
              <w:bottom w:val="single" w:sz="4" w:space="0" w:color="auto"/>
            </w:tcBorders>
          </w:tcPr>
          <w:p w14:paraId="48F1BA41" w14:textId="77777777" w:rsidR="00B301B0" w:rsidRPr="00B301B0" w:rsidRDefault="00B301B0" w:rsidP="00B301B0">
            <w:pPr>
              <w:widowControl/>
              <w:overflowPunct/>
              <w:autoSpaceDE/>
              <w:autoSpaceDN/>
              <w:adjustRightInd/>
              <w:jc w:val="center"/>
              <w:rPr>
                <w:kern w:val="0"/>
              </w:rPr>
            </w:pPr>
            <w:r w:rsidRPr="00B301B0">
              <w:rPr>
                <w:kern w:val="0"/>
              </w:rPr>
              <w:t xml:space="preserve">Upper </w:t>
            </w:r>
          </w:p>
        </w:tc>
      </w:tr>
      <w:tr w:rsidR="00B301B0" w:rsidRPr="00B301B0" w14:paraId="3ACC0D76" w14:textId="77777777" w:rsidTr="00DB7B9A">
        <w:tc>
          <w:tcPr>
            <w:tcW w:w="2592" w:type="dxa"/>
            <w:tcBorders>
              <w:top w:val="single" w:sz="4" w:space="0" w:color="auto"/>
            </w:tcBorders>
            <w:vAlign w:val="center"/>
          </w:tcPr>
          <w:p w14:paraId="5149DCBF" w14:textId="77777777" w:rsidR="00B301B0" w:rsidRPr="00B301B0" w:rsidRDefault="00B301B0" w:rsidP="00B301B0">
            <w:pPr>
              <w:widowControl/>
              <w:overflowPunct/>
              <w:autoSpaceDE/>
              <w:autoSpaceDN/>
              <w:adjustRightInd/>
              <w:rPr>
                <w:i/>
                <w:iCs/>
                <w:color w:val="000000"/>
                <w:kern w:val="0"/>
              </w:rPr>
            </w:pPr>
            <w:r w:rsidRPr="00B301B0">
              <w:rPr>
                <w:i/>
                <w:iCs/>
                <w:color w:val="000000"/>
                <w:kern w:val="0"/>
              </w:rPr>
              <w:t>Agency Theory</w:t>
            </w:r>
          </w:p>
        </w:tc>
        <w:tc>
          <w:tcPr>
            <w:tcW w:w="1440" w:type="dxa"/>
            <w:tcBorders>
              <w:top w:val="single" w:sz="4" w:space="0" w:color="auto"/>
            </w:tcBorders>
            <w:vAlign w:val="center"/>
          </w:tcPr>
          <w:p w14:paraId="19A67F4E" w14:textId="77777777" w:rsidR="00B301B0" w:rsidRPr="00B301B0" w:rsidRDefault="00B301B0" w:rsidP="00B301B0">
            <w:pPr>
              <w:widowControl/>
              <w:overflowPunct/>
              <w:autoSpaceDE/>
              <w:autoSpaceDN/>
              <w:adjustRightInd/>
              <w:jc w:val="center"/>
              <w:rPr>
                <w:color w:val="000000"/>
                <w:kern w:val="0"/>
              </w:rPr>
            </w:pPr>
          </w:p>
        </w:tc>
        <w:tc>
          <w:tcPr>
            <w:tcW w:w="1440" w:type="dxa"/>
            <w:tcBorders>
              <w:top w:val="single" w:sz="4" w:space="0" w:color="auto"/>
            </w:tcBorders>
            <w:vAlign w:val="center"/>
          </w:tcPr>
          <w:p w14:paraId="236E86BD" w14:textId="77777777" w:rsidR="00B301B0" w:rsidRPr="00B301B0" w:rsidRDefault="00B301B0" w:rsidP="00B301B0">
            <w:pPr>
              <w:widowControl/>
              <w:overflowPunct/>
              <w:autoSpaceDE/>
              <w:autoSpaceDN/>
              <w:adjustRightInd/>
              <w:jc w:val="center"/>
              <w:rPr>
                <w:color w:val="000000"/>
                <w:kern w:val="0"/>
              </w:rPr>
            </w:pPr>
          </w:p>
        </w:tc>
        <w:tc>
          <w:tcPr>
            <w:tcW w:w="1440" w:type="dxa"/>
            <w:tcBorders>
              <w:top w:val="single" w:sz="4" w:space="0" w:color="auto"/>
            </w:tcBorders>
          </w:tcPr>
          <w:p w14:paraId="6233CB5D" w14:textId="77777777" w:rsidR="00B301B0" w:rsidRPr="00B301B0" w:rsidRDefault="00B301B0" w:rsidP="00B301B0">
            <w:pPr>
              <w:widowControl/>
              <w:overflowPunct/>
              <w:autoSpaceDE/>
              <w:autoSpaceDN/>
              <w:adjustRightInd/>
              <w:rPr>
                <w:kern w:val="0"/>
              </w:rPr>
            </w:pPr>
          </w:p>
        </w:tc>
        <w:tc>
          <w:tcPr>
            <w:tcW w:w="1440" w:type="dxa"/>
            <w:tcBorders>
              <w:top w:val="single" w:sz="4" w:space="0" w:color="auto"/>
            </w:tcBorders>
          </w:tcPr>
          <w:p w14:paraId="780D8C4B" w14:textId="77777777" w:rsidR="00B301B0" w:rsidRPr="00B301B0" w:rsidRDefault="00B301B0" w:rsidP="00B301B0">
            <w:pPr>
              <w:widowControl/>
              <w:overflowPunct/>
              <w:autoSpaceDE/>
              <w:autoSpaceDN/>
              <w:adjustRightInd/>
              <w:rPr>
                <w:kern w:val="0"/>
              </w:rPr>
            </w:pPr>
          </w:p>
        </w:tc>
      </w:tr>
      <w:tr w:rsidR="00B301B0" w:rsidRPr="00B301B0" w14:paraId="64E2888F" w14:textId="77777777" w:rsidTr="00DB7B9A">
        <w:tc>
          <w:tcPr>
            <w:tcW w:w="2592" w:type="dxa"/>
            <w:vAlign w:val="center"/>
          </w:tcPr>
          <w:p w14:paraId="412D3737"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Goal alignment</w:t>
            </w:r>
          </w:p>
        </w:tc>
        <w:tc>
          <w:tcPr>
            <w:tcW w:w="1440" w:type="dxa"/>
          </w:tcPr>
          <w:p w14:paraId="7EAC2087" w14:textId="77777777" w:rsidR="00B301B0" w:rsidRPr="00B301B0" w:rsidRDefault="00B301B0" w:rsidP="00B301B0">
            <w:pPr>
              <w:widowControl/>
              <w:overflowPunct/>
              <w:autoSpaceDE/>
              <w:autoSpaceDN/>
              <w:adjustRightInd/>
              <w:jc w:val="center"/>
              <w:rPr>
                <w:kern w:val="0"/>
              </w:rPr>
            </w:pPr>
            <w:r w:rsidRPr="00B301B0">
              <w:rPr>
                <w:kern w:val="0"/>
              </w:rPr>
              <w:t>-0.069</w:t>
            </w:r>
          </w:p>
        </w:tc>
        <w:tc>
          <w:tcPr>
            <w:tcW w:w="1440" w:type="dxa"/>
          </w:tcPr>
          <w:p w14:paraId="2C68DC4C" w14:textId="77777777" w:rsidR="00B301B0" w:rsidRPr="00B301B0" w:rsidRDefault="00B301B0" w:rsidP="00B301B0">
            <w:pPr>
              <w:widowControl/>
              <w:overflowPunct/>
              <w:autoSpaceDE/>
              <w:autoSpaceDN/>
              <w:adjustRightInd/>
              <w:jc w:val="center"/>
              <w:rPr>
                <w:kern w:val="0"/>
              </w:rPr>
            </w:pPr>
            <w:r w:rsidRPr="00B301B0">
              <w:rPr>
                <w:kern w:val="0"/>
              </w:rPr>
              <w:t>0.021</w:t>
            </w:r>
          </w:p>
        </w:tc>
        <w:tc>
          <w:tcPr>
            <w:tcW w:w="1440" w:type="dxa"/>
          </w:tcPr>
          <w:p w14:paraId="4DD80FD3" w14:textId="77777777" w:rsidR="00B301B0" w:rsidRPr="00B301B0" w:rsidRDefault="00B301B0" w:rsidP="00B301B0">
            <w:pPr>
              <w:widowControl/>
              <w:overflowPunct/>
              <w:autoSpaceDE/>
              <w:autoSpaceDN/>
              <w:adjustRightInd/>
              <w:jc w:val="center"/>
              <w:rPr>
                <w:kern w:val="0"/>
              </w:rPr>
            </w:pPr>
            <w:r w:rsidRPr="00B301B0">
              <w:rPr>
                <w:kern w:val="0"/>
              </w:rPr>
              <w:t>-0.127</w:t>
            </w:r>
          </w:p>
        </w:tc>
        <w:tc>
          <w:tcPr>
            <w:tcW w:w="1440" w:type="dxa"/>
          </w:tcPr>
          <w:p w14:paraId="74E3DEAD" w14:textId="77777777" w:rsidR="00B301B0" w:rsidRPr="00B301B0" w:rsidRDefault="00B301B0" w:rsidP="00B301B0">
            <w:pPr>
              <w:widowControl/>
              <w:overflowPunct/>
              <w:autoSpaceDE/>
              <w:autoSpaceDN/>
              <w:adjustRightInd/>
              <w:jc w:val="center"/>
              <w:rPr>
                <w:kern w:val="0"/>
              </w:rPr>
            </w:pPr>
            <w:r w:rsidRPr="00B301B0">
              <w:rPr>
                <w:kern w:val="0"/>
              </w:rPr>
              <w:t>-0.011</w:t>
            </w:r>
          </w:p>
        </w:tc>
      </w:tr>
      <w:tr w:rsidR="00B301B0" w:rsidRPr="00B301B0" w14:paraId="46828BB0" w14:textId="77777777" w:rsidTr="00DB7B9A">
        <w:tc>
          <w:tcPr>
            <w:tcW w:w="2592" w:type="dxa"/>
            <w:vAlign w:val="center"/>
          </w:tcPr>
          <w:p w14:paraId="619DBD93"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Past performance</w:t>
            </w:r>
          </w:p>
        </w:tc>
        <w:tc>
          <w:tcPr>
            <w:tcW w:w="1440" w:type="dxa"/>
          </w:tcPr>
          <w:p w14:paraId="7B7E9241" w14:textId="77777777" w:rsidR="00B301B0" w:rsidRPr="00B301B0" w:rsidRDefault="00B301B0" w:rsidP="00B301B0">
            <w:pPr>
              <w:widowControl/>
              <w:overflowPunct/>
              <w:autoSpaceDE/>
              <w:autoSpaceDN/>
              <w:adjustRightInd/>
              <w:jc w:val="center"/>
              <w:rPr>
                <w:kern w:val="0"/>
              </w:rPr>
            </w:pPr>
            <w:r w:rsidRPr="00B301B0">
              <w:rPr>
                <w:kern w:val="0"/>
              </w:rPr>
              <w:t>0.077</w:t>
            </w:r>
          </w:p>
        </w:tc>
        <w:tc>
          <w:tcPr>
            <w:tcW w:w="1440" w:type="dxa"/>
          </w:tcPr>
          <w:p w14:paraId="41BDD05C" w14:textId="77777777" w:rsidR="00B301B0" w:rsidRPr="00B301B0" w:rsidRDefault="00B301B0" w:rsidP="00B301B0">
            <w:pPr>
              <w:widowControl/>
              <w:overflowPunct/>
              <w:autoSpaceDE/>
              <w:autoSpaceDN/>
              <w:adjustRightInd/>
              <w:jc w:val="center"/>
              <w:rPr>
                <w:kern w:val="0"/>
              </w:rPr>
            </w:pPr>
            <w:r w:rsidRPr="00B301B0">
              <w:rPr>
                <w:kern w:val="0"/>
              </w:rPr>
              <w:t>0.010</w:t>
            </w:r>
          </w:p>
        </w:tc>
        <w:tc>
          <w:tcPr>
            <w:tcW w:w="1440" w:type="dxa"/>
          </w:tcPr>
          <w:p w14:paraId="29EF1FEE" w14:textId="77777777" w:rsidR="00B301B0" w:rsidRPr="00B301B0" w:rsidRDefault="00B301B0" w:rsidP="00B301B0">
            <w:pPr>
              <w:widowControl/>
              <w:overflowPunct/>
              <w:autoSpaceDE/>
              <w:autoSpaceDN/>
              <w:adjustRightInd/>
              <w:jc w:val="center"/>
              <w:rPr>
                <w:kern w:val="0"/>
              </w:rPr>
            </w:pPr>
            <w:r w:rsidRPr="00B301B0">
              <w:rPr>
                <w:kern w:val="0"/>
              </w:rPr>
              <w:t>0.018</w:t>
            </w:r>
          </w:p>
        </w:tc>
        <w:tc>
          <w:tcPr>
            <w:tcW w:w="1440" w:type="dxa"/>
          </w:tcPr>
          <w:p w14:paraId="55A8C460" w14:textId="77777777" w:rsidR="00B301B0" w:rsidRPr="00B301B0" w:rsidRDefault="00B301B0" w:rsidP="00B301B0">
            <w:pPr>
              <w:widowControl/>
              <w:overflowPunct/>
              <w:autoSpaceDE/>
              <w:autoSpaceDN/>
              <w:adjustRightInd/>
              <w:jc w:val="center"/>
              <w:rPr>
                <w:kern w:val="0"/>
              </w:rPr>
            </w:pPr>
            <w:r w:rsidRPr="00B301B0">
              <w:rPr>
                <w:kern w:val="0"/>
              </w:rPr>
              <w:t>0.136</w:t>
            </w:r>
          </w:p>
        </w:tc>
      </w:tr>
      <w:tr w:rsidR="00B301B0" w:rsidRPr="00B301B0" w14:paraId="0265F1BA" w14:textId="77777777" w:rsidTr="00DB7B9A">
        <w:tc>
          <w:tcPr>
            <w:tcW w:w="2592" w:type="dxa"/>
            <w:vAlign w:val="center"/>
          </w:tcPr>
          <w:p w14:paraId="1935BF99" w14:textId="77777777" w:rsidR="00B301B0" w:rsidRPr="00B301B0" w:rsidRDefault="00B301B0" w:rsidP="00B301B0">
            <w:pPr>
              <w:widowControl/>
              <w:overflowPunct/>
              <w:autoSpaceDE/>
              <w:autoSpaceDN/>
              <w:adjustRightInd/>
              <w:rPr>
                <w:i/>
                <w:iCs/>
                <w:color w:val="000000"/>
                <w:kern w:val="0"/>
              </w:rPr>
            </w:pPr>
            <w:r w:rsidRPr="00B301B0">
              <w:rPr>
                <w:i/>
                <w:iCs/>
                <w:color w:val="000000"/>
                <w:kern w:val="0"/>
              </w:rPr>
              <w:t>Institutional Theory</w:t>
            </w:r>
          </w:p>
        </w:tc>
        <w:tc>
          <w:tcPr>
            <w:tcW w:w="1440" w:type="dxa"/>
          </w:tcPr>
          <w:p w14:paraId="3E041032" w14:textId="77777777" w:rsidR="00B301B0" w:rsidRPr="00B301B0" w:rsidRDefault="00B301B0" w:rsidP="00B301B0">
            <w:pPr>
              <w:widowControl/>
              <w:overflowPunct/>
              <w:autoSpaceDE/>
              <w:autoSpaceDN/>
              <w:adjustRightInd/>
              <w:jc w:val="center"/>
              <w:rPr>
                <w:kern w:val="0"/>
              </w:rPr>
            </w:pPr>
          </w:p>
        </w:tc>
        <w:tc>
          <w:tcPr>
            <w:tcW w:w="1440" w:type="dxa"/>
          </w:tcPr>
          <w:p w14:paraId="3CEE302C" w14:textId="77777777" w:rsidR="00B301B0" w:rsidRPr="00B301B0" w:rsidRDefault="00B301B0" w:rsidP="00B301B0">
            <w:pPr>
              <w:widowControl/>
              <w:overflowPunct/>
              <w:autoSpaceDE/>
              <w:autoSpaceDN/>
              <w:adjustRightInd/>
              <w:jc w:val="center"/>
              <w:rPr>
                <w:kern w:val="0"/>
              </w:rPr>
            </w:pPr>
          </w:p>
        </w:tc>
        <w:tc>
          <w:tcPr>
            <w:tcW w:w="1440" w:type="dxa"/>
          </w:tcPr>
          <w:p w14:paraId="18BAD1F1" w14:textId="77777777" w:rsidR="00B301B0" w:rsidRPr="00B301B0" w:rsidRDefault="00B301B0" w:rsidP="00B301B0">
            <w:pPr>
              <w:widowControl/>
              <w:overflowPunct/>
              <w:autoSpaceDE/>
              <w:autoSpaceDN/>
              <w:adjustRightInd/>
              <w:jc w:val="center"/>
              <w:rPr>
                <w:kern w:val="0"/>
              </w:rPr>
            </w:pPr>
          </w:p>
        </w:tc>
        <w:tc>
          <w:tcPr>
            <w:tcW w:w="1440" w:type="dxa"/>
          </w:tcPr>
          <w:p w14:paraId="5214C8BE" w14:textId="77777777" w:rsidR="00B301B0" w:rsidRPr="00B301B0" w:rsidRDefault="00B301B0" w:rsidP="00B301B0">
            <w:pPr>
              <w:widowControl/>
              <w:overflowPunct/>
              <w:autoSpaceDE/>
              <w:autoSpaceDN/>
              <w:adjustRightInd/>
              <w:jc w:val="center"/>
              <w:rPr>
                <w:kern w:val="0"/>
              </w:rPr>
            </w:pPr>
          </w:p>
        </w:tc>
      </w:tr>
      <w:tr w:rsidR="00B301B0" w:rsidRPr="00B301B0" w14:paraId="6F541D1F" w14:textId="77777777" w:rsidTr="00DB7B9A">
        <w:tc>
          <w:tcPr>
            <w:tcW w:w="2592" w:type="dxa"/>
            <w:vAlign w:val="center"/>
          </w:tcPr>
          <w:p w14:paraId="1BF711BD"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Institutional distance</w:t>
            </w:r>
          </w:p>
        </w:tc>
        <w:tc>
          <w:tcPr>
            <w:tcW w:w="1440" w:type="dxa"/>
          </w:tcPr>
          <w:p w14:paraId="707036BB" w14:textId="77777777" w:rsidR="00B301B0" w:rsidRPr="00B301B0" w:rsidRDefault="00B301B0" w:rsidP="00B301B0">
            <w:pPr>
              <w:widowControl/>
              <w:overflowPunct/>
              <w:autoSpaceDE/>
              <w:autoSpaceDN/>
              <w:adjustRightInd/>
              <w:jc w:val="center"/>
              <w:rPr>
                <w:kern w:val="0"/>
              </w:rPr>
            </w:pPr>
            <w:r w:rsidRPr="00B301B0">
              <w:rPr>
                <w:kern w:val="0"/>
              </w:rPr>
              <w:t>0.030</w:t>
            </w:r>
          </w:p>
        </w:tc>
        <w:tc>
          <w:tcPr>
            <w:tcW w:w="1440" w:type="dxa"/>
          </w:tcPr>
          <w:p w14:paraId="1BF0A82F" w14:textId="77777777" w:rsidR="00B301B0" w:rsidRPr="00B301B0" w:rsidRDefault="00B301B0" w:rsidP="00B301B0">
            <w:pPr>
              <w:widowControl/>
              <w:overflowPunct/>
              <w:autoSpaceDE/>
              <w:autoSpaceDN/>
              <w:adjustRightInd/>
              <w:jc w:val="center"/>
              <w:rPr>
                <w:kern w:val="0"/>
              </w:rPr>
            </w:pPr>
            <w:r w:rsidRPr="00B301B0">
              <w:rPr>
                <w:kern w:val="0"/>
              </w:rPr>
              <w:t>0.298</w:t>
            </w:r>
          </w:p>
        </w:tc>
        <w:tc>
          <w:tcPr>
            <w:tcW w:w="1440" w:type="dxa"/>
          </w:tcPr>
          <w:p w14:paraId="7A70DD7A" w14:textId="77777777" w:rsidR="00B301B0" w:rsidRPr="00B301B0" w:rsidRDefault="00B301B0" w:rsidP="00B301B0">
            <w:pPr>
              <w:widowControl/>
              <w:overflowPunct/>
              <w:autoSpaceDE/>
              <w:autoSpaceDN/>
              <w:adjustRightInd/>
              <w:jc w:val="center"/>
              <w:rPr>
                <w:kern w:val="0"/>
              </w:rPr>
            </w:pPr>
            <w:r w:rsidRPr="00B301B0">
              <w:rPr>
                <w:kern w:val="0"/>
              </w:rPr>
              <w:t>-0.026</w:t>
            </w:r>
          </w:p>
        </w:tc>
        <w:tc>
          <w:tcPr>
            <w:tcW w:w="1440" w:type="dxa"/>
          </w:tcPr>
          <w:p w14:paraId="56ED7952" w14:textId="77777777" w:rsidR="00B301B0" w:rsidRPr="00B301B0" w:rsidRDefault="00B301B0" w:rsidP="00B301B0">
            <w:pPr>
              <w:widowControl/>
              <w:overflowPunct/>
              <w:autoSpaceDE/>
              <w:autoSpaceDN/>
              <w:adjustRightInd/>
              <w:jc w:val="center"/>
              <w:rPr>
                <w:kern w:val="0"/>
              </w:rPr>
            </w:pPr>
            <w:r w:rsidRPr="00B301B0">
              <w:rPr>
                <w:kern w:val="0"/>
              </w:rPr>
              <w:t>0.086</w:t>
            </w:r>
          </w:p>
        </w:tc>
      </w:tr>
      <w:tr w:rsidR="00B301B0" w:rsidRPr="00B301B0" w14:paraId="5CCFF7F9" w14:textId="77777777" w:rsidTr="00DB7B9A">
        <w:tc>
          <w:tcPr>
            <w:tcW w:w="2592" w:type="dxa"/>
            <w:vAlign w:val="center"/>
          </w:tcPr>
          <w:p w14:paraId="08EE2267"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Host country constraints</w:t>
            </w:r>
          </w:p>
        </w:tc>
        <w:tc>
          <w:tcPr>
            <w:tcW w:w="1440" w:type="dxa"/>
          </w:tcPr>
          <w:p w14:paraId="32AA91E0" w14:textId="77777777" w:rsidR="00B301B0" w:rsidRPr="00B301B0" w:rsidRDefault="00B301B0" w:rsidP="00B301B0">
            <w:pPr>
              <w:widowControl/>
              <w:overflowPunct/>
              <w:autoSpaceDE/>
              <w:autoSpaceDN/>
              <w:adjustRightInd/>
              <w:jc w:val="center"/>
              <w:rPr>
                <w:kern w:val="0"/>
              </w:rPr>
            </w:pPr>
            <w:r w:rsidRPr="00B301B0">
              <w:rPr>
                <w:kern w:val="0"/>
              </w:rPr>
              <w:t>0.029</w:t>
            </w:r>
          </w:p>
        </w:tc>
        <w:tc>
          <w:tcPr>
            <w:tcW w:w="1440" w:type="dxa"/>
          </w:tcPr>
          <w:p w14:paraId="54AB0AA7" w14:textId="77777777" w:rsidR="00B301B0" w:rsidRPr="00B301B0" w:rsidRDefault="00B301B0" w:rsidP="00B301B0">
            <w:pPr>
              <w:widowControl/>
              <w:overflowPunct/>
              <w:autoSpaceDE/>
              <w:autoSpaceDN/>
              <w:adjustRightInd/>
              <w:jc w:val="center"/>
              <w:rPr>
                <w:kern w:val="0"/>
              </w:rPr>
            </w:pPr>
            <w:r w:rsidRPr="00B301B0">
              <w:rPr>
                <w:kern w:val="0"/>
              </w:rPr>
              <w:t>0.315</w:t>
            </w:r>
          </w:p>
        </w:tc>
        <w:tc>
          <w:tcPr>
            <w:tcW w:w="1440" w:type="dxa"/>
          </w:tcPr>
          <w:p w14:paraId="40C47F10" w14:textId="77777777" w:rsidR="00B301B0" w:rsidRPr="00B301B0" w:rsidRDefault="00B301B0" w:rsidP="00B301B0">
            <w:pPr>
              <w:widowControl/>
              <w:overflowPunct/>
              <w:autoSpaceDE/>
              <w:autoSpaceDN/>
              <w:adjustRightInd/>
              <w:jc w:val="center"/>
              <w:rPr>
                <w:kern w:val="0"/>
              </w:rPr>
            </w:pPr>
            <w:r w:rsidRPr="00B301B0">
              <w:rPr>
                <w:kern w:val="0"/>
              </w:rPr>
              <w:t>-0.028</w:t>
            </w:r>
          </w:p>
        </w:tc>
        <w:tc>
          <w:tcPr>
            <w:tcW w:w="1440" w:type="dxa"/>
          </w:tcPr>
          <w:p w14:paraId="4D4B4CD9" w14:textId="77777777" w:rsidR="00B301B0" w:rsidRPr="00B301B0" w:rsidRDefault="00B301B0" w:rsidP="00B301B0">
            <w:pPr>
              <w:widowControl/>
              <w:overflowPunct/>
              <w:autoSpaceDE/>
              <w:autoSpaceDN/>
              <w:adjustRightInd/>
              <w:jc w:val="center"/>
              <w:rPr>
                <w:kern w:val="0"/>
              </w:rPr>
            </w:pPr>
            <w:r w:rsidRPr="00B301B0">
              <w:rPr>
                <w:kern w:val="0"/>
              </w:rPr>
              <w:t>0.086</w:t>
            </w:r>
          </w:p>
        </w:tc>
      </w:tr>
      <w:tr w:rsidR="00B301B0" w:rsidRPr="00B301B0" w14:paraId="343F3DA2" w14:textId="77777777" w:rsidTr="00DB7B9A">
        <w:tc>
          <w:tcPr>
            <w:tcW w:w="2592" w:type="dxa"/>
            <w:vAlign w:val="center"/>
          </w:tcPr>
          <w:p w14:paraId="3168EED0" w14:textId="77777777" w:rsidR="00B301B0" w:rsidRPr="00B301B0" w:rsidRDefault="00B301B0" w:rsidP="00B301B0">
            <w:pPr>
              <w:widowControl/>
              <w:overflowPunct/>
              <w:autoSpaceDE/>
              <w:autoSpaceDN/>
              <w:adjustRightInd/>
              <w:rPr>
                <w:i/>
                <w:iCs/>
                <w:color w:val="000000"/>
                <w:kern w:val="0"/>
              </w:rPr>
            </w:pPr>
            <w:r w:rsidRPr="00B301B0">
              <w:rPr>
                <w:i/>
                <w:iCs/>
                <w:color w:val="000000"/>
                <w:kern w:val="0"/>
              </w:rPr>
              <w:t>Global Strategy</w:t>
            </w:r>
          </w:p>
        </w:tc>
        <w:tc>
          <w:tcPr>
            <w:tcW w:w="1440" w:type="dxa"/>
          </w:tcPr>
          <w:p w14:paraId="219E75DC" w14:textId="77777777" w:rsidR="00B301B0" w:rsidRPr="00B301B0" w:rsidRDefault="00B301B0" w:rsidP="00B301B0">
            <w:pPr>
              <w:widowControl/>
              <w:overflowPunct/>
              <w:autoSpaceDE/>
              <w:autoSpaceDN/>
              <w:adjustRightInd/>
              <w:jc w:val="center"/>
              <w:rPr>
                <w:kern w:val="0"/>
              </w:rPr>
            </w:pPr>
          </w:p>
        </w:tc>
        <w:tc>
          <w:tcPr>
            <w:tcW w:w="1440" w:type="dxa"/>
          </w:tcPr>
          <w:p w14:paraId="571C39A9" w14:textId="77777777" w:rsidR="00B301B0" w:rsidRPr="00B301B0" w:rsidRDefault="00B301B0" w:rsidP="00B301B0">
            <w:pPr>
              <w:widowControl/>
              <w:overflowPunct/>
              <w:autoSpaceDE/>
              <w:autoSpaceDN/>
              <w:adjustRightInd/>
              <w:jc w:val="center"/>
              <w:rPr>
                <w:kern w:val="0"/>
              </w:rPr>
            </w:pPr>
          </w:p>
        </w:tc>
        <w:tc>
          <w:tcPr>
            <w:tcW w:w="1440" w:type="dxa"/>
          </w:tcPr>
          <w:p w14:paraId="70DCDFD5" w14:textId="77777777" w:rsidR="00B301B0" w:rsidRPr="00B301B0" w:rsidRDefault="00B301B0" w:rsidP="00B301B0">
            <w:pPr>
              <w:widowControl/>
              <w:overflowPunct/>
              <w:autoSpaceDE/>
              <w:autoSpaceDN/>
              <w:adjustRightInd/>
              <w:jc w:val="center"/>
              <w:rPr>
                <w:kern w:val="0"/>
              </w:rPr>
            </w:pPr>
          </w:p>
        </w:tc>
        <w:tc>
          <w:tcPr>
            <w:tcW w:w="1440" w:type="dxa"/>
          </w:tcPr>
          <w:p w14:paraId="6483ED9B" w14:textId="77777777" w:rsidR="00B301B0" w:rsidRPr="00B301B0" w:rsidRDefault="00B301B0" w:rsidP="00B301B0">
            <w:pPr>
              <w:widowControl/>
              <w:overflowPunct/>
              <w:autoSpaceDE/>
              <w:autoSpaceDN/>
              <w:adjustRightInd/>
              <w:jc w:val="center"/>
              <w:rPr>
                <w:kern w:val="0"/>
              </w:rPr>
            </w:pPr>
          </w:p>
        </w:tc>
      </w:tr>
      <w:tr w:rsidR="00B301B0" w:rsidRPr="00B301B0" w14:paraId="208CC324" w14:textId="77777777" w:rsidTr="00DB7B9A">
        <w:tc>
          <w:tcPr>
            <w:tcW w:w="2592" w:type="dxa"/>
            <w:vAlign w:val="center"/>
          </w:tcPr>
          <w:p w14:paraId="792C4006"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Value chain breadth</w:t>
            </w:r>
          </w:p>
        </w:tc>
        <w:tc>
          <w:tcPr>
            <w:tcW w:w="1440" w:type="dxa"/>
          </w:tcPr>
          <w:p w14:paraId="31A10DA8" w14:textId="77777777" w:rsidR="00B301B0" w:rsidRPr="00B301B0" w:rsidRDefault="00B301B0" w:rsidP="00B301B0">
            <w:pPr>
              <w:widowControl/>
              <w:overflowPunct/>
              <w:autoSpaceDE/>
              <w:autoSpaceDN/>
              <w:adjustRightInd/>
              <w:jc w:val="center"/>
              <w:rPr>
                <w:kern w:val="0"/>
              </w:rPr>
            </w:pPr>
            <w:r w:rsidRPr="00B301B0">
              <w:rPr>
                <w:kern w:val="0"/>
              </w:rPr>
              <w:t>0.115</w:t>
            </w:r>
          </w:p>
        </w:tc>
        <w:tc>
          <w:tcPr>
            <w:tcW w:w="1440" w:type="dxa"/>
          </w:tcPr>
          <w:p w14:paraId="0A95BA08" w14:textId="77777777" w:rsidR="00B301B0" w:rsidRPr="00B301B0" w:rsidRDefault="00B301B0" w:rsidP="00B301B0">
            <w:pPr>
              <w:widowControl/>
              <w:overflowPunct/>
              <w:autoSpaceDE/>
              <w:autoSpaceDN/>
              <w:adjustRightInd/>
              <w:jc w:val="center"/>
              <w:rPr>
                <w:kern w:val="0"/>
              </w:rPr>
            </w:pPr>
            <w:r w:rsidRPr="00B301B0">
              <w:rPr>
                <w:kern w:val="0"/>
              </w:rPr>
              <w:t>0.000</w:t>
            </w:r>
          </w:p>
        </w:tc>
        <w:tc>
          <w:tcPr>
            <w:tcW w:w="1440" w:type="dxa"/>
          </w:tcPr>
          <w:p w14:paraId="2D0E69C6" w14:textId="77777777" w:rsidR="00B301B0" w:rsidRPr="00B301B0" w:rsidRDefault="00B301B0" w:rsidP="00B301B0">
            <w:pPr>
              <w:widowControl/>
              <w:overflowPunct/>
              <w:autoSpaceDE/>
              <w:autoSpaceDN/>
              <w:adjustRightInd/>
              <w:jc w:val="center"/>
              <w:rPr>
                <w:kern w:val="0"/>
              </w:rPr>
            </w:pPr>
            <w:r w:rsidRPr="00B301B0">
              <w:rPr>
                <w:kern w:val="0"/>
              </w:rPr>
              <w:t>0.057</w:t>
            </w:r>
          </w:p>
        </w:tc>
        <w:tc>
          <w:tcPr>
            <w:tcW w:w="1440" w:type="dxa"/>
          </w:tcPr>
          <w:p w14:paraId="1CFC927F" w14:textId="77777777" w:rsidR="00B301B0" w:rsidRPr="00B301B0" w:rsidRDefault="00B301B0" w:rsidP="00B301B0">
            <w:pPr>
              <w:widowControl/>
              <w:overflowPunct/>
              <w:autoSpaceDE/>
              <w:autoSpaceDN/>
              <w:adjustRightInd/>
              <w:jc w:val="center"/>
              <w:rPr>
                <w:kern w:val="0"/>
              </w:rPr>
            </w:pPr>
            <w:r w:rsidRPr="00B301B0">
              <w:rPr>
                <w:kern w:val="0"/>
              </w:rPr>
              <w:t>0.174</w:t>
            </w:r>
          </w:p>
        </w:tc>
      </w:tr>
      <w:tr w:rsidR="00B301B0" w:rsidRPr="00B301B0" w14:paraId="23061F7C" w14:textId="77777777" w:rsidTr="00DB7B9A">
        <w:tc>
          <w:tcPr>
            <w:tcW w:w="2592" w:type="dxa"/>
            <w:vAlign w:val="center"/>
          </w:tcPr>
          <w:p w14:paraId="53270DF9"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Localization</w:t>
            </w:r>
          </w:p>
        </w:tc>
        <w:tc>
          <w:tcPr>
            <w:tcW w:w="1440" w:type="dxa"/>
          </w:tcPr>
          <w:p w14:paraId="1C4FF7C1" w14:textId="77777777" w:rsidR="00B301B0" w:rsidRPr="00B301B0" w:rsidRDefault="00B301B0" w:rsidP="00B301B0">
            <w:pPr>
              <w:widowControl/>
              <w:overflowPunct/>
              <w:autoSpaceDE/>
              <w:autoSpaceDN/>
              <w:adjustRightInd/>
              <w:jc w:val="center"/>
              <w:rPr>
                <w:kern w:val="0"/>
              </w:rPr>
            </w:pPr>
            <w:r w:rsidRPr="00B301B0">
              <w:rPr>
                <w:kern w:val="0"/>
              </w:rPr>
              <w:t>0.079</w:t>
            </w:r>
          </w:p>
        </w:tc>
        <w:tc>
          <w:tcPr>
            <w:tcW w:w="1440" w:type="dxa"/>
          </w:tcPr>
          <w:p w14:paraId="42E068FA" w14:textId="77777777" w:rsidR="00B301B0" w:rsidRPr="00B301B0" w:rsidRDefault="00B301B0" w:rsidP="00B301B0">
            <w:pPr>
              <w:widowControl/>
              <w:overflowPunct/>
              <w:autoSpaceDE/>
              <w:autoSpaceDN/>
              <w:adjustRightInd/>
              <w:jc w:val="center"/>
              <w:rPr>
                <w:kern w:val="0"/>
              </w:rPr>
            </w:pPr>
            <w:r w:rsidRPr="00B301B0">
              <w:rPr>
                <w:kern w:val="0"/>
              </w:rPr>
              <w:t>0.006</w:t>
            </w:r>
          </w:p>
        </w:tc>
        <w:tc>
          <w:tcPr>
            <w:tcW w:w="1440" w:type="dxa"/>
          </w:tcPr>
          <w:p w14:paraId="36280BB3" w14:textId="77777777" w:rsidR="00B301B0" w:rsidRPr="00B301B0" w:rsidRDefault="00B301B0" w:rsidP="00B301B0">
            <w:pPr>
              <w:widowControl/>
              <w:overflowPunct/>
              <w:autoSpaceDE/>
              <w:autoSpaceDN/>
              <w:adjustRightInd/>
              <w:jc w:val="center"/>
              <w:rPr>
                <w:kern w:val="0"/>
              </w:rPr>
            </w:pPr>
            <w:r w:rsidRPr="00B301B0">
              <w:rPr>
                <w:kern w:val="0"/>
              </w:rPr>
              <w:t>0.023</w:t>
            </w:r>
          </w:p>
        </w:tc>
        <w:tc>
          <w:tcPr>
            <w:tcW w:w="1440" w:type="dxa"/>
          </w:tcPr>
          <w:p w14:paraId="39559371" w14:textId="77777777" w:rsidR="00B301B0" w:rsidRPr="00B301B0" w:rsidRDefault="00B301B0" w:rsidP="00B301B0">
            <w:pPr>
              <w:widowControl/>
              <w:overflowPunct/>
              <w:autoSpaceDE/>
              <w:autoSpaceDN/>
              <w:adjustRightInd/>
              <w:jc w:val="center"/>
              <w:rPr>
                <w:kern w:val="0"/>
              </w:rPr>
            </w:pPr>
            <w:r w:rsidRPr="00B301B0">
              <w:rPr>
                <w:kern w:val="0"/>
              </w:rPr>
              <w:t>0.135</w:t>
            </w:r>
          </w:p>
        </w:tc>
      </w:tr>
      <w:tr w:rsidR="00B301B0" w:rsidRPr="00B301B0" w14:paraId="650A93AF" w14:textId="77777777" w:rsidTr="00DB7B9A">
        <w:tc>
          <w:tcPr>
            <w:tcW w:w="2592" w:type="dxa"/>
            <w:vAlign w:val="center"/>
          </w:tcPr>
          <w:p w14:paraId="3CF28BD3" w14:textId="77777777" w:rsidR="00B301B0" w:rsidRPr="00B301B0" w:rsidRDefault="00B301B0" w:rsidP="00B301B0">
            <w:pPr>
              <w:widowControl/>
              <w:overflowPunct/>
              <w:autoSpaceDE/>
              <w:autoSpaceDN/>
              <w:adjustRightInd/>
              <w:rPr>
                <w:i/>
                <w:iCs/>
                <w:color w:val="000000"/>
                <w:kern w:val="0"/>
              </w:rPr>
            </w:pPr>
            <w:r w:rsidRPr="00B301B0">
              <w:rPr>
                <w:i/>
                <w:iCs/>
                <w:color w:val="000000"/>
                <w:kern w:val="0"/>
              </w:rPr>
              <w:t>Controls</w:t>
            </w:r>
          </w:p>
        </w:tc>
        <w:tc>
          <w:tcPr>
            <w:tcW w:w="1440" w:type="dxa"/>
          </w:tcPr>
          <w:p w14:paraId="3FEAE4D6" w14:textId="77777777" w:rsidR="00B301B0" w:rsidRPr="00B301B0" w:rsidRDefault="00B301B0" w:rsidP="00B301B0">
            <w:pPr>
              <w:widowControl/>
              <w:overflowPunct/>
              <w:autoSpaceDE/>
              <w:autoSpaceDN/>
              <w:adjustRightInd/>
              <w:jc w:val="center"/>
              <w:rPr>
                <w:kern w:val="0"/>
              </w:rPr>
            </w:pPr>
          </w:p>
        </w:tc>
        <w:tc>
          <w:tcPr>
            <w:tcW w:w="1440" w:type="dxa"/>
          </w:tcPr>
          <w:p w14:paraId="3159AEA6" w14:textId="77777777" w:rsidR="00B301B0" w:rsidRPr="00B301B0" w:rsidRDefault="00B301B0" w:rsidP="00B301B0">
            <w:pPr>
              <w:widowControl/>
              <w:overflowPunct/>
              <w:autoSpaceDE/>
              <w:autoSpaceDN/>
              <w:adjustRightInd/>
              <w:jc w:val="center"/>
              <w:rPr>
                <w:kern w:val="0"/>
              </w:rPr>
            </w:pPr>
          </w:p>
        </w:tc>
        <w:tc>
          <w:tcPr>
            <w:tcW w:w="1440" w:type="dxa"/>
          </w:tcPr>
          <w:p w14:paraId="588DE607" w14:textId="77777777" w:rsidR="00B301B0" w:rsidRPr="00B301B0" w:rsidRDefault="00B301B0" w:rsidP="00B301B0">
            <w:pPr>
              <w:widowControl/>
              <w:overflowPunct/>
              <w:autoSpaceDE/>
              <w:autoSpaceDN/>
              <w:adjustRightInd/>
              <w:jc w:val="center"/>
              <w:rPr>
                <w:kern w:val="0"/>
              </w:rPr>
            </w:pPr>
          </w:p>
        </w:tc>
        <w:tc>
          <w:tcPr>
            <w:tcW w:w="1440" w:type="dxa"/>
          </w:tcPr>
          <w:p w14:paraId="56BE7E92" w14:textId="77777777" w:rsidR="00B301B0" w:rsidRPr="00B301B0" w:rsidRDefault="00B301B0" w:rsidP="00B301B0">
            <w:pPr>
              <w:widowControl/>
              <w:overflowPunct/>
              <w:autoSpaceDE/>
              <w:autoSpaceDN/>
              <w:adjustRightInd/>
              <w:jc w:val="center"/>
              <w:rPr>
                <w:kern w:val="0"/>
              </w:rPr>
            </w:pPr>
          </w:p>
        </w:tc>
      </w:tr>
      <w:tr w:rsidR="00B301B0" w:rsidRPr="00B301B0" w14:paraId="00CDD511" w14:textId="77777777" w:rsidTr="00DB7B9A">
        <w:tc>
          <w:tcPr>
            <w:tcW w:w="2592" w:type="dxa"/>
            <w:vAlign w:val="center"/>
          </w:tcPr>
          <w:p w14:paraId="61D088F3"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Industry pressures</w:t>
            </w:r>
          </w:p>
        </w:tc>
        <w:tc>
          <w:tcPr>
            <w:tcW w:w="1440" w:type="dxa"/>
          </w:tcPr>
          <w:p w14:paraId="1822AD18" w14:textId="77777777" w:rsidR="00B301B0" w:rsidRPr="00B301B0" w:rsidRDefault="00B301B0" w:rsidP="00B301B0">
            <w:pPr>
              <w:widowControl/>
              <w:overflowPunct/>
              <w:autoSpaceDE/>
              <w:autoSpaceDN/>
              <w:adjustRightInd/>
              <w:jc w:val="center"/>
              <w:rPr>
                <w:kern w:val="0"/>
              </w:rPr>
            </w:pPr>
            <w:r w:rsidRPr="00B301B0">
              <w:rPr>
                <w:kern w:val="0"/>
              </w:rPr>
              <w:t>-0.053</w:t>
            </w:r>
          </w:p>
        </w:tc>
        <w:tc>
          <w:tcPr>
            <w:tcW w:w="1440" w:type="dxa"/>
          </w:tcPr>
          <w:p w14:paraId="05572AE5" w14:textId="77777777" w:rsidR="00B301B0" w:rsidRPr="00B301B0" w:rsidRDefault="00B301B0" w:rsidP="00B301B0">
            <w:pPr>
              <w:widowControl/>
              <w:overflowPunct/>
              <w:autoSpaceDE/>
              <w:autoSpaceDN/>
              <w:adjustRightInd/>
              <w:jc w:val="center"/>
              <w:rPr>
                <w:kern w:val="0"/>
              </w:rPr>
            </w:pPr>
            <w:r w:rsidRPr="00B301B0">
              <w:rPr>
                <w:kern w:val="0"/>
              </w:rPr>
              <w:t>0.068</w:t>
            </w:r>
          </w:p>
        </w:tc>
        <w:tc>
          <w:tcPr>
            <w:tcW w:w="1440" w:type="dxa"/>
          </w:tcPr>
          <w:p w14:paraId="7C153701" w14:textId="77777777" w:rsidR="00B301B0" w:rsidRPr="00B301B0" w:rsidRDefault="00B301B0" w:rsidP="00B301B0">
            <w:pPr>
              <w:widowControl/>
              <w:overflowPunct/>
              <w:autoSpaceDE/>
              <w:autoSpaceDN/>
              <w:adjustRightInd/>
              <w:jc w:val="center"/>
              <w:rPr>
                <w:kern w:val="0"/>
              </w:rPr>
            </w:pPr>
            <w:r w:rsidRPr="00B301B0">
              <w:rPr>
                <w:kern w:val="0"/>
              </w:rPr>
              <w:t>-0.110</w:t>
            </w:r>
          </w:p>
        </w:tc>
        <w:tc>
          <w:tcPr>
            <w:tcW w:w="1440" w:type="dxa"/>
          </w:tcPr>
          <w:p w14:paraId="54EC1AD2" w14:textId="77777777" w:rsidR="00B301B0" w:rsidRPr="00B301B0" w:rsidRDefault="00B301B0" w:rsidP="00B301B0">
            <w:pPr>
              <w:widowControl/>
              <w:overflowPunct/>
              <w:autoSpaceDE/>
              <w:autoSpaceDN/>
              <w:adjustRightInd/>
              <w:jc w:val="center"/>
              <w:rPr>
                <w:kern w:val="0"/>
              </w:rPr>
            </w:pPr>
            <w:r w:rsidRPr="00B301B0">
              <w:rPr>
                <w:kern w:val="0"/>
              </w:rPr>
              <w:t>0.004</w:t>
            </w:r>
          </w:p>
        </w:tc>
      </w:tr>
      <w:tr w:rsidR="00B301B0" w:rsidRPr="00B301B0" w14:paraId="47F131CE" w14:textId="77777777" w:rsidTr="00DB7B9A">
        <w:tc>
          <w:tcPr>
            <w:tcW w:w="2592" w:type="dxa"/>
            <w:vAlign w:val="center"/>
          </w:tcPr>
          <w:p w14:paraId="73739A6E"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Greenfield entry</w:t>
            </w:r>
          </w:p>
        </w:tc>
        <w:tc>
          <w:tcPr>
            <w:tcW w:w="1440" w:type="dxa"/>
          </w:tcPr>
          <w:p w14:paraId="34F86313" w14:textId="77777777" w:rsidR="00B301B0" w:rsidRPr="00B301B0" w:rsidRDefault="00B301B0" w:rsidP="00B301B0">
            <w:pPr>
              <w:widowControl/>
              <w:overflowPunct/>
              <w:autoSpaceDE/>
              <w:autoSpaceDN/>
              <w:adjustRightInd/>
              <w:jc w:val="center"/>
              <w:rPr>
                <w:kern w:val="0"/>
              </w:rPr>
            </w:pPr>
            <w:r w:rsidRPr="00B301B0">
              <w:rPr>
                <w:kern w:val="0"/>
              </w:rPr>
              <w:t>-0.052</w:t>
            </w:r>
          </w:p>
        </w:tc>
        <w:tc>
          <w:tcPr>
            <w:tcW w:w="1440" w:type="dxa"/>
          </w:tcPr>
          <w:p w14:paraId="37FDB1AF" w14:textId="77777777" w:rsidR="00B301B0" w:rsidRPr="00B301B0" w:rsidRDefault="00B301B0" w:rsidP="00B301B0">
            <w:pPr>
              <w:widowControl/>
              <w:overflowPunct/>
              <w:autoSpaceDE/>
              <w:autoSpaceDN/>
              <w:adjustRightInd/>
              <w:jc w:val="center"/>
              <w:rPr>
                <w:kern w:val="0"/>
              </w:rPr>
            </w:pPr>
            <w:r w:rsidRPr="00B301B0">
              <w:rPr>
                <w:kern w:val="0"/>
              </w:rPr>
              <w:t>0.073</w:t>
            </w:r>
          </w:p>
        </w:tc>
        <w:tc>
          <w:tcPr>
            <w:tcW w:w="1440" w:type="dxa"/>
          </w:tcPr>
          <w:p w14:paraId="1A9661FD" w14:textId="77777777" w:rsidR="00B301B0" w:rsidRPr="00B301B0" w:rsidRDefault="00B301B0" w:rsidP="00B301B0">
            <w:pPr>
              <w:widowControl/>
              <w:overflowPunct/>
              <w:autoSpaceDE/>
              <w:autoSpaceDN/>
              <w:adjustRightInd/>
              <w:jc w:val="center"/>
              <w:rPr>
                <w:kern w:val="0"/>
              </w:rPr>
            </w:pPr>
            <w:r w:rsidRPr="00B301B0">
              <w:rPr>
                <w:kern w:val="0"/>
              </w:rPr>
              <w:t>-0.109</w:t>
            </w:r>
          </w:p>
        </w:tc>
        <w:tc>
          <w:tcPr>
            <w:tcW w:w="1440" w:type="dxa"/>
          </w:tcPr>
          <w:p w14:paraId="1639F177" w14:textId="77777777" w:rsidR="00B301B0" w:rsidRPr="00B301B0" w:rsidRDefault="00B301B0" w:rsidP="00B301B0">
            <w:pPr>
              <w:widowControl/>
              <w:overflowPunct/>
              <w:autoSpaceDE/>
              <w:autoSpaceDN/>
              <w:adjustRightInd/>
              <w:jc w:val="center"/>
              <w:rPr>
                <w:kern w:val="0"/>
              </w:rPr>
            </w:pPr>
            <w:r w:rsidRPr="00B301B0">
              <w:rPr>
                <w:kern w:val="0"/>
              </w:rPr>
              <w:t>0.005</w:t>
            </w:r>
          </w:p>
        </w:tc>
      </w:tr>
      <w:tr w:rsidR="00B301B0" w:rsidRPr="00B301B0" w14:paraId="626FB0D7" w14:textId="77777777" w:rsidTr="00DB7B9A">
        <w:tc>
          <w:tcPr>
            <w:tcW w:w="2592" w:type="dxa"/>
            <w:vAlign w:val="center"/>
          </w:tcPr>
          <w:p w14:paraId="0B1081EF"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Subsidiary age</w:t>
            </w:r>
          </w:p>
        </w:tc>
        <w:tc>
          <w:tcPr>
            <w:tcW w:w="1440" w:type="dxa"/>
          </w:tcPr>
          <w:p w14:paraId="135555FD" w14:textId="77777777" w:rsidR="00B301B0" w:rsidRPr="00B301B0" w:rsidRDefault="00B301B0" w:rsidP="00B301B0">
            <w:pPr>
              <w:widowControl/>
              <w:overflowPunct/>
              <w:autoSpaceDE/>
              <w:autoSpaceDN/>
              <w:adjustRightInd/>
              <w:jc w:val="center"/>
              <w:rPr>
                <w:kern w:val="0"/>
              </w:rPr>
            </w:pPr>
            <w:r w:rsidRPr="00B301B0">
              <w:rPr>
                <w:kern w:val="0"/>
              </w:rPr>
              <w:t>0.017</w:t>
            </w:r>
          </w:p>
        </w:tc>
        <w:tc>
          <w:tcPr>
            <w:tcW w:w="1440" w:type="dxa"/>
          </w:tcPr>
          <w:p w14:paraId="4BD08C2C" w14:textId="77777777" w:rsidR="00B301B0" w:rsidRPr="00B301B0" w:rsidRDefault="00B301B0" w:rsidP="00B301B0">
            <w:pPr>
              <w:widowControl/>
              <w:overflowPunct/>
              <w:autoSpaceDE/>
              <w:autoSpaceDN/>
              <w:adjustRightInd/>
              <w:jc w:val="center"/>
              <w:rPr>
                <w:kern w:val="0"/>
              </w:rPr>
            </w:pPr>
            <w:r w:rsidRPr="00B301B0">
              <w:rPr>
                <w:kern w:val="0"/>
              </w:rPr>
              <w:t>0.562</w:t>
            </w:r>
          </w:p>
        </w:tc>
        <w:tc>
          <w:tcPr>
            <w:tcW w:w="1440" w:type="dxa"/>
          </w:tcPr>
          <w:p w14:paraId="1A9E55D8" w14:textId="77777777" w:rsidR="00B301B0" w:rsidRPr="00B301B0" w:rsidRDefault="00B301B0" w:rsidP="00B301B0">
            <w:pPr>
              <w:widowControl/>
              <w:overflowPunct/>
              <w:autoSpaceDE/>
              <w:autoSpaceDN/>
              <w:adjustRightInd/>
              <w:jc w:val="center"/>
              <w:rPr>
                <w:kern w:val="0"/>
              </w:rPr>
            </w:pPr>
            <w:r w:rsidRPr="00B301B0">
              <w:rPr>
                <w:kern w:val="0"/>
              </w:rPr>
              <w:t>-0.040</w:t>
            </w:r>
          </w:p>
        </w:tc>
        <w:tc>
          <w:tcPr>
            <w:tcW w:w="1440" w:type="dxa"/>
          </w:tcPr>
          <w:p w14:paraId="474FFB7C" w14:textId="77777777" w:rsidR="00B301B0" w:rsidRPr="00B301B0" w:rsidRDefault="00B301B0" w:rsidP="00B301B0">
            <w:pPr>
              <w:widowControl/>
              <w:overflowPunct/>
              <w:autoSpaceDE/>
              <w:autoSpaceDN/>
              <w:adjustRightInd/>
              <w:jc w:val="center"/>
              <w:rPr>
                <w:kern w:val="0"/>
              </w:rPr>
            </w:pPr>
            <w:r w:rsidRPr="00B301B0">
              <w:rPr>
                <w:kern w:val="0"/>
              </w:rPr>
              <w:t>0.074</w:t>
            </w:r>
          </w:p>
        </w:tc>
      </w:tr>
      <w:tr w:rsidR="00B301B0" w:rsidRPr="00B301B0" w14:paraId="0E112AA4" w14:textId="77777777" w:rsidTr="00DB7B9A">
        <w:tc>
          <w:tcPr>
            <w:tcW w:w="2592" w:type="dxa"/>
            <w:vAlign w:val="center"/>
          </w:tcPr>
          <w:p w14:paraId="71E01E6A"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Subsidiary size</w:t>
            </w:r>
          </w:p>
        </w:tc>
        <w:tc>
          <w:tcPr>
            <w:tcW w:w="1440" w:type="dxa"/>
          </w:tcPr>
          <w:p w14:paraId="3DFBC171" w14:textId="77777777" w:rsidR="00B301B0" w:rsidRPr="00B301B0" w:rsidRDefault="00B301B0" w:rsidP="00B301B0">
            <w:pPr>
              <w:widowControl/>
              <w:overflowPunct/>
              <w:autoSpaceDE/>
              <w:autoSpaceDN/>
              <w:adjustRightInd/>
              <w:jc w:val="center"/>
              <w:rPr>
                <w:kern w:val="0"/>
              </w:rPr>
            </w:pPr>
            <w:r w:rsidRPr="00B301B0">
              <w:rPr>
                <w:kern w:val="0"/>
              </w:rPr>
              <w:t>-0.007</w:t>
            </w:r>
          </w:p>
        </w:tc>
        <w:tc>
          <w:tcPr>
            <w:tcW w:w="1440" w:type="dxa"/>
          </w:tcPr>
          <w:p w14:paraId="7E38EC7B" w14:textId="77777777" w:rsidR="00B301B0" w:rsidRPr="00B301B0" w:rsidRDefault="00B301B0" w:rsidP="00B301B0">
            <w:pPr>
              <w:widowControl/>
              <w:overflowPunct/>
              <w:autoSpaceDE/>
              <w:autoSpaceDN/>
              <w:adjustRightInd/>
              <w:jc w:val="center"/>
              <w:rPr>
                <w:kern w:val="0"/>
              </w:rPr>
            </w:pPr>
            <w:r w:rsidRPr="00B301B0">
              <w:rPr>
                <w:kern w:val="0"/>
              </w:rPr>
              <w:t>0.815</w:t>
            </w:r>
          </w:p>
        </w:tc>
        <w:tc>
          <w:tcPr>
            <w:tcW w:w="1440" w:type="dxa"/>
          </w:tcPr>
          <w:p w14:paraId="68D5221E" w14:textId="77777777" w:rsidR="00B301B0" w:rsidRPr="00B301B0" w:rsidRDefault="00B301B0" w:rsidP="00B301B0">
            <w:pPr>
              <w:widowControl/>
              <w:overflowPunct/>
              <w:autoSpaceDE/>
              <w:autoSpaceDN/>
              <w:adjustRightInd/>
              <w:jc w:val="center"/>
              <w:rPr>
                <w:kern w:val="0"/>
              </w:rPr>
            </w:pPr>
            <w:r w:rsidRPr="00B301B0">
              <w:rPr>
                <w:kern w:val="0"/>
              </w:rPr>
              <w:t>-0.065</w:t>
            </w:r>
          </w:p>
        </w:tc>
        <w:tc>
          <w:tcPr>
            <w:tcW w:w="1440" w:type="dxa"/>
          </w:tcPr>
          <w:p w14:paraId="538AC76B" w14:textId="77777777" w:rsidR="00B301B0" w:rsidRPr="00B301B0" w:rsidRDefault="00B301B0" w:rsidP="00B301B0">
            <w:pPr>
              <w:widowControl/>
              <w:overflowPunct/>
              <w:autoSpaceDE/>
              <w:autoSpaceDN/>
              <w:adjustRightInd/>
              <w:jc w:val="center"/>
              <w:rPr>
                <w:kern w:val="0"/>
              </w:rPr>
            </w:pPr>
            <w:r w:rsidRPr="00B301B0">
              <w:rPr>
                <w:kern w:val="0"/>
              </w:rPr>
              <w:t>0.051</w:t>
            </w:r>
          </w:p>
        </w:tc>
      </w:tr>
      <w:tr w:rsidR="00B301B0" w:rsidRPr="00B301B0" w14:paraId="11DF98B0" w14:textId="77777777" w:rsidTr="00DB7B9A">
        <w:tc>
          <w:tcPr>
            <w:tcW w:w="2592" w:type="dxa"/>
            <w:vAlign w:val="center"/>
          </w:tcPr>
          <w:p w14:paraId="439D9617"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MNE size</w:t>
            </w:r>
          </w:p>
        </w:tc>
        <w:tc>
          <w:tcPr>
            <w:tcW w:w="1440" w:type="dxa"/>
          </w:tcPr>
          <w:p w14:paraId="0F93D942" w14:textId="77777777" w:rsidR="00B301B0" w:rsidRPr="00B301B0" w:rsidRDefault="00B301B0" w:rsidP="00B301B0">
            <w:pPr>
              <w:widowControl/>
              <w:overflowPunct/>
              <w:autoSpaceDE/>
              <w:autoSpaceDN/>
              <w:adjustRightInd/>
              <w:jc w:val="center"/>
              <w:rPr>
                <w:kern w:val="0"/>
              </w:rPr>
            </w:pPr>
            <w:r w:rsidRPr="00B301B0">
              <w:rPr>
                <w:kern w:val="0"/>
              </w:rPr>
              <w:t>-0.051</w:t>
            </w:r>
          </w:p>
        </w:tc>
        <w:tc>
          <w:tcPr>
            <w:tcW w:w="1440" w:type="dxa"/>
          </w:tcPr>
          <w:p w14:paraId="360277D8" w14:textId="77777777" w:rsidR="00B301B0" w:rsidRPr="00B301B0" w:rsidRDefault="00B301B0" w:rsidP="00B301B0">
            <w:pPr>
              <w:widowControl/>
              <w:overflowPunct/>
              <w:autoSpaceDE/>
              <w:autoSpaceDN/>
              <w:adjustRightInd/>
              <w:jc w:val="center"/>
              <w:rPr>
                <w:kern w:val="0"/>
              </w:rPr>
            </w:pPr>
            <w:r w:rsidRPr="00B301B0">
              <w:rPr>
                <w:kern w:val="0"/>
              </w:rPr>
              <w:t>0.084</w:t>
            </w:r>
          </w:p>
        </w:tc>
        <w:tc>
          <w:tcPr>
            <w:tcW w:w="1440" w:type="dxa"/>
          </w:tcPr>
          <w:p w14:paraId="17BC5C28" w14:textId="77777777" w:rsidR="00B301B0" w:rsidRPr="00B301B0" w:rsidRDefault="00B301B0" w:rsidP="00B301B0">
            <w:pPr>
              <w:widowControl/>
              <w:overflowPunct/>
              <w:autoSpaceDE/>
              <w:autoSpaceDN/>
              <w:adjustRightInd/>
              <w:jc w:val="center"/>
              <w:rPr>
                <w:kern w:val="0"/>
              </w:rPr>
            </w:pPr>
            <w:r w:rsidRPr="00B301B0">
              <w:rPr>
                <w:kern w:val="0"/>
              </w:rPr>
              <w:t>-0.108</w:t>
            </w:r>
          </w:p>
        </w:tc>
        <w:tc>
          <w:tcPr>
            <w:tcW w:w="1440" w:type="dxa"/>
          </w:tcPr>
          <w:p w14:paraId="30283756" w14:textId="77777777" w:rsidR="00B301B0" w:rsidRPr="00B301B0" w:rsidRDefault="00B301B0" w:rsidP="00B301B0">
            <w:pPr>
              <w:widowControl/>
              <w:overflowPunct/>
              <w:autoSpaceDE/>
              <w:autoSpaceDN/>
              <w:adjustRightInd/>
              <w:jc w:val="center"/>
              <w:rPr>
                <w:kern w:val="0"/>
              </w:rPr>
            </w:pPr>
            <w:r w:rsidRPr="00B301B0">
              <w:rPr>
                <w:kern w:val="0"/>
              </w:rPr>
              <w:t>0.007</w:t>
            </w:r>
          </w:p>
        </w:tc>
      </w:tr>
      <w:tr w:rsidR="00B301B0" w:rsidRPr="00B301B0" w14:paraId="1C2F9195" w14:textId="77777777" w:rsidTr="00DB7B9A">
        <w:tc>
          <w:tcPr>
            <w:tcW w:w="2592" w:type="dxa"/>
            <w:tcBorders>
              <w:bottom w:val="single" w:sz="4" w:space="0" w:color="auto"/>
            </w:tcBorders>
            <w:vAlign w:val="center"/>
          </w:tcPr>
          <w:p w14:paraId="49F1657D" w14:textId="77777777" w:rsidR="00B301B0" w:rsidRPr="00B301B0" w:rsidRDefault="00B301B0" w:rsidP="00B301B0">
            <w:pPr>
              <w:widowControl/>
              <w:overflowPunct/>
              <w:autoSpaceDE/>
              <w:autoSpaceDN/>
              <w:adjustRightInd/>
              <w:ind w:left="337"/>
              <w:rPr>
                <w:color w:val="000000"/>
                <w:kern w:val="0"/>
              </w:rPr>
            </w:pPr>
            <w:r w:rsidRPr="00B301B0">
              <w:rPr>
                <w:color w:val="000000"/>
                <w:kern w:val="0"/>
              </w:rPr>
              <w:t>MNE experience</w:t>
            </w:r>
          </w:p>
        </w:tc>
        <w:tc>
          <w:tcPr>
            <w:tcW w:w="1440" w:type="dxa"/>
            <w:tcBorders>
              <w:bottom w:val="single" w:sz="4" w:space="0" w:color="auto"/>
            </w:tcBorders>
          </w:tcPr>
          <w:p w14:paraId="4CCF462C" w14:textId="77777777" w:rsidR="00B301B0" w:rsidRPr="00B301B0" w:rsidRDefault="00B301B0" w:rsidP="00B301B0">
            <w:pPr>
              <w:widowControl/>
              <w:overflowPunct/>
              <w:autoSpaceDE/>
              <w:autoSpaceDN/>
              <w:adjustRightInd/>
              <w:jc w:val="center"/>
              <w:rPr>
                <w:kern w:val="0"/>
              </w:rPr>
            </w:pPr>
            <w:r w:rsidRPr="00B301B0">
              <w:rPr>
                <w:kern w:val="0"/>
              </w:rPr>
              <w:t>0.028</w:t>
            </w:r>
          </w:p>
        </w:tc>
        <w:tc>
          <w:tcPr>
            <w:tcW w:w="1440" w:type="dxa"/>
            <w:tcBorders>
              <w:bottom w:val="single" w:sz="4" w:space="0" w:color="auto"/>
            </w:tcBorders>
          </w:tcPr>
          <w:p w14:paraId="46C3F70D" w14:textId="77777777" w:rsidR="00B301B0" w:rsidRPr="00B301B0" w:rsidRDefault="00B301B0" w:rsidP="00B301B0">
            <w:pPr>
              <w:widowControl/>
              <w:overflowPunct/>
              <w:autoSpaceDE/>
              <w:autoSpaceDN/>
              <w:adjustRightInd/>
              <w:jc w:val="center"/>
              <w:rPr>
                <w:kern w:val="0"/>
              </w:rPr>
            </w:pPr>
            <w:r w:rsidRPr="00B301B0">
              <w:rPr>
                <w:kern w:val="0"/>
              </w:rPr>
              <w:t>0.345</w:t>
            </w:r>
          </w:p>
        </w:tc>
        <w:tc>
          <w:tcPr>
            <w:tcW w:w="1440" w:type="dxa"/>
            <w:tcBorders>
              <w:bottom w:val="single" w:sz="4" w:space="0" w:color="auto"/>
            </w:tcBorders>
          </w:tcPr>
          <w:p w14:paraId="66E98B3B" w14:textId="77777777" w:rsidR="00B301B0" w:rsidRPr="00B301B0" w:rsidRDefault="00B301B0" w:rsidP="00B301B0">
            <w:pPr>
              <w:widowControl/>
              <w:overflowPunct/>
              <w:autoSpaceDE/>
              <w:autoSpaceDN/>
              <w:adjustRightInd/>
              <w:jc w:val="center"/>
              <w:rPr>
                <w:kern w:val="0"/>
              </w:rPr>
            </w:pPr>
            <w:r w:rsidRPr="00B301B0">
              <w:rPr>
                <w:kern w:val="0"/>
              </w:rPr>
              <w:t>-0.030</w:t>
            </w:r>
          </w:p>
        </w:tc>
        <w:tc>
          <w:tcPr>
            <w:tcW w:w="1440" w:type="dxa"/>
            <w:tcBorders>
              <w:bottom w:val="single" w:sz="4" w:space="0" w:color="auto"/>
            </w:tcBorders>
          </w:tcPr>
          <w:p w14:paraId="288F4AA6" w14:textId="77777777" w:rsidR="00B301B0" w:rsidRPr="00B301B0" w:rsidRDefault="00B301B0" w:rsidP="00B301B0">
            <w:pPr>
              <w:widowControl/>
              <w:overflowPunct/>
              <w:autoSpaceDE/>
              <w:autoSpaceDN/>
              <w:adjustRightInd/>
              <w:jc w:val="center"/>
              <w:rPr>
                <w:kern w:val="0"/>
              </w:rPr>
            </w:pPr>
            <w:r w:rsidRPr="00B301B0">
              <w:rPr>
                <w:kern w:val="0"/>
              </w:rPr>
              <w:t>0.087</w:t>
            </w:r>
          </w:p>
        </w:tc>
      </w:tr>
      <w:tr w:rsidR="00B301B0" w:rsidRPr="00B301B0" w14:paraId="6C228214" w14:textId="77777777" w:rsidTr="00DB7B9A">
        <w:tc>
          <w:tcPr>
            <w:tcW w:w="2592" w:type="dxa"/>
            <w:tcBorders>
              <w:top w:val="single" w:sz="4" w:space="0" w:color="auto"/>
            </w:tcBorders>
            <w:vAlign w:val="center"/>
          </w:tcPr>
          <w:p w14:paraId="67F0BB59" w14:textId="77777777" w:rsidR="00B301B0" w:rsidRPr="00B301B0" w:rsidRDefault="00B301B0" w:rsidP="00B301B0">
            <w:pPr>
              <w:widowControl/>
              <w:overflowPunct/>
              <w:autoSpaceDE/>
              <w:autoSpaceDN/>
              <w:adjustRightInd/>
              <w:rPr>
                <w:color w:val="000000"/>
                <w:kern w:val="0"/>
              </w:rPr>
            </w:pPr>
            <w:r w:rsidRPr="00B301B0">
              <w:rPr>
                <w:color w:val="000000"/>
                <w:kern w:val="0"/>
              </w:rPr>
              <w:t>Log likelihood</w:t>
            </w:r>
          </w:p>
        </w:tc>
        <w:tc>
          <w:tcPr>
            <w:tcW w:w="1440" w:type="dxa"/>
            <w:tcBorders>
              <w:top w:val="single" w:sz="4" w:space="0" w:color="auto"/>
            </w:tcBorders>
            <w:vAlign w:val="center"/>
          </w:tcPr>
          <w:p w14:paraId="1950245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-22062.16</w:t>
            </w:r>
          </w:p>
        </w:tc>
        <w:tc>
          <w:tcPr>
            <w:tcW w:w="1440" w:type="dxa"/>
            <w:tcBorders>
              <w:top w:val="single" w:sz="4" w:space="0" w:color="auto"/>
            </w:tcBorders>
            <w:vAlign w:val="center"/>
          </w:tcPr>
          <w:p w14:paraId="328F03BC" w14:textId="77777777" w:rsidR="00B301B0" w:rsidRPr="00B301B0" w:rsidRDefault="00B301B0" w:rsidP="00B301B0">
            <w:pPr>
              <w:widowControl/>
              <w:overflowPunct/>
              <w:autoSpaceDE/>
              <w:autoSpaceDN/>
              <w:adjustRightInd/>
              <w:jc w:val="center"/>
              <w:rPr>
                <w:color w:val="000000"/>
                <w:kern w:val="0"/>
              </w:rPr>
            </w:pPr>
          </w:p>
        </w:tc>
        <w:tc>
          <w:tcPr>
            <w:tcW w:w="1440" w:type="dxa"/>
            <w:tcBorders>
              <w:top w:val="single" w:sz="4" w:space="0" w:color="auto"/>
            </w:tcBorders>
          </w:tcPr>
          <w:p w14:paraId="338F0CE1" w14:textId="77777777" w:rsidR="00B301B0" w:rsidRPr="00B301B0" w:rsidRDefault="00B301B0" w:rsidP="00B301B0">
            <w:pPr>
              <w:widowControl/>
              <w:overflowPunct/>
              <w:autoSpaceDE/>
              <w:autoSpaceDN/>
              <w:adjustRightInd/>
              <w:jc w:val="center"/>
              <w:rPr>
                <w:color w:val="000000"/>
                <w:kern w:val="0"/>
              </w:rPr>
            </w:pPr>
          </w:p>
        </w:tc>
        <w:tc>
          <w:tcPr>
            <w:tcW w:w="1440" w:type="dxa"/>
            <w:tcBorders>
              <w:top w:val="single" w:sz="4" w:space="0" w:color="auto"/>
            </w:tcBorders>
          </w:tcPr>
          <w:p w14:paraId="11EDD574" w14:textId="77777777" w:rsidR="00B301B0" w:rsidRPr="00B301B0" w:rsidRDefault="00B301B0" w:rsidP="00B301B0">
            <w:pPr>
              <w:widowControl/>
              <w:overflowPunct/>
              <w:autoSpaceDE/>
              <w:autoSpaceDN/>
              <w:adjustRightInd/>
              <w:jc w:val="center"/>
              <w:rPr>
                <w:color w:val="000000"/>
                <w:kern w:val="0"/>
              </w:rPr>
            </w:pPr>
          </w:p>
        </w:tc>
      </w:tr>
      <w:tr w:rsidR="00B301B0" w:rsidRPr="00B301B0" w14:paraId="181FA91D" w14:textId="77777777" w:rsidTr="00DB7B9A">
        <w:tc>
          <w:tcPr>
            <w:tcW w:w="2592" w:type="dxa"/>
            <w:tcBorders>
              <w:bottom w:val="single" w:sz="4" w:space="0" w:color="auto"/>
            </w:tcBorders>
            <w:vAlign w:val="center"/>
          </w:tcPr>
          <w:p w14:paraId="02E5294A" w14:textId="77777777" w:rsidR="00B301B0" w:rsidRPr="00B301B0" w:rsidRDefault="00B301B0" w:rsidP="00B301B0">
            <w:pPr>
              <w:widowControl/>
              <w:overflowPunct/>
              <w:autoSpaceDE/>
              <w:autoSpaceDN/>
              <w:adjustRightInd/>
              <w:rPr>
                <w:color w:val="000000"/>
                <w:kern w:val="0"/>
              </w:rPr>
            </w:pPr>
            <w:r w:rsidRPr="00B301B0">
              <w:rPr>
                <w:color w:val="000000"/>
                <w:kern w:val="0"/>
              </w:rPr>
              <w:t>Observations</w:t>
            </w:r>
          </w:p>
        </w:tc>
        <w:tc>
          <w:tcPr>
            <w:tcW w:w="1440" w:type="dxa"/>
            <w:tcBorders>
              <w:bottom w:val="single" w:sz="4" w:space="0" w:color="auto"/>
            </w:tcBorders>
            <w:vAlign w:val="center"/>
          </w:tcPr>
          <w:p w14:paraId="2C6D9E4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1218</w:t>
            </w:r>
          </w:p>
        </w:tc>
        <w:tc>
          <w:tcPr>
            <w:tcW w:w="1440" w:type="dxa"/>
            <w:tcBorders>
              <w:bottom w:val="single" w:sz="4" w:space="0" w:color="auto"/>
            </w:tcBorders>
            <w:vAlign w:val="center"/>
          </w:tcPr>
          <w:p w14:paraId="045DCB96" w14:textId="77777777" w:rsidR="00B301B0" w:rsidRPr="00B301B0" w:rsidRDefault="00B301B0" w:rsidP="00B301B0">
            <w:pPr>
              <w:widowControl/>
              <w:overflowPunct/>
              <w:autoSpaceDE/>
              <w:autoSpaceDN/>
              <w:adjustRightInd/>
              <w:jc w:val="center"/>
              <w:rPr>
                <w:color w:val="000000"/>
                <w:kern w:val="0"/>
              </w:rPr>
            </w:pPr>
          </w:p>
        </w:tc>
        <w:tc>
          <w:tcPr>
            <w:tcW w:w="1440" w:type="dxa"/>
            <w:tcBorders>
              <w:bottom w:val="single" w:sz="4" w:space="0" w:color="auto"/>
            </w:tcBorders>
          </w:tcPr>
          <w:p w14:paraId="1D57F00B" w14:textId="77777777" w:rsidR="00B301B0" w:rsidRPr="00B301B0" w:rsidRDefault="00B301B0" w:rsidP="00B301B0">
            <w:pPr>
              <w:widowControl/>
              <w:overflowPunct/>
              <w:autoSpaceDE/>
              <w:autoSpaceDN/>
              <w:adjustRightInd/>
              <w:jc w:val="center"/>
              <w:rPr>
                <w:color w:val="000000"/>
                <w:kern w:val="0"/>
              </w:rPr>
            </w:pPr>
          </w:p>
        </w:tc>
        <w:tc>
          <w:tcPr>
            <w:tcW w:w="1440" w:type="dxa"/>
            <w:tcBorders>
              <w:bottom w:val="single" w:sz="4" w:space="0" w:color="auto"/>
            </w:tcBorders>
          </w:tcPr>
          <w:p w14:paraId="51A09276" w14:textId="77777777" w:rsidR="00B301B0" w:rsidRPr="00B301B0" w:rsidRDefault="00B301B0" w:rsidP="00B301B0">
            <w:pPr>
              <w:widowControl/>
              <w:overflowPunct/>
              <w:autoSpaceDE/>
              <w:autoSpaceDN/>
              <w:adjustRightInd/>
              <w:jc w:val="center"/>
              <w:rPr>
                <w:color w:val="000000"/>
                <w:kern w:val="0"/>
              </w:rPr>
            </w:pPr>
          </w:p>
        </w:tc>
      </w:tr>
    </w:tbl>
    <w:p w14:paraId="11A774C3" w14:textId="77777777" w:rsidR="00B301B0" w:rsidRPr="00B301B0" w:rsidRDefault="00B301B0" w:rsidP="00B301B0">
      <w:pPr>
        <w:widowControl/>
        <w:overflowPunct/>
        <w:autoSpaceDE/>
        <w:autoSpaceDN/>
        <w:adjustRightInd/>
        <w:ind w:left="720" w:right="3870"/>
        <w:rPr>
          <w:kern w:val="0"/>
        </w:rPr>
      </w:pPr>
      <w:r w:rsidRPr="00B301B0">
        <w:rPr>
          <w:kern w:val="0"/>
        </w:rPr>
        <w:t>Notes: Chi-square = 46.74 (0.00) p-value in paratheses; RMSEA = 0.00; CFI = 0.99; TLI = 0.99; Observations based on harmonic mean.</w:t>
      </w:r>
    </w:p>
    <w:p w14:paraId="60370B4B" w14:textId="77777777" w:rsidR="00B301B0" w:rsidRPr="00B301B0" w:rsidRDefault="00B301B0" w:rsidP="00B301B0">
      <w:pPr>
        <w:widowControl/>
        <w:overflowPunct/>
        <w:autoSpaceDE/>
        <w:autoSpaceDN/>
        <w:adjustRightInd/>
        <w:ind w:left="720" w:right="4590"/>
        <w:rPr>
          <w:kern w:val="0"/>
        </w:rPr>
      </w:pPr>
      <w:r w:rsidRPr="00B301B0">
        <w:rPr>
          <w:kern w:val="0"/>
        </w:rPr>
        <w:br w:type="page"/>
      </w:r>
    </w:p>
    <w:p w14:paraId="3AB92DC3" w14:textId="77777777" w:rsidR="00B301B0" w:rsidRPr="00B301B0" w:rsidRDefault="00B301B0" w:rsidP="00B301B0">
      <w:pPr>
        <w:widowControl/>
        <w:overflowPunct/>
        <w:autoSpaceDE/>
        <w:autoSpaceDN/>
        <w:adjustRightInd/>
        <w:ind w:left="720"/>
        <w:rPr>
          <w:kern w:val="0"/>
          <w:sz w:val="24"/>
          <w:szCs w:val="24"/>
        </w:rPr>
        <w:sectPr w:rsidR="00B301B0" w:rsidRPr="00B301B0" w:rsidSect="00DB7B9A">
          <w:pgSz w:w="15840" w:h="12240" w:orient="landscape"/>
          <w:pgMar w:top="1440" w:right="1440" w:bottom="1440" w:left="1440" w:header="720" w:footer="720" w:gutter="0"/>
          <w:cols w:space="720"/>
          <w:docGrid w:linePitch="360"/>
        </w:sectPr>
      </w:pPr>
    </w:p>
    <w:p w14:paraId="6D1D72CB" w14:textId="2E5433E8" w:rsidR="00B301B0" w:rsidRPr="00B301B0" w:rsidRDefault="00B301B0" w:rsidP="00B301B0">
      <w:pPr>
        <w:widowControl/>
        <w:overflowPunct/>
        <w:autoSpaceDE/>
        <w:autoSpaceDN/>
        <w:adjustRightInd/>
        <w:spacing w:line="480" w:lineRule="auto"/>
        <w:ind w:left="720"/>
        <w:jc w:val="center"/>
        <w:rPr>
          <w:bCs/>
          <w:kern w:val="0"/>
          <w:sz w:val="24"/>
          <w:szCs w:val="24"/>
        </w:rPr>
      </w:pPr>
      <w:r w:rsidRPr="00B301B0">
        <w:rPr>
          <w:bCs/>
          <w:kern w:val="0"/>
          <w:sz w:val="24"/>
          <w:szCs w:val="24"/>
        </w:rPr>
        <w:t>II</w:t>
      </w:r>
      <w:r w:rsidR="00DB7B9A">
        <w:rPr>
          <w:bCs/>
          <w:kern w:val="0"/>
          <w:sz w:val="24"/>
          <w:szCs w:val="24"/>
        </w:rPr>
        <w:t>I</w:t>
      </w:r>
      <w:r w:rsidRPr="00B301B0">
        <w:rPr>
          <w:bCs/>
          <w:kern w:val="0"/>
          <w:sz w:val="24"/>
          <w:szCs w:val="24"/>
        </w:rPr>
        <w:t xml:space="preserve">. </w:t>
      </w:r>
      <w:r w:rsidRPr="00B301B0">
        <w:rPr>
          <w:bCs/>
          <w:kern w:val="0"/>
          <w:sz w:val="24"/>
          <w:szCs w:val="24"/>
        </w:rPr>
        <w:tab/>
        <w:t xml:space="preserve">CONFIGURING FOR PRODUCT INNOVATION: </w:t>
      </w:r>
    </w:p>
    <w:p w14:paraId="1DC9D799" w14:textId="77777777" w:rsidR="00B301B0" w:rsidRPr="00B301B0" w:rsidRDefault="00B301B0" w:rsidP="00B301B0">
      <w:pPr>
        <w:widowControl/>
        <w:overflowPunct/>
        <w:autoSpaceDE/>
        <w:autoSpaceDN/>
        <w:adjustRightInd/>
        <w:spacing w:line="480" w:lineRule="auto"/>
        <w:ind w:left="720"/>
        <w:jc w:val="center"/>
        <w:rPr>
          <w:bCs/>
          <w:kern w:val="0"/>
          <w:sz w:val="24"/>
          <w:szCs w:val="24"/>
        </w:rPr>
      </w:pPr>
      <w:r w:rsidRPr="00B301B0">
        <w:rPr>
          <w:bCs/>
          <w:kern w:val="0"/>
          <w:sz w:val="24"/>
          <w:szCs w:val="24"/>
        </w:rPr>
        <w:t xml:space="preserve">A DIFFERENTIATED FIT PERSPECTIVE ON FOREIGN SUBSIDIARY AUTONOMY </w:t>
      </w:r>
    </w:p>
    <w:p w14:paraId="6360DA2D" w14:textId="77777777" w:rsidR="00B301B0" w:rsidRPr="00B301B0" w:rsidRDefault="00B301B0" w:rsidP="00B301B0">
      <w:pPr>
        <w:widowControl/>
        <w:overflowPunct/>
        <w:autoSpaceDE/>
        <w:autoSpaceDN/>
        <w:adjustRightInd/>
        <w:spacing w:line="480" w:lineRule="auto"/>
        <w:ind w:left="720"/>
        <w:rPr>
          <w:bCs/>
          <w:kern w:val="0"/>
          <w:sz w:val="24"/>
          <w:szCs w:val="24"/>
        </w:rPr>
      </w:pPr>
    </w:p>
    <w:p w14:paraId="159EE923" w14:textId="77777777" w:rsidR="00B301B0" w:rsidRPr="00B301B0" w:rsidRDefault="00B301B0" w:rsidP="00B301B0">
      <w:pPr>
        <w:widowControl/>
        <w:overflowPunct/>
        <w:autoSpaceDE/>
        <w:autoSpaceDN/>
        <w:adjustRightInd/>
        <w:spacing w:line="480" w:lineRule="auto"/>
        <w:ind w:left="720"/>
        <w:jc w:val="center"/>
        <w:rPr>
          <w:bCs/>
          <w:kern w:val="0"/>
          <w:sz w:val="24"/>
          <w:szCs w:val="24"/>
        </w:rPr>
      </w:pPr>
      <w:r w:rsidRPr="00B301B0">
        <w:rPr>
          <w:bCs/>
          <w:kern w:val="0"/>
          <w:sz w:val="24"/>
          <w:szCs w:val="24"/>
        </w:rPr>
        <w:t>INTRODUCTION</w:t>
      </w:r>
    </w:p>
    <w:p w14:paraId="0C628FB4"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Because innovation by foreign subsidiaries is a key source of competitive advantages for the multinational enterprise (MNE), understanding how MNEs can manage their foreign subsidiaries to foster innovation is a fundamental undertaking of global strategy research (Rugman &amp; Verbeke, 2001; Almeida &amp; Phene, 2004; Phene &amp; Almeida, 2008; Beugelsdijk &amp; Jindra, 2018). The success of an MNE is often linked to its ability to “assimilate, generate, and integrate knowledge” in its geographically dispersed subsidiaries (Phene &amp; Almeida, 2008: 901). To a large extent, foreign subsidiaries are the drivers of innovation within contemporary MNEs, especially when it comes to the generation of local product innovations that may be subsequently leveraged across the MNE network (Monteiro &amp; Birkinshaw, 2017).</w:t>
      </w:r>
    </w:p>
    <w:p w14:paraId="3C2F916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Prior research highlights decision-making autonomy as a key driver of product innovation by foreign subsidiaries (Venaik, Midgley &amp; Devinney, 2005; Harzing &amp; Noorderhaven, 2006; Beugelsdijk &amp; Jindra, 2018). Autonomy—the extent to which a subsidiary makes </w:t>
      </w:r>
      <w:r w:rsidRPr="00B301B0">
        <w:rPr>
          <w:iCs/>
          <w:kern w:val="0"/>
          <w:sz w:val="24"/>
          <w:szCs w:val="24"/>
        </w:rPr>
        <w:t>strategic</w:t>
      </w:r>
      <w:r w:rsidRPr="00B301B0">
        <w:rPr>
          <w:kern w:val="0"/>
          <w:sz w:val="24"/>
          <w:szCs w:val="24"/>
        </w:rPr>
        <w:t xml:space="preserve"> decisions in its operating environment, without interference by MNE headquarters—gives subsidiary managers the latitude to become locally embedded, develop network ties, and compile valuable inputs for novel product offerings (Kawai &amp; Strange, 2014). With increased autonomy, subsidiary managers can make strategic decisions in areas such as marketing (Hewett, Roth &amp; Roth, 2003; Gammelgaard et al., 2012; Homburg &amp; Prigge, 2014) and research and development (Feinberg &amp; Gupta, 2004). Indeed, Beugelsdijk and Jindra (2018: 529) posit that MNE subsidiaries “are not able to develop product innovations when they lack the required decision-making autonomy”. </w:t>
      </w:r>
    </w:p>
    <w:p w14:paraId="07EA124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In this study, I employ a differentiated fit perspective to argue that the role of subsidiary autonomy in fostering foreign subsidiary product innovation warrants more nuance. The differentiated fit perspective has its origins in contingency theories (Venkatraman, 1989) and hinges on the notion that subsidiaries can be structurally differentiated to achieve an optimal trade-off “between the cost of each structural element and its efficacy in the context of the subsidiary” (Nohria &amp; Ghoshal, 1994: 493). Whether subsidiary autonomy leads to product innovation is therefore shaped by interactions between autonomy and complementary organizational and environmental conditions (Ambos, Asakawa &amp; Ambos, 2011). As such, a differentiated fit prism suggests two key points of departure from existing theory and research. </w:t>
      </w:r>
    </w:p>
    <w:p w14:paraId="39CC234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First, prior literature implicitly assumes that increased autonomy will result in the generation of novel knowledge that often yields subsidiary innovation. Yet, although autonomy may provide the latitude to leverage knowledge locally, it does not necessarily generate the requisite knowledge that underpins product development. Accordingly, drawing from prior work on global innovation and knowledge sourcing, I suggest that subsidiary autonomy more likely results in product innovation when it is complemented by the internal generation of knowledge through research and development (R&amp;D) (Asakawa et al., 2018; Beugelsdijk &amp; Jindra, 2018) or externally by sourcing knowledge from management consultants in the host country (Creplet et al., 2001; Back, Parboteeah &amp; Nam, 2014). </w:t>
      </w:r>
    </w:p>
    <w:p w14:paraId="677253CD"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Second, while decision-making autonomy may enable the pursuit of novel products for many subsidiaries, autonomy is not always needed (Palmíe et al., 2016). As Venaik et al. (2005) note, subsidiary roles and their associated levels of autonomy should be differentiated depending on the context in which the subsidiary operates. Here, I proffer that autonomy will be conducive to product innovation for foreign subsidiaries operating in host environments institutionally distal from the home country because institutional distance tends to create host-country-related knowledge gaps among parent MNE managers and to limit the ability of the subsidiary to leverage parent MNE products in the local context (Tallman &amp; Chacar, 2011). Conversely, in institutionally proximal environments, parent MNE knowledge is more directly deployable in local conditions. In such contexts, parent MNEs can structure their subsidiaries to innovate by adapting existing competencies for the local context, even when decision-making is controlled by the parent MNE (Cantwell &amp; Mudambi, 2005; Asakawa et al., 2018).</w:t>
      </w:r>
    </w:p>
    <w:p w14:paraId="2805C6BA"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Taken together, my leveraging of a differentiated fit perspective suggests autonomy may be </w:t>
      </w:r>
      <w:r w:rsidRPr="00B301B0">
        <w:rPr>
          <w:iCs/>
          <w:kern w:val="0"/>
          <w:sz w:val="24"/>
          <w:szCs w:val="24"/>
        </w:rPr>
        <w:t xml:space="preserve">neither </w:t>
      </w:r>
      <w:r w:rsidRPr="00B301B0">
        <w:rPr>
          <w:kern w:val="0"/>
          <w:sz w:val="24"/>
          <w:szCs w:val="24"/>
        </w:rPr>
        <w:t>necessary nor sufficient for product innovation (Venkatraman, 1989; Nohria &amp; Ghoshal, 1994). Rather, subsidiary product innovation is the result of the way in which MNE managers configure structural arrangements and knowledge-related roles of subsidiaries in different institutional contexts. I utilize fuzzy-set qualitative comparative analysis (fsQCA) (Fiss, 2007; Ragin, 2009) and data on foreign manufacturing subsidiaries operating in Europe and Asia to examine my arguments. I find three combinations of subsidiary autonomy, institutional distance, R&amp;D, and usage of management consultants that are associated with subsidiary innovation. The patterns I identify are largely consistent with my theory but also yield unexpected insights.</w:t>
      </w:r>
    </w:p>
    <w:p w14:paraId="00A58C97"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My study makes two theoretical contributions. First, I address recent calls for a contextualized theory of the outcomes of subsidiary autonomy, particularly subsidiary innovation (Andersson et al., 2016; Cano-Kollmann et al., 2016). I explicate that subsidiary autonomy and knowledge-related roles are complementary in facilitating subsidiary product innovation. I further highlight that knowledge can be generated from two distinct sources that are context dependent, and that subsidiaries can innovate without autonomy in certain institutional contexts. Second, my study contributes to the subsidiary management literature (Meyer, Li &amp; Schotter, 2020) whereby prior studies have “assumed a simple, direct relationship” with respect to the outcomes of autonomy (Kawai &amp; Strange, 2014: 504). I show that the extent to which autonomy is beneficial to important outcomes, such as product innovation, may be contingent upon institutional context and knowledge-related roles of the subsidiary (Geleilate, Andrews &amp; Fainshmidt, 2019). </w:t>
      </w:r>
    </w:p>
    <w:p w14:paraId="6A0F271D" w14:textId="77777777" w:rsidR="00B301B0" w:rsidRPr="00B301B0" w:rsidRDefault="00B301B0" w:rsidP="00B301B0">
      <w:pPr>
        <w:widowControl/>
        <w:overflowPunct/>
        <w:autoSpaceDE/>
        <w:autoSpaceDN/>
        <w:adjustRightInd/>
        <w:spacing w:line="480" w:lineRule="auto"/>
        <w:ind w:left="720"/>
        <w:jc w:val="center"/>
        <w:rPr>
          <w:b/>
          <w:kern w:val="0"/>
          <w:sz w:val="24"/>
          <w:szCs w:val="24"/>
        </w:rPr>
      </w:pPr>
    </w:p>
    <w:p w14:paraId="625C6E75" w14:textId="77777777" w:rsidR="00B301B0" w:rsidRPr="00B301B0" w:rsidRDefault="00B301B0" w:rsidP="00B301B0">
      <w:pPr>
        <w:widowControl/>
        <w:overflowPunct/>
        <w:autoSpaceDE/>
        <w:autoSpaceDN/>
        <w:adjustRightInd/>
        <w:spacing w:line="480" w:lineRule="auto"/>
        <w:ind w:left="720"/>
        <w:jc w:val="center"/>
        <w:rPr>
          <w:bCs/>
          <w:kern w:val="0"/>
          <w:sz w:val="24"/>
          <w:szCs w:val="24"/>
        </w:rPr>
      </w:pPr>
      <w:r w:rsidRPr="00B301B0">
        <w:rPr>
          <w:bCs/>
          <w:kern w:val="0"/>
          <w:sz w:val="24"/>
          <w:szCs w:val="24"/>
        </w:rPr>
        <w:t>THEORETICAL FRAMEWORK</w:t>
      </w:r>
    </w:p>
    <w:p w14:paraId="0F066B87" w14:textId="77777777" w:rsidR="00B301B0" w:rsidRPr="00B301B0" w:rsidRDefault="00B301B0" w:rsidP="00B301B0">
      <w:pPr>
        <w:widowControl/>
        <w:overflowPunct/>
        <w:autoSpaceDE/>
        <w:autoSpaceDN/>
        <w:adjustRightInd/>
        <w:spacing w:line="480" w:lineRule="auto"/>
        <w:ind w:left="720"/>
        <w:jc w:val="both"/>
        <w:rPr>
          <w:bCs/>
          <w:i/>
          <w:iCs/>
          <w:kern w:val="0"/>
          <w:sz w:val="24"/>
          <w:szCs w:val="24"/>
        </w:rPr>
      </w:pPr>
      <w:r w:rsidRPr="00B301B0">
        <w:rPr>
          <w:bCs/>
          <w:i/>
          <w:iCs/>
          <w:kern w:val="0"/>
          <w:sz w:val="24"/>
          <w:szCs w:val="24"/>
        </w:rPr>
        <w:t>Foreign subsidiary product innovation</w:t>
      </w:r>
    </w:p>
    <w:p w14:paraId="0457D88A"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Innovation by foreign subsidiaries has received considerable attention in recent decades (Meyer et al., 2020). Foreign subsidiary innovation is an important capability of MNEs and often serves as a cornerstone for sustained competitive advantages. To be clear, innovation is conceptually distinct from R&amp;D. R&amp;D often serves as a key input into the process of new product development, while innovation constitutes both developing new products and ensuring that the products are commercially viable (Phene &amp; Almeida, 2008). Here, I conceptualize innovation as the output, namely new product introduction, of a broader product development process that may include R&amp;D.   </w:t>
      </w:r>
    </w:p>
    <w:p w14:paraId="391AC5FA"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Because innovation is a complex undertaking, both the parent MNE and the subsidiary can play important roles in this process. Parent MNEs can add value by coordinating and integrating knowledge flows into foreign subsidiaries (Gupta &amp; Govindarajan, 2000; Cantwell &amp; Mudambi, 2005; Nell &amp; Ambos, 2013). Subsidiaries, in comparison, can explore their local environment for new knowledge. By becoming locally embedded, subsidiaries may tap into knowledge spillovers and establish local network ties that may facilitate knowledge internalization (Andersson, Forsgren &amp; Holm, 2002). Subsidiaries use local knowledge as an input for product development, sourcing, and combining new and existing knowledge for novelty (Almeida &amp; Phene, 2008). The ability of a subsidiary to innovate can thus be shaped by the combination of its local embeddedness and resources and capabilities possessed by the MNE (Nohria &amp; Ghoshal, 1994).</w:t>
      </w:r>
    </w:p>
    <w:p w14:paraId="5329E93A"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The literature points to several potential drivers of subsidiary innovation, but one central means by which subsidiaries may do so is autonomy. Autonomy allows subsidiaries to adapt to and achieve alignment with the local environment (Young &amp; Tavares, 2004). Beugelsdijk and Jindra (2018: 530) argue that “the extent to which a subsidiary is embedded in the local context is fundamentally related to the extent to which strategic decision-making resides with the subsidiary”. The role of autonomy in facilitating local embeddedness and innovation is underpinned by two implicit assumptions. First, autonomy gives subsidiary managers the decision-making latitude to act independently, pursue local initiatives, and become locally embedded (Gammelgaard et al., 2012). Ambos et al. (2011: 304) suggest that strong local linkages are “indispensable if actors are to acquire core knowledge from local institutions.” Lower levels of autonomy may limit local exploratory activities and adaptive capabilities (Monteiro, Arvidsson &amp; Birkinshaw, 2008). </w:t>
      </w:r>
    </w:p>
    <w:p w14:paraId="09E53502"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Second, autonomy may create motivation for subsidiary managers to pursue innovation. Because autonomy signals more trust in the subsidiary, managers of autonomous units may be more motivated to engage in creative roles within the MNE (Nuruzzaman, Gaur &amp; Sambharya, 2019). The exchange of trust for autonomy may reflect confidence by the parent MNE in the subsidiary, which creates space for creative behaviors that may result in innovation. In contrast, parent MNE control may undermine the creativity of a subsidiary and its motivation to identify and leverage useful local knowledge. Because locally specific knowledge is essential to local innovation (Phene &amp; Almeida, 2008), autonomy may be needed to incentivize knowledge acquisition and its utilization toward innovation. Indeed, Cantwell and Mudambi (2005) suggest that autonomy is central to a competence-creating subsidiary.</w:t>
      </w:r>
    </w:p>
    <w:p w14:paraId="392F4686" w14:textId="77777777" w:rsidR="00B301B0" w:rsidRPr="00B301B0" w:rsidRDefault="00B301B0" w:rsidP="00B301B0">
      <w:pPr>
        <w:widowControl/>
        <w:overflowPunct/>
        <w:autoSpaceDE/>
        <w:autoSpaceDN/>
        <w:adjustRightInd/>
        <w:spacing w:line="480" w:lineRule="auto"/>
        <w:ind w:left="720"/>
        <w:jc w:val="both"/>
        <w:rPr>
          <w:b/>
          <w:i/>
          <w:iCs/>
          <w:kern w:val="0"/>
          <w:sz w:val="24"/>
          <w:szCs w:val="24"/>
        </w:rPr>
      </w:pPr>
    </w:p>
    <w:p w14:paraId="65B15061" w14:textId="77777777" w:rsidR="00B301B0" w:rsidRPr="00B301B0" w:rsidRDefault="00B301B0" w:rsidP="00B301B0">
      <w:pPr>
        <w:widowControl/>
        <w:overflowPunct/>
        <w:autoSpaceDE/>
        <w:autoSpaceDN/>
        <w:adjustRightInd/>
        <w:spacing w:line="480" w:lineRule="auto"/>
        <w:ind w:left="720"/>
        <w:jc w:val="both"/>
        <w:rPr>
          <w:bCs/>
          <w:i/>
          <w:iCs/>
          <w:kern w:val="0"/>
          <w:sz w:val="24"/>
          <w:szCs w:val="24"/>
        </w:rPr>
      </w:pPr>
      <w:r w:rsidRPr="00B301B0">
        <w:rPr>
          <w:bCs/>
          <w:i/>
          <w:iCs/>
          <w:kern w:val="0"/>
          <w:sz w:val="24"/>
          <w:szCs w:val="24"/>
        </w:rPr>
        <w:t xml:space="preserve">Autonomy: Complementary mechanisms and boundary conditions  </w:t>
      </w:r>
    </w:p>
    <w:p w14:paraId="5E6580F0"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Although past research suggests that autonomy drives subsidiary innovation, I contend that this notion warrants additional nuance for several reasons. First, granting decision-making autonomy to a foreign subsidiary is not always conducive to innovation. Subsidiaries may use autonomy for self-serving behaviors, such as ‘empire building’, which may not contribute to innovation efforts (Mudambi &amp; Navarra, 2004; Cuervo-Cazurra, Mudambi &amp; Pedersen, 2019). While autonomy may “encourage the subsidiary to promote initiatives and engage in the accumulation of knowledge”, it may not always entail new knowledge creation (Young &amp; Tavares, 2004: 229).  </w:t>
      </w:r>
    </w:p>
    <w:p w14:paraId="77106002"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bCs/>
          <w:kern w:val="0"/>
          <w:sz w:val="24"/>
          <w:szCs w:val="24"/>
        </w:rPr>
        <w:t xml:space="preserve">Product innovation requires that subsidiaries create knowledge as well as leverage that knowledge locally toward new products. Prior research points to two </w:t>
      </w:r>
      <w:r w:rsidRPr="00B301B0">
        <w:rPr>
          <w:kern w:val="0"/>
          <w:sz w:val="24"/>
          <w:szCs w:val="24"/>
        </w:rPr>
        <w:t>salient means by which foreign subsidiaries generate such knowledge. On one hand, subsidiaries can develop knowledge internally through R&amp;D. When a subsidiary engages in R&amp;D there is “interplay between the subsidiary's internal creative efforts and the absorption of external knowledge that might spill over from other firms” (Feinberg &amp; Gupta, 2004: 825). By being engaged in R&amp;D, subsidiaries may produce the requisite knowledge that fuels novel products (Andersson et al., 2002; Cano-Kollmann et al., 2016). Importantly, R&amp;D is not randomly assigned to subsidiaries. It is a strategic mandate that typically comes from the parent MNE and tends to remain unchanged after assignment (Birkinshaw &amp; Hood, 1998; Cantwell &amp; Mudambi, 2005).</w:t>
      </w:r>
    </w:p>
    <w:p w14:paraId="4A403159"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On the other hand, subsidiaries can externally source knowledge through management consultant firms (Furusten &amp; Werr, 2005; Hoecht &amp; Trott, 2006). As argued by Phene and Almeida (2008: 905), subsidiaries “develop linkages to outside sources of knowledge that act as conduits for knowledge transfer”. Linkages with consultants may provide a comparative advantage in local knowledge creation (Thrift, 2005). Subsidiaries may therefore be able to substitute internal knowledge generation with the external use of consultants (Back et al., 2014). While research suggests that R&amp;D is important for introducing novel products, consultants may also contribute to such efforts (Song, 2014). In some cases, consultants may even increase the pace of innovation (Contractor et al., 2010; Santangelo, Meyer &amp; Jindra, 2016). </w:t>
      </w:r>
    </w:p>
    <w:p w14:paraId="1BB210A8"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Subsidiaries may also engage in external R&amp;D processes through contracted research; however, such engagements are typically done in combination with internal R&amp;D efforts (Ferraris, Santoro &amp; Dezi, 2017). Similarly, while prior research points to various ways to source external knowledge (e.g., strategic alliances, universities, other research organizations) these, again, are often enacted to complement a firm’s existing internal R&amp;D activity. In fact, R&amp;D assignments tend to be given to subsidiaries that are in a position to share and co-develop knowledge with various external actors (Cantwell &amp; Mudambi, 2005). Accordingly, management consultants are unique in that they are more likely to substitute for R&amp;D in the sense that they may operate when internal R&amp;D is absent.</w:t>
      </w:r>
    </w:p>
    <w:p w14:paraId="1935B10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Another issue with the notion that subsidiary autonomy will yield product innovation stems from Nohria and Ghoshal’s (1994) argument that a subsidiary’s level of autonomy should depend on the parent MNE’s ability to make product-related decisions that fit the host country’s conditions. Xu, Cavusgil, and White (2006: 3) argue that fit is attained when “the organization's resources and capabilities are aligned with the opportunities and threats the environment presents”. Contextual differences between two environments are shaped by extent of similarity or dissimilarity between their institutions (Xu &amp; Shenkar, 2002). Increasing institutional distance is associated with knowledge gaps among parent MNE managers, which may erect barriers to integrate subsidiaries and make fit enhancing decisions (Ambos et al., 2011). Thus, autonomy becomes increasingly valuable in institutionally dissimilar settings whereby it provides a means to become locally embedded and responsive to product demands (Luo, 2003). If, however, the home and host country institutions are similar, the knowledge held by the parent MNE might be more readily applied to the local environment, making the benefits stemming from subsidiary autonomy less salient to product innovation.</w:t>
      </w:r>
      <w:r w:rsidRPr="00B301B0" w:rsidDel="00C809EF">
        <w:rPr>
          <w:kern w:val="0"/>
          <w:sz w:val="24"/>
          <w:szCs w:val="24"/>
          <w:vertAlign w:val="superscript"/>
        </w:rPr>
        <w:t xml:space="preserve"> </w:t>
      </w:r>
      <w:r w:rsidRPr="00B301B0">
        <w:rPr>
          <w:kern w:val="0"/>
          <w:sz w:val="24"/>
          <w:szCs w:val="24"/>
        </w:rPr>
        <w:t>MNE resources and capabilities may only require limited adaptations to fit within the host country context, suggesting autonomy may not always be necessary to facilitate subsidiary innovation. While the local embeddedness benefits of autonomy may realize in both similar and dissimilar host country institutional environments, prior literature suggests that such benefits will be more pronounced in contexts more distant or dissimilar from, and thus unfamiliar to, the parent MNE (Geleilate et al., 2019).</w:t>
      </w:r>
    </w:p>
    <w:p w14:paraId="3BD55BFE" w14:textId="77777777" w:rsidR="00B301B0" w:rsidRPr="00B301B0" w:rsidRDefault="00B301B0" w:rsidP="00B301B0">
      <w:pPr>
        <w:widowControl/>
        <w:overflowPunct/>
        <w:autoSpaceDE/>
        <w:autoSpaceDN/>
        <w:adjustRightInd/>
        <w:spacing w:line="480" w:lineRule="auto"/>
        <w:ind w:left="720"/>
        <w:jc w:val="center"/>
        <w:rPr>
          <w:b/>
          <w:kern w:val="0"/>
          <w:sz w:val="24"/>
          <w:szCs w:val="24"/>
        </w:rPr>
      </w:pPr>
    </w:p>
    <w:p w14:paraId="0337022F" w14:textId="77777777" w:rsidR="00B301B0" w:rsidRPr="00B301B0" w:rsidRDefault="00B301B0" w:rsidP="00B301B0">
      <w:pPr>
        <w:widowControl/>
        <w:overflowPunct/>
        <w:autoSpaceDE/>
        <w:autoSpaceDN/>
        <w:adjustRightInd/>
        <w:spacing w:line="480" w:lineRule="auto"/>
        <w:ind w:left="720"/>
        <w:jc w:val="center"/>
        <w:rPr>
          <w:bCs/>
          <w:kern w:val="0"/>
          <w:sz w:val="24"/>
          <w:szCs w:val="24"/>
        </w:rPr>
      </w:pPr>
      <w:r w:rsidRPr="00B301B0">
        <w:rPr>
          <w:bCs/>
          <w:kern w:val="0"/>
          <w:sz w:val="24"/>
          <w:szCs w:val="24"/>
        </w:rPr>
        <w:t>HYPOTHESES DEVELOPMENT</w:t>
      </w:r>
    </w:p>
    <w:p w14:paraId="705B6F8E"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Nohria and Ghoshal (1994: 492) suggest that autonomy should be “differentiated to </w:t>
      </w:r>
      <w:r w:rsidRPr="00B301B0">
        <w:rPr>
          <w:i/>
          <w:kern w:val="0"/>
          <w:sz w:val="24"/>
          <w:szCs w:val="24"/>
        </w:rPr>
        <w:t>fit</w:t>
      </w:r>
      <w:r w:rsidRPr="00B301B0">
        <w:rPr>
          <w:kern w:val="0"/>
          <w:sz w:val="24"/>
          <w:szCs w:val="24"/>
        </w:rPr>
        <w:t xml:space="preserve"> the distinctive environmental and resource conditions of the subsidiary.” Fit is a “core concept in normative models of strategy formulation, and the pursuit of strategic fit has traditionally been viewed as having desirable performance implications” (Zajac, Kraatz, &amp; Bresser, 2000: 429). From this perspective, whether increased autonomy translates to product innovation is not straightforward but rather conditional, and there might be alternative structural arrangements that yield product innovation. </w:t>
      </w:r>
    </w:p>
    <w:p w14:paraId="7ED39A6A"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Prior research maintains that in host environments institutionally distal to the MNE’s home country, matching resource bundles to the host environment is more difficult for the parent MNE because of the dissimilarities between the home and host country (Luo, 2003). With increasing distance, the parent MNE is less likely to develop products that will fit the local context of the subsidiary due to knowledge gaps stemming from contextual dissimilarities. MNE control in distal environments may thus inhibit product innovation (Baaij &amp; Slangen, 2013). In contexts where the distance between the home and host country is high, I proffer that decision-making autonomy is key because it enables subsidiaries to become locally embedded, undertake creative initiatives, and potentially pursue product innovation (Geleilate et al., 2019). Indeed, higher autonomy improves the likelihood that the subsidiary develops new competencies (Cantwell &amp; Mudambi, 2005).</w:t>
      </w:r>
    </w:p>
    <w:p w14:paraId="16D7C0C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Yet, autonomy in institutionally distal host countries may not necessarily result in product innovation unless it is complemented with a specific knowledge source, as oftentimes exploiting the competencies of the parent MNE may not be sufficient for innovation in a distal host country. When autonomy is complemented by the subsidiary’s internal generation of product-related knowledge, namely R&amp;D, the subsidiary is more likely to introduce new products. Phene and Almeida (2008: 905) argue that R&amp;D provides a subsidiary with “the capability to recognize important knowledge and identify potential sources of this knowledge”, while autonomy allows the subsidiary to leverage such knowledge into locally viable products (Beugeusldijk &amp; Jindra, 2018). </w:t>
      </w:r>
    </w:p>
    <w:p w14:paraId="6E0B7E43"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Alternatively, because R&amp;D requires a set of capabilities and non-trivial resources, not all subsidiaries will be given an R&amp;D mandate from their parent MNE (Birkinshaw &amp; Hood, 1998). For instance, there may be minimal technological knowledge in the local environment for the subsidiary to extrapolate through R&amp;D (Santangelo et al., 2016). As Cantwell and Mudambi (2005: 1110) argue, “R&amp;D is becoming concentrated in sites where local conditions are most conducive to technology creation”. Moreover, even if the subsidiary appears capable to engage in R&amp;D, there may be agency-related reasons for why a subsidiary does not receive an R&amp;D assignment (Kostova, Nell &amp; Hoenen, 2018). As a result, management consultants may act as a functional substitute to R&amp;D, providing product-market knowledge that a subsidiary may lack. “Through the breadth of their experience, knowledge, and resources, external consultants can provide firms with access to advantages that allow them to ensure value creation” (Back et al., 2014: 394). Using consultants can also help to reveal gaps in what consumers want and what the firm is offering, whereby addressing such gaps contribute to innovation efforts (Sandberg &amp; Werr, 2003). In fact, management consultants may even accelerate innovation by providing legitimacy to new products through their local knowledge, experience, and analytical skills (Sturdy, 2011). Hence, while the lack of R&amp;D activities might hinder product innovation, I argue that a subsidiary can still introduce new products by sourcing important knowledge from consultants. Taken together, I suggest the following hypothesis: </w:t>
      </w:r>
    </w:p>
    <w:p w14:paraId="49F7C6BA" w14:textId="77777777" w:rsidR="00B301B0" w:rsidRPr="00B301B0" w:rsidRDefault="00B301B0" w:rsidP="00B301B0">
      <w:pPr>
        <w:widowControl/>
        <w:overflowPunct/>
        <w:autoSpaceDE/>
        <w:autoSpaceDN/>
        <w:adjustRightInd/>
        <w:spacing w:line="480" w:lineRule="auto"/>
        <w:ind w:left="720"/>
        <w:rPr>
          <w:kern w:val="0"/>
          <w:sz w:val="24"/>
          <w:szCs w:val="24"/>
        </w:rPr>
      </w:pPr>
    </w:p>
    <w:p w14:paraId="418FA71C" w14:textId="77777777" w:rsidR="00B301B0" w:rsidRPr="00B301B0" w:rsidRDefault="00B301B0" w:rsidP="00B301B0">
      <w:pPr>
        <w:widowControl/>
        <w:overflowPunct/>
        <w:autoSpaceDE/>
        <w:autoSpaceDN/>
        <w:adjustRightInd/>
        <w:spacing w:line="480" w:lineRule="auto"/>
        <w:ind w:left="1440"/>
        <w:rPr>
          <w:iCs/>
          <w:kern w:val="0"/>
          <w:sz w:val="24"/>
          <w:szCs w:val="24"/>
        </w:rPr>
      </w:pPr>
      <w:r w:rsidRPr="00B301B0">
        <w:rPr>
          <w:bCs/>
          <w:kern w:val="0"/>
          <w:sz w:val="24"/>
          <w:szCs w:val="24"/>
        </w:rPr>
        <w:t>Hypothesis 1:</w:t>
      </w:r>
      <w:r w:rsidRPr="00B301B0">
        <w:rPr>
          <w:b/>
          <w:iCs/>
          <w:kern w:val="0"/>
          <w:sz w:val="24"/>
          <w:szCs w:val="24"/>
        </w:rPr>
        <w:t xml:space="preserve"> </w:t>
      </w:r>
      <w:r w:rsidRPr="00B301B0">
        <w:rPr>
          <w:bCs/>
          <w:iCs/>
          <w:kern w:val="0"/>
          <w:sz w:val="24"/>
          <w:szCs w:val="24"/>
        </w:rPr>
        <w:t>For foreign subsidiaries operating in</w:t>
      </w:r>
      <w:r w:rsidRPr="00B301B0">
        <w:rPr>
          <w:b/>
          <w:iCs/>
          <w:kern w:val="0"/>
          <w:sz w:val="24"/>
          <w:szCs w:val="24"/>
        </w:rPr>
        <w:t xml:space="preserve"> </w:t>
      </w:r>
      <w:r w:rsidRPr="00B301B0">
        <w:rPr>
          <w:iCs/>
          <w:kern w:val="0"/>
          <w:sz w:val="24"/>
          <w:szCs w:val="24"/>
        </w:rPr>
        <w:t>host country environments institutionally distal from the parent MNE home country, product innovation will be associated with higher subsidiary autonomy when autonomy is complemented by either internal R&amp;D or the use of local management consultants by the subsidiary.</w:t>
      </w:r>
    </w:p>
    <w:p w14:paraId="3F0AB956" w14:textId="77777777" w:rsidR="00B301B0" w:rsidRPr="00B301B0" w:rsidRDefault="00B301B0" w:rsidP="00B301B0">
      <w:pPr>
        <w:widowControl/>
        <w:overflowPunct/>
        <w:autoSpaceDE/>
        <w:autoSpaceDN/>
        <w:adjustRightInd/>
        <w:spacing w:line="480" w:lineRule="auto"/>
        <w:rPr>
          <w:i/>
          <w:kern w:val="0"/>
          <w:sz w:val="24"/>
          <w:szCs w:val="24"/>
        </w:rPr>
      </w:pPr>
    </w:p>
    <w:p w14:paraId="1974DBC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In host country environments institutionally proximal to the MNE’s home country, the technological knowledge and capabilities of the parent MNE can be leveraged toward product innovation without extensive adaptation (Ambos &amp; Ambos, 2009; Kawai &amp; Strange, 2014). As I have alluded to earlier, in some cases subsidiaries may be able to exploit the competencies of the parent MNE to configure and introduce innovative products in the host country (Cantwell &amp; Mudambi, 2005). This suggests a structural arrangement possibly entailing low levels of subsidiary autonomy, as parent MNE control is a means to ensure that the subsidiary remains integrated and well-connected to intra-MNE knowledge pools (Keupp, Palmíe &amp; Gassmann, 2011). Accordingly, autonomy may in some cases drive subsidiary innovation, but it is not necessary for all contexts. </w:t>
      </w:r>
    </w:p>
    <w:p w14:paraId="331F47D7"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Yet, some MNEs may still grant autonomy to subsidiaries in institutionally proximal host countries, as such host countries might require some degree of customization but not to the extent that warrants an R&amp;D assignment. Even when a subsidiary exploits the competencies of the MNE, decision-making autonomy may allow subsidiaries to make nuanced adaptations that fit the host country context. While R&amp;D may yield similar insights in terms of identifying limited product adaptations, it may not be necessary, and rather costly (Sanna-Randaccio &amp; Veugelers, 2007). Moreover, in other situations, parent MNEs might not want to engage in product-related decisions, even for subsidiaries in institutionally proximal host countries, because the allocation of parent MNE managerial resources to such decisions might entail high opportunity costs (Mudambi &amp; Pedersen, 2007). In sum, subsidiary autonomy might not be strictly needed for product innovation in institutionally proximal host countries, but it is nonetheless one means by which subsidiaries in such contexts can adapt MNE competencies into product innovations that fit the host market.   </w:t>
      </w:r>
    </w:p>
    <w:p w14:paraId="5213DCF2"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In comparison, when decision making for subsidiaries in institutionally proximal environments is controlled more by the parent MNE, the implicit assumption is that parent MNE managers are relatively more familiar with the host country. Yet, although the parent MNE has a smaller knowledge gap vis-à-vis the local environment, subsidiaries still need some local, product-specific information to innovate (Lee &amp; Beamish, 1995). Accordingly, I proffer that MNEs may use consultants to provide such knowledge for product innovation (Back et al., 2014). A subsidiary may, therefore, exploit the competencies of the MNE, while the external consultants will provide local knowledge to alter the products around consumer demands as well as make appropriate product-related decisions (e.g., marketing strategy). Hence, I argue that in institutional environments proximal to the MNE home country, product innovation can be achieved either by granting decision-making autonomy to the subsidiary or by leveraging external knowledge from local consultants. Formally stated: </w:t>
      </w:r>
    </w:p>
    <w:p w14:paraId="5F100196" w14:textId="77777777" w:rsidR="00B301B0" w:rsidRPr="00B301B0" w:rsidRDefault="00B301B0" w:rsidP="00B301B0">
      <w:pPr>
        <w:widowControl/>
        <w:overflowPunct/>
        <w:autoSpaceDE/>
        <w:autoSpaceDN/>
        <w:adjustRightInd/>
        <w:spacing w:line="480" w:lineRule="auto"/>
        <w:ind w:left="720" w:firstLine="720"/>
        <w:rPr>
          <w:kern w:val="0"/>
          <w:sz w:val="24"/>
          <w:szCs w:val="24"/>
        </w:rPr>
      </w:pPr>
    </w:p>
    <w:p w14:paraId="0419B0E3" w14:textId="77777777" w:rsidR="00B301B0" w:rsidRPr="00B301B0" w:rsidRDefault="00B301B0" w:rsidP="00B301B0">
      <w:pPr>
        <w:widowControl/>
        <w:overflowPunct/>
        <w:autoSpaceDE/>
        <w:autoSpaceDN/>
        <w:adjustRightInd/>
        <w:spacing w:line="480" w:lineRule="auto"/>
        <w:ind w:left="1440"/>
        <w:rPr>
          <w:bCs/>
          <w:kern w:val="0"/>
          <w:sz w:val="24"/>
          <w:szCs w:val="24"/>
        </w:rPr>
      </w:pPr>
      <w:r w:rsidRPr="00B301B0">
        <w:rPr>
          <w:bCs/>
          <w:kern w:val="0"/>
          <w:sz w:val="24"/>
          <w:szCs w:val="24"/>
        </w:rPr>
        <w:t>Hypothesis 2: For foreign subsidiaries operating in host country environments institutionally proximal to the parent MNE home country, product innovation will be associated with either subsidiary autonomy or parent MNE control combined with the use of local management consultants.</w:t>
      </w:r>
    </w:p>
    <w:p w14:paraId="68A39C53" w14:textId="77777777" w:rsidR="00B301B0" w:rsidRPr="00B301B0" w:rsidRDefault="00B301B0" w:rsidP="00B301B0">
      <w:pPr>
        <w:widowControl/>
        <w:overflowPunct/>
        <w:autoSpaceDE/>
        <w:autoSpaceDN/>
        <w:adjustRightInd/>
        <w:spacing w:line="480" w:lineRule="auto"/>
        <w:ind w:left="720"/>
        <w:rPr>
          <w:i/>
          <w:kern w:val="0"/>
          <w:sz w:val="24"/>
          <w:szCs w:val="24"/>
        </w:rPr>
      </w:pPr>
    </w:p>
    <w:p w14:paraId="67B10E44"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b/>
          <w:kern w:val="0"/>
          <w:sz w:val="24"/>
          <w:szCs w:val="24"/>
        </w:rPr>
        <w:tab/>
      </w:r>
      <w:r w:rsidRPr="00B301B0">
        <w:rPr>
          <w:kern w:val="0"/>
          <w:sz w:val="24"/>
          <w:szCs w:val="24"/>
        </w:rPr>
        <w:t>In sum, I argue that for subsidiaries operating in host countries institutionally distal from the home country, autonomy will be conducive to product innovation but only in conjunction with either R&amp;D or the use of local management consultants. Alternatively, for subsidiaries operating in host countries institutionally proximal to the home country, product innovation may be associated with subsidiary autonomy and R&amp;D, but it can also be achieved through the use of local management consultants when decision making is controlled more by the parent MNE. Overall, these arguments imply that institutional and organizational settings configure in particular ways to foster foreign subsidiary product innovation. Figure 1 depicts my conceptual model.</w:t>
      </w:r>
    </w:p>
    <w:p w14:paraId="0E7D390C" w14:textId="77777777" w:rsidR="00B301B0" w:rsidRPr="00B301B0" w:rsidRDefault="00B301B0" w:rsidP="00B301B0">
      <w:pPr>
        <w:widowControl/>
        <w:overflowPunct/>
        <w:autoSpaceDE/>
        <w:autoSpaceDN/>
        <w:adjustRightInd/>
        <w:spacing w:line="480" w:lineRule="auto"/>
        <w:ind w:left="720"/>
        <w:rPr>
          <w:kern w:val="0"/>
          <w:sz w:val="24"/>
          <w:szCs w:val="24"/>
        </w:rPr>
      </w:pPr>
    </w:p>
    <w:p w14:paraId="75023BE0"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r w:rsidRPr="00B301B0">
        <w:rPr>
          <w:i/>
          <w:kern w:val="0"/>
          <w:sz w:val="24"/>
          <w:szCs w:val="24"/>
        </w:rPr>
        <w:t>---Insert Figure 1 here---</w:t>
      </w:r>
    </w:p>
    <w:p w14:paraId="71BFFB41"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p>
    <w:p w14:paraId="6D16E89E" w14:textId="77777777" w:rsidR="00B301B0" w:rsidRPr="00B301B0" w:rsidRDefault="00B301B0" w:rsidP="00B301B0">
      <w:pPr>
        <w:widowControl/>
        <w:overflowPunct/>
        <w:autoSpaceDE/>
        <w:autoSpaceDN/>
        <w:adjustRightInd/>
        <w:spacing w:line="480" w:lineRule="auto"/>
        <w:ind w:left="720"/>
        <w:jc w:val="center"/>
        <w:rPr>
          <w:bCs/>
          <w:kern w:val="0"/>
          <w:sz w:val="24"/>
          <w:szCs w:val="24"/>
        </w:rPr>
      </w:pPr>
      <w:r w:rsidRPr="00B301B0">
        <w:rPr>
          <w:bCs/>
          <w:kern w:val="0"/>
          <w:sz w:val="24"/>
          <w:szCs w:val="24"/>
        </w:rPr>
        <w:t>METHODOLOGY</w:t>
      </w:r>
    </w:p>
    <w:p w14:paraId="22E6E6EB" w14:textId="77777777" w:rsidR="00B301B0" w:rsidRPr="00B301B0" w:rsidRDefault="00B301B0" w:rsidP="00B301B0">
      <w:pPr>
        <w:widowControl/>
        <w:overflowPunct/>
        <w:autoSpaceDE/>
        <w:autoSpaceDN/>
        <w:adjustRightInd/>
        <w:spacing w:line="480" w:lineRule="auto"/>
        <w:ind w:left="720"/>
        <w:jc w:val="both"/>
        <w:rPr>
          <w:bCs/>
          <w:i/>
          <w:iCs/>
          <w:kern w:val="0"/>
          <w:sz w:val="24"/>
          <w:szCs w:val="24"/>
        </w:rPr>
      </w:pPr>
      <w:r w:rsidRPr="00B301B0">
        <w:rPr>
          <w:bCs/>
          <w:i/>
          <w:iCs/>
          <w:kern w:val="0"/>
          <w:sz w:val="24"/>
          <w:szCs w:val="24"/>
        </w:rPr>
        <w:t>Data and sample</w:t>
      </w:r>
    </w:p>
    <w:p w14:paraId="0F35800B"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Obtaining data on intra-MNE structural arrangements is often challenging for international business researchers because they are not easily observable. Accordingly, I follow prior studies with a similar research objective (Back et al., 2014; Maksimov, Wang &amp; Luo, 2017; Nuruzzaman et al., 2019) and utilize data from the Management, Organization, and Innovation (MOI) survey implemented by the World Bank (WB) and European Bank for Reconstruction and Development (EBRD) (Bloom &amp; Van Reenen, 2010). The MOI survey aims to compare management practices in European and Asian economies and to assess the efficacy of said practices. WB and EBRD compiled a uniform stratified sample of approximately 1,800 manufacturing companies, with production as well as downstream roles, from 12 countries in a way that is representative of firm size, industry, and foreign ownership in each country. The sampling is based on Bureau van Dijk’s Orbis database as the population (Bloom &amp; Van Reenen, 2010) and was then compared to the Business Environment and Enterprise Performance Survey (BEEPS) by the WB and EBRD to demonstrate the resemblance between the survey and the population. </w:t>
      </w:r>
    </w:p>
    <w:p w14:paraId="127DE217"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The MOI survey data encompasses all subnational regions within the participating countries, but, expectedly, the sample reflects mostly the major cities within each subnational region. A standardized instrument and sampling methodology were used in all countries to yield comparable results. Each firm was contacted at least 4 times but as many as 15 times to increase participation rates. A total of 1,925 firms were targeted in the sampling strategy and 1,777 completed the survey. The MOI research team conducted face-to-face interviews primarily with managers who have an in-depth understanding of firm operations. The managers were informed that they would not</w:t>
      </w:r>
      <w:r w:rsidRPr="00B301B0">
        <w:rPr>
          <w:i/>
          <w:kern w:val="0"/>
          <w:sz w:val="24"/>
          <w:szCs w:val="24"/>
        </w:rPr>
        <w:t xml:space="preserve"> </w:t>
      </w:r>
      <w:r w:rsidRPr="00B301B0">
        <w:rPr>
          <w:kern w:val="0"/>
          <w:sz w:val="24"/>
          <w:szCs w:val="24"/>
        </w:rPr>
        <w:t xml:space="preserve">be evaluated based on their responses in order to prevent potential desirability biases in answers (Bloom &amp; Van Reenen, 2007). The interviews were conducted at the physical location of each respondent firm and in the native language of the respondent. The interviewers were unaware of the actual performance details of the firm, and there was not an identifiable interviewer fixed effect or systematic bias (Bloom &amp; Van Reenen, 2010). </w:t>
      </w:r>
    </w:p>
    <w:p w14:paraId="025759C3"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Using the entire MOI dataset as my starting point, I undertook two data cleaning steps consistent with prior studies (Nuruzzman et al., 2019). First, I included only those observations relating to foreign subsidiaries of MNEs. This criterion reduces the original sample of 1,777 responding firms to 228 foreign subsidiaries. Second, I removed all observations where my constructs (e.g., autonomy) related data are incomplete. The final sample consists of 71 foreign subsidiaries operating in 11 host countries and 13 industry sectors. I tested for differences between the groups of 228 and 71 subsidiaries in terms of average product innovation. Results indicate there is no statistically significant difference between the two groups (p = 0.62), suggesting the removal of observations with missing data does not cause us to select on the dependent variable. In total, the final sample of 71 subsidiaries represents MNEs from 30 different home countries. I present the characteristic of these subsidiaries in Table 1.</w:t>
      </w:r>
    </w:p>
    <w:p w14:paraId="6C1B334D" w14:textId="77777777" w:rsidR="00B301B0" w:rsidRPr="00B301B0" w:rsidRDefault="00B301B0" w:rsidP="00B301B0">
      <w:pPr>
        <w:widowControl/>
        <w:overflowPunct/>
        <w:autoSpaceDE/>
        <w:autoSpaceDN/>
        <w:adjustRightInd/>
        <w:spacing w:line="480" w:lineRule="auto"/>
        <w:ind w:left="720"/>
        <w:rPr>
          <w:kern w:val="0"/>
          <w:sz w:val="24"/>
          <w:szCs w:val="24"/>
        </w:rPr>
      </w:pPr>
    </w:p>
    <w:p w14:paraId="6A8C0A48"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r w:rsidRPr="00B301B0">
        <w:rPr>
          <w:i/>
          <w:kern w:val="0"/>
          <w:sz w:val="24"/>
          <w:szCs w:val="24"/>
        </w:rPr>
        <w:t>---Insert Table 1 here---</w:t>
      </w:r>
    </w:p>
    <w:p w14:paraId="19735FEC"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p>
    <w:p w14:paraId="7A33AC8F"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Of the represented host countries in the sample, Germany is the most common (37%) followed by Serbia (13%), Poland, and India (10%), while the United States (20%), Germany (10%), and Sweden (8%) are the most common home countries. All of the 71 subsidiaries operate in the manufacturing sector. The most common industry is fabricated metal products (16%) followed by consumer foods (13%) and plastics and rubber (10%). The average subsidiary size is 686 employees. Although the majority (66%) of subsidiaries are considered large (&gt; 200 employees), approximately 33% are small and medium-sized (&lt; 200 employees) (Golovko &amp; Valentini, 2014), thus providing reasonable variety in that regard. The age of the subsidiaries in the sample ranges from 10 years to 176 years, with the average age being 47 years. Hence, the subsidiaries are mostly established units, allowing us to ameliorate potential biases stemming from dynamics related to very young subsidiaries (Birkinshaw &amp; Hood, 1998). In sum, the most common subsidiary in my sample can be generalized as a relatively large, established manufacturing subsidiary.</w:t>
      </w:r>
    </w:p>
    <w:p w14:paraId="2B6FE342" w14:textId="77777777" w:rsidR="00B301B0" w:rsidRPr="00B301B0" w:rsidRDefault="00B301B0" w:rsidP="00B301B0">
      <w:pPr>
        <w:widowControl/>
        <w:overflowPunct/>
        <w:autoSpaceDE/>
        <w:autoSpaceDN/>
        <w:adjustRightInd/>
        <w:spacing w:line="480" w:lineRule="auto"/>
        <w:ind w:left="720"/>
        <w:rPr>
          <w:b/>
          <w:i/>
          <w:iCs/>
          <w:kern w:val="0"/>
          <w:sz w:val="24"/>
          <w:szCs w:val="24"/>
        </w:rPr>
      </w:pPr>
    </w:p>
    <w:p w14:paraId="7E6E37CF" w14:textId="77777777" w:rsidR="00B301B0" w:rsidRPr="00B301B0" w:rsidRDefault="00B301B0" w:rsidP="00B301B0">
      <w:pPr>
        <w:widowControl/>
        <w:overflowPunct/>
        <w:autoSpaceDE/>
        <w:autoSpaceDN/>
        <w:adjustRightInd/>
        <w:spacing w:line="480" w:lineRule="auto"/>
        <w:ind w:left="720"/>
        <w:rPr>
          <w:b/>
          <w:i/>
          <w:iCs/>
          <w:kern w:val="0"/>
          <w:sz w:val="24"/>
          <w:szCs w:val="24"/>
        </w:rPr>
      </w:pPr>
    </w:p>
    <w:p w14:paraId="6560026C" w14:textId="77777777" w:rsidR="00B301B0" w:rsidRPr="00B301B0" w:rsidRDefault="00B301B0" w:rsidP="00B301B0">
      <w:pPr>
        <w:widowControl/>
        <w:overflowPunct/>
        <w:autoSpaceDE/>
        <w:autoSpaceDN/>
        <w:adjustRightInd/>
        <w:spacing w:line="480" w:lineRule="auto"/>
        <w:ind w:left="720"/>
        <w:rPr>
          <w:bCs/>
          <w:i/>
          <w:iCs/>
          <w:kern w:val="0"/>
          <w:sz w:val="24"/>
          <w:szCs w:val="24"/>
        </w:rPr>
      </w:pPr>
      <w:r w:rsidRPr="00B301B0">
        <w:rPr>
          <w:bCs/>
          <w:i/>
          <w:iCs/>
          <w:kern w:val="0"/>
          <w:sz w:val="24"/>
          <w:szCs w:val="24"/>
        </w:rPr>
        <w:t>Construct measurement</w:t>
      </w:r>
    </w:p>
    <w:p w14:paraId="2F49DDC0"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I follow prior works and measure the outcome of interest, </w:t>
      </w:r>
      <w:r w:rsidRPr="00B301B0">
        <w:rPr>
          <w:i/>
          <w:kern w:val="0"/>
          <w:sz w:val="24"/>
          <w:szCs w:val="24"/>
        </w:rPr>
        <w:t xml:space="preserve">product innovation, </w:t>
      </w:r>
      <w:r w:rsidRPr="00B301B0">
        <w:rPr>
          <w:kern w:val="0"/>
          <w:sz w:val="24"/>
          <w:szCs w:val="24"/>
        </w:rPr>
        <w:t>as a dichotomous variable (Bertrand &amp; Mol, 2013; Santangelo et al., 2016; Monteiro, Mol &amp; Birkinshaw, 2017; Nuruzzaman et al., 2019). If a subsidiary has introduced a new product in the marketplace and/or significantly modified a product within the last 3 years, then the outcome is coded as “1”, otherwise it is coded as “0”. This measure typically encompasses significant improvements to products, such as technical specifications and components and, therefore, purely aesthetic modifications are not considered product innovation (Garud et al., 2016). Looking at the entire sample, firms who introduced new products within the last 3 years saw an average of 28.04% of their sales accounted for by the new product. For my subsample of subsidiaries, new products accounted for approximately 24.16% of sales thereby demonstrating that innovative firms are significantly reliant on their new products. Prior research suggests that new product introductions are a valid indicator of innovation output (e.g., Piening, Salge &amp; Schäfer, 2016; Beugelsdijk &amp; Jindra, 2018).</w:t>
      </w:r>
    </w:p>
    <w:p w14:paraId="3FCCD38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In a similar vein to Tran, Mahnke, and Ambos (2010) and Hombrug and Prigge (2014), I measure </w:t>
      </w:r>
      <w:r w:rsidRPr="00B301B0">
        <w:rPr>
          <w:i/>
          <w:kern w:val="0"/>
          <w:sz w:val="24"/>
          <w:szCs w:val="24"/>
        </w:rPr>
        <w:t xml:space="preserve">subsidiary autonomy </w:t>
      </w:r>
      <w:r w:rsidRPr="00B301B0">
        <w:rPr>
          <w:kern w:val="0"/>
          <w:sz w:val="24"/>
          <w:szCs w:val="24"/>
        </w:rPr>
        <w:t>in the business functions most relevant to my outcome. My measure is based on three questions: “Where are decisions taken on new product introductions for this establishment?”; “Where are pricing decisions for this establishment taken?”; and “Where are advertising decisions for products made at this establishment taken?” If the decisions were not solely made by the MNE headquarters, then each of these items assumes the value “1”, otherwise, it is coded as “0”. This construct captures the extent to which the MNE headquarters are involved in a subsidiary’s local decisions, which is in line with existing measures of subsidiary decision-making autonomy (Young &amp; Tavares, 2004). The three items loaded onto a single latent factor and exhibited adequate reliability (α = 0.86) (Jarvis, MacKenzie &amp; Podsakoff, 2003).</w:t>
      </w:r>
    </w:p>
    <w:p w14:paraId="2FDBFEDF"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i/>
          <w:kern w:val="0"/>
          <w:sz w:val="24"/>
          <w:szCs w:val="24"/>
        </w:rPr>
        <w:t>R&amp;D</w:t>
      </w:r>
      <w:r w:rsidRPr="00B301B0">
        <w:rPr>
          <w:kern w:val="0"/>
          <w:sz w:val="24"/>
          <w:szCs w:val="24"/>
        </w:rPr>
        <w:t xml:space="preserve"> is a dichotomous variable where “1” represents a foreign subsidiary that conducted R&amp;D as of the most recent fiscal year, or “0” otherwise (Keupp et al., 2011). Prior research suggests that R&amp;D is a key mechanism by which subsidiaries generate knowledge internally to fuel product innovation (Frost, 2001; Nuruzzaman et al., 2019). The MOI survey defines R&amp;D to participants as “creative work undertaken on a systematic basis in order to increase the stock of knowledge. Research and development is distinguished from market research and product testing by the presence in research and development of an appreciable element of novelty” (MOI, 2010: 20). Where data is available, I observe that the average R&amp;D investment per year exceeded $8 million (USD), which suggests the non-triviality of R&amp;D operations among subsidiaries in my sample. Moreover, because conducting R&amp;D often entails costly investments, it is highly uncommon for subsidiaries to frequently start and stop such processes (Gilmore, Andersson &amp; Memar, 2018). Indeed, Mudambi and Swift (2014: 127) argue that “firms that minimize or resist opportunities to disrupt the R&amp;D process are thought to add the most value for shareholders of the firm”. Although the survey asks about the most recent fiscal year, my measure likely reflects subsidiaries that exhibit an R&amp;D mandate that is stable over time. </w:t>
      </w:r>
    </w:p>
    <w:p w14:paraId="25CD6B2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iCs/>
          <w:kern w:val="0"/>
          <w:sz w:val="24"/>
          <w:szCs w:val="24"/>
        </w:rPr>
        <w:t xml:space="preserve">The use of local </w:t>
      </w:r>
      <w:r w:rsidRPr="00B301B0">
        <w:rPr>
          <w:i/>
          <w:kern w:val="0"/>
          <w:sz w:val="24"/>
          <w:szCs w:val="24"/>
        </w:rPr>
        <w:t>Management</w:t>
      </w:r>
      <w:r w:rsidRPr="00B301B0">
        <w:rPr>
          <w:iCs/>
          <w:kern w:val="0"/>
          <w:sz w:val="24"/>
          <w:szCs w:val="24"/>
        </w:rPr>
        <w:t xml:space="preserve"> </w:t>
      </w:r>
      <w:r w:rsidRPr="00B301B0">
        <w:rPr>
          <w:i/>
          <w:kern w:val="0"/>
          <w:sz w:val="24"/>
          <w:szCs w:val="24"/>
        </w:rPr>
        <w:t>Consultants</w:t>
      </w:r>
      <w:r w:rsidRPr="00B301B0">
        <w:rPr>
          <w:kern w:val="0"/>
          <w:sz w:val="24"/>
          <w:szCs w:val="24"/>
        </w:rPr>
        <w:t xml:space="preserve"> is a dichotomous variable where “1” represents that the foreign subsidiary has contracted consultants as of the most recent fiscal year, or “0” otherwise (Back et al., 2014). As Maksimov and colleagues argue, “seeking external assistance through management consulting is a reliable indicator of management knowledge upgrading” (Makismov et al., 2017: 864). With these measures of R&amp;D and consultant use, I am able to create a crisp distinction between subsidiaries that utilize the underlying mechanisms versus those that do not, thus offering a conservative test of their effect on product innovation.   </w:t>
      </w:r>
    </w:p>
    <w:p w14:paraId="5494B592"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To measure </w:t>
      </w:r>
      <w:r w:rsidRPr="00B301B0">
        <w:rPr>
          <w:i/>
          <w:iCs/>
          <w:kern w:val="0"/>
          <w:sz w:val="24"/>
          <w:szCs w:val="24"/>
        </w:rPr>
        <w:t>institutional distance</w:t>
      </w:r>
      <w:r w:rsidRPr="00B301B0">
        <w:rPr>
          <w:kern w:val="0"/>
          <w:sz w:val="24"/>
          <w:szCs w:val="24"/>
        </w:rPr>
        <w:t>, I follow prior studies (e.g., Contractor et al., 2014; Marano, Tashman &amp; Kostova, 2017) and match each home and host country to the world governance indicators (WGI) database (Kaufmann, Kraay &amp; Mastruzzi, 2006; Cuervo-Cazurra &amp; Genc, 2008; Rabbiosi &amp; Santangelo, 2018). I include all six dimensions of the WGI because the dimensions are highly correlated such that one factor explains 97% of the variance (Beugelsdijk, Nell &amp; Ambos, 2017; Rabbiosi &amp; Santangelo, 2018). I aggregate the six dimensions into one overall score for each country and then take the absolute difference between the aggregate scores of the home and host country, i.e., each country pair. A higher value indicates a higher institutional distance between the home and host country and, thus, a larger knowledge gap for the parent MNE managers. My measure of institutional distance is more strongly predicated on differences in formal institutions between the home and host country environments, but as expected, it is highly correlated with a measure of cultural distance (r = 0.51, p &lt; 0.01) calculated using the Kogut and Singh (1988) index. This pattern is consistent with prior IB studies highlighting the co-evolutionary nature of formal and informal institutions (Tung &amp; Verbeke, 2010; Zaheer, Schomaker &amp; Nachum, 2012), but there are clearly cases where the two measures may not align (Beugelsdijk, Ambos &amp; Nell, 2018). I explore the potential implications of this issue in a series of additional analyses below.</w:t>
      </w:r>
    </w:p>
    <w:p w14:paraId="68068C49" w14:textId="77777777" w:rsidR="00B301B0" w:rsidRPr="00B301B0" w:rsidRDefault="00B301B0" w:rsidP="00B301B0">
      <w:pPr>
        <w:widowControl/>
        <w:overflowPunct/>
        <w:autoSpaceDE/>
        <w:autoSpaceDN/>
        <w:adjustRightInd/>
        <w:spacing w:line="480" w:lineRule="auto"/>
        <w:ind w:left="720"/>
        <w:rPr>
          <w:b/>
          <w:bCs/>
          <w:i/>
          <w:iCs/>
          <w:kern w:val="0"/>
          <w:sz w:val="24"/>
          <w:szCs w:val="24"/>
        </w:rPr>
      </w:pPr>
    </w:p>
    <w:p w14:paraId="5E40BC16" w14:textId="77777777" w:rsidR="00B301B0" w:rsidRPr="00B301B0" w:rsidRDefault="00B301B0" w:rsidP="00B301B0">
      <w:pPr>
        <w:widowControl/>
        <w:overflowPunct/>
        <w:autoSpaceDE/>
        <w:autoSpaceDN/>
        <w:adjustRightInd/>
        <w:spacing w:line="480" w:lineRule="auto"/>
        <w:ind w:left="720"/>
        <w:rPr>
          <w:i/>
          <w:iCs/>
          <w:kern w:val="0"/>
          <w:sz w:val="24"/>
          <w:szCs w:val="24"/>
        </w:rPr>
      </w:pPr>
      <w:r w:rsidRPr="00B301B0">
        <w:rPr>
          <w:i/>
          <w:iCs/>
          <w:kern w:val="0"/>
          <w:sz w:val="24"/>
          <w:szCs w:val="24"/>
        </w:rPr>
        <w:t>Analytical technique</w:t>
      </w:r>
    </w:p>
    <w:p w14:paraId="747C8396"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bCs/>
          <w:kern w:val="0"/>
          <w:sz w:val="24"/>
          <w:szCs w:val="24"/>
        </w:rPr>
        <w:t xml:space="preserve">To effectively test my hypotheses, </w:t>
      </w:r>
      <w:r w:rsidRPr="00B301B0">
        <w:rPr>
          <w:kern w:val="0"/>
          <w:sz w:val="24"/>
          <w:szCs w:val="24"/>
        </w:rPr>
        <w:t xml:space="preserve">I use fsQCA (Ragin &amp; Fiss, 2016) whereby I assess the extent to which the membership of cases (i.e., subsidiaries) in causal conditions (i.e., autonomy, R&amp;D and consultants, and institutional distance) relates to their membership in the outcome (i.e., product innovation). Based on Boolean algebra, this set-theoretic technique allows for both conjunctural causation, in which I examine the causal conditions in concert rather than individually, and equifinality, whereby more than one configuration of causal conditions can lead to the same outcome. These features accommodate the complementarity and substitution effects implied by my theorizing and allow for configurations of autonomy, R&amp;D and consultants, and institutional distance to emerge from the data. FsQCA </w:t>
      </w:r>
      <w:r w:rsidRPr="00B301B0">
        <w:rPr>
          <w:kern w:val="0"/>
          <w:sz w:val="24"/>
          <w:szCs w:val="24"/>
          <w:lang w:val="en-GB"/>
        </w:rPr>
        <w:t xml:space="preserve">assumes complex causality </w:t>
      </w:r>
      <w:r w:rsidRPr="00B301B0">
        <w:rPr>
          <w:kern w:val="0"/>
          <w:sz w:val="24"/>
          <w:szCs w:val="24"/>
        </w:rPr>
        <w:t>and nonlinear relationships</w:t>
      </w:r>
      <w:r w:rsidRPr="00B301B0">
        <w:rPr>
          <w:kern w:val="0"/>
          <w:sz w:val="24"/>
          <w:szCs w:val="24"/>
          <w:lang w:val="en-GB"/>
        </w:rPr>
        <w:t xml:space="preserve"> (Fiss, 2007), and is thus better suited for my study than regression modelling, which assumes singular causality and generally does not handle well interaction terms involving more than three variables (Fiss, 2011).</w:t>
      </w:r>
      <w:r w:rsidRPr="00B301B0">
        <w:rPr>
          <w:kern w:val="0"/>
          <w:sz w:val="24"/>
          <w:szCs w:val="24"/>
        </w:rPr>
        <w:t xml:space="preserve"> My hypotheses would require four-way interactions in a logit model, but such interactions are very difficult to interpret even when statistical power is adequate. As a set-theoretic technique, fsQCA is able to effectively analyze medium-N samples sizes (Misangyi et al., 2017), further making it a viable technique for this study.</w:t>
      </w:r>
    </w:p>
    <w:p w14:paraId="67D10B66" w14:textId="77777777" w:rsidR="00B301B0" w:rsidRPr="00B301B0" w:rsidRDefault="00B301B0" w:rsidP="00B301B0">
      <w:pPr>
        <w:widowControl/>
        <w:tabs>
          <w:tab w:val="left" w:pos="630"/>
        </w:tabs>
        <w:overflowPunct/>
        <w:autoSpaceDE/>
        <w:autoSpaceDN/>
        <w:adjustRightInd/>
        <w:spacing w:line="480" w:lineRule="auto"/>
        <w:ind w:left="720"/>
        <w:rPr>
          <w:kern w:val="0"/>
          <w:sz w:val="24"/>
          <w:szCs w:val="24"/>
        </w:rPr>
      </w:pPr>
      <w:r w:rsidRPr="00B301B0">
        <w:rPr>
          <w:kern w:val="0"/>
          <w:sz w:val="24"/>
          <w:szCs w:val="24"/>
        </w:rPr>
        <w:tab/>
        <w:t xml:space="preserve">Before conducting fsQCA, it is necessary to calibrate the raw data into conditions by assigning membership scores over the interval [0, 1]. A score of 0.00 indicates full exclusion from a set (i.e., complete non-membership), while a score of 1.00 indicates full inclusion (i.e., complete membership), and a score of 0.50 indicates the crossover point at which it is not clear whether a condition is present or absent. </w:t>
      </w:r>
      <w:r w:rsidRPr="00B301B0">
        <w:rPr>
          <w:i/>
          <w:iCs/>
          <w:kern w:val="0"/>
          <w:sz w:val="24"/>
          <w:szCs w:val="24"/>
        </w:rPr>
        <w:t>Product innovation</w:t>
      </w:r>
      <w:r w:rsidRPr="00B301B0">
        <w:rPr>
          <w:kern w:val="0"/>
          <w:sz w:val="24"/>
          <w:szCs w:val="24"/>
        </w:rPr>
        <w:t xml:space="preserve">, </w:t>
      </w:r>
      <w:r w:rsidRPr="00B301B0">
        <w:rPr>
          <w:i/>
          <w:iCs/>
          <w:kern w:val="0"/>
          <w:sz w:val="24"/>
          <w:szCs w:val="24"/>
        </w:rPr>
        <w:t>R&amp;D</w:t>
      </w:r>
      <w:r w:rsidRPr="00B301B0">
        <w:rPr>
          <w:kern w:val="0"/>
          <w:sz w:val="24"/>
          <w:szCs w:val="24"/>
        </w:rPr>
        <w:t xml:space="preserve">, and the use of </w:t>
      </w:r>
      <w:r w:rsidRPr="00B301B0">
        <w:rPr>
          <w:i/>
          <w:iCs/>
          <w:kern w:val="0"/>
          <w:sz w:val="24"/>
          <w:szCs w:val="24"/>
        </w:rPr>
        <w:t>consultants</w:t>
      </w:r>
      <w:r w:rsidRPr="00B301B0">
        <w:rPr>
          <w:kern w:val="0"/>
          <w:sz w:val="24"/>
          <w:szCs w:val="24"/>
        </w:rPr>
        <w:t xml:space="preserve"> are dichotomous variables, so I calibrated the subsidiaries as either full members or full non-members of each condition. </w:t>
      </w:r>
      <w:r w:rsidRPr="00B301B0">
        <w:rPr>
          <w:i/>
          <w:iCs/>
          <w:kern w:val="0"/>
          <w:sz w:val="24"/>
          <w:szCs w:val="24"/>
        </w:rPr>
        <w:t>Subsidiary autonomy</w:t>
      </w:r>
      <w:r w:rsidRPr="00B301B0">
        <w:rPr>
          <w:kern w:val="0"/>
          <w:sz w:val="24"/>
          <w:szCs w:val="24"/>
        </w:rPr>
        <w:t xml:space="preserve"> is a multi-item construct, but all items are made dichotomous and represent aspects of product-related decisions. I therefore consider that the degree of autonomy might be reflected in the number of aspects under the perusal of the subsidiary. Because I have three items, such an approach suggests a natural grouping (Pajunen, 2008): subsidiaries that have autonomy in all three aspects (calibrated as 1.00), subsidiaries that have autonomy in two aspects (calibrated as 0.66), subsidiaries that have autonomy in one aspect (calibrated as 0.33), and subsidiaries that have no autonomy in any aspect (calibrated as 0.00). Such an approach allows for gradation in the autonomy condition and provides a theoretically viable solution to capturing differences between highly and mostly autonomous subsidiaries versus controlled and mostly controlled subsidiaries. </w:t>
      </w:r>
    </w:p>
    <w:p w14:paraId="59AF3646"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Finally, </w:t>
      </w:r>
      <w:r w:rsidRPr="00B301B0">
        <w:rPr>
          <w:i/>
          <w:iCs/>
          <w:kern w:val="0"/>
          <w:sz w:val="24"/>
          <w:szCs w:val="24"/>
        </w:rPr>
        <w:t>institutional distance</w:t>
      </w:r>
      <w:r w:rsidRPr="00B301B0">
        <w:rPr>
          <w:kern w:val="0"/>
          <w:sz w:val="24"/>
          <w:szCs w:val="24"/>
        </w:rPr>
        <w:t xml:space="preserve"> is based on a continuous variable that does not lend itself to natural calibration anchors, so I followed prior studies utilizing the direct approach in such instances (e.g., Ragin, 2008; Fiss, 2011; Lewellyn &amp; Fainshmidt, 2017). The “direct method” of calibration suggested by Ragin (2008) allows for the three qualitative anchors that structure fuzzy sets: the threshold for full membership, the threshold for full non-membership, and the crossover point. Namely, I used the 75</w:t>
      </w:r>
      <w:r w:rsidRPr="00B301B0">
        <w:rPr>
          <w:kern w:val="0"/>
          <w:sz w:val="24"/>
          <w:szCs w:val="24"/>
          <w:vertAlign w:val="superscript"/>
        </w:rPr>
        <w:t>th</w:t>
      </w:r>
      <w:r w:rsidRPr="00B301B0">
        <w:rPr>
          <w:kern w:val="0"/>
          <w:sz w:val="24"/>
          <w:szCs w:val="24"/>
        </w:rPr>
        <w:t xml:space="preserve"> percentile to denote full membership, the average as the crossover point, and the 25</w:t>
      </w:r>
      <w:r w:rsidRPr="00B301B0">
        <w:rPr>
          <w:kern w:val="0"/>
          <w:sz w:val="24"/>
          <w:szCs w:val="24"/>
          <w:vertAlign w:val="superscript"/>
        </w:rPr>
        <w:t>th</w:t>
      </w:r>
      <w:r w:rsidRPr="00B301B0">
        <w:rPr>
          <w:kern w:val="0"/>
          <w:sz w:val="24"/>
          <w:szCs w:val="24"/>
        </w:rPr>
        <w:t xml:space="preserve"> percentile to denote non-membership. Examining the calibrated data, I observe that the distinction between membership and non-membership in this condition is consistent with theoretical expectations and prior research. For instance, Germany-India is calibrated as 1.00 (dissimilar), Poland-Germany as 0.46, and Russia-Belarus as 0.02 (similar).</w:t>
      </w:r>
    </w:p>
    <w:p w14:paraId="31C1FCB0"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Note, I do not include control variables in my model, as the notion of controls that compete to explain variance in an outcome variable is not salient in techniques based on Boolean Algebra. Here, “conditions are included if and only if they are considered to be among the chief causes of the outcome” (Schneider &amp; Eggert, 2014: 324). If I were to include “controls” as done so in traditional regression analyses, this may actually be problematic by increasing the complexity of the model and thus obfuscating the results. Keeping the number of causal conditions low does not hurt the explanatory validity of the model and is often desirable (Fiss, Sharapov &amp; Cronqvist, 2013). </w:t>
      </w:r>
    </w:p>
    <w:p w14:paraId="7A07BCEF" w14:textId="77777777" w:rsidR="00B301B0" w:rsidRPr="00B301B0" w:rsidRDefault="00B301B0" w:rsidP="00B301B0">
      <w:pPr>
        <w:widowControl/>
        <w:tabs>
          <w:tab w:val="left" w:pos="630"/>
        </w:tabs>
        <w:overflowPunct/>
        <w:autoSpaceDE/>
        <w:autoSpaceDN/>
        <w:adjustRightInd/>
        <w:spacing w:line="480" w:lineRule="auto"/>
        <w:ind w:left="720"/>
        <w:rPr>
          <w:kern w:val="0"/>
          <w:sz w:val="24"/>
          <w:szCs w:val="24"/>
        </w:rPr>
      </w:pPr>
      <w:r w:rsidRPr="00B301B0">
        <w:rPr>
          <w:kern w:val="0"/>
          <w:sz w:val="24"/>
          <w:szCs w:val="24"/>
        </w:rPr>
        <w:tab/>
        <w:t xml:space="preserve">In the next step, fsQCA requires the determination of a minimum level of membership in the outcome needed for a configuration to be said to exhibit that outcome (consistency threshold). I use 0.80 as the consistency threshold, in line with prior literature (Bell, Filatotchev, &amp; Aguilera, 2014). I observe a sharp drop of ten points in consistency between 0.83 and 0.73, providing additional support for using 0.80 to distinguish between cases consistent versus not consistent with the outcome (Crilly, 2011). I also specify that configurations exhibit a PRI consistency higher than 0.80 to be coded as exhibiting the outcome (Schneider &amp; Wagemann, 2012). Next, I determine a minimum number of cases per configuration (frequency cutoff) for a configuration of causal conditions to be considered in the analysis. I set the frequency threshold to three in order to ensure the configurations I identify are not spurious. This frequency is appropriate for my medium sample size and allows us to capture 94% of the cases, which is in line with recommendations to capture at least 75% of the truth table (Ragin, 2009). In other words, each possible configuration must have at least three representative cases (i.e., three subsidiaries) in order to qualify for further analysis. In Table 2, I present a nested truth table that shows all possible configurations, their frequency, and consistency with the outcome. </w:t>
      </w:r>
    </w:p>
    <w:p w14:paraId="15E8043A"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p>
    <w:p w14:paraId="00F6F207"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r w:rsidRPr="00B301B0">
        <w:rPr>
          <w:i/>
          <w:kern w:val="0"/>
          <w:sz w:val="24"/>
          <w:szCs w:val="24"/>
        </w:rPr>
        <w:t>---Insert Table 2 here---</w:t>
      </w:r>
    </w:p>
    <w:p w14:paraId="1CAF9890"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177C91A0" w14:textId="77777777" w:rsidR="00B301B0" w:rsidRPr="00B301B0" w:rsidRDefault="00B301B0" w:rsidP="00B301B0">
      <w:pPr>
        <w:widowControl/>
        <w:overflowPunct/>
        <w:autoSpaceDE/>
        <w:autoSpaceDN/>
        <w:adjustRightInd/>
        <w:spacing w:line="480" w:lineRule="auto"/>
        <w:ind w:left="720"/>
        <w:jc w:val="center"/>
        <w:rPr>
          <w:bCs/>
          <w:kern w:val="0"/>
          <w:sz w:val="24"/>
          <w:szCs w:val="24"/>
        </w:rPr>
      </w:pPr>
      <w:r w:rsidRPr="00B301B0">
        <w:rPr>
          <w:bCs/>
          <w:kern w:val="0"/>
          <w:sz w:val="24"/>
          <w:szCs w:val="24"/>
        </w:rPr>
        <w:t>ANALYSES AND RESULTS</w:t>
      </w:r>
    </w:p>
    <w:p w14:paraId="20EB66C7"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I first conducted a Necessity Analysis to examine whether any of the causal conditions are </w:t>
      </w:r>
      <w:r w:rsidRPr="00B301B0">
        <w:rPr>
          <w:i/>
          <w:iCs/>
          <w:kern w:val="0"/>
          <w:sz w:val="24"/>
          <w:szCs w:val="24"/>
        </w:rPr>
        <w:t>necessary</w:t>
      </w:r>
      <w:r w:rsidRPr="00B301B0">
        <w:rPr>
          <w:kern w:val="0"/>
          <w:sz w:val="24"/>
          <w:szCs w:val="24"/>
        </w:rPr>
        <w:t xml:space="preserve"> for the outcome. Necessity is determined by the extent to which the outcome is a subset of the causal condition; that is, a given causal condition must be in place to produce the outcome (Ragin, 2006). A causal condition is said to be “almost always necessary” for a given outcome if the consistency value exceeds 0.90 (Schneider &amp; Wagemann, 2012). Results indicate that neither the presence nor the absence of any causal condition is necessary for achieving </w:t>
      </w:r>
      <w:r w:rsidRPr="00B301B0">
        <w:rPr>
          <w:i/>
          <w:iCs/>
          <w:kern w:val="0"/>
          <w:sz w:val="24"/>
          <w:szCs w:val="24"/>
        </w:rPr>
        <w:t>product innovation</w:t>
      </w:r>
      <w:r w:rsidRPr="00B301B0">
        <w:rPr>
          <w:kern w:val="0"/>
          <w:sz w:val="24"/>
          <w:szCs w:val="24"/>
        </w:rPr>
        <w:t xml:space="preserve">, highlighting the appropriateness of a configurational approach and providing evidence for my assertion that autonomy may not be necessary for product innovation. </w:t>
      </w:r>
    </w:p>
    <w:p w14:paraId="01D2B29B"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bCs/>
          <w:kern w:val="0"/>
          <w:sz w:val="24"/>
          <w:szCs w:val="24"/>
        </w:rPr>
        <w:t xml:space="preserve">I then conducted the Sufficiency Analysis to identify the combinations of conditions that are sufficient for the outcome to occur. </w:t>
      </w:r>
      <w:r w:rsidRPr="00B301B0">
        <w:rPr>
          <w:kern w:val="0"/>
          <w:sz w:val="24"/>
          <w:szCs w:val="24"/>
        </w:rPr>
        <w:t xml:space="preserve">Sufficiency is determined by the extent to which a given combination of causal conditions is a subset of the outcome (Ragin, 2006). </w:t>
      </w:r>
      <w:r w:rsidRPr="00B301B0">
        <w:rPr>
          <w:bCs/>
          <w:kern w:val="0"/>
          <w:sz w:val="24"/>
          <w:szCs w:val="24"/>
        </w:rPr>
        <w:t xml:space="preserve">I display the intermediate solution, which is appropriate when theory or substantive knowledge suggests relationships (i.e., directionality) between the causal conditions and outcome. By specifying the expected relationships </w:t>
      </w:r>
      <w:r w:rsidRPr="00B301B0">
        <w:rPr>
          <w:bCs/>
          <w:iCs/>
          <w:kern w:val="0"/>
          <w:sz w:val="24"/>
          <w:szCs w:val="24"/>
        </w:rPr>
        <w:t xml:space="preserve">prior to the analysis, </w:t>
      </w:r>
      <w:r w:rsidRPr="00B301B0">
        <w:rPr>
          <w:bCs/>
          <w:kern w:val="0"/>
          <w:sz w:val="24"/>
          <w:szCs w:val="24"/>
        </w:rPr>
        <w:t xml:space="preserve">the solution may be simplified using the assumption that adding a redundant causal condition to a configuration already linked to the </w:t>
      </w:r>
      <w:r w:rsidRPr="00B301B0">
        <w:rPr>
          <w:kern w:val="0"/>
          <w:sz w:val="24"/>
          <w:szCs w:val="24"/>
        </w:rPr>
        <w:t xml:space="preserve">outcome </w:t>
      </w:r>
      <w:r w:rsidRPr="00B301B0">
        <w:rPr>
          <w:bCs/>
          <w:kern w:val="0"/>
          <w:sz w:val="24"/>
          <w:szCs w:val="24"/>
        </w:rPr>
        <w:t>would still produce that outcome (Ragin &amp; Sonnett, 2005). In this study, the presence of no single condition “should be” associated with the outcome based on prior theory</w:t>
      </w:r>
      <w:r w:rsidRPr="00B301B0">
        <w:rPr>
          <w:kern w:val="0"/>
          <w:sz w:val="24"/>
          <w:szCs w:val="24"/>
        </w:rPr>
        <w:t xml:space="preserve">. Hence, the intermediate solution is equal to the complex solution.  </w:t>
      </w:r>
    </w:p>
    <w:p w14:paraId="0B1A9906" w14:textId="77777777" w:rsidR="00B301B0" w:rsidRPr="00B301B0" w:rsidRDefault="00B301B0" w:rsidP="00B301B0">
      <w:pPr>
        <w:widowControl/>
        <w:overflowPunct/>
        <w:autoSpaceDE/>
        <w:autoSpaceDN/>
        <w:adjustRightInd/>
        <w:spacing w:line="480" w:lineRule="auto"/>
        <w:ind w:left="720" w:firstLine="720"/>
        <w:rPr>
          <w:bCs/>
          <w:kern w:val="0"/>
          <w:sz w:val="24"/>
          <w:szCs w:val="24"/>
        </w:rPr>
      </w:pPr>
      <w:r w:rsidRPr="00B301B0">
        <w:rPr>
          <w:bCs/>
          <w:kern w:val="0"/>
          <w:sz w:val="24"/>
          <w:szCs w:val="24"/>
        </w:rPr>
        <w:t>I also utilize the parsimonious solution to distinguish core from peripheral conditions. The parsimonious solution is a further simplified solution relying on ‘difficult counterfactuals.’ Whereas ‘easy counterfactuals’ reduce the complex solution to the intermediate solution by including remainders consistent with theory, ‘difficult counterfactuals,’ on the other hand, make no such distinction and reduce the data regardless of researchers’ assumptions, producing the most concise and simplified way to express the solution (Grandori &amp; Furnari, 2013). For core conditions, there is a strong set relationship between these conditions and the outcome that would be highly unlikely to be reduced in the face of additional information. However, as Dwivedi, Joshi, and Misangyi (2018: 390) note, “an interpretation of core conditions as being theoretically more important than contributing conditions is only relevant when one a priori theorizes about such a distinction… Therefore, I denote this distinction for transparency, but do not distinguish between the conditions in my theoretical interpretations.”</w:t>
      </w:r>
    </w:p>
    <w:p w14:paraId="166D3990" w14:textId="77777777" w:rsidR="00B301B0" w:rsidRPr="00B301B0" w:rsidRDefault="00B301B0" w:rsidP="00B301B0">
      <w:pPr>
        <w:widowControl/>
        <w:overflowPunct/>
        <w:autoSpaceDE/>
        <w:autoSpaceDN/>
        <w:adjustRightInd/>
        <w:spacing w:line="480" w:lineRule="auto"/>
        <w:ind w:left="720"/>
        <w:rPr>
          <w:b/>
          <w:bCs/>
          <w:i/>
          <w:kern w:val="0"/>
          <w:sz w:val="24"/>
          <w:szCs w:val="24"/>
        </w:rPr>
      </w:pPr>
    </w:p>
    <w:p w14:paraId="774608E0" w14:textId="77777777" w:rsidR="00B301B0" w:rsidRPr="00B301B0" w:rsidRDefault="00B301B0" w:rsidP="00B301B0">
      <w:pPr>
        <w:widowControl/>
        <w:overflowPunct/>
        <w:autoSpaceDE/>
        <w:autoSpaceDN/>
        <w:adjustRightInd/>
        <w:spacing w:line="480" w:lineRule="auto"/>
        <w:ind w:left="720"/>
        <w:rPr>
          <w:i/>
          <w:kern w:val="0"/>
          <w:sz w:val="24"/>
          <w:szCs w:val="24"/>
        </w:rPr>
      </w:pPr>
      <w:r w:rsidRPr="00B301B0">
        <w:rPr>
          <w:i/>
          <w:kern w:val="0"/>
          <w:sz w:val="24"/>
          <w:szCs w:val="24"/>
        </w:rPr>
        <w:t>Main results</w:t>
      </w:r>
    </w:p>
    <w:p w14:paraId="54CF823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In Table 3 I present my main findings. My results yield three configurations that are sufficient for the presence of </w:t>
      </w:r>
      <w:r w:rsidRPr="00B301B0">
        <w:rPr>
          <w:i/>
          <w:kern w:val="0"/>
          <w:sz w:val="24"/>
          <w:szCs w:val="24"/>
        </w:rPr>
        <w:t>product innovation</w:t>
      </w:r>
      <w:r w:rsidRPr="00B301B0">
        <w:rPr>
          <w:kern w:val="0"/>
          <w:sz w:val="24"/>
          <w:szCs w:val="24"/>
        </w:rPr>
        <w:t xml:space="preserve">. In Configuration 1 (C1), </w:t>
      </w:r>
      <w:r w:rsidRPr="00B301B0">
        <w:rPr>
          <w:i/>
          <w:kern w:val="0"/>
          <w:sz w:val="24"/>
          <w:szCs w:val="24"/>
        </w:rPr>
        <w:t>subsidiary autonomy</w:t>
      </w:r>
      <w:r w:rsidRPr="00B301B0">
        <w:rPr>
          <w:kern w:val="0"/>
          <w:sz w:val="24"/>
          <w:szCs w:val="24"/>
        </w:rPr>
        <w:t xml:space="preserve"> and </w:t>
      </w:r>
      <w:r w:rsidRPr="00B301B0">
        <w:rPr>
          <w:i/>
          <w:kern w:val="0"/>
          <w:sz w:val="24"/>
          <w:szCs w:val="24"/>
        </w:rPr>
        <w:t xml:space="preserve">R&amp;D </w:t>
      </w:r>
      <w:r w:rsidRPr="00B301B0">
        <w:rPr>
          <w:iCs/>
          <w:kern w:val="0"/>
          <w:sz w:val="24"/>
          <w:szCs w:val="24"/>
        </w:rPr>
        <w:t xml:space="preserve">are associated with </w:t>
      </w:r>
      <w:r w:rsidRPr="00B301B0">
        <w:rPr>
          <w:i/>
          <w:iCs/>
          <w:kern w:val="0"/>
          <w:sz w:val="24"/>
          <w:szCs w:val="24"/>
        </w:rPr>
        <w:t>product innovation</w:t>
      </w:r>
      <w:r w:rsidRPr="00B301B0">
        <w:rPr>
          <w:iCs/>
          <w:kern w:val="0"/>
          <w:sz w:val="24"/>
          <w:szCs w:val="24"/>
        </w:rPr>
        <w:t xml:space="preserve">, while </w:t>
      </w:r>
      <w:r w:rsidRPr="00B301B0">
        <w:rPr>
          <w:i/>
          <w:kern w:val="0"/>
          <w:sz w:val="24"/>
          <w:szCs w:val="24"/>
        </w:rPr>
        <w:t>institutional distance</w:t>
      </w:r>
      <w:r w:rsidRPr="00B301B0">
        <w:rPr>
          <w:iCs/>
          <w:kern w:val="0"/>
          <w:sz w:val="24"/>
          <w:szCs w:val="24"/>
        </w:rPr>
        <w:t xml:space="preserve"> and the use of </w:t>
      </w:r>
      <w:r w:rsidRPr="00B301B0">
        <w:rPr>
          <w:i/>
          <w:kern w:val="0"/>
          <w:sz w:val="24"/>
          <w:szCs w:val="24"/>
        </w:rPr>
        <w:t>consultants</w:t>
      </w:r>
      <w:r w:rsidRPr="00B301B0">
        <w:rPr>
          <w:iCs/>
          <w:kern w:val="0"/>
          <w:sz w:val="24"/>
          <w:szCs w:val="24"/>
        </w:rPr>
        <w:t xml:space="preserve"> may be present or absent</w:t>
      </w:r>
      <w:r w:rsidRPr="00B301B0">
        <w:rPr>
          <w:kern w:val="0"/>
          <w:sz w:val="24"/>
          <w:szCs w:val="24"/>
        </w:rPr>
        <w:t xml:space="preserve">. Configuration 2 (C2) contains the absence of </w:t>
      </w:r>
      <w:r w:rsidRPr="00B301B0">
        <w:rPr>
          <w:i/>
          <w:kern w:val="0"/>
          <w:sz w:val="24"/>
          <w:szCs w:val="24"/>
        </w:rPr>
        <w:t>subsidiary autonomy</w:t>
      </w:r>
      <w:r w:rsidRPr="00B301B0">
        <w:rPr>
          <w:kern w:val="0"/>
          <w:sz w:val="24"/>
          <w:szCs w:val="24"/>
        </w:rPr>
        <w:t xml:space="preserve"> and </w:t>
      </w:r>
      <w:r w:rsidRPr="00B301B0">
        <w:rPr>
          <w:i/>
          <w:kern w:val="0"/>
          <w:sz w:val="24"/>
          <w:szCs w:val="24"/>
        </w:rPr>
        <w:t>institutional distance</w:t>
      </w:r>
      <w:r w:rsidRPr="00B301B0">
        <w:rPr>
          <w:kern w:val="0"/>
          <w:sz w:val="24"/>
          <w:szCs w:val="24"/>
        </w:rPr>
        <w:t xml:space="preserve">, the presence of </w:t>
      </w:r>
      <w:r w:rsidRPr="00B301B0">
        <w:rPr>
          <w:i/>
          <w:kern w:val="0"/>
          <w:sz w:val="24"/>
          <w:szCs w:val="24"/>
        </w:rPr>
        <w:t>consultants</w:t>
      </w:r>
      <w:r w:rsidRPr="00B301B0">
        <w:rPr>
          <w:kern w:val="0"/>
          <w:sz w:val="24"/>
          <w:szCs w:val="24"/>
        </w:rPr>
        <w:t xml:space="preserve"> and either the presence or absence of </w:t>
      </w:r>
      <w:r w:rsidRPr="00B301B0">
        <w:rPr>
          <w:i/>
          <w:kern w:val="0"/>
          <w:sz w:val="24"/>
          <w:szCs w:val="24"/>
        </w:rPr>
        <w:t>R&amp;D</w:t>
      </w:r>
      <w:r w:rsidRPr="00B301B0">
        <w:rPr>
          <w:kern w:val="0"/>
          <w:sz w:val="24"/>
          <w:szCs w:val="24"/>
        </w:rPr>
        <w:t xml:space="preserve">. Configuration 3 (C3) contains the absence of </w:t>
      </w:r>
      <w:r w:rsidRPr="00B301B0">
        <w:rPr>
          <w:i/>
          <w:kern w:val="0"/>
          <w:sz w:val="24"/>
          <w:szCs w:val="24"/>
        </w:rPr>
        <w:t>subsidiary autonomy,</w:t>
      </w:r>
      <w:r w:rsidRPr="00B301B0">
        <w:rPr>
          <w:kern w:val="0"/>
          <w:sz w:val="24"/>
          <w:szCs w:val="24"/>
        </w:rPr>
        <w:t xml:space="preserve"> </w:t>
      </w:r>
      <w:r w:rsidRPr="00B301B0">
        <w:rPr>
          <w:i/>
          <w:kern w:val="0"/>
          <w:sz w:val="24"/>
          <w:szCs w:val="24"/>
        </w:rPr>
        <w:t>R&amp;D</w:t>
      </w:r>
      <w:r w:rsidRPr="00B301B0">
        <w:rPr>
          <w:kern w:val="0"/>
          <w:sz w:val="24"/>
          <w:szCs w:val="24"/>
        </w:rPr>
        <w:t xml:space="preserve">, and </w:t>
      </w:r>
      <w:r w:rsidRPr="00B301B0">
        <w:rPr>
          <w:i/>
          <w:kern w:val="0"/>
          <w:sz w:val="24"/>
          <w:szCs w:val="24"/>
        </w:rPr>
        <w:t>consultants</w:t>
      </w:r>
      <w:r w:rsidRPr="00B301B0">
        <w:rPr>
          <w:kern w:val="0"/>
          <w:sz w:val="24"/>
          <w:szCs w:val="24"/>
        </w:rPr>
        <w:t xml:space="preserve">, while </w:t>
      </w:r>
      <w:r w:rsidRPr="00B301B0">
        <w:rPr>
          <w:i/>
          <w:kern w:val="0"/>
          <w:sz w:val="24"/>
          <w:szCs w:val="24"/>
        </w:rPr>
        <w:t>institutional distance</w:t>
      </w:r>
      <w:r w:rsidRPr="00B301B0">
        <w:rPr>
          <w:kern w:val="0"/>
          <w:sz w:val="24"/>
          <w:szCs w:val="24"/>
        </w:rPr>
        <w:t xml:space="preserve"> is present. </w:t>
      </w:r>
    </w:p>
    <w:p w14:paraId="37C285B7"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i/>
          <w:kern w:val="0"/>
          <w:sz w:val="24"/>
          <w:szCs w:val="24"/>
        </w:rPr>
        <w:t>---Insert Table 3 here---</w:t>
      </w:r>
    </w:p>
    <w:p w14:paraId="3C90973F"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The solution has an overall 0.72 level of coverage and 0.90 level of consistency. </w:t>
      </w:r>
      <w:r w:rsidRPr="00B301B0">
        <w:rPr>
          <w:bCs/>
          <w:kern w:val="0"/>
          <w:sz w:val="24"/>
          <w:szCs w:val="24"/>
        </w:rPr>
        <w:t xml:space="preserve">These fit statistics indicate that the configurations account for, or ‘cover,’ 72% of subsidiaries who are members in the outcome and lead to the outcome 90% of the time they are in place. In other words, </w:t>
      </w:r>
      <w:r w:rsidRPr="00B301B0">
        <w:rPr>
          <w:kern w:val="0"/>
          <w:sz w:val="24"/>
          <w:szCs w:val="24"/>
        </w:rPr>
        <w:t xml:space="preserve">the three identified configurations in Table 2 account for a substantial majority of innovative subsidiaries in my sample. Individually, C1 has a raw coverage of 0.35 and C2 a raw coverage of 0.29 with a consistency level of 0.95 and 0.87, respectively. Furthermore, their unique coverages are 0.34 and 0.27, suggesting that they are common pathways to the outcome and explain 63% of the membership in the outcome condition, </w:t>
      </w:r>
      <w:r w:rsidRPr="00B301B0">
        <w:rPr>
          <w:i/>
          <w:kern w:val="0"/>
          <w:sz w:val="24"/>
          <w:szCs w:val="24"/>
        </w:rPr>
        <w:t>product innovation</w:t>
      </w:r>
      <w:r w:rsidRPr="00B301B0">
        <w:rPr>
          <w:kern w:val="0"/>
          <w:sz w:val="24"/>
          <w:szCs w:val="24"/>
        </w:rPr>
        <w:t xml:space="preserve">. In comparison, C3 has a much lower raw and unique coverage of 0.09, with a 0.83 consistency level. These fit indicators suggest C3 is a less common and less consistent pathway to the outcome, compared to C1 and C2. </w:t>
      </w:r>
    </w:p>
    <w:p w14:paraId="1207169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Turning to my hypotheses, C1 and C2 speak to hypotheses 1 and 2. Considering C1 and</w:t>
      </w:r>
      <w:r w:rsidRPr="00B301B0">
        <w:rPr>
          <w:i/>
          <w:kern w:val="0"/>
          <w:sz w:val="24"/>
          <w:szCs w:val="24"/>
        </w:rPr>
        <w:t xml:space="preserve"> </w:t>
      </w:r>
      <w:r w:rsidRPr="00B301B0">
        <w:rPr>
          <w:kern w:val="0"/>
          <w:sz w:val="24"/>
          <w:szCs w:val="24"/>
        </w:rPr>
        <w:t xml:space="preserve">C2 together, when </w:t>
      </w:r>
      <w:r w:rsidRPr="00B301B0">
        <w:rPr>
          <w:i/>
          <w:kern w:val="0"/>
          <w:sz w:val="24"/>
          <w:szCs w:val="24"/>
        </w:rPr>
        <w:t xml:space="preserve">subsidiary autonomy </w:t>
      </w:r>
      <w:r w:rsidRPr="00B301B0">
        <w:rPr>
          <w:kern w:val="0"/>
          <w:sz w:val="24"/>
          <w:szCs w:val="24"/>
        </w:rPr>
        <w:t xml:space="preserve">is present, </w:t>
      </w:r>
      <w:r w:rsidRPr="00B301B0">
        <w:rPr>
          <w:i/>
          <w:kern w:val="0"/>
          <w:sz w:val="24"/>
          <w:szCs w:val="24"/>
        </w:rPr>
        <w:t>institutional distance</w:t>
      </w:r>
      <w:r w:rsidRPr="00B301B0">
        <w:rPr>
          <w:kern w:val="0"/>
          <w:sz w:val="24"/>
          <w:szCs w:val="24"/>
        </w:rPr>
        <w:t xml:space="preserve"> can be either present or absent (C1), however, when </w:t>
      </w:r>
      <w:r w:rsidRPr="00B301B0">
        <w:rPr>
          <w:i/>
          <w:kern w:val="0"/>
          <w:sz w:val="24"/>
          <w:szCs w:val="24"/>
        </w:rPr>
        <w:t xml:space="preserve">institutional distance </w:t>
      </w:r>
      <w:r w:rsidRPr="00B301B0">
        <w:rPr>
          <w:kern w:val="0"/>
          <w:sz w:val="24"/>
          <w:szCs w:val="24"/>
        </w:rPr>
        <w:t xml:space="preserve">is absent, </w:t>
      </w:r>
      <w:r w:rsidRPr="00B301B0">
        <w:rPr>
          <w:i/>
          <w:kern w:val="0"/>
          <w:sz w:val="24"/>
          <w:szCs w:val="24"/>
        </w:rPr>
        <w:t xml:space="preserve">subsidiary autonomy </w:t>
      </w:r>
      <w:r w:rsidRPr="00B301B0">
        <w:rPr>
          <w:kern w:val="0"/>
          <w:sz w:val="24"/>
          <w:szCs w:val="24"/>
        </w:rPr>
        <w:t xml:space="preserve">is also absent (C2). Furthermore, both configurations contain a knowledge source, namely </w:t>
      </w:r>
      <w:r w:rsidRPr="00B301B0">
        <w:rPr>
          <w:i/>
          <w:kern w:val="0"/>
          <w:sz w:val="24"/>
          <w:szCs w:val="24"/>
        </w:rPr>
        <w:t>R&amp;D</w:t>
      </w:r>
      <w:r w:rsidRPr="00B301B0">
        <w:rPr>
          <w:kern w:val="0"/>
          <w:sz w:val="24"/>
          <w:szCs w:val="24"/>
        </w:rPr>
        <w:t xml:space="preserve"> in C1 and </w:t>
      </w:r>
      <w:r w:rsidRPr="00B301B0">
        <w:rPr>
          <w:i/>
          <w:kern w:val="0"/>
          <w:sz w:val="24"/>
          <w:szCs w:val="24"/>
        </w:rPr>
        <w:t xml:space="preserve">consultants </w:t>
      </w:r>
      <w:r w:rsidRPr="00B301B0">
        <w:rPr>
          <w:kern w:val="0"/>
          <w:sz w:val="24"/>
          <w:szCs w:val="24"/>
        </w:rPr>
        <w:t xml:space="preserve">in C2. This pattern suggests that R&amp;D can work alongside autonomy to drive innovation in both institutionally distal and proximal host countries, but in proximal environments parent MNE control can lead to innovation as well when accompanied by the use of consultants. Consequently, autonomy is particularly valuable in distal environments and is associated with product innovation when complemented by subsidiary R&amp;D. However, because I hypothesize that consultants can be a functional substitute for R&amp;D in distal settings, I find only partial support for hypothesis 1. Next, in C2 I see the presence of </w:t>
      </w:r>
      <w:r w:rsidRPr="00B301B0">
        <w:rPr>
          <w:i/>
          <w:kern w:val="0"/>
          <w:sz w:val="24"/>
          <w:szCs w:val="24"/>
        </w:rPr>
        <w:t>consultants</w:t>
      </w:r>
      <w:r w:rsidRPr="00B301B0">
        <w:rPr>
          <w:kern w:val="0"/>
          <w:sz w:val="24"/>
          <w:szCs w:val="24"/>
        </w:rPr>
        <w:t xml:space="preserve"> and the absence of </w:t>
      </w:r>
      <w:r w:rsidRPr="00B301B0">
        <w:rPr>
          <w:i/>
          <w:kern w:val="0"/>
          <w:sz w:val="24"/>
          <w:szCs w:val="24"/>
        </w:rPr>
        <w:t xml:space="preserve">subsidiary autonomy </w:t>
      </w:r>
      <w:r w:rsidRPr="00B301B0">
        <w:rPr>
          <w:kern w:val="0"/>
          <w:sz w:val="24"/>
          <w:szCs w:val="24"/>
        </w:rPr>
        <w:t xml:space="preserve">and </w:t>
      </w:r>
      <w:r w:rsidRPr="00B301B0">
        <w:rPr>
          <w:i/>
          <w:kern w:val="0"/>
          <w:sz w:val="24"/>
          <w:szCs w:val="24"/>
        </w:rPr>
        <w:t>institutional distance</w:t>
      </w:r>
      <w:r w:rsidRPr="00B301B0">
        <w:rPr>
          <w:kern w:val="0"/>
          <w:sz w:val="24"/>
          <w:szCs w:val="24"/>
        </w:rPr>
        <w:t>, which supports hypothesis 2.</w:t>
      </w:r>
    </w:p>
    <w:p w14:paraId="34FA7C5E"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Finally, the pattern suggested by C3 is unexpected, as it suggests that decision making by the parent MNE among subsidiaries in an institutionally distal environment is associated with </w:t>
      </w:r>
      <w:r w:rsidRPr="00B301B0">
        <w:rPr>
          <w:i/>
          <w:kern w:val="0"/>
          <w:sz w:val="24"/>
          <w:szCs w:val="24"/>
        </w:rPr>
        <w:t>product innovation</w:t>
      </w:r>
      <w:r w:rsidRPr="00B301B0">
        <w:rPr>
          <w:kern w:val="0"/>
          <w:sz w:val="24"/>
          <w:szCs w:val="24"/>
        </w:rPr>
        <w:t xml:space="preserve">, and both knowledge sources are absent. Nonetheless, it is a possible pathway for a subsidiary to exhibit </w:t>
      </w:r>
      <w:r w:rsidRPr="00B301B0">
        <w:rPr>
          <w:i/>
          <w:kern w:val="0"/>
          <w:sz w:val="24"/>
          <w:szCs w:val="24"/>
        </w:rPr>
        <w:t>product innovation</w:t>
      </w:r>
      <w:r w:rsidRPr="00B301B0">
        <w:rPr>
          <w:kern w:val="0"/>
          <w:sz w:val="24"/>
          <w:szCs w:val="24"/>
        </w:rPr>
        <w:t xml:space="preserve"> in the absence of autonomy.</w:t>
      </w:r>
    </w:p>
    <w:p w14:paraId="0881F001" w14:textId="77777777" w:rsidR="00B301B0" w:rsidRPr="00B301B0" w:rsidRDefault="00B301B0" w:rsidP="00B301B0">
      <w:pPr>
        <w:widowControl/>
        <w:overflowPunct/>
        <w:autoSpaceDE/>
        <w:autoSpaceDN/>
        <w:adjustRightInd/>
        <w:spacing w:line="480" w:lineRule="auto"/>
        <w:ind w:left="720"/>
        <w:rPr>
          <w:b/>
          <w:i/>
          <w:iCs/>
          <w:kern w:val="0"/>
          <w:sz w:val="24"/>
          <w:szCs w:val="24"/>
        </w:rPr>
      </w:pPr>
    </w:p>
    <w:p w14:paraId="7BE0FF45" w14:textId="77777777" w:rsidR="00B301B0" w:rsidRPr="00B301B0" w:rsidRDefault="00B301B0" w:rsidP="00B301B0">
      <w:pPr>
        <w:widowControl/>
        <w:overflowPunct/>
        <w:autoSpaceDE/>
        <w:autoSpaceDN/>
        <w:adjustRightInd/>
        <w:spacing w:line="480" w:lineRule="auto"/>
        <w:ind w:left="720"/>
        <w:rPr>
          <w:bCs/>
          <w:i/>
          <w:iCs/>
          <w:kern w:val="0"/>
          <w:sz w:val="24"/>
          <w:szCs w:val="24"/>
        </w:rPr>
      </w:pPr>
      <w:r w:rsidRPr="00B301B0">
        <w:rPr>
          <w:bCs/>
          <w:i/>
          <w:iCs/>
          <w:kern w:val="0"/>
          <w:sz w:val="24"/>
          <w:szCs w:val="24"/>
        </w:rPr>
        <w:t>Additional analyses</w:t>
      </w:r>
    </w:p>
    <w:p w14:paraId="01AE0104"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 ran several additional tests to assess the stability (robustness) of my results and provide corroborating evidence.</w:t>
      </w:r>
      <w:r w:rsidRPr="00B301B0">
        <w:rPr>
          <w:kern w:val="0"/>
          <w:sz w:val="24"/>
          <w:szCs w:val="24"/>
          <w:vertAlign w:val="superscript"/>
        </w:rPr>
        <w:footnoteReference w:id="9"/>
      </w:r>
      <w:r w:rsidRPr="00B301B0">
        <w:rPr>
          <w:kern w:val="0"/>
          <w:sz w:val="24"/>
          <w:szCs w:val="24"/>
          <w:vertAlign w:val="superscript"/>
        </w:rPr>
        <w:t>1</w:t>
      </w:r>
      <w:r w:rsidRPr="00B301B0">
        <w:rPr>
          <w:kern w:val="0"/>
          <w:sz w:val="24"/>
          <w:szCs w:val="24"/>
        </w:rPr>
        <w:t xml:space="preserve"> First, I ran an additional sufficiency analysis using a frequency threshold of two cases, as opposed to three, to potentially cover more of the outcome and to assess the implications of my frequency threshold of three (Ragin, 2009). In doing so, I gain a slight improvement in solution coverage (3%). Importantly, however, the findings are analog to my main results with the exception of one additional configuration wherein </w:t>
      </w:r>
      <w:r w:rsidRPr="00B301B0">
        <w:rPr>
          <w:i/>
          <w:kern w:val="0"/>
          <w:sz w:val="24"/>
          <w:szCs w:val="24"/>
        </w:rPr>
        <w:t xml:space="preserve">subsidiary autonomy, consultants, </w:t>
      </w:r>
      <w:r w:rsidRPr="00B301B0">
        <w:rPr>
          <w:kern w:val="0"/>
          <w:sz w:val="24"/>
          <w:szCs w:val="24"/>
        </w:rPr>
        <w:t xml:space="preserve">and </w:t>
      </w:r>
      <w:r w:rsidRPr="00B301B0">
        <w:rPr>
          <w:i/>
          <w:kern w:val="0"/>
          <w:sz w:val="24"/>
          <w:szCs w:val="24"/>
        </w:rPr>
        <w:t xml:space="preserve">institutional distance </w:t>
      </w:r>
      <w:r w:rsidRPr="00B301B0">
        <w:rPr>
          <w:kern w:val="0"/>
          <w:sz w:val="24"/>
          <w:szCs w:val="24"/>
        </w:rPr>
        <w:t xml:space="preserve">are present. This configuration is consistent with hypothesis 1, indicating that when subsidiaries operate in institutional environments distal from the parent MNE, product innovation is associated with subsidiary autonomy alongside a knowledge source. It is also consistent with my theorizing that consultants may act as a functional substitute for R&amp;D. </w:t>
      </w:r>
    </w:p>
    <w:p w14:paraId="0B69AF2D"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Next, in my main analysis, I specified no easy counterfactuals, namely that no condition “should be” associated with the outcome (Ragin, 2006). Because some prior research suggests that R&amp;D (Phene &amp; Almeida, 2008) and autonomy (Beugelsdijk &amp; Jindra, 2018) can play a significant role in product innovation, I ran an additional test where I specify that these two conditions should contribute to the outcome when present. The results are nearly identical to the main solution. I do find a configuration where </w:t>
      </w:r>
      <w:r w:rsidRPr="00B301B0">
        <w:rPr>
          <w:i/>
          <w:kern w:val="0"/>
          <w:sz w:val="24"/>
          <w:szCs w:val="24"/>
        </w:rPr>
        <w:t xml:space="preserve">institutional distance </w:t>
      </w:r>
      <w:r w:rsidRPr="00B301B0">
        <w:rPr>
          <w:kern w:val="0"/>
          <w:sz w:val="24"/>
          <w:szCs w:val="24"/>
        </w:rPr>
        <w:t>is absent and the usage of consultants</w:t>
      </w:r>
      <w:r w:rsidRPr="00B301B0">
        <w:rPr>
          <w:i/>
          <w:kern w:val="0"/>
          <w:sz w:val="24"/>
          <w:szCs w:val="24"/>
        </w:rPr>
        <w:t xml:space="preserve"> </w:t>
      </w:r>
      <w:r w:rsidRPr="00B301B0">
        <w:rPr>
          <w:kern w:val="0"/>
          <w:sz w:val="24"/>
          <w:szCs w:val="24"/>
        </w:rPr>
        <w:t xml:space="preserve">is present, although in C2 (Table 2), </w:t>
      </w:r>
      <w:r w:rsidRPr="00B301B0">
        <w:rPr>
          <w:i/>
          <w:kern w:val="0"/>
          <w:sz w:val="24"/>
          <w:szCs w:val="24"/>
        </w:rPr>
        <w:t xml:space="preserve">subsidiary autonomy </w:t>
      </w:r>
      <w:r w:rsidRPr="00B301B0">
        <w:rPr>
          <w:kern w:val="0"/>
          <w:sz w:val="24"/>
          <w:szCs w:val="24"/>
        </w:rPr>
        <w:t xml:space="preserve">is absent. The absence of autonomy does not significantly alter the results and aligns with my theory which suggests that in institutional environments proximal to the parent MNE, the subsidiary needs to leverage knowledge from consultants or have local autonomy. Furthermore, I find that the presence of </w:t>
      </w:r>
      <w:r w:rsidRPr="00B301B0">
        <w:rPr>
          <w:i/>
          <w:kern w:val="0"/>
          <w:sz w:val="24"/>
          <w:szCs w:val="24"/>
        </w:rPr>
        <w:t xml:space="preserve">subsidiary autonomy </w:t>
      </w:r>
      <w:r w:rsidRPr="00B301B0">
        <w:rPr>
          <w:kern w:val="0"/>
          <w:sz w:val="24"/>
          <w:szCs w:val="24"/>
        </w:rPr>
        <w:t xml:space="preserve">and </w:t>
      </w:r>
      <w:r w:rsidRPr="00B301B0">
        <w:rPr>
          <w:i/>
          <w:kern w:val="0"/>
          <w:sz w:val="24"/>
          <w:szCs w:val="24"/>
        </w:rPr>
        <w:t xml:space="preserve">consultants </w:t>
      </w:r>
      <w:r w:rsidRPr="00B301B0">
        <w:rPr>
          <w:kern w:val="0"/>
          <w:sz w:val="24"/>
          <w:szCs w:val="24"/>
        </w:rPr>
        <w:t>leads to product innovation, which aligns with hypothesis 1 where autonomy needs to be complemented by either R&amp;D or consultants for product innovation.</w:t>
      </w:r>
    </w:p>
    <w:p w14:paraId="70721814"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I then ran a logit model predicting </w:t>
      </w:r>
      <w:r w:rsidRPr="00B301B0">
        <w:rPr>
          <w:i/>
          <w:kern w:val="0"/>
          <w:sz w:val="24"/>
          <w:szCs w:val="24"/>
        </w:rPr>
        <w:t>product innovation</w:t>
      </w:r>
      <w:r w:rsidRPr="00B301B0">
        <w:rPr>
          <w:kern w:val="0"/>
          <w:sz w:val="24"/>
          <w:szCs w:val="24"/>
        </w:rPr>
        <w:t xml:space="preserve"> using the four variables in my study. Results suggest that </w:t>
      </w:r>
      <w:r w:rsidRPr="00B301B0">
        <w:rPr>
          <w:i/>
          <w:kern w:val="0"/>
          <w:sz w:val="24"/>
          <w:szCs w:val="24"/>
        </w:rPr>
        <w:t>R&amp;D</w:t>
      </w:r>
      <w:r w:rsidRPr="00B301B0">
        <w:rPr>
          <w:kern w:val="0"/>
          <w:sz w:val="24"/>
          <w:szCs w:val="24"/>
        </w:rPr>
        <w:t xml:space="preserve"> is the relatively strongest predictor (β = 1.01, p = 0.15), however, none of the predictors are statistically significant (p &gt; 0.10). I then ran an additional logit regression while controlling for </w:t>
      </w:r>
      <w:r w:rsidRPr="00B301B0">
        <w:rPr>
          <w:i/>
          <w:kern w:val="0"/>
          <w:sz w:val="24"/>
          <w:szCs w:val="24"/>
        </w:rPr>
        <w:t>subsidiary size</w:t>
      </w:r>
      <w:r w:rsidRPr="00B301B0">
        <w:rPr>
          <w:kern w:val="0"/>
          <w:sz w:val="24"/>
          <w:szCs w:val="24"/>
        </w:rPr>
        <w:t xml:space="preserve"> (number of employees) and </w:t>
      </w:r>
      <w:r w:rsidRPr="00B301B0">
        <w:rPr>
          <w:i/>
          <w:kern w:val="0"/>
          <w:sz w:val="24"/>
          <w:szCs w:val="24"/>
        </w:rPr>
        <w:t xml:space="preserve">subsidiary age </w:t>
      </w:r>
      <w:r w:rsidRPr="00B301B0">
        <w:rPr>
          <w:iCs/>
          <w:kern w:val="0"/>
          <w:sz w:val="24"/>
          <w:szCs w:val="24"/>
        </w:rPr>
        <w:t>(years from establishment)</w:t>
      </w:r>
      <w:r w:rsidRPr="00B301B0">
        <w:rPr>
          <w:i/>
          <w:kern w:val="0"/>
          <w:sz w:val="24"/>
          <w:szCs w:val="24"/>
        </w:rPr>
        <w:t xml:space="preserve">, </w:t>
      </w:r>
      <w:r w:rsidRPr="00B301B0">
        <w:rPr>
          <w:kern w:val="0"/>
          <w:sz w:val="24"/>
          <w:szCs w:val="24"/>
        </w:rPr>
        <w:t>as</w:t>
      </w:r>
      <w:r w:rsidRPr="00B301B0">
        <w:rPr>
          <w:i/>
          <w:kern w:val="0"/>
          <w:sz w:val="24"/>
          <w:szCs w:val="24"/>
        </w:rPr>
        <w:t xml:space="preserve"> </w:t>
      </w:r>
      <w:r w:rsidRPr="00B301B0">
        <w:rPr>
          <w:kern w:val="0"/>
          <w:sz w:val="24"/>
          <w:szCs w:val="24"/>
        </w:rPr>
        <w:t xml:space="preserve">prior studies suggest that they might play a role in innovation (e.g., Golovko &amp; Valentini, 2014). Again, no predictor is statistically significant at conventional levels of 0.05. While these results may be related to the medium sample size, they suggest that the relationship between autonomy and product innovation is not straightforward and lends itself to a configurational approach, at least in my data. </w:t>
      </w:r>
    </w:p>
    <w:p w14:paraId="6412BA14"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Next, Beugelsdijk et al. (2018: 1113) argue that “the distance construct as well as its operationalization are continuously being debated in practice”. There are at times ‘polarizing’ opinions as to whether a cultural distance or an institutional distance measure is more appropriate (Tung &amp; Verbeke, 2010; Beugelsdijk et al., 2018). Because </w:t>
      </w:r>
      <w:r w:rsidRPr="00B301B0">
        <w:rPr>
          <w:iCs/>
          <w:kern w:val="0"/>
          <w:sz w:val="24"/>
          <w:szCs w:val="24"/>
        </w:rPr>
        <w:t>institutional distance</w:t>
      </w:r>
      <w:r w:rsidRPr="00B301B0">
        <w:rPr>
          <w:i/>
          <w:kern w:val="0"/>
          <w:sz w:val="24"/>
          <w:szCs w:val="24"/>
        </w:rPr>
        <w:t xml:space="preserve"> </w:t>
      </w:r>
      <w:r w:rsidRPr="00B301B0">
        <w:rPr>
          <w:kern w:val="0"/>
          <w:sz w:val="24"/>
          <w:szCs w:val="24"/>
        </w:rPr>
        <w:t xml:space="preserve">is a fairly broad construct, and the correlation between cultural and institutional distance suggests the two are not identical, I ran an additional sufficiency analysis with both </w:t>
      </w:r>
      <w:r w:rsidRPr="00B301B0">
        <w:rPr>
          <w:i/>
          <w:kern w:val="0"/>
          <w:sz w:val="24"/>
          <w:szCs w:val="24"/>
        </w:rPr>
        <w:t>cultural distance</w:t>
      </w:r>
      <w:r w:rsidRPr="00B301B0">
        <w:rPr>
          <w:kern w:val="0"/>
          <w:sz w:val="24"/>
          <w:szCs w:val="24"/>
        </w:rPr>
        <w:t xml:space="preserve"> and </w:t>
      </w:r>
      <w:r w:rsidRPr="00B301B0">
        <w:rPr>
          <w:i/>
          <w:kern w:val="0"/>
          <w:sz w:val="24"/>
          <w:szCs w:val="24"/>
        </w:rPr>
        <w:t>institutional distance</w:t>
      </w:r>
      <w:r w:rsidRPr="00B301B0">
        <w:rPr>
          <w:kern w:val="0"/>
          <w:sz w:val="24"/>
          <w:szCs w:val="24"/>
        </w:rPr>
        <w:t xml:space="preserve">. I find six configurations, as presented in Table 3. </w:t>
      </w:r>
    </w:p>
    <w:p w14:paraId="3D7987E1"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p>
    <w:p w14:paraId="7A5E8AD1"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r w:rsidRPr="00B301B0">
        <w:rPr>
          <w:i/>
          <w:kern w:val="0"/>
          <w:sz w:val="24"/>
          <w:szCs w:val="24"/>
        </w:rPr>
        <w:t>---Insert Table 3 here---</w:t>
      </w:r>
    </w:p>
    <w:p w14:paraId="18006A17"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p>
    <w:p w14:paraId="62F2B910"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C5 and C6 (Table 3) are analog to C1 in the main results (Table 2). In both cases, the results are consistent with my theorizing. C5 and C6 suggest that autonomy and R&amp;D are associated with product innovation when both distances are either high or low, consistent with C1. Next, C4, C7, and C8 (Table 3) are analog to C2 in the main results (Table 2). C4 is identical to C2, however, when adding </w:t>
      </w:r>
      <w:r w:rsidRPr="00B301B0">
        <w:rPr>
          <w:i/>
          <w:kern w:val="0"/>
          <w:sz w:val="24"/>
          <w:szCs w:val="24"/>
        </w:rPr>
        <w:t>cultural distance</w:t>
      </w:r>
      <w:r w:rsidRPr="00B301B0">
        <w:rPr>
          <w:kern w:val="0"/>
          <w:sz w:val="24"/>
          <w:szCs w:val="24"/>
        </w:rPr>
        <w:t xml:space="preserve">, C7 is similar to C2 with the exception that </w:t>
      </w:r>
      <w:r w:rsidRPr="00B301B0">
        <w:rPr>
          <w:i/>
          <w:kern w:val="0"/>
          <w:sz w:val="24"/>
          <w:szCs w:val="24"/>
        </w:rPr>
        <w:t>R&amp;D</w:t>
      </w:r>
      <w:r w:rsidRPr="00B301B0">
        <w:rPr>
          <w:kern w:val="0"/>
          <w:sz w:val="24"/>
          <w:szCs w:val="24"/>
        </w:rPr>
        <w:t xml:space="preserve"> becomes absent. Furthermore, if </w:t>
      </w:r>
      <w:r w:rsidRPr="00B301B0">
        <w:rPr>
          <w:i/>
          <w:kern w:val="0"/>
          <w:sz w:val="24"/>
          <w:szCs w:val="24"/>
        </w:rPr>
        <w:t>cultural distance</w:t>
      </w:r>
      <w:r w:rsidRPr="00B301B0">
        <w:rPr>
          <w:kern w:val="0"/>
          <w:sz w:val="24"/>
          <w:szCs w:val="24"/>
        </w:rPr>
        <w:t xml:space="preserve"> is present as shown in C7, then </w:t>
      </w:r>
      <w:r w:rsidRPr="00B301B0">
        <w:rPr>
          <w:i/>
          <w:kern w:val="0"/>
          <w:sz w:val="24"/>
          <w:szCs w:val="24"/>
        </w:rPr>
        <w:t>institutional distance</w:t>
      </w:r>
      <w:r w:rsidRPr="00B301B0">
        <w:rPr>
          <w:kern w:val="0"/>
          <w:sz w:val="24"/>
          <w:szCs w:val="24"/>
        </w:rPr>
        <w:t xml:space="preserve"> can be either present or absent, the usage of </w:t>
      </w:r>
      <w:r w:rsidRPr="00B301B0">
        <w:rPr>
          <w:i/>
          <w:kern w:val="0"/>
          <w:sz w:val="24"/>
          <w:szCs w:val="24"/>
        </w:rPr>
        <w:t>consultants</w:t>
      </w:r>
      <w:r w:rsidRPr="00B301B0">
        <w:rPr>
          <w:kern w:val="0"/>
          <w:sz w:val="24"/>
          <w:szCs w:val="24"/>
        </w:rPr>
        <w:t xml:space="preserve"> is present, and </w:t>
      </w:r>
      <w:r w:rsidRPr="00B301B0">
        <w:rPr>
          <w:i/>
          <w:kern w:val="0"/>
          <w:sz w:val="24"/>
          <w:szCs w:val="24"/>
        </w:rPr>
        <w:t>R&amp;D</w:t>
      </w:r>
      <w:r w:rsidRPr="00B301B0">
        <w:rPr>
          <w:kern w:val="0"/>
          <w:sz w:val="24"/>
          <w:szCs w:val="24"/>
        </w:rPr>
        <w:t xml:space="preserve"> is absent. </w:t>
      </w:r>
    </w:p>
    <w:p w14:paraId="14B28A4F"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Relatedly, I find that in C8 (Table 3) the absence of </w:t>
      </w:r>
      <w:r w:rsidRPr="00B301B0">
        <w:rPr>
          <w:i/>
          <w:kern w:val="0"/>
          <w:sz w:val="24"/>
          <w:szCs w:val="24"/>
        </w:rPr>
        <w:t>subsidiary autonomy</w:t>
      </w:r>
      <w:r w:rsidRPr="00B301B0">
        <w:rPr>
          <w:kern w:val="0"/>
          <w:sz w:val="24"/>
          <w:szCs w:val="24"/>
        </w:rPr>
        <w:t xml:space="preserve">, </w:t>
      </w:r>
      <w:r w:rsidRPr="00B301B0">
        <w:rPr>
          <w:i/>
          <w:kern w:val="0"/>
          <w:sz w:val="24"/>
          <w:szCs w:val="24"/>
        </w:rPr>
        <w:t>institutional distance,</w:t>
      </w:r>
      <w:r w:rsidRPr="00B301B0">
        <w:rPr>
          <w:kern w:val="0"/>
          <w:sz w:val="24"/>
          <w:szCs w:val="24"/>
        </w:rPr>
        <w:t xml:space="preserve"> and </w:t>
      </w:r>
      <w:r w:rsidRPr="00B301B0">
        <w:rPr>
          <w:i/>
          <w:kern w:val="0"/>
          <w:sz w:val="24"/>
          <w:szCs w:val="24"/>
        </w:rPr>
        <w:t>R&amp;D</w:t>
      </w:r>
      <w:r w:rsidRPr="00B301B0">
        <w:rPr>
          <w:kern w:val="0"/>
          <w:sz w:val="24"/>
          <w:szCs w:val="24"/>
        </w:rPr>
        <w:t xml:space="preserve">, alongside the presence of </w:t>
      </w:r>
      <w:r w:rsidRPr="00B301B0">
        <w:rPr>
          <w:i/>
          <w:kern w:val="0"/>
          <w:sz w:val="24"/>
          <w:szCs w:val="24"/>
        </w:rPr>
        <w:t>cultural distance</w:t>
      </w:r>
      <w:r w:rsidRPr="00B301B0">
        <w:rPr>
          <w:kern w:val="0"/>
          <w:sz w:val="24"/>
          <w:szCs w:val="24"/>
        </w:rPr>
        <w:t xml:space="preserve"> and either the presence or absence of </w:t>
      </w:r>
      <w:r w:rsidRPr="00B301B0">
        <w:rPr>
          <w:i/>
          <w:kern w:val="0"/>
          <w:sz w:val="24"/>
          <w:szCs w:val="24"/>
        </w:rPr>
        <w:t>consultants</w:t>
      </w:r>
      <w:r w:rsidRPr="00B301B0">
        <w:rPr>
          <w:kern w:val="0"/>
          <w:sz w:val="24"/>
          <w:szCs w:val="24"/>
        </w:rPr>
        <w:t xml:space="preserve"> are associated with </w:t>
      </w:r>
      <w:r w:rsidRPr="00B301B0">
        <w:rPr>
          <w:i/>
          <w:kern w:val="0"/>
          <w:sz w:val="24"/>
          <w:szCs w:val="24"/>
        </w:rPr>
        <w:t>product innovation</w:t>
      </w:r>
      <w:r w:rsidRPr="00B301B0">
        <w:rPr>
          <w:kern w:val="0"/>
          <w:sz w:val="24"/>
          <w:szCs w:val="24"/>
        </w:rPr>
        <w:t xml:space="preserve">. When considered in relation to C4, the addition of </w:t>
      </w:r>
      <w:r w:rsidRPr="00B301B0">
        <w:rPr>
          <w:i/>
          <w:kern w:val="0"/>
          <w:sz w:val="24"/>
          <w:szCs w:val="24"/>
        </w:rPr>
        <w:t>cultural distance</w:t>
      </w:r>
      <w:r w:rsidRPr="00B301B0">
        <w:rPr>
          <w:kern w:val="0"/>
          <w:sz w:val="24"/>
          <w:szCs w:val="24"/>
        </w:rPr>
        <w:t xml:space="preserve"> makes </w:t>
      </w:r>
      <w:r w:rsidRPr="00B301B0">
        <w:rPr>
          <w:i/>
          <w:kern w:val="0"/>
          <w:sz w:val="24"/>
          <w:szCs w:val="24"/>
        </w:rPr>
        <w:t xml:space="preserve">R&amp;D </w:t>
      </w:r>
      <w:r w:rsidRPr="00B301B0">
        <w:rPr>
          <w:kern w:val="0"/>
          <w:sz w:val="24"/>
          <w:szCs w:val="24"/>
        </w:rPr>
        <w:t xml:space="preserve">absent and </w:t>
      </w:r>
      <w:r w:rsidRPr="00B301B0">
        <w:rPr>
          <w:i/>
          <w:kern w:val="0"/>
          <w:sz w:val="24"/>
          <w:szCs w:val="24"/>
        </w:rPr>
        <w:t>consultants</w:t>
      </w:r>
      <w:r w:rsidRPr="00B301B0">
        <w:rPr>
          <w:kern w:val="0"/>
          <w:sz w:val="24"/>
          <w:szCs w:val="24"/>
        </w:rPr>
        <w:t xml:space="preserve"> present or absent. These results suggest that adding </w:t>
      </w:r>
      <w:r w:rsidRPr="00B301B0">
        <w:rPr>
          <w:i/>
          <w:kern w:val="0"/>
          <w:sz w:val="24"/>
          <w:szCs w:val="24"/>
        </w:rPr>
        <w:t>cultural distance</w:t>
      </w:r>
      <w:r w:rsidRPr="00B301B0">
        <w:rPr>
          <w:kern w:val="0"/>
          <w:sz w:val="24"/>
          <w:szCs w:val="24"/>
        </w:rPr>
        <w:t xml:space="preserve"> seems to create an interplay between the types of knowledge sources needed for product innovation to occur. In the absence of autonomy, cultural distance poses difficult challenges for MNEs and their subsidiaries (Xu &amp; Shenkar, 2002) and it is thus likely that they use consultants as conduits for product innovation because R&amp;D may entail high opportunity costs (Mudambi &amp; Pedersen, 2007). Lastly, C9 (Table 3) suggests that the absence of all conditions leads to </w:t>
      </w:r>
      <w:r w:rsidRPr="00B301B0">
        <w:rPr>
          <w:i/>
          <w:kern w:val="0"/>
          <w:sz w:val="24"/>
          <w:szCs w:val="24"/>
        </w:rPr>
        <w:t xml:space="preserve">product innovation. </w:t>
      </w:r>
      <w:r w:rsidRPr="00B301B0">
        <w:rPr>
          <w:kern w:val="0"/>
          <w:sz w:val="24"/>
          <w:szCs w:val="24"/>
        </w:rPr>
        <w:t>This pattern is in line with the main analyses and with some prior research suggesting that in institutional environments proximal to the home country, some parent MNEs may retain control of both knowledge generation and making strategic decisions for the subsidiary (Ambos &amp; Ambos, 2009). If parent MNE managers have a relatively better knowledge of the host country, the subsidiary can mostly leverage product-specific knowledge from the MNE and then, due to institutional similarities and the close integration with the headquarters, the subsidiary can more easily communicate its adaptive suggestions for local product offerings. However, the coverage of this configuration is minimal, suggesting it is an uncommon path to product innovation.  Overall, I find that the addition of cultural distance as a potential proxy for informal institutional distance adds some nuance but does not substantively alter the main findings. Furthermore, by adding cultural distance to my model, I lose 0.07 in solution coverage. Hence, the main results better capture membership in the outcome condition while simultaneously improving model parsimony.</w:t>
      </w:r>
    </w:p>
    <w:p w14:paraId="2070B6F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Finally, I examined the configurations of causal conditions associated with the absence of product innovation, as fsQCA is able to</w:t>
      </w:r>
      <w:r w:rsidRPr="00B301B0">
        <w:rPr>
          <w:rFonts w:asciiTheme="majorBidi" w:hAnsiTheme="majorBidi" w:cstheme="majorBidi"/>
          <w:kern w:val="0"/>
          <w:sz w:val="24"/>
          <w:szCs w:val="24"/>
        </w:rPr>
        <w:t xml:space="preserve"> accommodate asymmetry in the conditions that associate with the outcome versus those that associate with the negation of the outcome. This analysis is not necessary because of the set-theoretic nature of fsQCA, but it can be a useful exercise in some cases to further flesh out insights pertaining to the outcome. In other cases, it may not reveal much (e.g., Fiss, 2011). Indeed, this analysis yielded no configurations that are consistently associated with the absence of product innovation. Similar to Fiss (2011), this finding suggests that </w:t>
      </w:r>
      <w:r w:rsidRPr="00B301B0">
        <w:rPr>
          <w:kern w:val="0"/>
          <w:sz w:val="24"/>
          <w:szCs w:val="24"/>
        </w:rPr>
        <w:t xml:space="preserve">there are many ways to </w:t>
      </w:r>
      <w:r w:rsidRPr="00B301B0">
        <w:rPr>
          <w:i/>
          <w:iCs/>
          <w:kern w:val="0"/>
          <w:sz w:val="24"/>
          <w:szCs w:val="24"/>
        </w:rPr>
        <w:t>not</w:t>
      </w:r>
      <w:r w:rsidRPr="00B301B0">
        <w:rPr>
          <w:kern w:val="0"/>
          <w:sz w:val="24"/>
          <w:szCs w:val="24"/>
        </w:rPr>
        <w:t xml:space="preserve"> innovate, but there are no consistent patterns to do so with the causal conditions in my model. </w:t>
      </w:r>
    </w:p>
    <w:p w14:paraId="1F27F966" w14:textId="77777777" w:rsidR="00B301B0" w:rsidRPr="00B301B0" w:rsidRDefault="00B301B0" w:rsidP="00B301B0">
      <w:pPr>
        <w:widowControl/>
        <w:overflowPunct/>
        <w:autoSpaceDE/>
        <w:autoSpaceDN/>
        <w:adjustRightInd/>
        <w:spacing w:line="480" w:lineRule="auto"/>
        <w:ind w:left="720"/>
        <w:jc w:val="center"/>
        <w:rPr>
          <w:b/>
          <w:kern w:val="0"/>
          <w:sz w:val="24"/>
          <w:szCs w:val="24"/>
        </w:rPr>
      </w:pPr>
    </w:p>
    <w:p w14:paraId="5B978576" w14:textId="77777777" w:rsidR="00B301B0" w:rsidRPr="00B301B0" w:rsidRDefault="00B301B0" w:rsidP="00B301B0">
      <w:pPr>
        <w:widowControl/>
        <w:overflowPunct/>
        <w:autoSpaceDE/>
        <w:autoSpaceDN/>
        <w:adjustRightInd/>
        <w:spacing w:line="480" w:lineRule="auto"/>
        <w:ind w:left="720"/>
        <w:jc w:val="center"/>
        <w:rPr>
          <w:bCs/>
          <w:kern w:val="0"/>
          <w:sz w:val="24"/>
          <w:szCs w:val="24"/>
        </w:rPr>
      </w:pPr>
      <w:r w:rsidRPr="00B301B0">
        <w:rPr>
          <w:bCs/>
          <w:kern w:val="0"/>
          <w:sz w:val="24"/>
          <w:szCs w:val="24"/>
        </w:rPr>
        <w:t>DISCUSSION</w:t>
      </w:r>
    </w:p>
    <w:p w14:paraId="5EE7DDAD"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I set out to advance a more nuanced, contextualized theory of the outcomes of foreign subsidiary autonomy, namely subsidiary innovation. I leveraged a differentiated fit perspective to argue that institutional distance, knowledge-related roles, and autonomy interact in complex ways to bring about innovation. In doing so, I implied that subsidiary autonomy may not be necessary for innovation, rather it is conducive to innovation in particular configurations. Utilizing fsQCA and data on foreign subsidiaries in European and Central Asian host countries, I found three distinct configurations associated with subsidiary product innovation that provide support for my theoretical predictions. However, I also uncover some unexpected patterns. Next, I discuss the theoretical implications of these findings.</w:t>
      </w:r>
    </w:p>
    <w:p w14:paraId="00301F93" w14:textId="77777777" w:rsidR="00B301B0" w:rsidRPr="00B301B0" w:rsidRDefault="00B301B0" w:rsidP="00B301B0">
      <w:pPr>
        <w:widowControl/>
        <w:overflowPunct/>
        <w:autoSpaceDE/>
        <w:autoSpaceDN/>
        <w:adjustRightInd/>
        <w:spacing w:line="480" w:lineRule="auto"/>
        <w:ind w:left="720"/>
        <w:jc w:val="both"/>
        <w:rPr>
          <w:b/>
          <w:bCs/>
          <w:i/>
          <w:iCs/>
          <w:kern w:val="0"/>
          <w:sz w:val="24"/>
          <w:szCs w:val="24"/>
        </w:rPr>
      </w:pPr>
    </w:p>
    <w:p w14:paraId="51380931"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r w:rsidRPr="00B301B0">
        <w:rPr>
          <w:i/>
          <w:iCs/>
          <w:kern w:val="0"/>
          <w:sz w:val="24"/>
          <w:szCs w:val="24"/>
        </w:rPr>
        <w:t>Implications for research</w:t>
      </w:r>
    </w:p>
    <w:p w14:paraId="6DC57EE2"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My study highlights that the value of subsidiary autonomy, in my case in facilitating product innovation, is contingent upon the subsidiary’s internal and external context (Geleilate et al., 2019). Prior studies have attempted to examine whether subsidiary autonomy is beneficial for product innovation (e.g., Kawai &amp; Strange, 2014; Beugelsdijk &amp; Jindra, 2018, Nuruzzaman et al., 2019). In identifying some boundary conditions for the effects of autonomy, my study advances a more accurate theory and suggests that research on subsidiary autonomy can make further progress by theorizing when it may be most fruitful. For instance, in the context of higher institutional distance between home and host countries, decision making autonomy is conducive to local embeddedness and adaptation that often stimulate product innovation, especially when the subsidiary engages in R&amp;D. Hence, another key insight of this study is the importance of knowledge-related roles in complementing autonomy. </w:t>
      </w:r>
    </w:p>
    <w:p w14:paraId="4CA1836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If autonomy is a partial reflection of strategy whereby higher autonomy tends to reflect a multidomestic organization (Birkinshaw &amp; Morrison, 1995), my study suggests that under some conditions, MNEs may be able to combine the efficiencies often associated with centralized control with local adaptation. For instance, centralized control in institutionally proximal host countries can result in product innovation when locally relevant knowledge is sourced from consultants. Similarly, prior research suggests that MNEs may be more reluctant to establish competence-exploiting subsidiaries in host countries institutionally distal from the home country (Ambos, 2005). My study shows how MNEs may make such subsidiaries innovative, thereby suggesting that even if such inclination exists, it does not mean that distal subsidiaries will not be innovative. In fact, my findings suggest that MNEs that pursue locally responsive strategies can make their subsidiaries innovate, both in proximal and distal environments, as long as they allocate autonomy and assign R&amp;D mandates.</w:t>
      </w:r>
    </w:p>
    <w:p w14:paraId="6B3B2EC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 also theorized that management consultants may act as a functional substitute for R&amp;D in distal settings; however, my main analysis does not provide evidence of such an effect. This suggests that while consultants may provide product-related knowledge useful to innovation efforts (Back et al., 2014), it might not be entirely substitutable with R&amp;D in distal settings, suggesting that the value of consultants may be limited by a distance boundary condition. Yet, in my additional analyses I demonstrate that in culturally unfamiliar environments, autonomy works in combination with consultants towards innovation output. The knowledge with which management consultants provided may, therefore, be more useful to offset cultural and opposed to institutional dissimilarities. Thus, a key insight of my study is the contextually dependent nature of consultants across formal and informal settings.</w:t>
      </w:r>
    </w:p>
    <w:p w14:paraId="587E8E1D"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Moreover, my study suggests that autonomy may also be beneficial in institutional settings proximal to the parent MNE’s home country, though it is not needed in such contexts. Autonomy may not necessarily be detrimental to innovation in such settings, but it can be foregone for MNEs that prefer centralized decision-making control. For subsidiaries operating in institutionally proximal host countries, decision making control by the parent MNE may not necessarily inhibit the local introduction of new products. In such settings, subsidiaries can complement MNE competencies with the use of consultants, as management consultants can act as a conduit for local knowledge regarding changes in demand, consumer preferences, and regulations. In fact, much of prior IB research has overlooked the role of consultants in MNE strategy and success, but my findings suggest that consultants may help MNEs offset knowledge gaps in some foreign markets and support innovation even in the absence of more prominent activities such as R&amp;D (Back et al., 2014). </w:t>
      </w:r>
    </w:p>
    <w:p w14:paraId="0A1ED843"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Finally, my results yield an unexpected configuration whereby the presence of institutional distance and the absence of both knowledge-related sources as well as autonomy are associated with product innovation. The coverage of this configuration is rather small, meaning that it is a narrow (i.e., uncommon) path to product innovation. Considering prior theory and research, this configuration might reflect a narrow set of MNEs with a highly hierarchical organizational structure and an international strategy. While this type of MNE organization is increasingly uncommon in many industries, in select industries such a configuration can still yield subsidiary innovation. The cases constituting this configuration are subsidiaries offering mostly standardized products such as building materials. In these kinds of product spaces, I suspect, the foreign subsidiary will have a competence-exploiting mandate. Yet, the presence of high institutional distance together with the absence of subsidiary autonomy creates a tension: the parent MNE may have knowledge gaps related to the local market, and simultaneously the subsidiary’s lack of local embeddedness makes it difficult to deploy products that fit local conditions through small, albeit important, local adaptations. Possibly, given the distance between the two markets, the parent MNE may be more amenable to product adaptation recommendations from subsidiary managers, which results in product innovation. For a similar subsidiary in a proximal environment, however, the parent MNE can more easily analyze the fit of its products to the local context, which inhibits innovation by the subsidiary. Along the same lines, a similar subsidiary with autonomy would likely suffer from the lack of knowledge sources needed for product innovation, while autonomy might prevent tighter integration with core MNE competencies (Bouquet &amp; Birkinshaw, 2008; Ambos et al., 2010). Hence, it is the combination of institutional distance and decision-making control by the parent that, perhaps surprisingly, creates the conditions for product innovation in these subsidiaries (Dellestrand &amp; Kappen, 2012). Nevertheless, because the coverage of this configuration is rather small, it reflects the limited number of such industries and hence a relatively less common pathway to subsidiary production innovation.</w:t>
      </w:r>
    </w:p>
    <w:p w14:paraId="5C5B4121" w14:textId="77777777" w:rsidR="00B301B0" w:rsidRPr="00B301B0" w:rsidRDefault="00B301B0" w:rsidP="00B301B0">
      <w:pPr>
        <w:widowControl/>
        <w:overflowPunct/>
        <w:autoSpaceDE/>
        <w:autoSpaceDN/>
        <w:adjustRightInd/>
        <w:spacing w:line="480" w:lineRule="auto"/>
        <w:ind w:left="720"/>
        <w:rPr>
          <w:b/>
          <w:bCs/>
          <w:i/>
          <w:iCs/>
          <w:kern w:val="0"/>
          <w:sz w:val="24"/>
          <w:szCs w:val="24"/>
        </w:rPr>
      </w:pPr>
    </w:p>
    <w:p w14:paraId="33DE7112" w14:textId="77777777" w:rsidR="00B301B0" w:rsidRPr="00B301B0" w:rsidRDefault="00B301B0" w:rsidP="00B301B0">
      <w:pPr>
        <w:widowControl/>
        <w:overflowPunct/>
        <w:autoSpaceDE/>
        <w:autoSpaceDN/>
        <w:adjustRightInd/>
        <w:spacing w:line="480" w:lineRule="auto"/>
        <w:ind w:left="720"/>
        <w:rPr>
          <w:i/>
          <w:iCs/>
          <w:kern w:val="0"/>
          <w:sz w:val="24"/>
          <w:szCs w:val="24"/>
        </w:rPr>
      </w:pPr>
      <w:r w:rsidRPr="00B301B0">
        <w:rPr>
          <w:i/>
          <w:iCs/>
          <w:kern w:val="0"/>
          <w:sz w:val="24"/>
          <w:szCs w:val="24"/>
        </w:rPr>
        <w:t>Implications for practice</w:t>
      </w:r>
    </w:p>
    <w:p w14:paraId="77A49075" w14:textId="77777777" w:rsidR="00B301B0" w:rsidRPr="00B301B0" w:rsidRDefault="00B301B0" w:rsidP="00B301B0">
      <w:pPr>
        <w:widowControl/>
        <w:overflowPunct/>
        <w:autoSpaceDE/>
        <w:autoSpaceDN/>
        <w:adjustRightInd/>
        <w:spacing w:line="480" w:lineRule="auto"/>
        <w:ind w:left="720" w:firstLine="720"/>
        <w:rPr>
          <w:bCs/>
          <w:kern w:val="0"/>
          <w:sz w:val="24"/>
          <w:szCs w:val="24"/>
        </w:rPr>
      </w:pPr>
      <w:r w:rsidRPr="00B301B0">
        <w:rPr>
          <w:bCs/>
          <w:kern w:val="0"/>
          <w:sz w:val="24"/>
          <w:szCs w:val="24"/>
        </w:rPr>
        <w:t xml:space="preserve">My study provides insights for IB practitioners who have an interest in managing foreign subsidiaries toward innovation outcomes. I provide three ways in which MNE managers can structure a foreign subsidiary to foster innovation in its local markets. Particularly, when foreign subsidiaries are given decision-making autonomy and conduct R&amp;D, they will likely be innovative regardless of the institutional proximity to the parent MNE home country. Alternatively, managers who are interested in subsidiary innovation but at the same time wish to centralize control can do so in both distal and proximal institutional environments, although if the subsidiary is distal, such arrangements may only be effective in relatively standardized product markets. In a proximal contextual setting, the parent or subsidiary may need to leverage external knowledge sources, such as management consultants, to substitute for autonomy. To the extent that autonomy reflects an international strategy, managers can glean insights as to which knowledge sources and institutional contexts may work best with high or low autonomy. My study may, therefore, help MNE managers to align the structure and strategy of their subsidiaries to facilitate local innovation. Overall, managers should take into consideration both the internal and external context of the subsidiary when product innovation is the desired outcome.  </w:t>
      </w:r>
    </w:p>
    <w:p w14:paraId="7F46DF4C" w14:textId="77777777" w:rsidR="00B301B0" w:rsidRPr="00B301B0" w:rsidRDefault="00B301B0" w:rsidP="00B301B0">
      <w:pPr>
        <w:widowControl/>
        <w:overflowPunct/>
        <w:autoSpaceDE/>
        <w:autoSpaceDN/>
        <w:adjustRightInd/>
        <w:spacing w:line="480" w:lineRule="auto"/>
        <w:ind w:left="720"/>
        <w:rPr>
          <w:b/>
          <w:i/>
          <w:iCs/>
          <w:kern w:val="0"/>
          <w:sz w:val="24"/>
          <w:szCs w:val="24"/>
        </w:rPr>
      </w:pPr>
    </w:p>
    <w:p w14:paraId="5CF15E1E" w14:textId="77777777" w:rsidR="00B301B0" w:rsidRPr="00B301B0" w:rsidRDefault="00B301B0" w:rsidP="00B301B0">
      <w:pPr>
        <w:widowControl/>
        <w:overflowPunct/>
        <w:autoSpaceDE/>
        <w:autoSpaceDN/>
        <w:adjustRightInd/>
        <w:spacing w:line="480" w:lineRule="auto"/>
        <w:ind w:left="720"/>
        <w:rPr>
          <w:bCs/>
          <w:i/>
          <w:iCs/>
          <w:kern w:val="0"/>
          <w:sz w:val="24"/>
          <w:szCs w:val="24"/>
        </w:rPr>
      </w:pPr>
      <w:r w:rsidRPr="00B301B0">
        <w:rPr>
          <w:bCs/>
          <w:i/>
          <w:iCs/>
          <w:kern w:val="0"/>
          <w:sz w:val="24"/>
          <w:szCs w:val="24"/>
        </w:rPr>
        <w:t>Limitations and future research</w:t>
      </w:r>
    </w:p>
    <w:p w14:paraId="32B49A50"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My study is not without its limitations. First, my sample is limited to subsidiaries located in Europe and Central Asia at a specific point in time and, therefore, I am hesitant to make broad generalizations to other contexts. Although I demonstrate considerable variation in my measure of institutional distance, future research may wish to expand upon my sample with respect to both countries and time windows to further examine the theoretical framework I develop. </w:t>
      </w:r>
    </w:p>
    <w:p w14:paraId="5590BABD"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Second, due to data limitations, I use dichotomous (crisp) measures of product innovation, R&amp;D, and the use of consultants. This approach provides a more conservative test of the relevance of these conditions, but at the same time, it does not allow us to assess the potential role of gradation along these dimensions. Future research could refine my findings by examining the degrees of knowledge sources that shape levels of product innovation. </w:t>
      </w:r>
    </w:p>
    <w:p w14:paraId="2C58D00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Third, although my focus on consultants is novel to research on autonomy, I was unable to identify whether the parent MNE or the subsidiary contracted the consultants. Future research into the role of consultants can shed light on who drives this form of external knowledge acquisition in foreign subsidiaries, especially those for which the parent MNE makes more of the strategic decisions. </w:t>
      </w:r>
    </w:p>
    <w:p w14:paraId="6631A7E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Finally, the cross-sectional design underpinning my data prevents us from making strong claims of causality. It could be that some innovative subsidiaries receive more autonomy as a reward (Ambos &amp; Schlegelmilch, 2007; Ambos, Andersson &amp; Birkinshaw, 2010). However, a longitudinal design might not help resolve this issue, as I do not know what the appropriate time lag might be—time lags might be MNE-specific, and I do not know when the current level of autonomy was achieved. I have taken a first step toward identifying configurational patterns within the autonomy-innovation relationship, but qualitative research may be best suited to further unpack the processes translating autonomy to innovation over time.</w:t>
      </w:r>
    </w:p>
    <w:p w14:paraId="1A0369CB" w14:textId="77777777" w:rsidR="00B301B0" w:rsidRPr="00B301B0" w:rsidRDefault="00B301B0" w:rsidP="00B301B0">
      <w:pPr>
        <w:widowControl/>
        <w:overflowPunct/>
        <w:autoSpaceDE/>
        <w:autoSpaceDN/>
        <w:adjustRightInd/>
        <w:spacing w:line="480" w:lineRule="auto"/>
        <w:ind w:left="720"/>
        <w:rPr>
          <w:b/>
          <w:i/>
          <w:iCs/>
          <w:kern w:val="0"/>
          <w:sz w:val="24"/>
          <w:szCs w:val="24"/>
        </w:rPr>
      </w:pPr>
    </w:p>
    <w:p w14:paraId="0FFE438D" w14:textId="77777777" w:rsidR="00B301B0" w:rsidRPr="00B301B0" w:rsidRDefault="00B301B0" w:rsidP="00B301B0">
      <w:pPr>
        <w:widowControl/>
        <w:overflowPunct/>
        <w:autoSpaceDE/>
        <w:autoSpaceDN/>
        <w:adjustRightInd/>
        <w:spacing w:line="480" w:lineRule="auto"/>
        <w:ind w:left="720"/>
        <w:rPr>
          <w:bCs/>
          <w:i/>
          <w:iCs/>
          <w:kern w:val="0"/>
          <w:sz w:val="24"/>
          <w:szCs w:val="24"/>
        </w:rPr>
      </w:pPr>
      <w:r w:rsidRPr="00B301B0">
        <w:rPr>
          <w:bCs/>
          <w:i/>
          <w:iCs/>
          <w:kern w:val="0"/>
          <w:sz w:val="24"/>
          <w:szCs w:val="24"/>
        </w:rPr>
        <w:t>Conclusion</w:t>
      </w:r>
    </w:p>
    <w:p w14:paraId="2872318B" w14:textId="77777777" w:rsidR="00B301B0" w:rsidRPr="00B301B0" w:rsidRDefault="00B301B0" w:rsidP="00B301B0">
      <w:pPr>
        <w:widowControl/>
        <w:overflowPunct/>
        <w:autoSpaceDE/>
        <w:autoSpaceDN/>
        <w:adjustRightInd/>
        <w:spacing w:line="480" w:lineRule="auto"/>
        <w:ind w:left="720" w:firstLine="720"/>
        <w:rPr>
          <w:b/>
          <w:kern w:val="0"/>
          <w:sz w:val="24"/>
          <w:szCs w:val="24"/>
        </w:rPr>
      </w:pPr>
      <w:r w:rsidRPr="00B301B0">
        <w:rPr>
          <w:kern w:val="0"/>
          <w:sz w:val="24"/>
          <w:szCs w:val="24"/>
        </w:rPr>
        <w:t xml:space="preserve">Despite the limitations, my study contributes to theory of subsidiary autonomy and innovation. I argue that autonomy may foster product innovation only in certain contexts and when deployed with complementary knowledge sources that can come from either within or outside the MNE. I utilize fsQCA and data on foreign subsidiaries operating in Europe and Central Asia and find three configurations of conditions associated with product innovation: two consistent with my theorizing and one stimulating further theoretical elaboration. I highlight the contingent role of autonomy in fostering foreign subsidiary innovation and demonstrate that subsidiaries can innovate without autonomy in certain institutional and organizational setting. I hope that my study stimulates further discussion on the outcomes of subsidiary autonomy and encourages novel inquiry into the role of subsidiary autonomy in MNE success. </w:t>
      </w:r>
      <w:r w:rsidRPr="00B301B0">
        <w:rPr>
          <w:b/>
          <w:kern w:val="0"/>
          <w:sz w:val="24"/>
          <w:szCs w:val="24"/>
        </w:rPr>
        <w:br w:type="page"/>
      </w:r>
    </w:p>
    <w:p w14:paraId="3FE3799D" w14:textId="77777777" w:rsidR="00B301B0" w:rsidRPr="00B301B0" w:rsidRDefault="00B301B0" w:rsidP="00B301B0">
      <w:pPr>
        <w:widowControl/>
        <w:overflowPunct/>
        <w:autoSpaceDE/>
        <w:autoSpaceDN/>
        <w:adjustRightInd/>
        <w:ind w:left="720"/>
        <w:jc w:val="center"/>
        <w:rPr>
          <w:bCs/>
          <w:kern w:val="0"/>
          <w:sz w:val="24"/>
          <w:szCs w:val="24"/>
        </w:rPr>
      </w:pPr>
      <w:r w:rsidRPr="00B301B0">
        <w:rPr>
          <w:bCs/>
          <w:kern w:val="0"/>
          <w:sz w:val="24"/>
          <w:szCs w:val="24"/>
        </w:rPr>
        <w:t>REFERENCES</w:t>
      </w:r>
    </w:p>
    <w:p w14:paraId="14BD46E4" w14:textId="77777777" w:rsidR="00B301B0" w:rsidRPr="00B301B0" w:rsidRDefault="00B301B0" w:rsidP="00B301B0">
      <w:pPr>
        <w:widowControl/>
        <w:overflowPunct/>
        <w:autoSpaceDE/>
        <w:autoSpaceDN/>
        <w:adjustRightInd/>
        <w:ind w:left="720"/>
        <w:rPr>
          <w:b/>
          <w:kern w:val="0"/>
          <w:sz w:val="24"/>
          <w:szCs w:val="24"/>
        </w:rPr>
      </w:pPr>
    </w:p>
    <w:p w14:paraId="3C555DEA"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Almeida, P., &amp; Phene, A. (2004). Subsidiaries and knowledge creation: The influence of the MNC and host country on innovation.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25</w:t>
      </w:r>
      <w:r w:rsidRPr="00B301B0">
        <w:rPr>
          <w:color w:val="222222"/>
          <w:kern w:val="0"/>
          <w:sz w:val="24"/>
          <w:szCs w:val="24"/>
        </w:rPr>
        <w:t>(8‐9), 847-864.</w:t>
      </w:r>
    </w:p>
    <w:p w14:paraId="32009F9E"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B. (2005). Foreign direct investment in industrial research and development: A study of German MNCs. </w:t>
      </w:r>
      <w:r w:rsidRPr="00FF4DE9">
        <w:rPr>
          <w:i/>
          <w:iCs/>
          <w:color w:val="222222"/>
          <w:kern w:val="0"/>
          <w:sz w:val="24"/>
          <w:szCs w:val="24"/>
        </w:rPr>
        <w:t>Research Policy</w:t>
      </w:r>
      <w:r w:rsidRPr="00B301B0">
        <w:rPr>
          <w:color w:val="222222"/>
          <w:kern w:val="0"/>
          <w:sz w:val="24"/>
          <w:szCs w:val="24"/>
        </w:rPr>
        <w:t>, </w:t>
      </w:r>
      <w:r w:rsidRPr="00FF4DE9">
        <w:rPr>
          <w:color w:val="222222"/>
          <w:kern w:val="0"/>
          <w:sz w:val="24"/>
          <w:szCs w:val="24"/>
        </w:rPr>
        <w:t>34</w:t>
      </w:r>
      <w:r w:rsidRPr="00B301B0">
        <w:rPr>
          <w:color w:val="222222"/>
          <w:kern w:val="0"/>
          <w:sz w:val="24"/>
          <w:szCs w:val="24"/>
        </w:rPr>
        <w:t>(4), 395-410.</w:t>
      </w:r>
    </w:p>
    <w:p w14:paraId="5CF8406C"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B., &amp; Schlegelmilch, B. B. (2007). Innovation and control in the multinational firm: A comparison of political and contingency approaches.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28</w:t>
      </w:r>
      <w:r w:rsidRPr="00B301B0">
        <w:rPr>
          <w:color w:val="222222"/>
          <w:kern w:val="0"/>
          <w:sz w:val="24"/>
          <w:szCs w:val="24"/>
        </w:rPr>
        <w:t>(5), 473-486.</w:t>
      </w:r>
    </w:p>
    <w:p w14:paraId="3ACC48C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B., Asakawa, K., &amp; Ambos, T. C. (2011). A dynamic perspective on subsidiary autonomy. </w:t>
      </w:r>
      <w:r w:rsidRPr="00FF4DE9">
        <w:rPr>
          <w:i/>
          <w:iCs/>
          <w:color w:val="222222"/>
          <w:kern w:val="0"/>
          <w:sz w:val="24"/>
          <w:szCs w:val="24"/>
        </w:rPr>
        <w:t>Global Strategy Journal</w:t>
      </w:r>
      <w:r w:rsidRPr="00B301B0">
        <w:rPr>
          <w:color w:val="222222"/>
          <w:kern w:val="0"/>
          <w:sz w:val="24"/>
          <w:szCs w:val="24"/>
        </w:rPr>
        <w:t>, </w:t>
      </w:r>
      <w:r w:rsidRPr="00FF4DE9">
        <w:rPr>
          <w:color w:val="222222"/>
          <w:kern w:val="0"/>
          <w:sz w:val="24"/>
          <w:szCs w:val="24"/>
        </w:rPr>
        <w:t>1</w:t>
      </w:r>
      <w:r w:rsidRPr="00B301B0">
        <w:rPr>
          <w:color w:val="222222"/>
          <w:kern w:val="0"/>
          <w:sz w:val="24"/>
          <w:szCs w:val="24"/>
        </w:rPr>
        <w:t>(3‐4), 301-316.</w:t>
      </w:r>
    </w:p>
    <w:p w14:paraId="4A10B01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T. C., &amp; Ambos, B. (2009). The impact of distance on knowledge transfer effectiveness in multinational corporations. </w:t>
      </w:r>
      <w:r w:rsidRPr="00FF4DE9">
        <w:rPr>
          <w:i/>
          <w:iCs/>
          <w:color w:val="222222"/>
          <w:kern w:val="0"/>
          <w:sz w:val="24"/>
          <w:szCs w:val="24"/>
        </w:rPr>
        <w:t>Journal of International Management</w:t>
      </w:r>
      <w:r w:rsidRPr="00B301B0">
        <w:rPr>
          <w:color w:val="222222"/>
          <w:kern w:val="0"/>
          <w:sz w:val="24"/>
          <w:szCs w:val="24"/>
        </w:rPr>
        <w:t>, </w:t>
      </w:r>
      <w:r w:rsidRPr="00FF4DE9">
        <w:rPr>
          <w:color w:val="222222"/>
          <w:kern w:val="0"/>
          <w:sz w:val="24"/>
          <w:szCs w:val="24"/>
        </w:rPr>
        <w:t>15</w:t>
      </w:r>
      <w:r w:rsidRPr="00B301B0">
        <w:rPr>
          <w:color w:val="222222"/>
          <w:kern w:val="0"/>
          <w:sz w:val="24"/>
          <w:szCs w:val="24"/>
        </w:rPr>
        <w:t>(1), 1-14.</w:t>
      </w:r>
    </w:p>
    <w:p w14:paraId="7D404C3A"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T. C., Andersson, U., &amp; Birkinshaw, J. (2010). What are the consequences of initiative-taking in multinational subsidiaries?.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41</w:t>
      </w:r>
      <w:r w:rsidRPr="00B301B0">
        <w:rPr>
          <w:color w:val="222222"/>
          <w:kern w:val="0"/>
          <w:sz w:val="24"/>
          <w:szCs w:val="24"/>
        </w:rPr>
        <w:t>(7), 1099-1118.</w:t>
      </w:r>
    </w:p>
    <w:p w14:paraId="26B94029"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Andersson, U., Dasí, Á., Mudambi, R., &amp; Pedersen, T. (2016). Technology, innovation and knowledge: The importance of ideas and international connectivity. </w:t>
      </w:r>
      <w:r w:rsidRPr="00FF4DE9">
        <w:rPr>
          <w:i/>
          <w:iCs/>
          <w:color w:val="222222"/>
          <w:kern w:val="0"/>
          <w:sz w:val="24"/>
          <w:szCs w:val="24"/>
        </w:rPr>
        <w:t>Journal of World Business</w:t>
      </w:r>
      <w:r w:rsidRPr="00B301B0">
        <w:rPr>
          <w:color w:val="222222"/>
          <w:kern w:val="0"/>
          <w:sz w:val="24"/>
          <w:szCs w:val="24"/>
        </w:rPr>
        <w:t>, </w:t>
      </w:r>
      <w:r w:rsidRPr="00FF4DE9">
        <w:rPr>
          <w:color w:val="222222"/>
          <w:kern w:val="0"/>
          <w:sz w:val="24"/>
          <w:szCs w:val="24"/>
        </w:rPr>
        <w:t>51</w:t>
      </w:r>
      <w:r w:rsidRPr="00B301B0">
        <w:rPr>
          <w:color w:val="222222"/>
          <w:kern w:val="0"/>
          <w:sz w:val="24"/>
          <w:szCs w:val="24"/>
        </w:rPr>
        <w:t>(1), 153-162.</w:t>
      </w:r>
    </w:p>
    <w:p w14:paraId="2BDF3EBC"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Andersson, U., Forsgren, M., &amp; Holm, U. (2002). The strategic impact of external networks: subsidiary performance and competence development in the multinational corporation.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23</w:t>
      </w:r>
      <w:r w:rsidRPr="00B301B0">
        <w:rPr>
          <w:color w:val="222222"/>
          <w:kern w:val="0"/>
          <w:sz w:val="24"/>
          <w:szCs w:val="24"/>
        </w:rPr>
        <w:t>(11), 979-996.</w:t>
      </w:r>
    </w:p>
    <w:p w14:paraId="2E7683F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Asakawa, K., Park, Y., Song, J., &amp; Kim, S. J. (2018). Internal embeddedness, geographic distance, and global knowledge sourcing by overseas subsidiaries.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49</w:t>
      </w:r>
      <w:r w:rsidRPr="00B301B0">
        <w:rPr>
          <w:color w:val="222222"/>
          <w:kern w:val="0"/>
          <w:sz w:val="24"/>
          <w:szCs w:val="24"/>
        </w:rPr>
        <w:t>(6), 743-752.</w:t>
      </w:r>
    </w:p>
    <w:p w14:paraId="13B19A7C"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Baaij, M. G., &amp; Slangen, A. H. (2013). The role of headquarters–subsidiary geographic distance in strategic decisions by spatially disaggregated headquarters.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44</w:t>
      </w:r>
      <w:r w:rsidRPr="00B301B0">
        <w:rPr>
          <w:color w:val="222222"/>
          <w:kern w:val="0"/>
          <w:sz w:val="24"/>
          <w:szCs w:val="24"/>
        </w:rPr>
        <w:t>(9), 941-952.</w:t>
      </w:r>
    </w:p>
    <w:p w14:paraId="1F80554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Back, Y., Parboteeah, K. P., &amp; Nam, D. I. (2014). Innovation in emerging markets: The role of management consulting firms. </w:t>
      </w:r>
      <w:r w:rsidRPr="00FF4DE9">
        <w:rPr>
          <w:i/>
          <w:iCs/>
          <w:color w:val="222222"/>
          <w:kern w:val="0"/>
          <w:sz w:val="24"/>
          <w:szCs w:val="24"/>
        </w:rPr>
        <w:t>Journal of International Management</w:t>
      </w:r>
      <w:r w:rsidRPr="00B301B0">
        <w:rPr>
          <w:color w:val="222222"/>
          <w:kern w:val="0"/>
          <w:sz w:val="24"/>
          <w:szCs w:val="24"/>
        </w:rPr>
        <w:t>, </w:t>
      </w:r>
      <w:r w:rsidRPr="00FF4DE9">
        <w:rPr>
          <w:color w:val="222222"/>
          <w:kern w:val="0"/>
          <w:sz w:val="24"/>
          <w:szCs w:val="24"/>
        </w:rPr>
        <w:t>20</w:t>
      </w:r>
      <w:r w:rsidRPr="00B301B0">
        <w:rPr>
          <w:color w:val="222222"/>
          <w:kern w:val="0"/>
          <w:sz w:val="24"/>
          <w:szCs w:val="24"/>
        </w:rPr>
        <w:t>(4), 390-405.</w:t>
      </w:r>
    </w:p>
    <w:p w14:paraId="19542A2F"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Bell, R. G., Filatotchev, I., &amp; Aguilera, R. V. (2014). Corporate governance and investors' perceptions of foreign IPO value: An institutional perspective. </w:t>
      </w:r>
      <w:r w:rsidRPr="00FF4DE9">
        <w:rPr>
          <w:i/>
          <w:iCs/>
          <w:color w:val="222222"/>
          <w:kern w:val="0"/>
          <w:sz w:val="24"/>
          <w:szCs w:val="24"/>
        </w:rPr>
        <w:t>Academy of Management Journal</w:t>
      </w:r>
      <w:r w:rsidRPr="00B301B0">
        <w:rPr>
          <w:color w:val="222222"/>
          <w:kern w:val="0"/>
          <w:sz w:val="24"/>
          <w:szCs w:val="24"/>
        </w:rPr>
        <w:t>, </w:t>
      </w:r>
      <w:r w:rsidRPr="00FF4DE9">
        <w:rPr>
          <w:color w:val="222222"/>
          <w:kern w:val="0"/>
          <w:sz w:val="24"/>
          <w:szCs w:val="24"/>
        </w:rPr>
        <w:t>57</w:t>
      </w:r>
      <w:r w:rsidRPr="00B301B0">
        <w:rPr>
          <w:color w:val="222222"/>
          <w:kern w:val="0"/>
          <w:sz w:val="24"/>
          <w:szCs w:val="24"/>
        </w:rPr>
        <w:t>(1), 301-320.</w:t>
      </w:r>
    </w:p>
    <w:p w14:paraId="4CE3190D"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Bertrand, O., &amp; Mol, M. J. (2013). The antecedents and innovation effects of domestic and offshore R&amp;D outsourcing: The contingent impact of cognitive distance and absorptive capacity.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34</w:t>
      </w:r>
      <w:r w:rsidRPr="00B301B0">
        <w:rPr>
          <w:color w:val="222222"/>
          <w:kern w:val="0"/>
          <w:sz w:val="24"/>
          <w:szCs w:val="24"/>
        </w:rPr>
        <w:t>(6), 751-760.</w:t>
      </w:r>
    </w:p>
    <w:p w14:paraId="3F44E89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Beugelsdijk, S., &amp; Jindra, B. (2018). Product innovation and decision-making autonomy in subsidiaries of multinational companies. </w:t>
      </w:r>
      <w:r w:rsidRPr="00FF4DE9">
        <w:rPr>
          <w:i/>
          <w:iCs/>
          <w:color w:val="222222"/>
          <w:kern w:val="0"/>
          <w:sz w:val="24"/>
          <w:szCs w:val="24"/>
        </w:rPr>
        <w:t>Journal of World Business</w:t>
      </w:r>
      <w:r w:rsidRPr="00B301B0">
        <w:rPr>
          <w:color w:val="222222"/>
          <w:kern w:val="0"/>
          <w:sz w:val="24"/>
          <w:szCs w:val="24"/>
        </w:rPr>
        <w:t>, </w:t>
      </w:r>
      <w:r w:rsidRPr="00FF4DE9">
        <w:rPr>
          <w:color w:val="222222"/>
          <w:kern w:val="0"/>
          <w:sz w:val="24"/>
          <w:szCs w:val="24"/>
        </w:rPr>
        <w:t>53</w:t>
      </w:r>
      <w:r w:rsidRPr="00B301B0">
        <w:rPr>
          <w:color w:val="222222"/>
          <w:kern w:val="0"/>
          <w:sz w:val="24"/>
          <w:szCs w:val="24"/>
        </w:rPr>
        <w:t>(4), 529-539.</w:t>
      </w:r>
    </w:p>
    <w:p w14:paraId="519C56D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Beugelsdijk, S., Ambos, B., &amp; Nell, P. C. (2020). Conceptualizing and measuring distance in international business research: Recurring questions and best practice guidelines. In </w:t>
      </w:r>
      <w:r w:rsidRPr="00FF4DE9">
        <w:rPr>
          <w:color w:val="222222"/>
          <w:kern w:val="0"/>
          <w:sz w:val="24"/>
          <w:szCs w:val="24"/>
        </w:rPr>
        <w:t>Research methods in international business</w:t>
      </w:r>
      <w:r w:rsidRPr="00B301B0">
        <w:rPr>
          <w:color w:val="222222"/>
          <w:kern w:val="0"/>
          <w:sz w:val="24"/>
          <w:szCs w:val="24"/>
        </w:rPr>
        <w:t> (pp. 449-498). Palgrave Macmillan, Cham.</w:t>
      </w:r>
    </w:p>
    <w:p w14:paraId="75BBD8A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Beugelsdijk, S., Nell, P. C., &amp; Ambos, B. (2017). When do distance effects become empirically observable? An investigation in the context of headquarters value creation for subsidiaries. </w:t>
      </w:r>
      <w:r w:rsidRPr="00FF4DE9">
        <w:rPr>
          <w:i/>
          <w:iCs/>
          <w:color w:val="222222"/>
          <w:kern w:val="0"/>
          <w:sz w:val="24"/>
          <w:szCs w:val="24"/>
        </w:rPr>
        <w:t>Journal of International Management</w:t>
      </w:r>
      <w:r w:rsidRPr="00B301B0">
        <w:rPr>
          <w:color w:val="222222"/>
          <w:kern w:val="0"/>
          <w:sz w:val="24"/>
          <w:szCs w:val="24"/>
        </w:rPr>
        <w:t>, </w:t>
      </w:r>
      <w:r w:rsidRPr="00FF4DE9">
        <w:rPr>
          <w:color w:val="222222"/>
          <w:kern w:val="0"/>
          <w:sz w:val="24"/>
          <w:szCs w:val="24"/>
        </w:rPr>
        <w:t>23</w:t>
      </w:r>
      <w:r w:rsidRPr="00B301B0">
        <w:rPr>
          <w:color w:val="222222"/>
          <w:kern w:val="0"/>
          <w:sz w:val="24"/>
          <w:szCs w:val="24"/>
        </w:rPr>
        <w:t>(3), 255-267.</w:t>
      </w:r>
    </w:p>
    <w:p w14:paraId="42739679"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M., &amp; Morrison, A. J. (1995). Configurations of strategy and structure in subsidiaries of multinational corporations.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26</w:t>
      </w:r>
      <w:r w:rsidRPr="00B301B0">
        <w:rPr>
          <w:color w:val="222222"/>
          <w:kern w:val="0"/>
          <w:sz w:val="24"/>
          <w:szCs w:val="24"/>
        </w:rPr>
        <w:t>(4), 729-753.</w:t>
      </w:r>
    </w:p>
    <w:p w14:paraId="67607A1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&amp; Hood, N. (1998). Multinational subsidiary evolution: Capability and charter change in foreign-owned subsidiary companies. </w:t>
      </w:r>
      <w:r w:rsidRPr="00FF4DE9">
        <w:rPr>
          <w:i/>
          <w:iCs/>
          <w:color w:val="222222"/>
          <w:kern w:val="0"/>
          <w:sz w:val="24"/>
          <w:szCs w:val="24"/>
        </w:rPr>
        <w:t>Academy of Management Review</w:t>
      </w:r>
      <w:r w:rsidRPr="00B301B0">
        <w:rPr>
          <w:color w:val="222222"/>
          <w:kern w:val="0"/>
          <w:sz w:val="24"/>
          <w:szCs w:val="24"/>
        </w:rPr>
        <w:t>, </w:t>
      </w:r>
      <w:r w:rsidRPr="00FF4DE9">
        <w:rPr>
          <w:color w:val="222222"/>
          <w:kern w:val="0"/>
          <w:sz w:val="24"/>
          <w:szCs w:val="24"/>
        </w:rPr>
        <w:t>23</w:t>
      </w:r>
      <w:r w:rsidRPr="00B301B0">
        <w:rPr>
          <w:color w:val="222222"/>
          <w:kern w:val="0"/>
          <w:sz w:val="24"/>
          <w:szCs w:val="24"/>
        </w:rPr>
        <w:t>(4), 773-795.</w:t>
      </w:r>
    </w:p>
    <w:p w14:paraId="7B38D843"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Bloom, N., &amp; Van Reenen, J. (2007). Measuring and explaining management practices across firms and countries. </w:t>
      </w:r>
      <w:r w:rsidRPr="00FF4DE9">
        <w:rPr>
          <w:i/>
          <w:iCs/>
          <w:color w:val="222222"/>
          <w:kern w:val="0"/>
          <w:sz w:val="24"/>
          <w:szCs w:val="24"/>
        </w:rPr>
        <w:t>The Quarterly Journal of Economics</w:t>
      </w:r>
      <w:r w:rsidRPr="00B301B0">
        <w:rPr>
          <w:color w:val="222222"/>
          <w:kern w:val="0"/>
          <w:sz w:val="24"/>
          <w:szCs w:val="24"/>
        </w:rPr>
        <w:t>, </w:t>
      </w:r>
      <w:r w:rsidRPr="00FF4DE9">
        <w:rPr>
          <w:color w:val="222222"/>
          <w:kern w:val="0"/>
          <w:sz w:val="24"/>
          <w:szCs w:val="24"/>
        </w:rPr>
        <w:t>122</w:t>
      </w:r>
      <w:r w:rsidRPr="00B301B0">
        <w:rPr>
          <w:color w:val="222222"/>
          <w:kern w:val="0"/>
          <w:sz w:val="24"/>
          <w:szCs w:val="24"/>
        </w:rPr>
        <w:t>(4), 1351-1408.</w:t>
      </w:r>
    </w:p>
    <w:p w14:paraId="4ECD719C"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Bloom, N., &amp; Van Reenen, J. (2010). Why do management practices differ across firms and countries?. </w:t>
      </w:r>
      <w:r w:rsidRPr="00FF4DE9">
        <w:rPr>
          <w:i/>
          <w:iCs/>
          <w:color w:val="222222"/>
          <w:kern w:val="0"/>
          <w:sz w:val="24"/>
          <w:szCs w:val="24"/>
        </w:rPr>
        <w:t>Journal of Economic Perspectives</w:t>
      </w:r>
      <w:r w:rsidRPr="00B301B0">
        <w:rPr>
          <w:color w:val="222222"/>
          <w:kern w:val="0"/>
          <w:sz w:val="24"/>
          <w:szCs w:val="24"/>
        </w:rPr>
        <w:t>, </w:t>
      </w:r>
      <w:r w:rsidRPr="00FF4DE9">
        <w:rPr>
          <w:color w:val="222222"/>
          <w:kern w:val="0"/>
          <w:sz w:val="24"/>
          <w:szCs w:val="24"/>
        </w:rPr>
        <w:t>24</w:t>
      </w:r>
      <w:r w:rsidRPr="00B301B0">
        <w:rPr>
          <w:color w:val="222222"/>
          <w:kern w:val="0"/>
          <w:sz w:val="24"/>
          <w:szCs w:val="24"/>
        </w:rPr>
        <w:t>(1), 203-24.</w:t>
      </w:r>
    </w:p>
    <w:p w14:paraId="3A8C3D79" w14:textId="75945853"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Bouquet, C., &amp; Birkinshaw, J. (2008). Weight versus voice: How foreign subsidiaries gain attention from corporate headquarters. </w:t>
      </w:r>
      <w:r w:rsidRPr="00FF4DE9">
        <w:rPr>
          <w:i/>
          <w:iCs/>
          <w:color w:val="222222"/>
          <w:kern w:val="0"/>
          <w:sz w:val="24"/>
          <w:szCs w:val="24"/>
        </w:rPr>
        <w:t xml:space="preserve">Academy of Management </w:t>
      </w:r>
      <w:r w:rsidR="00FF4DE9">
        <w:rPr>
          <w:i/>
          <w:iCs/>
          <w:color w:val="222222"/>
          <w:kern w:val="0"/>
          <w:sz w:val="24"/>
          <w:szCs w:val="24"/>
        </w:rPr>
        <w:t>J</w:t>
      </w:r>
      <w:r w:rsidRPr="00FF4DE9">
        <w:rPr>
          <w:i/>
          <w:iCs/>
          <w:color w:val="222222"/>
          <w:kern w:val="0"/>
          <w:sz w:val="24"/>
          <w:szCs w:val="24"/>
        </w:rPr>
        <w:t>ournal</w:t>
      </w:r>
      <w:r w:rsidRPr="00B301B0">
        <w:rPr>
          <w:color w:val="222222"/>
          <w:kern w:val="0"/>
          <w:sz w:val="24"/>
          <w:szCs w:val="24"/>
        </w:rPr>
        <w:t>, </w:t>
      </w:r>
      <w:r w:rsidRPr="00FF4DE9">
        <w:rPr>
          <w:color w:val="222222"/>
          <w:kern w:val="0"/>
          <w:sz w:val="24"/>
          <w:szCs w:val="24"/>
        </w:rPr>
        <w:t>51</w:t>
      </w:r>
      <w:r w:rsidRPr="00B301B0">
        <w:rPr>
          <w:color w:val="222222"/>
          <w:kern w:val="0"/>
          <w:sz w:val="24"/>
          <w:szCs w:val="24"/>
        </w:rPr>
        <w:t>(3), 577-601.</w:t>
      </w:r>
    </w:p>
    <w:p w14:paraId="311F0F9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 xml:space="preserve">Cano-Kollmann, M., Cantwell, J., Hannigan, T. J., Mudambi, R., &amp; Song, J. (2016). Knowledge connectivity: An agenda for innovation research in international business. </w:t>
      </w:r>
      <w:r w:rsidRPr="00FF4DE9">
        <w:rPr>
          <w:i/>
          <w:iCs/>
          <w:color w:val="222222"/>
          <w:kern w:val="0"/>
          <w:sz w:val="24"/>
          <w:szCs w:val="24"/>
        </w:rPr>
        <w:t>Journal of International Business Studies</w:t>
      </w:r>
      <w:r w:rsidRPr="00B301B0">
        <w:rPr>
          <w:color w:val="222222"/>
          <w:kern w:val="0"/>
          <w:sz w:val="24"/>
          <w:szCs w:val="24"/>
        </w:rPr>
        <w:t>, doi.org/10.1057/jibs.2016.8.</w:t>
      </w:r>
    </w:p>
    <w:p w14:paraId="0FA5FC6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Cantwell, J., &amp; Mudambi, R. (2005). MNE competence‐creating subsidiary mandates.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26</w:t>
      </w:r>
      <w:r w:rsidRPr="00B301B0">
        <w:rPr>
          <w:color w:val="222222"/>
          <w:kern w:val="0"/>
          <w:sz w:val="24"/>
          <w:szCs w:val="24"/>
        </w:rPr>
        <w:t>(12), 1109-1128.</w:t>
      </w:r>
    </w:p>
    <w:p w14:paraId="6DCFFDFC"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Contractor, F. J., Kumar, V., Kundu, S. K., &amp; Pedersen, T. (2010). Reconceptualizing the firm in a world of outsourcing and offshoring: The organizational and geographical relocation of high‐value company functions. </w:t>
      </w:r>
      <w:r w:rsidRPr="00FF4DE9">
        <w:rPr>
          <w:i/>
          <w:iCs/>
          <w:color w:val="222222"/>
          <w:kern w:val="0"/>
          <w:sz w:val="24"/>
          <w:szCs w:val="24"/>
        </w:rPr>
        <w:t>Journal of Management Studies</w:t>
      </w:r>
      <w:r w:rsidRPr="00B301B0">
        <w:rPr>
          <w:color w:val="222222"/>
          <w:kern w:val="0"/>
          <w:sz w:val="24"/>
          <w:szCs w:val="24"/>
        </w:rPr>
        <w:t>, </w:t>
      </w:r>
      <w:r w:rsidRPr="00FF4DE9">
        <w:rPr>
          <w:color w:val="222222"/>
          <w:kern w:val="0"/>
          <w:sz w:val="24"/>
          <w:szCs w:val="24"/>
        </w:rPr>
        <w:t>47</w:t>
      </w:r>
      <w:r w:rsidRPr="00B301B0">
        <w:rPr>
          <w:color w:val="222222"/>
          <w:kern w:val="0"/>
          <w:sz w:val="24"/>
          <w:szCs w:val="24"/>
        </w:rPr>
        <w:t>(8), 1417-1433.</w:t>
      </w:r>
    </w:p>
    <w:p w14:paraId="5F4FAA33"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Contractor, F. J., Lahiri, S., Elango, B., &amp; Kundu, S. K. (2014). Institutional, cultural and industry related determinants of ownership choices in emerging market FDI acquisitions. </w:t>
      </w:r>
      <w:r w:rsidRPr="00FF4DE9">
        <w:rPr>
          <w:i/>
          <w:iCs/>
          <w:color w:val="222222"/>
          <w:kern w:val="0"/>
          <w:sz w:val="24"/>
          <w:szCs w:val="24"/>
        </w:rPr>
        <w:t>International Business Review</w:t>
      </w:r>
      <w:r w:rsidRPr="00B301B0">
        <w:rPr>
          <w:color w:val="222222"/>
          <w:kern w:val="0"/>
          <w:sz w:val="24"/>
          <w:szCs w:val="24"/>
        </w:rPr>
        <w:t>, </w:t>
      </w:r>
      <w:r w:rsidRPr="00FF4DE9">
        <w:rPr>
          <w:color w:val="222222"/>
          <w:kern w:val="0"/>
          <w:sz w:val="24"/>
          <w:szCs w:val="24"/>
        </w:rPr>
        <w:t>23</w:t>
      </w:r>
      <w:r w:rsidRPr="00B301B0">
        <w:rPr>
          <w:color w:val="222222"/>
          <w:kern w:val="0"/>
          <w:sz w:val="24"/>
          <w:szCs w:val="24"/>
        </w:rPr>
        <w:t>(5), 931-941.</w:t>
      </w:r>
    </w:p>
    <w:p w14:paraId="0E4157E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Creplet, F., Dupouet, O., Kern, F., Mehmanpazir, B., &amp; Munier, F. (2001). Consultants and experts in management consulting firms. </w:t>
      </w:r>
      <w:r w:rsidRPr="00FF4DE9">
        <w:rPr>
          <w:i/>
          <w:iCs/>
          <w:color w:val="222222"/>
          <w:kern w:val="0"/>
          <w:sz w:val="24"/>
          <w:szCs w:val="24"/>
        </w:rPr>
        <w:t>Research Policy</w:t>
      </w:r>
      <w:r w:rsidRPr="00B301B0">
        <w:rPr>
          <w:color w:val="222222"/>
          <w:kern w:val="0"/>
          <w:sz w:val="24"/>
          <w:szCs w:val="24"/>
        </w:rPr>
        <w:t>, </w:t>
      </w:r>
      <w:r w:rsidRPr="00FF4DE9">
        <w:rPr>
          <w:color w:val="222222"/>
          <w:kern w:val="0"/>
          <w:sz w:val="24"/>
          <w:szCs w:val="24"/>
        </w:rPr>
        <w:t>30</w:t>
      </w:r>
      <w:r w:rsidRPr="00B301B0">
        <w:rPr>
          <w:color w:val="222222"/>
          <w:kern w:val="0"/>
          <w:sz w:val="24"/>
          <w:szCs w:val="24"/>
        </w:rPr>
        <w:t>(9), 1517-1535.</w:t>
      </w:r>
    </w:p>
    <w:p w14:paraId="7BD5BF35"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Crilly, D. (2011). Predicting stakeholder orientation in the multinational enterprise: A mid-range theory.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42</w:t>
      </w:r>
      <w:r w:rsidRPr="00B301B0">
        <w:rPr>
          <w:color w:val="222222"/>
          <w:kern w:val="0"/>
          <w:sz w:val="24"/>
          <w:szCs w:val="24"/>
        </w:rPr>
        <w:t>(5), 694-717.</w:t>
      </w:r>
    </w:p>
    <w:p w14:paraId="52155E59"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Cuervo-Cazurra, A., &amp; Genc, M. (2008). Transforming disadvantages into advantages: Developing-country MNEs in the least developed countries.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39</w:t>
      </w:r>
      <w:r w:rsidRPr="00B301B0">
        <w:rPr>
          <w:color w:val="222222"/>
          <w:kern w:val="0"/>
          <w:sz w:val="24"/>
          <w:szCs w:val="24"/>
        </w:rPr>
        <w:t>(6), 957-979.</w:t>
      </w:r>
    </w:p>
    <w:p w14:paraId="18D14D2F"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Cuervo‐Cazurra, A., Mudambi, R., &amp; Pedersen, T. (2019). Subsidiary power: Loaned or owned? The lenses of agency theory and resource dependence theory. </w:t>
      </w:r>
      <w:r w:rsidRPr="00FF4DE9">
        <w:rPr>
          <w:i/>
          <w:iCs/>
          <w:color w:val="222222"/>
          <w:kern w:val="0"/>
          <w:sz w:val="24"/>
          <w:szCs w:val="24"/>
        </w:rPr>
        <w:t>Global Strategy Journal</w:t>
      </w:r>
      <w:r w:rsidRPr="00B301B0">
        <w:rPr>
          <w:color w:val="222222"/>
          <w:kern w:val="0"/>
          <w:sz w:val="24"/>
          <w:szCs w:val="24"/>
        </w:rPr>
        <w:t>, </w:t>
      </w:r>
      <w:r w:rsidRPr="00FF4DE9">
        <w:rPr>
          <w:color w:val="222222"/>
          <w:kern w:val="0"/>
          <w:sz w:val="24"/>
          <w:szCs w:val="24"/>
        </w:rPr>
        <w:t>9</w:t>
      </w:r>
      <w:r w:rsidRPr="00B301B0">
        <w:rPr>
          <w:color w:val="222222"/>
          <w:kern w:val="0"/>
          <w:sz w:val="24"/>
          <w:szCs w:val="24"/>
        </w:rPr>
        <w:t>(4), 491-501.</w:t>
      </w:r>
    </w:p>
    <w:p w14:paraId="308AB72D"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Dellestrand, H., &amp; Kappen, P. (2012). The effects of spatial and contextual factors on headquarters resource allocation to MNE subsidiaries.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43</w:t>
      </w:r>
      <w:r w:rsidRPr="00B301B0">
        <w:rPr>
          <w:color w:val="222222"/>
          <w:kern w:val="0"/>
          <w:sz w:val="24"/>
          <w:szCs w:val="24"/>
        </w:rPr>
        <w:t>(3), 219-243.</w:t>
      </w:r>
    </w:p>
    <w:p w14:paraId="54A20E8A"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Dwivedi, P., Joshi, A., &amp; Misangyi, V. F. (2018). Gender-inclusive gatekeeping: How (mostly male) predecessors influence the success of female CEOs. </w:t>
      </w:r>
      <w:r w:rsidRPr="00FF4DE9">
        <w:rPr>
          <w:i/>
          <w:iCs/>
          <w:color w:val="222222"/>
          <w:kern w:val="0"/>
          <w:sz w:val="24"/>
          <w:szCs w:val="24"/>
        </w:rPr>
        <w:t>Academy of Management Journal</w:t>
      </w:r>
      <w:r w:rsidRPr="00B301B0">
        <w:rPr>
          <w:color w:val="222222"/>
          <w:kern w:val="0"/>
          <w:sz w:val="24"/>
          <w:szCs w:val="24"/>
        </w:rPr>
        <w:t>, </w:t>
      </w:r>
      <w:r w:rsidRPr="00FF4DE9">
        <w:rPr>
          <w:color w:val="222222"/>
          <w:kern w:val="0"/>
          <w:sz w:val="24"/>
          <w:szCs w:val="24"/>
        </w:rPr>
        <w:t>61</w:t>
      </w:r>
      <w:r w:rsidRPr="00B301B0">
        <w:rPr>
          <w:color w:val="222222"/>
          <w:kern w:val="0"/>
          <w:sz w:val="24"/>
          <w:szCs w:val="24"/>
        </w:rPr>
        <w:t>(2), 379-404.</w:t>
      </w:r>
    </w:p>
    <w:p w14:paraId="6814B220"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Feinberg, S. E., &amp; Gupta, A. K. (2004). Knowledge spillovers and the assignment of R&amp;D responsibilities to foreign subsidiaries.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25</w:t>
      </w:r>
      <w:r w:rsidRPr="00B301B0">
        <w:rPr>
          <w:color w:val="222222"/>
          <w:kern w:val="0"/>
          <w:sz w:val="24"/>
          <w:szCs w:val="24"/>
        </w:rPr>
        <w:t>(8‐9), 823-845.</w:t>
      </w:r>
    </w:p>
    <w:p w14:paraId="7D02685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Ferraris, A., Santoro, G., &amp; Dezi, L. (2017). How MNC’s subsidiaries may improve their innovative performance? The role of external sources and knowledge management capabilities. </w:t>
      </w:r>
      <w:r w:rsidRPr="00FF4DE9">
        <w:rPr>
          <w:i/>
          <w:iCs/>
          <w:color w:val="222222"/>
          <w:kern w:val="0"/>
          <w:sz w:val="24"/>
          <w:szCs w:val="24"/>
        </w:rPr>
        <w:t>Journal of Knowledge Management</w:t>
      </w:r>
      <w:r w:rsidRPr="00FF4DE9">
        <w:rPr>
          <w:color w:val="222222"/>
          <w:kern w:val="0"/>
          <w:sz w:val="24"/>
          <w:szCs w:val="24"/>
        </w:rPr>
        <w:t xml:space="preserve">, </w:t>
      </w:r>
      <w:r w:rsidRPr="00B301B0">
        <w:rPr>
          <w:color w:val="222222"/>
          <w:kern w:val="0"/>
          <w:sz w:val="24"/>
          <w:szCs w:val="24"/>
        </w:rPr>
        <w:t>21(3), 540-552.</w:t>
      </w:r>
    </w:p>
    <w:p w14:paraId="6069AEF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Fiss, P. C. (2007). A set-theoretic approach to organizational configurations. </w:t>
      </w:r>
      <w:r w:rsidRPr="00FF4DE9">
        <w:rPr>
          <w:i/>
          <w:iCs/>
          <w:color w:val="222222"/>
          <w:kern w:val="0"/>
          <w:sz w:val="24"/>
          <w:szCs w:val="24"/>
        </w:rPr>
        <w:t>Academy of Management Review</w:t>
      </w:r>
      <w:r w:rsidRPr="00B301B0">
        <w:rPr>
          <w:color w:val="222222"/>
          <w:kern w:val="0"/>
          <w:sz w:val="24"/>
          <w:szCs w:val="24"/>
        </w:rPr>
        <w:t>, </w:t>
      </w:r>
      <w:r w:rsidRPr="00FF4DE9">
        <w:rPr>
          <w:color w:val="222222"/>
          <w:kern w:val="0"/>
          <w:sz w:val="24"/>
          <w:szCs w:val="24"/>
        </w:rPr>
        <w:t>32</w:t>
      </w:r>
      <w:r w:rsidRPr="00B301B0">
        <w:rPr>
          <w:color w:val="222222"/>
          <w:kern w:val="0"/>
          <w:sz w:val="24"/>
          <w:szCs w:val="24"/>
        </w:rPr>
        <w:t>(4), 1180-1198.</w:t>
      </w:r>
    </w:p>
    <w:p w14:paraId="516A202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Fiss, P. C. (2011). Building better causal theories: A fuzzy set approach to typologies in organization research. </w:t>
      </w:r>
      <w:r w:rsidRPr="00FF4DE9">
        <w:rPr>
          <w:i/>
          <w:iCs/>
          <w:color w:val="222222"/>
          <w:kern w:val="0"/>
          <w:sz w:val="24"/>
          <w:szCs w:val="24"/>
        </w:rPr>
        <w:t>Academy of Management Journal</w:t>
      </w:r>
      <w:r w:rsidRPr="00B301B0">
        <w:rPr>
          <w:color w:val="222222"/>
          <w:kern w:val="0"/>
          <w:sz w:val="24"/>
          <w:szCs w:val="24"/>
        </w:rPr>
        <w:t>, </w:t>
      </w:r>
      <w:r w:rsidRPr="00FF4DE9">
        <w:rPr>
          <w:color w:val="222222"/>
          <w:kern w:val="0"/>
          <w:sz w:val="24"/>
          <w:szCs w:val="24"/>
        </w:rPr>
        <w:t>54</w:t>
      </w:r>
      <w:r w:rsidRPr="00B301B0">
        <w:rPr>
          <w:color w:val="222222"/>
          <w:kern w:val="0"/>
          <w:sz w:val="24"/>
          <w:szCs w:val="24"/>
        </w:rPr>
        <w:t>(2), 393-420.</w:t>
      </w:r>
    </w:p>
    <w:p w14:paraId="6F6083F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Fiss, P. C., Sharapov, D., &amp; Cronqvist, L. (2013). Opposites attract? Opportunities and challenges for integrating large-N QCA and econometric analysis. </w:t>
      </w:r>
      <w:r w:rsidRPr="00FF4DE9">
        <w:rPr>
          <w:i/>
          <w:iCs/>
          <w:color w:val="222222"/>
          <w:kern w:val="0"/>
          <w:sz w:val="24"/>
          <w:szCs w:val="24"/>
        </w:rPr>
        <w:t>Political Research Quarterly</w:t>
      </w:r>
      <w:r w:rsidRPr="00B301B0">
        <w:rPr>
          <w:color w:val="222222"/>
          <w:kern w:val="0"/>
          <w:sz w:val="24"/>
          <w:szCs w:val="24"/>
        </w:rPr>
        <w:t>, 191-198.</w:t>
      </w:r>
    </w:p>
    <w:p w14:paraId="64B43223"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Frost, T. S. (2001). The geographic sources of foreign subsidiaries' innovations.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22</w:t>
      </w:r>
      <w:r w:rsidRPr="00B301B0">
        <w:rPr>
          <w:color w:val="222222"/>
          <w:kern w:val="0"/>
          <w:sz w:val="24"/>
          <w:szCs w:val="24"/>
        </w:rPr>
        <w:t>(2), 101-123.</w:t>
      </w:r>
    </w:p>
    <w:p w14:paraId="6FF44F9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Furusten, S., &amp; Werr, A. (Eds.). (2005). </w:t>
      </w:r>
      <w:r w:rsidRPr="00FF4DE9">
        <w:rPr>
          <w:color w:val="222222"/>
          <w:kern w:val="0"/>
          <w:sz w:val="24"/>
          <w:szCs w:val="24"/>
        </w:rPr>
        <w:t>Dealing with confidence: The construction of need and trust in management advisory services</w:t>
      </w:r>
      <w:r w:rsidRPr="00B301B0">
        <w:rPr>
          <w:color w:val="222222"/>
          <w:kern w:val="0"/>
          <w:sz w:val="24"/>
          <w:szCs w:val="24"/>
        </w:rPr>
        <w:t>. Copenhagen Business School Press DK.</w:t>
      </w:r>
    </w:p>
    <w:p w14:paraId="0A9E3CC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Gammelgaard, J., McDonald, F., Stephan, A., Tüselmann, H., &amp; Dörrenbächer, C. (2012). The impact of increases in subsidiary autonomy and network relationships on performance. </w:t>
      </w:r>
      <w:r w:rsidRPr="00FF4DE9">
        <w:rPr>
          <w:i/>
          <w:iCs/>
          <w:color w:val="222222"/>
          <w:kern w:val="0"/>
          <w:sz w:val="24"/>
          <w:szCs w:val="24"/>
        </w:rPr>
        <w:t>International Business Review</w:t>
      </w:r>
      <w:r w:rsidRPr="00B301B0">
        <w:rPr>
          <w:color w:val="222222"/>
          <w:kern w:val="0"/>
          <w:sz w:val="24"/>
          <w:szCs w:val="24"/>
        </w:rPr>
        <w:t>, </w:t>
      </w:r>
      <w:r w:rsidRPr="00FF4DE9">
        <w:rPr>
          <w:color w:val="222222"/>
          <w:kern w:val="0"/>
          <w:sz w:val="24"/>
          <w:szCs w:val="24"/>
        </w:rPr>
        <w:t>21</w:t>
      </w:r>
      <w:r w:rsidRPr="00B301B0">
        <w:rPr>
          <w:color w:val="222222"/>
          <w:kern w:val="0"/>
          <w:sz w:val="24"/>
          <w:szCs w:val="24"/>
        </w:rPr>
        <w:t>(6), 1158-1172.</w:t>
      </w:r>
    </w:p>
    <w:p w14:paraId="738D9D5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Garud, R., Gehman, J., Kumaraswamy, A., &amp; Tuertscher, P. (2016). From the process of innovation to innovation as process. </w:t>
      </w:r>
      <w:r w:rsidRPr="00FF4DE9">
        <w:rPr>
          <w:color w:val="222222"/>
          <w:kern w:val="0"/>
          <w:sz w:val="24"/>
          <w:szCs w:val="24"/>
        </w:rPr>
        <w:t>The SAGE Handbook of Process Organization Studies</w:t>
      </w:r>
      <w:r w:rsidRPr="00B301B0">
        <w:rPr>
          <w:color w:val="222222"/>
          <w:kern w:val="0"/>
          <w:sz w:val="24"/>
          <w:szCs w:val="24"/>
        </w:rPr>
        <w:t>, 451-466.</w:t>
      </w:r>
    </w:p>
    <w:p w14:paraId="1AD9FBA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Geleilate, J. M. G., Andrews, D. S., &amp; Fainshmidt, S. (2019). Subsidiary autonomy and subsidiary performance: A meta-analysis. </w:t>
      </w:r>
      <w:r w:rsidRPr="00FF4DE9">
        <w:rPr>
          <w:i/>
          <w:iCs/>
          <w:color w:val="222222"/>
          <w:kern w:val="0"/>
          <w:sz w:val="24"/>
          <w:szCs w:val="24"/>
        </w:rPr>
        <w:t>Journal of World Business</w:t>
      </w:r>
      <w:r w:rsidRPr="00B301B0">
        <w:rPr>
          <w:color w:val="222222"/>
          <w:kern w:val="0"/>
          <w:sz w:val="24"/>
          <w:szCs w:val="24"/>
        </w:rPr>
        <w:t>, doi.org/10.1016/j.jwb.2019.101049.</w:t>
      </w:r>
    </w:p>
    <w:p w14:paraId="379828FC"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Gilmore, E., Andersson, U., &amp; Memar, N. (2018). How subsidiaries influence innovation in the MNE value chain. </w:t>
      </w:r>
      <w:r w:rsidRPr="00FF4DE9">
        <w:rPr>
          <w:i/>
          <w:iCs/>
          <w:color w:val="222222"/>
          <w:kern w:val="0"/>
          <w:sz w:val="24"/>
          <w:szCs w:val="24"/>
        </w:rPr>
        <w:t>Transnational Corporations</w:t>
      </w:r>
      <w:r w:rsidRPr="00B301B0">
        <w:rPr>
          <w:color w:val="222222"/>
          <w:kern w:val="0"/>
          <w:sz w:val="24"/>
          <w:szCs w:val="24"/>
        </w:rPr>
        <w:t>, </w:t>
      </w:r>
      <w:r w:rsidRPr="00FF4DE9">
        <w:rPr>
          <w:color w:val="222222"/>
          <w:kern w:val="0"/>
          <w:sz w:val="24"/>
          <w:szCs w:val="24"/>
        </w:rPr>
        <w:t>25</w:t>
      </w:r>
      <w:r w:rsidRPr="00B301B0">
        <w:rPr>
          <w:color w:val="222222"/>
          <w:kern w:val="0"/>
          <w:sz w:val="24"/>
          <w:szCs w:val="24"/>
        </w:rPr>
        <w:t>(1), 73-100.</w:t>
      </w:r>
    </w:p>
    <w:p w14:paraId="636913ED"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Golovko, E., &amp; Valentini, G. (2014). Selective learning‐by‐exporting: Firm size and product versus process innovation. </w:t>
      </w:r>
      <w:r w:rsidRPr="00FF4DE9">
        <w:rPr>
          <w:i/>
          <w:iCs/>
          <w:color w:val="222222"/>
          <w:kern w:val="0"/>
          <w:sz w:val="24"/>
          <w:szCs w:val="24"/>
        </w:rPr>
        <w:t>Global Strategy Journal</w:t>
      </w:r>
      <w:r w:rsidRPr="00B301B0">
        <w:rPr>
          <w:color w:val="222222"/>
          <w:kern w:val="0"/>
          <w:sz w:val="24"/>
          <w:szCs w:val="24"/>
        </w:rPr>
        <w:t>, </w:t>
      </w:r>
      <w:r w:rsidRPr="00FF4DE9">
        <w:rPr>
          <w:color w:val="222222"/>
          <w:kern w:val="0"/>
          <w:sz w:val="24"/>
          <w:szCs w:val="24"/>
        </w:rPr>
        <w:t>4</w:t>
      </w:r>
      <w:r w:rsidRPr="00B301B0">
        <w:rPr>
          <w:color w:val="222222"/>
          <w:kern w:val="0"/>
          <w:sz w:val="24"/>
          <w:szCs w:val="24"/>
        </w:rPr>
        <w:t>(3), 161-180.</w:t>
      </w:r>
    </w:p>
    <w:p w14:paraId="512E56C5"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Grandori, A., &amp; Furnari, S. (2013). Chapter 4 Configurational Analysis and Organization Design: Towards a Theory of Structural Heterogeneity'. </w:t>
      </w:r>
      <w:r w:rsidRPr="00FF4DE9">
        <w:rPr>
          <w:color w:val="222222"/>
          <w:kern w:val="0"/>
          <w:sz w:val="24"/>
          <w:szCs w:val="24"/>
        </w:rPr>
        <w:t>Configurational Theory and Methods in Organizational Research (Research in the Sociology of Organizations, Volume 38). Emerald Group Publishing Limited</w:t>
      </w:r>
      <w:r w:rsidRPr="00B301B0">
        <w:rPr>
          <w:color w:val="222222"/>
          <w:kern w:val="0"/>
          <w:sz w:val="24"/>
          <w:szCs w:val="24"/>
        </w:rPr>
        <w:t>, 77-105.</w:t>
      </w:r>
    </w:p>
    <w:p w14:paraId="79C39E1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Gupta, A. K., &amp; Govindarajan, V. (2000). Knowledge flows within multinational corporations.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21</w:t>
      </w:r>
      <w:r w:rsidRPr="00B301B0">
        <w:rPr>
          <w:color w:val="222222"/>
          <w:kern w:val="0"/>
          <w:sz w:val="24"/>
          <w:szCs w:val="24"/>
        </w:rPr>
        <w:t>(4), 473-496.</w:t>
      </w:r>
    </w:p>
    <w:p w14:paraId="60944F4A"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Harzing, A. W., &amp; Noorderhaven, N. (2006). Knowledge flows in MNCs: An empirical test and extension of Gupta and Govindarajan's typology of subsidiary roles. </w:t>
      </w:r>
      <w:r w:rsidRPr="00FF4DE9">
        <w:rPr>
          <w:i/>
          <w:iCs/>
          <w:color w:val="222222"/>
          <w:kern w:val="0"/>
          <w:sz w:val="24"/>
          <w:szCs w:val="24"/>
        </w:rPr>
        <w:t>International Business Review</w:t>
      </w:r>
      <w:r w:rsidRPr="00B301B0">
        <w:rPr>
          <w:color w:val="222222"/>
          <w:kern w:val="0"/>
          <w:sz w:val="24"/>
          <w:szCs w:val="24"/>
        </w:rPr>
        <w:t>, </w:t>
      </w:r>
      <w:r w:rsidRPr="00FF4DE9">
        <w:rPr>
          <w:color w:val="222222"/>
          <w:kern w:val="0"/>
          <w:sz w:val="24"/>
          <w:szCs w:val="24"/>
        </w:rPr>
        <w:t>15</w:t>
      </w:r>
      <w:r w:rsidRPr="00B301B0">
        <w:rPr>
          <w:color w:val="222222"/>
          <w:kern w:val="0"/>
          <w:sz w:val="24"/>
          <w:szCs w:val="24"/>
        </w:rPr>
        <w:t>(3), 195-214.</w:t>
      </w:r>
    </w:p>
    <w:p w14:paraId="34B2A49F"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Hewett, K., Roth, M. S., &amp; Roth, K. (2003). Conditions influencing headquarters and foreign subsidiary roles in marketing activities and their effects on performance.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34</w:t>
      </w:r>
      <w:r w:rsidRPr="00B301B0">
        <w:rPr>
          <w:color w:val="222222"/>
          <w:kern w:val="0"/>
          <w:sz w:val="24"/>
          <w:szCs w:val="24"/>
        </w:rPr>
        <w:t>(6), 567-585.</w:t>
      </w:r>
    </w:p>
    <w:p w14:paraId="4462405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Hoecht, A., &amp; Trott, P. (2006). Innovation risks of strategic outsourcing. </w:t>
      </w:r>
      <w:r w:rsidRPr="00FF4DE9">
        <w:rPr>
          <w:i/>
          <w:iCs/>
          <w:color w:val="222222"/>
          <w:kern w:val="0"/>
          <w:sz w:val="24"/>
          <w:szCs w:val="24"/>
        </w:rPr>
        <w:t>Technovation</w:t>
      </w:r>
      <w:r w:rsidRPr="00B301B0">
        <w:rPr>
          <w:color w:val="222222"/>
          <w:kern w:val="0"/>
          <w:sz w:val="24"/>
          <w:szCs w:val="24"/>
        </w:rPr>
        <w:t>, </w:t>
      </w:r>
      <w:r w:rsidRPr="00FF4DE9">
        <w:rPr>
          <w:color w:val="222222"/>
          <w:kern w:val="0"/>
          <w:sz w:val="24"/>
          <w:szCs w:val="24"/>
        </w:rPr>
        <w:t>26</w:t>
      </w:r>
      <w:r w:rsidRPr="00B301B0">
        <w:rPr>
          <w:color w:val="222222"/>
          <w:kern w:val="0"/>
          <w:sz w:val="24"/>
          <w:szCs w:val="24"/>
        </w:rPr>
        <w:t>(5-6), 672-681.</w:t>
      </w:r>
    </w:p>
    <w:p w14:paraId="084AA4D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Homburg, C., &amp; Prigge, J. K. (2014). Exploring subsidiary desire for autonomy: A conceptual framework and empirical findings. </w:t>
      </w:r>
      <w:r w:rsidRPr="00FF4DE9">
        <w:rPr>
          <w:i/>
          <w:iCs/>
          <w:color w:val="222222"/>
          <w:kern w:val="0"/>
          <w:sz w:val="24"/>
          <w:szCs w:val="24"/>
        </w:rPr>
        <w:t>Journal of International Marketing</w:t>
      </w:r>
      <w:r w:rsidRPr="00B301B0">
        <w:rPr>
          <w:color w:val="222222"/>
          <w:kern w:val="0"/>
          <w:sz w:val="24"/>
          <w:szCs w:val="24"/>
        </w:rPr>
        <w:t>, </w:t>
      </w:r>
      <w:r w:rsidRPr="00FF4DE9">
        <w:rPr>
          <w:color w:val="222222"/>
          <w:kern w:val="0"/>
          <w:sz w:val="24"/>
          <w:szCs w:val="24"/>
        </w:rPr>
        <w:t>22</w:t>
      </w:r>
      <w:r w:rsidRPr="00B301B0">
        <w:rPr>
          <w:color w:val="222222"/>
          <w:kern w:val="0"/>
          <w:sz w:val="24"/>
          <w:szCs w:val="24"/>
        </w:rPr>
        <w:t>(4), 21-43.</w:t>
      </w:r>
    </w:p>
    <w:p w14:paraId="32A1B8A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Jarvis, C. B., MacKenzie, S. B., &amp; Podsakoff, P. M. (2003). A critical review of construct indicators and measurement model misspecification in marketing and consumer research. </w:t>
      </w:r>
      <w:r w:rsidRPr="00FF4DE9">
        <w:rPr>
          <w:i/>
          <w:iCs/>
          <w:color w:val="222222"/>
          <w:kern w:val="0"/>
          <w:sz w:val="24"/>
          <w:szCs w:val="24"/>
        </w:rPr>
        <w:t>Journal of Consumer Research</w:t>
      </w:r>
      <w:r w:rsidRPr="00B301B0">
        <w:rPr>
          <w:color w:val="222222"/>
          <w:kern w:val="0"/>
          <w:sz w:val="24"/>
          <w:szCs w:val="24"/>
        </w:rPr>
        <w:t>, </w:t>
      </w:r>
      <w:r w:rsidRPr="00FF4DE9">
        <w:rPr>
          <w:color w:val="222222"/>
          <w:kern w:val="0"/>
          <w:sz w:val="24"/>
          <w:szCs w:val="24"/>
        </w:rPr>
        <w:t>30</w:t>
      </w:r>
      <w:r w:rsidRPr="00B301B0">
        <w:rPr>
          <w:color w:val="222222"/>
          <w:kern w:val="0"/>
          <w:sz w:val="24"/>
          <w:szCs w:val="24"/>
        </w:rPr>
        <w:t>(2), 199-218.</w:t>
      </w:r>
    </w:p>
    <w:p w14:paraId="0135802A"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Kaufmann, D., Kraay, A., &amp; Mastruzzi, M. (2006). </w:t>
      </w:r>
      <w:r w:rsidRPr="00FF4DE9">
        <w:rPr>
          <w:color w:val="222222"/>
          <w:kern w:val="0"/>
          <w:sz w:val="24"/>
          <w:szCs w:val="24"/>
        </w:rPr>
        <w:t>Governance matters V: aggregate and individual governance indicators for 1996-2005</w:t>
      </w:r>
      <w:r w:rsidRPr="00B301B0">
        <w:rPr>
          <w:color w:val="222222"/>
          <w:kern w:val="0"/>
          <w:sz w:val="24"/>
          <w:szCs w:val="24"/>
        </w:rPr>
        <w:t>. The World Bank.</w:t>
      </w:r>
    </w:p>
    <w:p w14:paraId="7C82862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Kawai, N., &amp; Strange, R. (2014). Subsidiary autonomy and performance in Japanese multinationals in Europe. </w:t>
      </w:r>
      <w:r w:rsidRPr="00FF4DE9">
        <w:rPr>
          <w:i/>
          <w:iCs/>
          <w:color w:val="222222"/>
          <w:kern w:val="0"/>
          <w:sz w:val="24"/>
          <w:szCs w:val="24"/>
        </w:rPr>
        <w:t>International Business Review</w:t>
      </w:r>
      <w:r w:rsidRPr="00B301B0">
        <w:rPr>
          <w:color w:val="222222"/>
          <w:kern w:val="0"/>
          <w:sz w:val="24"/>
          <w:szCs w:val="24"/>
        </w:rPr>
        <w:t>, </w:t>
      </w:r>
      <w:r w:rsidRPr="00FF4DE9">
        <w:rPr>
          <w:color w:val="222222"/>
          <w:kern w:val="0"/>
          <w:sz w:val="24"/>
          <w:szCs w:val="24"/>
        </w:rPr>
        <w:t>23</w:t>
      </w:r>
      <w:r w:rsidRPr="00B301B0">
        <w:rPr>
          <w:color w:val="222222"/>
          <w:kern w:val="0"/>
          <w:sz w:val="24"/>
          <w:szCs w:val="24"/>
        </w:rPr>
        <w:t>(3), 504-515.</w:t>
      </w:r>
    </w:p>
    <w:p w14:paraId="3661572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Kogut, B., &amp; Singh, H. (1988). The effect of national culture on the choice of entry mode.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19</w:t>
      </w:r>
      <w:r w:rsidRPr="00B301B0">
        <w:rPr>
          <w:color w:val="222222"/>
          <w:kern w:val="0"/>
          <w:sz w:val="24"/>
          <w:szCs w:val="24"/>
        </w:rPr>
        <w:t>(3), 411-432.</w:t>
      </w:r>
    </w:p>
    <w:p w14:paraId="4F59D94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Kostova, T., Nell, P. C., &amp; Hoenen, A. K. (2018). Understanding agency problems in headquarters-subsidiary relationships in multinational corporations: A contextualized model. </w:t>
      </w:r>
      <w:r w:rsidRPr="00FF4DE9">
        <w:rPr>
          <w:i/>
          <w:iCs/>
          <w:color w:val="222222"/>
          <w:kern w:val="0"/>
          <w:sz w:val="24"/>
          <w:szCs w:val="24"/>
        </w:rPr>
        <w:t>Journal of Management</w:t>
      </w:r>
      <w:r w:rsidRPr="00B301B0">
        <w:rPr>
          <w:color w:val="222222"/>
          <w:kern w:val="0"/>
          <w:sz w:val="24"/>
          <w:szCs w:val="24"/>
        </w:rPr>
        <w:t>, </w:t>
      </w:r>
      <w:r w:rsidRPr="00FF4DE9">
        <w:rPr>
          <w:color w:val="222222"/>
          <w:kern w:val="0"/>
          <w:sz w:val="24"/>
          <w:szCs w:val="24"/>
        </w:rPr>
        <w:t>44</w:t>
      </w:r>
      <w:r w:rsidRPr="00B301B0">
        <w:rPr>
          <w:color w:val="222222"/>
          <w:kern w:val="0"/>
          <w:sz w:val="24"/>
          <w:szCs w:val="24"/>
        </w:rPr>
        <w:t>(7), 2611-2637.</w:t>
      </w:r>
    </w:p>
    <w:p w14:paraId="44F1254D"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Lee, C., &amp; Beamish, P. W. (1995). The characteristics and performance of Korean joint ventures in LDCs.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26</w:t>
      </w:r>
      <w:r w:rsidRPr="00B301B0">
        <w:rPr>
          <w:color w:val="222222"/>
          <w:kern w:val="0"/>
          <w:sz w:val="24"/>
          <w:szCs w:val="24"/>
        </w:rPr>
        <w:t>(3), 637-654.</w:t>
      </w:r>
    </w:p>
    <w:p w14:paraId="7230D0C3"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Lewellyn, K. B., &amp; Fainshmidt, S. (2017). Effectiveness of CEO power bundles and discretion context: Unpacking the ‘fuzziness’ of the CEO duality puzzle. </w:t>
      </w:r>
      <w:r w:rsidRPr="00FF4DE9">
        <w:rPr>
          <w:i/>
          <w:iCs/>
          <w:color w:val="222222"/>
          <w:kern w:val="0"/>
          <w:sz w:val="24"/>
          <w:szCs w:val="24"/>
        </w:rPr>
        <w:t>Organization Studies</w:t>
      </w:r>
      <w:r w:rsidRPr="00B301B0">
        <w:rPr>
          <w:color w:val="222222"/>
          <w:kern w:val="0"/>
          <w:sz w:val="24"/>
          <w:szCs w:val="24"/>
        </w:rPr>
        <w:t>, </w:t>
      </w:r>
      <w:r w:rsidRPr="00FF4DE9">
        <w:rPr>
          <w:color w:val="222222"/>
          <w:kern w:val="0"/>
          <w:sz w:val="24"/>
          <w:szCs w:val="24"/>
        </w:rPr>
        <w:t>38</w:t>
      </w:r>
      <w:r w:rsidRPr="00B301B0">
        <w:rPr>
          <w:color w:val="222222"/>
          <w:kern w:val="0"/>
          <w:sz w:val="24"/>
          <w:szCs w:val="24"/>
        </w:rPr>
        <w:t>(11), 1603-1624.</w:t>
      </w:r>
    </w:p>
    <w:p w14:paraId="55C5C83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Luo, Y. (2003). Market-seeking MNEs in an emerging market: How parent–subsidiary links shape overseas success.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34</w:t>
      </w:r>
      <w:r w:rsidRPr="00B301B0">
        <w:rPr>
          <w:color w:val="222222"/>
          <w:kern w:val="0"/>
          <w:sz w:val="24"/>
          <w:szCs w:val="24"/>
        </w:rPr>
        <w:t>(3), 290-309.</w:t>
      </w:r>
    </w:p>
    <w:p w14:paraId="1F9EDE1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Maksimov, V., Wang, S. L., &amp; Luo, Y. (2017). Institutional imprinting, entrepreneurial agency, and private firm innovation in transition economies. </w:t>
      </w:r>
      <w:r w:rsidRPr="00FF4DE9">
        <w:rPr>
          <w:i/>
          <w:iCs/>
          <w:color w:val="222222"/>
          <w:kern w:val="0"/>
          <w:sz w:val="24"/>
          <w:szCs w:val="24"/>
        </w:rPr>
        <w:t>Journal of World Business</w:t>
      </w:r>
      <w:r w:rsidRPr="00B301B0">
        <w:rPr>
          <w:color w:val="222222"/>
          <w:kern w:val="0"/>
          <w:sz w:val="24"/>
          <w:szCs w:val="24"/>
        </w:rPr>
        <w:t>, </w:t>
      </w:r>
      <w:r w:rsidRPr="00FF4DE9">
        <w:rPr>
          <w:color w:val="222222"/>
          <w:kern w:val="0"/>
          <w:sz w:val="24"/>
          <w:szCs w:val="24"/>
        </w:rPr>
        <w:t>52</w:t>
      </w:r>
      <w:r w:rsidRPr="00B301B0">
        <w:rPr>
          <w:color w:val="222222"/>
          <w:kern w:val="0"/>
          <w:sz w:val="24"/>
          <w:szCs w:val="24"/>
        </w:rPr>
        <w:t>(6), 854-865.</w:t>
      </w:r>
    </w:p>
    <w:p w14:paraId="2CBAF8B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Marano, V., Tashman, P., &amp; Kostova, T. (2017). Escaping the iron cage: Liabilities of origin and CSR reporting of emerging market multinational enterprises.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48</w:t>
      </w:r>
      <w:r w:rsidRPr="00B301B0">
        <w:rPr>
          <w:color w:val="222222"/>
          <w:kern w:val="0"/>
          <w:sz w:val="24"/>
          <w:szCs w:val="24"/>
        </w:rPr>
        <w:t>(3), 386-408.</w:t>
      </w:r>
    </w:p>
    <w:p w14:paraId="1BE44E9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Meyer, K. E., Li, C., &amp; Schotter, A. P. (2020). Managing the MNE subsidiary: Advancing a multi-level and dynamic research agenda. </w:t>
      </w:r>
      <w:r w:rsidRPr="00FF4DE9">
        <w:rPr>
          <w:i/>
          <w:iCs/>
          <w:color w:val="222222"/>
          <w:kern w:val="0"/>
          <w:sz w:val="24"/>
          <w:szCs w:val="24"/>
        </w:rPr>
        <w:t>Journal of International Business Studies</w:t>
      </w:r>
      <w:r w:rsidRPr="00B301B0">
        <w:rPr>
          <w:color w:val="222222"/>
          <w:kern w:val="0"/>
          <w:sz w:val="24"/>
          <w:szCs w:val="24"/>
        </w:rPr>
        <w:t>, doi.org/10.1057/s41267-020-00318-w.</w:t>
      </w:r>
    </w:p>
    <w:p w14:paraId="20A79C9F" w14:textId="35166316"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Misangyi, V. F., Greckhamer, T., Furnari, S., Fiss, P. C., Crilly, D., &amp; Aguilera, R. (2017). Embracing causal complexity: The emergence of a neo-configurational perspective. </w:t>
      </w:r>
      <w:r w:rsidRPr="00FF4DE9">
        <w:rPr>
          <w:i/>
          <w:iCs/>
          <w:color w:val="222222"/>
          <w:kern w:val="0"/>
          <w:sz w:val="24"/>
          <w:szCs w:val="24"/>
        </w:rPr>
        <w:t xml:space="preserve">Journal of </w:t>
      </w:r>
      <w:r w:rsidR="00FF4DE9">
        <w:rPr>
          <w:i/>
          <w:iCs/>
          <w:color w:val="222222"/>
          <w:kern w:val="0"/>
          <w:sz w:val="24"/>
          <w:szCs w:val="24"/>
        </w:rPr>
        <w:t>M</w:t>
      </w:r>
      <w:r w:rsidRPr="00FF4DE9">
        <w:rPr>
          <w:i/>
          <w:iCs/>
          <w:color w:val="222222"/>
          <w:kern w:val="0"/>
          <w:sz w:val="24"/>
          <w:szCs w:val="24"/>
        </w:rPr>
        <w:t>anagement</w:t>
      </w:r>
      <w:r w:rsidRPr="00B301B0">
        <w:rPr>
          <w:color w:val="222222"/>
          <w:kern w:val="0"/>
          <w:sz w:val="24"/>
          <w:szCs w:val="24"/>
        </w:rPr>
        <w:t>, </w:t>
      </w:r>
      <w:r w:rsidRPr="00FF4DE9">
        <w:rPr>
          <w:color w:val="222222"/>
          <w:kern w:val="0"/>
          <w:sz w:val="24"/>
          <w:szCs w:val="24"/>
        </w:rPr>
        <w:t>43</w:t>
      </w:r>
      <w:r w:rsidRPr="00B301B0">
        <w:rPr>
          <w:color w:val="222222"/>
          <w:kern w:val="0"/>
          <w:sz w:val="24"/>
          <w:szCs w:val="24"/>
        </w:rPr>
        <w:t>(1), 255-282.</w:t>
      </w:r>
    </w:p>
    <w:p w14:paraId="59304837" w14:textId="77777777" w:rsidR="00B301B0" w:rsidRPr="00FF4DE9" w:rsidRDefault="00B301B0" w:rsidP="00FF4DE9">
      <w:pPr>
        <w:widowControl/>
        <w:overflowPunct/>
        <w:autoSpaceDE/>
        <w:autoSpaceDN/>
        <w:adjustRightInd/>
        <w:spacing w:after="200"/>
        <w:ind w:left="1440" w:hanging="720"/>
        <w:rPr>
          <w:color w:val="222222"/>
          <w:kern w:val="0"/>
          <w:sz w:val="24"/>
          <w:szCs w:val="24"/>
        </w:rPr>
      </w:pPr>
      <w:r w:rsidRPr="00FF4DE9">
        <w:rPr>
          <w:color w:val="222222"/>
          <w:kern w:val="0"/>
          <w:sz w:val="24"/>
          <w:szCs w:val="24"/>
        </w:rPr>
        <w:t>MOI, 2010. Management, Organization, and Innovation Survey – The European Bank for Reconstruction and Development and the World Bank Questionnaire A – Multi-establishment firms [PDF file]. Retrieved from https://www.ebrd.com/downloads/research/economics/miqa.pdf</w:t>
      </w:r>
    </w:p>
    <w:p w14:paraId="2C4F589F"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Monteiro, F., &amp; Birkinshaw, J. (2017). The external knowledge sourcing process in multinational corporations.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38</w:t>
      </w:r>
      <w:r w:rsidRPr="00B301B0">
        <w:rPr>
          <w:color w:val="222222"/>
          <w:kern w:val="0"/>
          <w:sz w:val="24"/>
          <w:szCs w:val="24"/>
        </w:rPr>
        <w:t>(2), 342-362.</w:t>
      </w:r>
    </w:p>
    <w:p w14:paraId="7B07A22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Monteiro, F., Arvidsson, N., &amp; Birkinshaw, J. (2008). Knowledge flows within multinational corporations: Explaining subsidiary isolation and its performance implications. </w:t>
      </w:r>
      <w:r w:rsidRPr="00FF4DE9">
        <w:rPr>
          <w:i/>
          <w:iCs/>
          <w:color w:val="222222"/>
          <w:kern w:val="0"/>
          <w:sz w:val="24"/>
          <w:szCs w:val="24"/>
        </w:rPr>
        <w:t>Organization Science</w:t>
      </w:r>
      <w:r w:rsidRPr="00B301B0">
        <w:rPr>
          <w:color w:val="222222"/>
          <w:kern w:val="0"/>
          <w:sz w:val="24"/>
          <w:szCs w:val="24"/>
        </w:rPr>
        <w:t>, </w:t>
      </w:r>
      <w:r w:rsidRPr="00FF4DE9">
        <w:rPr>
          <w:color w:val="222222"/>
          <w:kern w:val="0"/>
          <w:sz w:val="24"/>
          <w:szCs w:val="24"/>
        </w:rPr>
        <w:t>19</w:t>
      </w:r>
      <w:r w:rsidRPr="00B301B0">
        <w:rPr>
          <w:color w:val="222222"/>
          <w:kern w:val="0"/>
          <w:sz w:val="24"/>
          <w:szCs w:val="24"/>
        </w:rPr>
        <w:t>(1), 90-107.</w:t>
      </w:r>
    </w:p>
    <w:p w14:paraId="6EE49C90"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Monteiro, F., Mol, M., &amp; Birkinshaw, J. (2017). Ready to be open? Explaining the firm level barriers to benefiting from openness to external knowledge. </w:t>
      </w:r>
      <w:r w:rsidRPr="00FF4DE9">
        <w:rPr>
          <w:i/>
          <w:iCs/>
          <w:color w:val="222222"/>
          <w:kern w:val="0"/>
          <w:sz w:val="24"/>
          <w:szCs w:val="24"/>
        </w:rPr>
        <w:t>Long Range Planning</w:t>
      </w:r>
      <w:r w:rsidRPr="00B301B0">
        <w:rPr>
          <w:color w:val="222222"/>
          <w:kern w:val="0"/>
          <w:sz w:val="24"/>
          <w:szCs w:val="24"/>
        </w:rPr>
        <w:t>, </w:t>
      </w:r>
      <w:r w:rsidRPr="00FF4DE9">
        <w:rPr>
          <w:color w:val="222222"/>
          <w:kern w:val="0"/>
          <w:sz w:val="24"/>
          <w:szCs w:val="24"/>
        </w:rPr>
        <w:t>50</w:t>
      </w:r>
      <w:r w:rsidRPr="00B301B0">
        <w:rPr>
          <w:color w:val="222222"/>
          <w:kern w:val="0"/>
          <w:sz w:val="24"/>
          <w:szCs w:val="24"/>
        </w:rPr>
        <w:t>(2), 282-295.</w:t>
      </w:r>
    </w:p>
    <w:p w14:paraId="53573DD1"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Mudambi, R., &amp; Navarra, P. (2004). Divisional power, intra-firm bargaining and rent-seeking behavior in multidivisional corporations. </w:t>
      </w:r>
      <w:r w:rsidRPr="00FF4DE9">
        <w:rPr>
          <w:i/>
          <w:iCs/>
          <w:color w:val="222222"/>
          <w:kern w:val="0"/>
          <w:sz w:val="24"/>
          <w:szCs w:val="24"/>
        </w:rPr>
        <w:t>Economics Bulletin</w:t>
      </w:r>
      <w:r w:rsidRPr="00B301B0">
        <w:rPr>
          <w:color w:val="222222"/>
          <w:kern w:val="0"/>
          <w:sz w:val="24"/>
          <w:szCs w:val="24"/>
        </w:rPr>
        <w:t>, </w:t>
      </w:r>
      <w:r w:rsidRPr="00FF4DE9">
        <w:rPr>
          <w:color w:val="222222"/>
          <w:kern w:val="0"/>
          <w:sz w:val="24"/>
          <w:szCs w:val="24"/>
        </w:rPr>
        <w:t>4</w:t>
      </w:r>
      <w:r w:rsidRPr="00B301B0">
        <w:rPr>
          <w:color w:val="222222"/>
          <w:kern w:val="0"/>
          <w:sz w:val="24"/>
          <w:szCs w:val="24"/>
        </w:rPr>
        <w:t>(13), 1-10.</w:t>
      </w:r>
    </w:p>
    <w:p w14:paraId="54EB5E5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Mudambi, R., &amp; Pedersen, T. (2007). Agency theory and resource dependency theory: Complementary explanations for subsidiary power in multinational corporations. </w:t>
      </w:r>
      <w:r w:rsidRPr="00FF4DE9">
        <w:rPr>
          <w:color w:val="222222"/>
          <w:kern w:val="0"/>
          <w:sz w:val="24"/>
          <w:szCs w:val="24"/>
        </w:rPr>
        <w:t>Bridging IB theories, constructs, and methods across cultures and social sciences. Palgrave Macmillan</w:t>
      </w:r>
      <w:r w:rsidRPr="00B301B0">
        <w:rPr>
          <w:color w:val="222222"/>
          <w:kern w:val="0"/>
          <w:sz w:val="24"/>
          <w:szCs w:val="24"/>
        </w:rPr>
        <w:t>.</w:t>
      </w:r>
    </w:p>
    <w:p w14:paraId="648FA45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Nell, P. C., &amp; Ambos, B. (2013). Parenting advantage in the MNC: An embeddedness perspective on the value added by headquarters.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34</w:t>
      </w:r>
      <w:r w:rsidRPr="00B301B0">
        <w:rPr>
          <w:color w:val="222222"/>
          <w:kern w:val="0"/>
          <w:sz w:val="24"/>
          <w:szCs w:val="24"/>
        </w:rPr>
        <w:t>(9), 1086-1103.</w:t>
      </w:r>
    </w:p>
    <w:p w14:paraId="759FC0C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Nohria, N., &amp; Ghoshal, S. (1994). Differentiated fit and shared values: Alternatives for managing headquarters‐subsidiary relations.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15</w:t>
      </w:r>
      <w:r w:rsidRPr="00B301B0">
        <w:rPr>
          <w:color w:val="222222"/>
          <w:kern w:val="0"/>
          <w:sz w:val="24"/>
          <w:szCs w:val="24"/>
        </w:rPr>
        <w:t>(6), 491-502.</w:t>
      </w:r>
    </w:p>
    <w:p w14:paraId="0CB31D63"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Nuruzzaman, N., Gaur, A. S., &amp; Sambharya, R. B. (2019). A microfoundations approach to studying innovation in multinational subsidiaries. </w:t>
      </w:r>
      <w:r w:rsidRPr="00FF4DE9">
        <w:rPr>
          <w:i/>
          <w:iCs/>
          <w:color w:val="222222"/>
          <w:kern w:val="0"/>
          <w:sz w:val="24"/>
          <w:szCs w:val="24"/>
        </w:rPr>
        <w:t>Global Strategy Journal</w:t>
      </w:r>
      <w:r w:rsidRPr="00B301B0">
        <w:rPr>
          <w:color w:val="222222"/>
          <w:kern w:val="0"/>
          <w:sz w:val="24"/>
          <w:szCs w:val="24"/>
        </w:rPr>
        <w:t>, </w:t>
      </w:r>
      <w:r w:rsidRPr="00FF4DE9">
        <w:rPr>
          <w:color w:val="222222"/>
          <w:kern w:val="0"/>
          <w:sz w:val="24"/>
          <w:szCs w:val="24"/>
        </w:rPr>
        <w:t>9</w:t>
      </w:r>
      <w:r w:rsidRPr="00B301B0">
        <w:rPr>
          <w:color w:val="222222"/>
          <w:kern w:val="0"/>
          <w:sz w:val="24"/>
          <w:szCs w:val="24"/>
        </w:rPr>
        <w:t>(1), 92-116.</w:t>
      </w:r>
    </w:p>
    <w:p w14:paraId="4E7B0DF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Pajunen, K. (2008). Institutions and inflows of foreign direct investment: A fuzzy-set analysis.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39</w:t>
      </w:r>
      <w:r w:rsidRPr="00B301B0">
        <w:rPr>
          <w:color w:val="222222"/>
          <w:kern w:val="0"/>
          <w:sz w:val="24"/>
          <w:szCs w:val="24"/>
        </w:rPr>
        <w:t>(4), 652-669.</w:t>
      </w:r>
    </w:p>
    <w:p w14:paraId="61D2D27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Palmié, M., Zeschky, M., Winterhalter, S., Sauter, P. W., Haefner, N., &amp; Gassmann, O. (2016). Coordination mechanisms for international innovation in SMEs: Effects on time-to-market and R&amp;D task complexity as a moderator. </w:t>
      </w:r>
      <w:r w:rsidRPr="00FF4DE9">
        <w:rPr>
          <w:i/>
          <w:iCs/>
          <w:color w:val="222222"/>
          <w:kern w:val="0"/>
          <w:sz w:val="24"/>
          <w:szCs w:val="24"/>
        </w:rPr>
        <w:t>Small Business Economics</w:t>
      </w:r>
      <w:r w:rsidRPr="00B301B0">
        <w:rPr>
          <w:color w:val="222222"/>
          <w:kern w:val="0"/>
          <w:sz w:val="24"/>
          <w:szCs w:val="24"/>
        </w:rPr>
        <w:t>, </w:t>
      </w:r>
      <w:r w:rsidRPr="00FF4DE9">
        <w:rPr>
          <w:color w:val="222222"/>
          <w:kern w:val="0"/>
          <w:sz w:val="24"/>
          <w:szCs w:val="24"/>
        </w:rPr>
        <w:t>46</w:t>
      </w:r>
      <w:r w:rsidRPr="00B301B0">
        <w:rPr>
          <w:color w:val="222222"/>
          <w:kern w:val="0"/>
          <w:sz w:val="24"/>
          <w:szCs w:val="24"/>
        </w:rPr>
        <w:t>(2), 273-294.</w:t>
      </w:r>
    </w:p>
    <w:p w14:paraId="6FE1A32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Phene, A., &amp; Almeida, P. (2008). Innovation in multinational subsidiaries: The role of knowledge assimilation and subsidiary capabilities.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39</w:t>
      </w:r>
      <w:r w:rsidRPr="00B301B0">
        <w:rPr>
          <w:color w:val="222222"/>
          <w:kern w:val="0"/>
          <w:sz w:val="24"/>
          <w:szCs w:val="24"/>
        </w:rPr>
        <w:t>(5), 901-919.</w:t>
      </w:r>
    </w:p>
    <w:p w14:paraId="3E3D13A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Piening, E. P., Salge, T. O., &amp; Schäfer, S. (2016). Innovating across boundaries: A portfolio perspective on innovation partnerships of multinational corporations. </w:t>
      </w:r>
      <w:r w:rsidRPr="00FF4DE9">
        <w:rPr>
          <w:i/>
          <w:iCs/>
          <w:color w:val="222222"/>
          <w:kern w:val="0"/>
          <w:sz w:val="24"/>
          <w:szCs w:val="24"/>
        </w:rPr>
        <w:t>Journal of World Business</w:t>
      </w:r>
      <w:r w:rsidRPr="00B301B0">
        <w:rPr>
          <w:color w:val="222222"/>
          <w:kern w:val="0"/>
          <w:sz w:val="24"/>
          <w:szCs w:val="24"/>
        </w:rPr>
        <w:t>, </w:t>
      </w:r>
      <w:r w:rsidRPr="00FF4DE9">
        <w:rPr>
          <w:color w:val="222222"/>
          <w:kern w:val="0"/>
          <w:sz w:val="24"/>
          <w:szCs w:val="24"/>
        </w:rPr>
        <w:t>51</w:t>
      </w:r>
      <w:r w:rsidRPr="00B301B0">
        <w:rPr>
          <w:color w:val="222222"/>
          <w:kern w:val="0"/>
          <w:sz w:val="24"/>
          <w:szCs w:val="24"/>
        </w:rPr>
        <w:t>(3), 474-485.</w:t>
      </w:r>
    </w:p>
    <w:p w14:paraId="482759D0"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Rabbiosi, L., &amp; Santangelo, G. D. (2019). Host country corruption and the organization of HQ–subsidiary relationships.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50</w:t>
      </w:r>
      <w:r w:rsidRPr="00B301B0">
        <w:rPr>
          <w:color w:val="222222"/>
          <w:kern w:val="0"/>
          <w:sz w:val="24"/>
          <w:szCs w:val="24"/>
        </w:rPr>
        <w:t>(1), 111-124.</w:t>
      </w:r>
    </w:p>
    <w:p w14:paraId="28AD553C" w14:textId="26A5E051"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Ragin, C. C. (2006). Set relations in social research: Evaluating their consistency and coverage. </w:t>
      </w:r>
      <w:r w:rsidRPr="00FF4DE9">
        <w:rPr>
          <w:i/>
          <w:iCs/>
          <w:color w:val="222222"/>
          <w:kern w:val="0"/>
          <w:sz w:val="24"/>
          <w:szCs w:val="24"/>
        </w:rPr>
        <w:t xml:space="preserve">Political </w:t>
      </w:r>
      <w:r w:rsidR="00FF4DE9">
        <w:rPr>
          <w:i/>
          <w:iCs/>
          <w:color w:val="222222"/>
          <w:kern w:val="0"/>
          <w:sz w:val="24"/>
          <w:szCs w:val="24"/>
        </w:rPr>
        <w:t>A</w:t>
      </w:r>
      <w:r w:rsidRPr="00FF4DE9">
        <w:rPr>
          <w:i/>
          <w:iCs/>
          <w:color w:val="222222"/>
          <w:kern w:val="0"/>
          <w:sz w:val="24"/>
          <w:szCs w:val="24"/>
        </w:rPr>
        <w:t>nalysis</w:t>
      </w:r>
      <w:r w:rsidRPr="00B301B0">
        <w:rPr>
          <w:color w:val="222222"/>
          <w:kern w:val="0"/>
          <w:sz w:val="24"/>
          <w:szCs w:val="24"/>
        </w:rPr>
        <w:t>, 291-310.</w:t>
      </w:r>
    </w:p>
    <w:p w14:paraId="1CAB9C0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Ragin, C. C. (2008). Measurement versus calibration: A set‐theoretic approach. In </w:t>
      </w:r>
      <w:r w:rsidRPr="00FF4DE9">
        <w:rPr>
          <w:color w:val="222222"/>
          <w:kern w:val="0"/>
          <w:sz w:val="24"/>
          <w:szCs w:val="24"/>
        </w:rPr>
        <w:t>The Oxford handbook of political methodology</w:t>
      </w:r>
      <w:r w:rsidRPr="00B301B0">
        <w:rPr>
          <w:color w:val="222222"/>
          <w:kern w:val="0"/>
          <w:sz w:val="24"/>
          <w:szCs w:val="24"/>
        </w:rPr>
        <w:t>.</w:t>
      </w:r>
    </w:p>
    <w:p w14:paraId="7E8D0849"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Ragin, C. C. (2009). </w:t>
      </w:r>
      <w:r w:rsidRPr="00FF4DE9">
        <w:rPr>
          <w:color w:val="222222"/>
          <w:kern w:val="0"/>
          <w:sz w:val="24"/>
          <w:szCs w:val="24"/>
        </w:rPr>
        <w:t>Redesigning social inquiry: Fuzzy sets and beyond</w:t>
      </w:r>
      <w:r w:rsidRPr="00B301B0">
        <w:rPr>
          <w:color w:val="222222"/>
          <w:kern w:val="0"/>
          <w:sz w:val="24"/>
          <w:szCs w:val="24"/>
        </w:rPr>
        <w:t>. University of Chicago Press.</w:t>
      </w:r>
    </w:p>
    <w:p w14:paraId="0383D9A0" w14:textId="77777777" w:rsidR="00B301B0" w:rsidRPr="00FF4DE9" w:rsidRDefault="00B301B0" w:rsidP="00FF4DE9">
      <w:pPr>
        <w:widowControl/>
        <w:overflowPunct/>
        <w:autoSpaceDE/>
        <w:autoSpaceDN/>
        <w:adjustRightInd/>
        <w:spacing w:after="200"/>
        <w:ind w:left="1440" w:hanging="720"/>
        <w:rPr>
          <w:color w:val="222222"/>
          <w:kern w:val="0"/>
          <w:sz w:val="24"/>
          <w:szCs w:val="24"/>
        </w:rPr>
      </w:pPr>
      <w:r w:rsidRPr="00FF4DE9">
        <w:rPr>
          <w:color w:val="222222"/>
          <w:kern w:val="0"/>
          <w:sz w:val="24"/>
          <w:szCs w:val="24"/>
        </w:rPr>
        <w:t>Ragin, C. C. &amp; Fiss, P. C. (2016). Intersectional inequality: Race, class, test scores, and poverty. University of Chicago Press.</w:t>
      </w:r>
    </w:p>
    <w:p w14:paraId="7440816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Ragin, C. C., &amp; Sonnett, J. (2005). Between complexity and parsimony: Limited diversity, counterfactual cases, and comparative analysis. In </w:t>
      </w:r>
      <w:r w:rsidRPr="00FF4DE9">
        <w:rPr>
          <w:color w:val="222222"/>
          <w:kern w:val="0"/>
          <w:sz w:val="24"/>
          <w:szCs w:val="24"/>
        </w:rPr>
        <w:t>Vergleichen in der Politikwissenschaft</w:t>
      </w:r>
      <w:r w:rsidRPr="00B301B0">
        <w:rPr>
          <w:color w:val="222222"/>
          <w:kern w:val="0"/>
          <w:sz w:val="24"/>
          <w:szCs w:val="24"/>
        </w:rPr>
        <w:t> (pp. 180-197). VS Verlag für Sozialwissenschaften.</w:t>
      </w:r>
    </w:p>
    <w:p w14:paraId="69B121AF"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Rugman, A. M., &amp; Verbeke, A. (2001). Subsidiary‐specific advantages in multinational enterprises.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22</w:t>
      </w:r>
      <w:r w:rsidRPr="00B301B0">
        <w:rPr>
          <w:color w:val="222222"/>
          <w:kern w:val="0"/>
          <w:sz w:val="24"/>
          <w:szCs w:val="24"/>
        </w:rPr>
        <w:t>(3), 237-250.</w:t>
      </w:r>
    </w:p>
    <w:p w14:paraId="4B662BB0"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Sandberg, R., &amp; Werr, A. (2003). Corporate consulting in product innovation: overcoming the barriers to utilization. </w:t>
      </w:r>
      <w:r w:rsidRPr="00FF4DE9">
        <w:rPr>
          <w:i/>
          <w:iCs/>
          <w:color w:val="222222"/>
          <w:kern w:val="0"/>
          <w:sz w:val="24"/>
          <w:szCs w:val="24"/>
        </w:rPr>
        <w:t>European Journal of Innovation Management</w:t>
      </w:r>
      <w:r w:rsidRPr="00FF4DE9">
        <w:rPr>
          <w:color w:val="222222"/>
          <w:kern w:val="0"/>
          <w:sz w:val="24"/>
          <w:szCs w:val="24"/>
        </w:rPr>
        <w:t xml:space="preserve">, </w:t>
      </w:r>
      <w:r w:rsidRPr="00B301B0">
        <w:rPr>
          <w:color w:val="222222"/>
          <w:kern w:val="0"/>
          <w:sz w:val="24"/>
          <w:szCs w:val="24"/>
        </w:rPr>
        <w:t>6(2), 101-110.</w:t>
      </w:r>
    </w:p>
    <w:p w14:paraId="29A6D51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Sanna-Randaccio, F., &amp; Veugelers, R. (2007). Multinational knowledge spillovers with decentralised R&amp;D: a game-theoretic approach.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38</w:t>
      </w:r>
      <w:r w:rsidRPr="00B301B0">
        <w:rPr>
          <w:color w:val="222222"/>
          <w:kern w:val="0"/>
          <w:sz w:val="24"/>
          <w:szCs w:val="24"/>
        </w:rPr>
        <w:t>(1), 47-63.</w:t>
      </w:r>
    </w:p>
    <w:p w14:paraId="004A424E"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Santangelo, G. D., Meyer, K. E., &amp; Jindra, B. (2016). MNE subsidiaries’ outsourcing and insourcing of R&amp;D: The role of local institutions. </w:t>
      </w:r>
      <w:r w:rsidRPr="00FF4DE9">
        <w:rPr>
          <w:i/>
          <w:iCs/>
          <w:color w:val="222222"/>
          <w:kern w:val="0"/>
          <w:sz w:val="24"/>
          <w:szCs w:val="24"/>
        </w:rPr>
        <w:t>Global Strategy Journal</w:t>
      </w:r>
      <w:r w:rsidRPr="00B301B0">
        <w:rPr>
          <w:color w:val="222222"/>
          <w:kern w:val="0"/>
          <w:sz w:val="24"/>
          <w:szCs w:val="24"/>
        </w:rPr>
        <w:t>, </w:t>
      </w:r>
      <w:r w:rsidRPr="00FF4DE9">
        <w:rPr>
          <w:color w:val="222222"/>
          <w:kern w:val="0"/>
          <w:sz w:val="24"/>
          <w:szCs w:val="24"/>
        </w:rPr>
        <w:t>6</w:t>
      </w:r>
      <w:r w:rsidRPr="00B301B0">
        <w:rPr>
          <w:color w:val="222222"/>
          <w:kern w:val="0"/>
          <w:sz w:val="24"/>
          <w:szCs w:val="24"/>
        </w:rPr>
        <w:t>(4), 247-268.</w:t>
      </w:r>
    </w:p>
    <w:p w14:paraId="3BDE677A"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Schneider, C. Q., &amp; Wagemann, C. (2012). </w:t>
      </w:r>
      <w:r w:rsidRPr="00FF4DE9">
        <w:rPr>
          <w:color w:val="222222"/>
          <w:kern w:val="0"/>
          <w:sz w:val="24"/>
          <w:szCs w:val="24"/>
        </w:rPr>
        <w:t>Set-theoretic methods for the social sciences: A guide to qualitative comparative analysis</w:t>
      </w:r>
      <w:r w:rsidRPr="00B301B0">
        <w:rPr>
          <w:color w:val="222222"/>
          <w:kern w:val="0"/>
          <w:sz w:val="24"/>
          <w:szCs w:val="24"/>
        </w:rPr>
        <w:t>. Cambridge University Press.</w:t>
      </w:r>
    </w:p>
    <w:p w14:paraId="5E34958D"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Schneider, M. R., &amp; Eggert, A. (2014). Embracing complex causality with the QCA method: An invitation. </w:t>
      </w:r>
      <w:r w:rsidRPr="00FF4DE9">
        <w:rPr>
          <w:i/>
          <w:iCs/>
          <w:color w:val="222222"/>
          <w:kern w:val="0"/>
          <w:sz w:val="24"/>
          <w:szCs w:val="24"/>
        </w:rPr>
        <w:t>Journal of Business Market Management</w:t>
      </w:r>
      <w:r w:rsidRPr="00B301B0">
        <w:rPr>
          <w:color w:val="222222"/>
          <w:kern w:val="0"/>
          <w:sz w:val="24"/>
          <w:szCs w:val="24"/>
        </w:rPr>
        <w:t>, </w:t>
      </w:r>
      <w:r w:rsidRPr="00FF4DE9">
        <w:rPr>
          <w:color w:val="222222"/>
          <w:kern w:val="0"/>
          <w:sz w:val="24"/>
          <w:szCs w:val="24"/>
        </w:rPr>
        <w:t>7</w:t>
      </w:r>
      <w:r w:rsidRPr="00B301B0">
        <w:rPr>
          <w:color w:val="222222"/>
          <w:kern w:val="0"/>
          <w:sz w:val="24"/>
          <w:szCs w:val="24"/>
        </w:rPr>
        <w:t>(1), 312-328.</w:t>
      </w:r>
    </w:p>
    <w:p w14:paraId="225A2F7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Song, J. (2014). Subsidiary absorptive capacity and knowledge transfer within multinational corporations.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45</w:t>
      </w:r>
      <w:r w:rsidRPr="00B301B0">
        <w:rPr>
          <w:color w:val="222222"/>
          <w:kern w:val="0"/>
          <w:sz w:val="24"/>
          <w:szCs w:val="24"/>
        </w:rPr>
        <w:t>(1), 73-84.</w:t>
      </w:r>
    </w:p>
    <w:p w14:paraId="78DBE1FC"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Sturdy, A. (2011). Consultancy's consequences? A critical assessment of management consultancy's impact on management. </w:t>
      </w:r>
      <w:r w:rsidRPr="00FF4DE9">
        <w:rPr>
          <w:i/>
          <w:iCs/>
          <w:color w:val="222222"/>
          <w:kern w:val="0"/>
          <w:sz w:val="24"/>
          <w:szCs w:val="24"/>
        </w:rPr>
        <w:t>British Journal of Management</w:t>
      </w:r>
      <w:r w:rsidRPr="00B301B0">
        <w:rPr>
          <w:color w:val="222222"/>
          <w:kern w:val="0"/>
          <w:sz w:val="24"/>
          <w:szCs w:val="24"/>
        </w:rPr>
        <w:t>, </w:t>
      </w:r>
      <w:r w:rsidRPr="00FF4DE9">
        <w:rPr>
          <w:color w:val="222222"/>
          <w:kern w:val="0"/>
          <w:sz w:val="24"/>
          <w:szCs w:val="24"/>
        </w:rPr>
        <w:t>22</w:t>
      </w:r>
      <w:r w:rsidRPr="00B301B0">
        <w:rPr>
          <w:color w:val="222222"/>
          <w:kern w:val="0"/>
          <w:sz w:val="24"/>
          <w:szCs w:val="24"/>
        </w:rPr>
        <w:t>(3), 517-530.</w:t>
      </w:r>
    </w:p>
    <w:p w14:paraId="2679871F" w14:textId="12B2A0CA"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Tallman, S., &amp; Chacar, A. S. (2011). Knowledge accumulation and dissemination in MNEs: a practice‐based framework. </w:t>
      </w:r>
      <w:r w:rsidRPr="00FF4DE9">
        <w:rPr>
          <w:i/>
          <w:iCs/>
          <w:color w:val="222222"/>
          <w:kern w:val="0"/>
          <w:sz w:val="24"/>
          <w:szCs w:val="24"/>
        </w:rPr>
        <w:t xml:space="preserve">Journal of </w:t>
      </w:r>
      <w:r w:rsidR="00FF4DE9">
        <w:rPr>
          <w:i/>
          <w:iCs/>
          <w:color w:val="222222"/>
          <w:kern w:val="0"/>
          <w:sz w:val="24"/>
          <w:szCs w:val="24"/>
        </w:rPr>
        <w:t>M</w:t>
      </w:r>
      <w:r w:rsidRPr="00FF4DE9">
        <w:rPr>
          <w:i/>
          <w:iCs/>
          <w:color w:val="222222"/>
          <w:kern w:val="0"/>
          <w:sz w:val="24"/>
          <w:szCs w:val="24"/>
        </w:rPr>
        <w:t>anagement Studies</w:t>
      </w:r>
      <w:r w:rsidRPr="00B301B0">
        <w:rPr>
          <w:color w:val="222222"/>
          <w:kern w:val="0"/>
          <w:sz w:val="24"/>
          <w:szCs w:val="24"/>
        </w:rPr>
        <w:t>, </w:t>
      </w:r>
      <w:r w:rsidRPr="00FF4DE9">
        <w:rPr>
          <w:color w:val="222222"/>
          <w:kern w:val="0"/>
          <w:sz w:val="24"/>
          <w:szCs w:val="24"/>
        </w:rPr>
        <w:t>48</w:t>
      </w:r>
      <w:r w:rsidRPr="00B301B0">
        <w:rPr>
          <w:color w:val="222222"/>
          <w:kern w:val="0"/>
          <w:sz w:val="24"/>
          <w:szCs w:val="24"/>
        </w:rPr>
        <w:t>(2), 278-304.</w:t>
      </w:r>
    </w:p>
    <w:p w14:paraId="1F416C6E"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Thrift, N. (2004). </w:t>
      </w:r>
      <w:r w:rsidRPr="00FF4DE9">
        <w:rPr>
          <w:color w:val="222222"/>
          <w:kern w:val="0"/>
          <w:sz w:val="24"/>
          <w:szCs w:val="24"/>
        </w:rPr>
        <w:t>Knowing capitalism</w:t>
      </w:r>
      <w:r w:rsidRPr="00B301B0">
        <w:rPr>
          <w:color w:val="222222"/>
          <w:kern w:val="0"/>
          <w:sz w:val="24"/>
          <w:szCs w:val="24"/>
        </w:rPr>
        <w:t>. Sage.</w:t>
      </w:r>
    </w:p>
    <w:p w14:paraId="2BE98C55"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Tran, Y., Mahnke, V., &amp; Ambos, B. (2010). The effect of quantity, quality and timing of headquarters-initiated knowledge flows on subsidiary performance. </w:t>
      </w:r>
      <w:r w:rsidRPr="00FF4DE9">
        <w:rPr>
          <w:i/>
          <w:iCs/>
          <w:color w:val="222222"/>
          <w:kern w:val="0"/>
          <w:sz w:val="24"/>
          <w:szCs w:val="24"/>
        </w:rPr>
        <w:t>Management International Review</w:t>
      </w:r>
      <w:r w:rsidRPr="00B301B0">
        <w:rPr>
          <w:color w:val="222222"/>
          <w:kern w:val="0"/>
          <w:sz w:val="24"/>
          <w:szCs w:val="24"/>
        </w:rPr>
        <w:t>, </w:t>
      </w:r>
      <w:r w:rsidRPr="00FF4DE9">
        <w:rPr>
          <w:color w:val="222222"/>
          <w:kern w:val="0"/>
          <w:sz w:val="24"/>
          <w:szCs w:val="24"/>
        </w:rPr>
        <w:t>50</w:t>
      </w:r>
      <w:r w:rsidRPr="00B301B0">
        <w:rPr>
          <w:color w:val="222222"/>
          <w:kern w:val="0"/>
          <w:sz w:val="24"/>
          <w:szCs w:val="24"/>
        </w:rPr>
        <w:t>(4), 493-511.</w:t>
      </w:r>
    </w:p>
    <w:p w14:paraId="39B9609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 xml:space="preserve">Tung, R. L., &amp; Verbeke, A. (2010). Beyond Hofstede and GLOBE: Improving the quality of cross-cultural research. </w:t>
      </w:r>
      <w:r w:rsidRPr="00FF4DE9">
        <w:rPr>
          <w:i/>
          <w:iCs/>
          <w:color w:val="222222"/>
          <w:kern w:val="0"/>
          <w:sz w:val="24"/>
          <w:szCs w:val="24"/>
        </w:rPr>
        <w:t>Journal of International Business Studies</w:t>
      </w:r>
      <w:r w:rsidRPr="00FF4DE9">
        <w:rPr>
          <w:color w:val="222222"/>
          <w:kern w:val="0"/>
          <w:sz w:val="24"/>
          <w:szCs w:val="24"/>
        </w:rPr>
        <w:t xml:space="preserve">, </w:t>
      </w:r>
      <w:r w:rsidRPr="00B301B0">
        <w:rPr>
          <w:color w:val="222222"/>
          <w:kern w:val="0"/>
          <w:sz w:val="24"/>
          <w:szCs w:val="24"/>
        </w:rPr>
        <w:t>41, 1259-1274.</w:t>
      </w:r>
    </w:p>
    <w:p w14:paraId="17BB2DD1"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Venaik, S., Midgley, D. F., &amp; Devinney, T. M. (2005). Dual paths to performance: The impact of global pressures on MNC subsidiary conduct and performance.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36</w:t>
      </w:r>
      <w:r w:rsidRPr="00B301B0">
        <w:rPr>
          <w:color w:val="222222"/>
          <w:kern w:val="0"/>
          <w:sz w:val="24"/>
          <w:szCs w:val="24"/>
        </w:rPr>
        <w:t>(6), 655-675.</w:t>
      </w:r>
    </w:p>
    <w:p w14:paraId="02D95DCE"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Venkatraman, N. (1989). The concept of fit in strategy research: Toward verbal and statistical correspondence. </w:t>
      </w:r>
      <w:r w:rsidRPr="00FF4DE9">
        <w:rPr>
          <w:i/>
          <w:iCs/>
          <w:color w:val="222222"/>
          <w:kern w:val="0"/>
          <w:sz w:val="24"/>
          <w:szCs w:val="24"/>
        </w:rPr>
        <w:t>Academy of Management Review</w:t>
      </w:r>
      <w:r w:rsidRPr="00B301B0">
        <w:rPr>
          <w:color w:val="222222"/>
          <w:kern w:val="0"/>
          <w:sz w:val="24"/>
          <w:szCs w:val="24"/>
        </w:rPr>
        <w:t>, </w:t>
      </w:r>
      <w:r w:rsidRPr="00FF4DE9">
        <w:rPr>
          <w:color w:val="222222"/>
          <w:kern w:val="0"/>
          <w:sz w:val="24"/>
          <w:szCs w:val="24"/>
        </w:rPr>
        <w:t>14</w:t>
      </w:r>
      <w:r w:rsidRPr="00B301B0">
        <w:rPr>
          <w:color w:val="222222"/>
          <w:kern w:val="0"/>
          <w:sz w:val="24"/>
          <w:szCs w:val="24"/>
        </w:rPr>
        <w:t>(3), 423-444.</w:t>
      </w:r>
    </w:p>
    <w:p w14:paraId="67F0681F"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Xu, D., &amp; Shenkar, O. (2002). Note: Institutional distance and the multinational enterprise. </w:t>
      </w:r>
      <w:r w:rsidRPr="00FF4DE9">
        <w:rPr>
          <w:i/>
          <w:iCs/>
          <w:color w:val="222222"/>
          <w:kern w:val="0"/>
          <w:sz w:val="24"/>
          <w:szCs w:val="24"/>
        </w:rPr>
        <w:t>Academy of Management Review</w:t>
      </w:r>
      <w:r w:rsidRPr="00B301B0">
        <w:rPr>
          <w:color w:val="222222"/>
          <w:kern w:val="0"/>
          <w:sz w:val="24"/>
          <w:szCs w:val="24"/>
        </w:rPr>
        <w:t>, </w:t>
      </w:r>
      <w:r w:rsidRPr="00FF4DE9">
        <w:rPr>
          <w:color w:val="222222"/>
          <w:kern w:val="0"/>
          <w:sz w:val="24"/>
          <w:szCs w:val="24"/>
        </w:rPr>
        <w:t>27</w:t>
      </w:r>
      <w:r w:rsidRPr="00B301B0">
        <w:rPr>
          <w:color w:val="222222"/>
          <w:kern w:val="0"/>
          <w:sz w:val="24"/>
          <w:szCs w:val="24"/>
        </w:rPr>
        <w:t>(4), 608-618.</w:t>
      </w:r>
    </w:p>
    <w:p w14:paraId="0CD767A0"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Xu, S., Cavusgil, S. T., &amp; White, J. C. (2006). The impact of strategic fit among strategy, structure, and processes on multinational corporation performance: a multimethod assessment. </w:t>
      </w:r>
      <w:r w:rsidRPr="00FF4DE9">
        <w:rPr>
          <w:i/>
          <w:iCs/>
          <w:color w:val="222222"/>
          <w:kern w:val="0"/>
          <w:sz w:val="24"/>
          <w:szCs w:val="24"/>
        </w:rPr>
        <w:t>Journal of International Marketing</w:t>
      </w:r>
      <w:r w:rsidRPr="00B301B0">
        <w:rPr>
          <w:color w:val="222222"/>
          <w:kern w:val="0"/>
          <w:sz w:val="24"/>
          <w:szCs w:val="24"/>
        </w:rPr>
        <w:t>, </w:t>
      </w:r>
      <w:r w:rsidRPr="00FF4DE9">
        <w:rPr>
          <w:color w:val="222222"/>
          <w:kern w:val="0"/>
          <w:sz w:val="24"/>
          <w:szCs w:val="24"/>
        </w:rPr>
        <w:t>14</w:t>
      </w:r>
      <w:r w:rsidRPr="00B301B0">
        <w:rPr>
          <w:color w:val="222222"/>
          <w:kern w:val="0"/>
          <w:sz w:val="24"/>
          <w:szCs w:val="24"/>
        </w:rPr>
        <w:t>(2), 1-31.</w:t>
      </w:r>
    </w:p>
    <w:p w14:paraId="3EAF20FE"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Young, S., &amp; Tavares, A. T. (2004). Centralization and autonomy: back to the future. </w:t>
      </w:r>
      <w:r w:rsidRPr="00FF4DE9">
        <w:rPr>
          <w:i/>
          <w:iCs/>
          <w:color w:val="222222"/>
          <w:kern w:val="0"/>
          <w:sz w:val="24"/>
          <w:szCs w:val="24"/>
        </w:rPr>
        <w:t>International Business Review</w:t>
      </w:r>
      <w:r w:rsidRPr="00B301B0">
        <w:rPr>
          <w:color w:val="222222"/>
          <w:kern w:val="0"/>
          <w:sz w:val="24"/>
          <w:szCs w:val="24"/>
        </w:rPr>
        <w:t>, </w:t>
      </w:r>
      <w:r w:rsidRPr="00FF4DE9">
        <w:rPr>
          <w:color w:val="222222"/>
          <w:kern w:val="0"/>
          <w:sz w:val="24"/>
          <w:szCs w:val="24"/>
        </w:rPr>
        <w:t>13</w:t>
      </w:r>
      <w:r w:rsidRPr="00B301B0">
        <w:rPr>
          <w:color w:val="222222"/>
          <w:kern w:val="0"/>
          <w:sz w:val="24"/>
          <w:szCs w:val="24"/>
        </w:rPr>
        <w:t>(2), 215-237.</w:t>
      </w:r>
    </w:p>
    <w:p w14:paraId="5F918F2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Zaheer, S., Schomaker, M. S., &amp; Nachum, L. (2012). Distance without direction: Restoring credibility to a much-loved construct.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43</w:t>
      </w:r>
      <w:r w:rsidRPr="00B301B0">
        <w:rPr>
          <w:color w:val="222222"/>
          <w:kern w:val="0"/>
          <w:sz w:val="24"/>
          <w:szCs w:val="24"/>
        </w:rPr>
        <w:t>(1), 18-27.</w:t>
      </w:r>
    </w:p>
    <w:p w14:paraId="6E2CE38A"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Zajac, E. J., Kraatz, M. S., &amp; Bresser, R. K. (2000). Modeling the dynamics of strategic fit: A normative approach to strategic change.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21</w:t>
      </w:r>
      <w:r w:rsidRPr="00B301B0">
        <w:rPr>
          <w:color w:val="222222"/>
          <w:kern w:val="0"/>
          <w:sz w:val="24"/>
          <w:szCs w:val="24"/>
        </w:rPr>
        <w:t>(4), 429-453.</w:t>
      </w:r>
    </w:p>
    <w:p w14:paraId="4B221D51" w14:textId="77777777" w:rsidR="00B301B0" w:rsidRPr="00B301B0" w:rsidRDefault="00B301B0" w:rsidP="00B301B0">
      <w:pPr>
        <w:widowControl/>
        <w:overflowPunct/>
        <w:autoSpaceDE/>
        <w:autoSpaceDN/>
        <w:adjustRightInd/>
        <w:spacing w:line="480" w:lineRule="auto"/>
        <w:ind w:left="720"/>
        <w:rPr>
          <w:color w:val="222222"/>
          <w:kern w:val="0"/>
          <w:sz w:val="24"/>
          <w:szCs w:val="24"/>
        </w:rPr>
      </w:pPr>
      <w:r w:rsidRPr="00B301B0">
        <w:rPr>
          <w:color w:val="222222"/>
          <w:kern w:val="0"/>
          <w:sz w:val="24"/>
          <w:szCs w:val="24"/>
        </w:rPr>
        <w:tab/>
      </w:r>
    </w:p>
    <w:p w14:paraId="76CB93C0" w14:textId="77777777" w:rsidR="00B301B0" w:rsidRPr="00B301B0" w:rsidRDefault="00B301B0" w:rsidP="00B301B0">
      <w:pPr>
        <w:widowControl/>
        <w:overflowPunct/>
        <w:autoSpaceDE/>
        <w:autoSpaceDN/>
        <w:adjustRightInd/>
        <w:spacing w:line="480" w:lineRule="auto"/>
        <w:ind w:left="720"/>
        <w:rPr>
          <w:color w:val="222222"/>
          <w:kern w:val="0"/>
          <w:sz w:val="24"/>
          <w:szCs w:val="24"/>
        </w:rPr>
      </w:pPr>
    </w:p>
    <w:p w14:paraId="7AF01918" w14:textId="77777777" w:rsidR="00B301B0" w:rsidRPr="00B301B0" w:rsidRDefault="00B301B0" w:rsidP="00B301B0">
      <w:pPr>
        <w:widowControl/>
        <w:overflowPunct/>
        <w:autoSpaceDE/>
        <w:autoSpaceDN/>
        <w:adjustRightInd/>
        <w:ind w:left="720"/>
        <w:rPr>
          <w:kern w:val="0"/>
          <w:sz w:val="24"/>
          <w:szCs w:val="24"/>
        </w:rPr>
        <w:sectPr w:rsidR="00B301B0" w:rsidRPr="00B301B0" w:rsidSect="00DB7B9A">
          <w:footerReference w:type="default" r:id="rId12"/>
          <w:pgSz w:w="12240" w:h="15840"/>
          <w:pgMar w:top="1440" w:right="1440" w:bottom="1440" w:left="1440" w:header="720" w:footer="720" w:gutter="0"/>
          <w:cols w:space="720"/>
          <w:docGrid w:linePitch="360"/>
        </w:sectPr>
      </w:pPr>
    </w:p>
    <w:p w14:paraId="67FFA0BB" w14:textId="77777777" w:rsidR="00B301B0" w:rsidRPr="00B301B0" w:rsidRDefault="00B301B0" w:rsidP="00B301B0">
      <w:pPr>
        <w:widowControl/>
        <w:overflowPunct/>
        <w:autoSpaceDE/>
        <w:autoSpaceDN/>
        <w:adjustRightInd/>
        <w:ind w:left="720"/>
        <w:rPr>
          <w:bCs/>
          <w:kern w:val="0"/>
          <w:sz w:val="24"/>
          <w:szCs w:val="24"/>
        </w:rPr>
      </w:pPr>
      <w:r w:rsidRPr="00B301B0">
        <w:rPr>
          <w:bCs/>
          <w:kern w:val="0"/>
          <w:sz w:val="24"/>
          <w:szCs w:val="24"/>
        </w:rPr>
        <w:t xml:space="preserve">Figure 1. Conceptual model of configurations for subsidiary product innovation </w:t>
      </w:r>
    </w:p>
    <w:p w14:paraId="54C61F3E" w14:textId="77777777" w:rsidR="00B301B0" w:rsidRPr="00B301B0" w:rsidRDefault="00B301B0" w:rsidP="00B301B0">
      <w:pPr>
        <w:widowControl/>
        <w:overflowPunct/>
        <w:autoSpaceDE/>
        <w:autoSpaceDN/>
        <w:adjustRightInd/>
        <w:ind w:left="720"/>
        <w:rPr>
          <w:b/>
          <w:kern w:val="0"/>
          <w:sz w:val="24"/>
          <w:szCs w:val="24"/>
        </w:rPr>
      </w:pPr>
    </w:p>
    <w:p w14:paraId="4FA96A49" w14:textId="77777777" w:rsidR="00B301B0" w:rsidRPr="00B301B0" w:rsidRDefault="00B301B0" w:rsidP="00B301B0">
      <w:pPr>
        <w:widowControl/>
        <w:overflowPunct/>
        <w:autoSpaceDE/>
        <w:autoSpaceDN/>
        <w:adjustRightInd/>
        <w:ind w:left="720"/>
        <w:rPr>
          <w:b/>
          <w:kern w:val="0"/>
          <w:sz w:val="24"/>
          <w:szCs w:val="24"/>
        </w:rPr>
      </w:pPr>
    </w:p>
    <w:p w14:paraId="315F476A" w14:textId="77777777" w:rsidR="00B301B0" w:rsidRPr="00B301B0" w:rsidRDefault="00B301B0" w:rsidP="00B301B0">
      <w:pPr>
        <w:widowControl/>
        <w:overflowPunct/>
        <w:autoSpaceDE/>
        <w:autoSpaceDN/>
        <w:adjustRightInd/>
        <w:ind w:left="720"/>
        <w:rPr>
          <w:b/>
          <w:kern w:val="0"/>
          <w:sz w:val="24"/>
          <w:szCs w:val="24"/>
        </w:rPr>
      </w:pPr>
      <w:r w:rsidRPr="00B301B0">
        <w:rPr>
          <w:b/>
          <w:noProof/>
          <w:kern w:val="0"/>
          <w:sz w:val="24"/>
          <w:szCs w:val="24"/>
        </w:rPr>
        <w:drawing>
          <wp:inline distT="0" distB="0" distL="0" distR="0" wp14:anchorId="54668778" wp14:editId="7C67DE7C">
            <wp:extent cx="5986732" cy="269911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96397" cy="2703469"/>
                    </a:xfrm>
                    <a:prstGeom prst="rect">
                      <a:avLst/>
                    </a:prstGeom>
                  </pic:spPr>
                </pic:pic>
              </a:graphicData>
            </a:graphic>
          </wp:inline>
        </w:drawing>
      </w:r>
      <w:r w:rsidRPr="00B301B0">
        <w:rPr>
          <w:b/>
          <w:kern w:val="0"/>
          <w:sz w:val="24"/>
          <w:szCs w:val="24"/>
        </w:rPr>
        <w:br w:type="page"/>
      </w:r>
    </w:p>
    <w:p w14:paraId="2F437FA1" w14:textId="77777777" w:rsidR="00B301B0" w:rsidRPr="00B301B0" w:rsidRDefault="00B301B0" w:rsidP="00B301B0">
      <w:pPr>
        <w:widowControl/>
        <w:overflowPunct/>
        <w:autoSpaceDE/>
        <w:autoSpaceDN/>
        <w:adjustRightInd/>
        <w:ind w:left="720"/>
        <w:rPr>
          <w:bCs/>
          <w:kern w:val="0"/>
          <w:sz w:val="24"/>
          <w:szCs w:val="24"/>
        </w:rPr>
      </w:pPr>
      <w:r w:rsidRPr="00B301B0">
        <w:rPr>
          <w:bCs/>
          <w:kern w:val="0"/>
          <w:sz w:val="24"/>
          <w:szCs w:val="24"/>
        </w:rPr>
        <w:t xml:space="preserve">Table 1. Descriptive information of cases in data  </w:t>
      </w:r>
    </w:p>
    <w:p w14:paraId="4B842053" w14:textId="77777777" w:rsidR="00B301B0" w:rsidRPr="00B301B0" w:rsidRDefault="00B301B0" w:rsidP="00B301B0">
      <w:pPr>
        <w:widowControl/>
        <w:overflowPunct/>
        <w:autoSpaceDE/>
        <w:autoSpaceDN/>
        <w:adjustRightInd/>
        <w:rPr>
          <w:kern w:val="0"/>
        </w:rPr>
      </w:pPr>
    </w:p>
    <w:tbl>
      <w:tblPr>
        <w:tblW w:w="11732" w:type="dxa"/>
        <w:tblInd w:w="745" w:type="dxa"/>
        <w:tblLook w:val="04A0" w:firstRow="1" w:lastRow="0" w:firstColumn="1" w:lastColumn="0" w:noHBand="0" w:noVBand="1"/>
      </w:tblPr>
      <w:tblGrid>
        <w:gridCol w:w="1415"/>
        <w:gridCol w:w="1440"/>
        <w:gridCol w:w="222"/>
        <w:gridCol w:w="2478"/>
        <w:gridCol w:w="1257"/>
        <w:gridCol w:w="1072"/>
        <w:gridCol w:w="1891"/>
        <w:gridCol w:w="1264"/>
        <w:gridCol w:w="650"/>
        <w:gridCol w:w="43"/>
      </w:tblGrid>
      <w:tr w:rsidR="00B301B0" w:rsidRPr="00B301B0" w14:paraId="2C9EB30A" w14:textId="77777777" w:rsidTr="00DB7B9A">
        <w:trPr>
          <w:trHeight w:val="20"/>
        </w:trPr>
        <w:tc>
          <w:tcPr>
            <w:tcW w:w="2855" w:type="dxa"/>
            <w:gridSpan w:val="2"/>
            <w:tcBorders>
              <w:top w:val="single" w:sz="4" w:space="0" w:color="auto"/>
              <w:bottom w:val="single" w:sz="4" w:space="0" w:color="auto"/>
            </w:tcBorders>
            <w:shd w:val="clear" w:color="auto" w:fill="auto"/>
            <w:vAlign w:val="center"/>
          </w:tcPr>
          <w:p w14:paraId="26D8EC0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Case</w:t>
            </w:r>
          </w:p>
        </w:tc>
        <w:tc>
          <w:tcPr>
            <w:tcW w:w="0" w:type="auto"/>
            <w:tcBorders>
              <w:top w:val="single" w:sz="4" w:space="0" w:color="auto"/>
            </w:tcBorders>
            <w:vAlign w:val="center"/>
          </w:tcPr>
          <w:p w14:paraId="6AE32374" w14:textId="77777777" w:rsidR="00B301B0" w:rsidRPr="00B301B0" w:rsidRDefault="00B301B0" w:rsidP="00B301B0">
            <w:pPr>
              <w:widowControl/>
              <w:overflowPunct/>
              <w:autoSpaceDE/>
              <w:autoSpaceDN/>
              <w:adjustRightInd/>
              <w:jc w:val="center"/>
              <w:rPr>
                <w:color w:val="000000"/>
                <w:kern w:val="0"/>
              </w:rPr>
            </w:pPr>
          </w:p>
        </w:tc>
        <w:tc>
          <w:tcPr>
            <w:tcW w:w="8655" w:type="dxa"/>
            <w:gridSpan w:val="7"/>
            <w:tcBorders>
              <w:top w:val="single" w:sz="4" w:space="0" w:color="auto"/>
              <w:bottom w:val="single" w:sz="4" w:space="0" w:color="auto"/>
            </w:tcBorders>
            <w:shd w:val="clear" w:color="auto" w:fill="auto"/>
            <w:vAlign w:val="center"/>
          </w:tcPr>
          <w:p w14:paraId="26D3F65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Subsidiary Characteristics</w:t>
            </w:r>
          </w:p>
        </w:tc>
      </w:tr>
      <w:tr w:rsidR="00B301B0" w:rsidRPr="00B301B0" w14:paraId="2A7B2BCF" w14:textId="77777777" w:rsidTr="00DB7B9A">
        <w:trPr>
          <w:gridAfter w:val="1"/>
          <w:wAfter w:w="44" w:type="dxa"/>
          <w:trHeight w:val="20"/>
        </w:trPr>
        <w:tc>
          <w:tcPr>
            <w:tcW w:w="1415" w:type="dxa"/>
            <w:tcBorders>
              <w:top w:val="single" w:sz="4" w:space="0" w:color="auto"/>
              <w:bottom w:val="single" w:sz="4" w:space="0" w:color="auto"/>
            </w:tcBorders>
            <w:shd w:val="clear" w:color="auto" w:fill="auto"/>
            <w:vAlign w:val="center"/>
            <w:hideMark/>
          </w:tcPr>
          <w:p w14:paraId="5F47400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Host Country</w:t>
            </w:r>
          </w:p>
        </w:tc>
        <w:tc>
          <w:tcPr>
            <w:tcW w:w="1440" w:type="dxa"/>
            <w:tcBorders>
              <w:top w:val="single" w:sz="4" w:space="0" w:color="auto"/>
              <w:bottom w:val="single" w:sz="4" w:space="0" w:color="auto"/>
            </w:tcBorders>
            <w:shd w:val="clear" w:color="auto" w:fill="auto"/>
            <w:vAlign w:val="center"/>
            <w:hideMark/>
          </w:tcPr>
          <w:p w14:paraId="4B702BA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Home Country</w:t>
            </w:r>
          </w:p>
        </w:tc>
        <w:tc>
          <w:tcPr>
            <w:tcW w:w="0" w:type="auto"/>
            <w:tcBorders>
              <w:bottom w:val="single" w:sz="4" w:space="0" w:color="auto"/>
            </w:tcBorders>
            <w:vAlign w:val="center"/>
          </w:tcPr>
          <w:p w14:paraId="29468639" w14:textId="77777777" w:rsidR="00B301B0" w:rsidRPr="00B301B0" w:rsidRDefault="00B301B0" w:rsidP="00B301B0">
            <w:pPr>
              <w:widowControl/>
              <w:overflowPunct/>
              <w:autoSpaceDE/>
              <w:autoSpaceDN/>
              <w:adjustRightInd/>
              <w:jc w:val="center"/>
              <w:rPr>
                <w:color w:val="000000"/>
                <w:kern w:val="0"/>
              </w:rPr>
            </w:pPr>
          </w:p>
        </w:tc>
        <w:tc>
          <w:tcPr>
            <w:tcW w:w="2478" w:type="dxa"/>
            <w:tcBorders>
              <w:top w:val="single" w:sz="4" w:space="0" w:color="auto"/>
              <w:bottom w:val="single" w:sz="4" w:space="0" w:color="auto"/>
            </w:tcBorders>
            <w:shd w:val="clear" w:color="auto" w:fill="auto"/>
            <w:vAlign w:val="center"/>
            <w:hideMark/>
          </w:tcPr>
          <w:p w14:paraId="1197FE2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Industry</w:t>
            </w:r>
          </w:p>
          <w:p w14:paraId="0EFE79B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(main product)</w:t>
            </w:r>
          </w:p>
        </w:tc>
        <w:tc>
          <w:tcPr>
            <w:tcW w:w="1257" w:type="dxa"/>
            <w:tcBorders>
              <w:top w:val="single" w:sz="4" w:space="0" w:color="auto"/>
              <w:bottom w:val="single" w:sz="4" w:space="0" w:color="auto"/>
            </w:tcBorders>
            <w:shd w:val="clear" w:color="auto" w:fill="auto"/>
            <w:vAlign w:val="center"/>
            <w:hideMark/>
          </w:tcPr>
          <w:p w14:paraId="538FF68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Subsidiary Employees</w:t>
            </w:r>
          </w:p>
        </w:tc>
        <w:tc>
          <w:tcPr>
            <w:tcW w:w="1072" w:type="dxa"/>
            <w:tcBorders>
              <w:top w:val="single" w:sz="4" w:space="0" w:color="auto"/>
              <w:bottom w:val="single" w:sz="4" w:space="0" w:color="auto"/>
            </w:tcBorders>
            <w:shd w:val="clear" w:color="auto" w:fill="auto"/>
            <w:vAlign w:val="center"/>
            <w:hideMark/>
          </w:tcPr>
          <w:p w14:paraId="54F1C12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Subsidiary Age</w:t>
            </w:r>
          </w:p>
        </w:tc>
        <w:tc>
          <w:tcPr>
            <w:tcW w:w="1901" w:type="dxa"/>
            <w:tcBorders>
              <w:bottom w:val="single" w:sz="4" w:space="0" w:color="auto"/>
            </w:tcBorders>
            <w:vAlign w:val="center"/>
          </w:tcPr>
          <w:p w14:paraId="598CF2A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Decision Making</w:t>
            </w:r>
          </w:p>
        </w:tc>
        <w:tc>
          <w:tcPr>
            <w:tcW w:w="1264" w:type="dxa"/>
            <w:tcBorders>
              <w:bottom w:val="single" w:sz="4" w:space="0" w:color="auto"/>
            </w:tcBorders>
            <w:vAlign w:val="center"/>
          </w:tcPr>
          <w:p w14:paraId="0F44DA1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Management Consultants</w:t>
            </w:r>
          </w:p>
        </w:tc>
        <w:tc>
          <w:tcPr>
            <w:tcW w:w="0" w:type="auto"/>
            <w:tcBorders>
              <w:bottom w:val="single" w:sz="4" w:space="0" w:color="auto"/>
            </w:tcBorders>
            <w:vAlign w:val="center"/>
          </w:tcPr>
          <w:p w14:paraId="5F6E6DE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R&amp;D</w:t>
            </w:r>
          </w:p>
        </w:tc>
      </w:tr>
      <w:tr w:rsidR="00B301B0" w:rsidRPr="00B301B0" w14:paraId="029DD3A1" w14:textId="77777777" w:rsidTr="00DB7B9A">
        <w:trPr>
          <w:gridAfter w:val="1"/>
          <w:wAfter w:w="44" w:type="dxa"/>
          <w:trHeight w:val="20"/>
        </w:trPr>
        <w:tc>
          <w:tcPr>
            <w:tcW w:w="1415" w:type="dxa"/>
            <w:tcBorders>
              <w:top w:val="single" w:sz="4" w:space="0" w:color="auto"/>
            </w:tcBorders>
            <w:shd w:val="clear" w:color="auto" w:fill="auto"/>
            <w:noWrap/>
            <w:vAlign w:val="center"/>
            <w:hideMark/>
          </w:tcPr>
          <w:p w14:paraId="524C6576" w14:textId="77777777" w:rsidR="00B301B0" w:rsidRPr="00B301B0" w:rsidRDefault="00B301B0" w:rsidP="00B301B0">
            <w:pPr>
              <w:widowControl/>
              <w:overflowPunct/>
              <w:autoSpaceDE/>
              <w:autoSpaceDN/>
              <w:adjustRightInd/>
              <w:rPr>
                <w:color w:val="000000"/>
                <w:kern w:val="0"/>
              </w:rPr>
            </w:pPr>
            <w:r w:rsidRPr="00B301B0">
              <w:rPr>
                <w:color w:val="000000"/>
                <w:kern w:val="0"/>
              </w:rPr>
              <w:t>Belarus</w:t>
            </w:r>
          </w:p>
        </w:tc>
        <w:tc>
          <w:tcPr>
            <w:tcW w:w="1440" w:type="dxa"/>
            <w:tcBorders>
              <w:top w:val="single" w:sz="4" w:space="0" w:color="auto"/>
            </w:tcBorders>
            <w:shd w:val="clear" w:color="auto" w:fill="auto"/>
            <w:noWrap/>
            <w:vAlign w:val="center"/>
            <w:hideMark/>
          </w:tcPr>
          <w:p w14:paraId="57DD41B9" w14:textId="77777777" w:rsidR="00B301B0" w:rsidRPr="00B301B0" w:rsidRDefault="00B301B0" w:rsidP="00B301B0">
            <w:pPr>
              <w:widowControl/>
              <w:overflowPunct/>
              <w:autoSpaceDE/>
              <w:autoSpaceDN/>
              <w:adjustRightInd/>
              <w:rPr>
                <w:color w:val="000000"/>
                <w:kern w:val="0"/>
              </w:rPr>
            </w:pPr>
            <w:r w:rsidRPr="00B301B0">
              <w:rPr>
                <w:color w:val="000000"/>
                <w:kern w:val="0"/>
              </w:rPr>
              <w:t>Russia</w:t>
            </w:r>
          </w:p>
        </w:tc>
        <w:tc>
          <w:tcPr>
            <w:tcW w:w="0" w:type="auto"/>
            <w:tcBorders>
              <w:top w:val="single" w:sz="4" w:space="0" w:color="auto"/>
            </w:tcBorders>
            <w:vAlign w:val="center"/>
          </w:tcPr>
          <w:p w14:paraId="5E2F3896" w14:textId="77777777" w:rsidR="00B301B0" w:rsidRPr="00B301B0" w:rsidRDefault="00B301B0" w:rsidP="00B301B0">
            <w:pPr>
              <w:widowControl/>
              <w:overflowPunct/>
              <w:autoSpaceDE/>
              <w:autoSpaceDN/>
              <w:adjustRightInd/>
              <w:rPr>
                <w:color w:val="000000"/>
                <w:kern w:val="0"/>
              </w:rPr>
            </w:pPr>
          </w:p>
        </w:tc>
        <w:tc>
          <w:tcPr>
            <w:tcW w:w="2478" w:type="dxa"/>
            <w:tcBorders>
              <w:top w:val="single" w:sz="4" w:space="0" w:color="auto"/>
            </w:tcBorders>
            <w:shd w:val="clear" w:color="auto" w:fill="auto"/>
            <w:noWrap/>
            <w:vAlign w:val="center"/>
            <w:hideMark/>
          </w:tcPr>
          <w:p w14:paraId="549ABF4A" w14:textId="77777777" w:rsidR="00B301B0" w:rsidRPr="00B301B0" w:rsidRDefault="00B301B0" w:rsidP="00B301B0">
            <w:pPr>
              <w:widowControl/>
              <w:overflowPunct/>
              <w:autoSpaceDE/>
              <w:autoSpaceDN/>
              <w:adjustRightInd/>
              <w:rPr>
                <w:color w:val="000000"/>
                <w:kern w:val="0"/>
              </w:rPr>
            </w:pPr>
            <w:r w:rsidRPr="00B301B0">
              <w:rPr>
                <w:color w:val="000000"/>
                <w:kern w:val="0"/>
              </w:rPr>
              <w:t>Automotive Parts</w:t>
            </w:r>
          </w:p>
        </w:tc>
        <w:tc>
          <w:tcPr>
            <w:tcW w:w="1257" w:type="dxa"/>
            <w:tcBorders>
              <w:top w:val="single" w:sz="4" w:space="0" w:color="auto"/>
            </w:tcBorders>
            <w:shd w:val="clear" w:color="auto" w:fill="auto"/>
            <w:noWrap/>
            <w:vAlign w:val="center"/>
            <w:hideMark/>
          </w:tcPr>
          <w:p w14:paraId="4FA949D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800</w:t>
            </w:r>
          </w:p>
        </w:tc>
        <w:tc>
          <w:tcPr>
            <w:tcW w:w="1072" w:type="dxa"/>
            <w:tcBorders>
              <w:top w:val="single" w:sz="4" w:space="0" w:color="auto"/>
            </w:tcBorders>
            <w:shd w:val="clear" w:color="auto" w:fill="auto"/>
            <w:noWrap/>
            <w:vAlign w:val="center"/>
            <w:hideMark/>
          </w:tcPr>
          <w:p w14:paraId="2C8242F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20</w:t>
            </w:r>
          </w:p>
        </w:tc>
        <w:tc>
          <w:tcPr>
            <w:tcW w:w="1901" w:type="dxa"/>
            <w:tcBorders>
              <w:top w:val="single" w:sz="4" w:space="0" w:color="auto"/>
            </w:tcBorders>
            <w:vAlign w:val="center"/>
          </w:tcPr>
          <w:p w14:paraId="1C4F449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Autonomous</w:t>
            </w:r>
          </w:p>
        </w:tc>
        <w:tc>
          <w:tcPr>
            <w:tcW w:w="1264" w:type="dxa"/>
            <w:tcBorders>
              <w:top w:val="single" w:sz="4" w:space="0" w:color="auto"/>
            </w:tcBorders>
            <w:vAlign w:val="center"/>
          </w:tcPr>
          <w:p w14:paraId="28060B7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tcBorders>
              <w:top w:val="single" w:sz="4" w:space="0" w:color="auto"/>
            </w:tcBorders>
            <w:vAlign w:val="center"/>
          </w:tcPr>
          <w:p w14:paraId="0AF20B0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0FB9CC33" w14:textId="77777777" w:rsidTr="00DB7B9A">
        <w:trPr>
          <w:gridAfter w:val="1"/>
          <w:wAfter w:w="44" w:type="dxa"/>
          <w:trHeight w:val="20"/>
        </w:trPr>
        <w:tc>
          <w:tcPr>
            <w:tcW w:w="1415" w:type="dxa"/>
            <w:shd w:val="clear" w:color="auto" w:fill="auto"/>
            <w:noWrap/>
            <w:vAlign w:val="center"/>
            <w:hideMark/>
          </w:tcPr>
          <w:p w14:paraId="7BCC70EC" w14:textId="77777777" w:rsidR="00B301B0" w:rsidRPr="00B301B0" w:rsidRDefault="00B301B0" w:rsidP="00B301B0">
            <w:pPr>
              <w:widowControl/>
              <w:overflowPunct/>
              <w:autoSpaceDE/>
              <w:autoSpaceDN/>
              <w:adjustRightInd/>
              <w:rPr>
                <w:color w:val="000000"/>
                <w:kern w:val="0"/>
              </w:rPr>
            </w:pPr>
            <w:r w:rsidRPr="00B301B0">
              <w:rPr>
                <w:color w:val="000000"/>
                <w:kern w:val="0"/>
              </w:rPr>
              <w:t>Belarus</w:t>
            </w:r>
          </w:p>
        </w:tc>
        <w:tc>
          <w:tcPr>
            <w:tcW w:w="1440" w:type="dxa"/>
            <w:shd w:val="clear" w:color="auto" w:fill="auto"/>
            <w:noWrap/>
            <w:vAlign w:val="center"/>
            <w:hideMark/>
          </w:tcPr>
          <w:p w14:paraId="6D14F8BB" w14:textId="77777777" w:rsidR="00B301B0" w:rsidRPr="00B301B0" w:rsidRDefault="00B301B0" w:rsidP="00B301B0">
            <w:pPr>
              <w:widowControl/>
              <w:overflowPunct/>
              <w:autoSpaceDE/>
              <w:autoSpaceDN/>
              <w:adjustRightInd/>
              <w:rPr>
                <w:color w:val="000000"/>
                <w:kern w:val="0"/>
              </w:rPr>
            </w:pPr>
            <w:r w:rsidRPr="00B301B0">
              <w:rPr>
                <w:color w:val="000000"/>
                <w:kern w:val="0"/>
              </w:rPr>
              <w:t>Russia</w:t>
            </w:r>
          </w:p>
        </w:tc>
        <w:tc>
          <w:tcPr>
            <w:tcW w:w="0" w:type="auto"/>
            <w:vAlign w:val="center"/>
          </w:tcPr>
          <w:p w14:paraId="58971D89"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854F77F" w14:textId="77777777" w:rsidR="00B301B0" w:rsidRPr="00B301B0" w:rsidRDefault="00B301B0" w:rsidP="00B301B0">
            <w:pPr>
              <w:widowControl/>
              <w:overflowPunct/>
              <w:autoSpaceDE/>
              <w:autoSpaceDN/>
              <w:adjustRightInd/>
              <w:rPr>
                <w:color w:val="000000"/>
                <w:kern w:val="0"/>
              </w:rPr>
            </w:pPr>
            <w:r w:rsidRPr="00B301B0">
              <w:rPr>
                <w:color w:val="000000"/>
                <w:kern w:val="0"/>
              </w:rPr>
              <w:t>Electronics</w:t>
            </w:r>
          </w:p>
        </w:tc>
        <w:tc>
          <w:tcPr>
            <w:tcW w:w="1257" w:type="dxa"/>
            <w:shd w:val="clear" w:color="auto" w:fill="auto"/>
            <w:noWrap/>
            <w:vAlign w:val="center"/>
            <w:hideMark/>
          </w:tcPr>
          <w:p w14:paraId="2EA79E1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2878</w:t>
            </w:r>
          </w:p>
        </w:tc>
        <w:tc>
          <w:tcPr>
            <w:tcW w:w="1072" w:type="dxa"/>
            <w:shd w:val="clear" w:color="auto" w:fill="auto"/>
            <w:noWrap/>
            <w:vAlign w:val="center"/>
            <w:hideMark/>
          </w:tcPr>
          <w:p w14:paraId="6F69128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67</w:t>
            </w:r>
          </w:p>
        </w:tc>
        <w:tc>
          <w:tcPr>
            <w:tcW w:w="1901" w:type="dxa"/>
            <w:vAlign w:val="center"/>
          </w:tcPr>
          <w:p w14:paraId="2CF9938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7D9D4F8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1700AB5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3D1F0C0E" w14:textId="77777777" w:rsidTr="00DB7B9A">
        <w:trPr>
          <w:gridAfter w:val="1"/>
          <w:wAfter w:w="44" w:type="dxa"/>
          <w:trHeight w:val="20"/>
        </w:trPr>
        <w:tc>
          <w:tcPr>
            <w:tcW w:w="1415" w:type="dxa"/>
            <w:shd w:val="clear" w:color="auto" w:fill="auto"/>
            <w:noWrap/>
            <w:vAlign w:val="center"/>
            <w:hideMark/>
          </w:tcPr>
          <w:p w14:paraId="65DB7EB7" w14:textId="77777777" w:rsidR="00B301B0" w:rsidRPr="00B301B0" w:rsidRDefault="00B301B0" w:rsidP="00B301B0">
            <w:pPr>
              <w:widowControl/>
              <w:overflowPunct/>
              <w:autoSpaceDE/>
              <w:autoSpaceDN/>
              <w:adjustRightInd/>
              <w:rPr>
                <w:color w:val="000000"/>
                <w:kern w:val="0"/>
              </w:rPr>
            </w:pPr>
            <w:r w:rsidRPr="00B301B0">
              <w:rPr>
                <w:color w:val="000000"/>
                <w:kern w:val="0"/>
              </w:rPr>
              <w:t>Bulgaria</w:t>
            </w:r>
          </w:p>
        </w:tc>
        <w:tc>
          <w:tcPr>
            <w:tcW w:w="1440" w:type="dxa"/>
            <w:shd w:val="clear" w:color="auto" w:fill="auto"/>
            <w:noWrap/>
            <w:vAlign w:val="center"/>
            <w:hideMark/>
          </w:tcPr>
          <w:p w14:paraId="3099298B" w14:textId="77777777" w:rsidR="00B301B0" w:rsidRPr="00B301B0" w:rsidRDefault="00B301B0" w:rsidP="00B301B0">
            <w:pPr>
              <w:widowControl/>
              <w:overflowPunct/>
              <w:autoSpaceDE/>
              <w:autoSpaceDN/>
              <w:adjustRightInd/>
              <w:rPr>
                <w:color w:val="000000"/>
                <w:kern w:val="0"/>
              </w:rPr>
            </w:pPr>
            <w:r w:rsidRPr="00B301B0">
              <w:rPr>
                <w:color w:val="000000"/>
                <w:kern w:val="0"/>
              </w:rPr>
              <w:t>Greece</w:t>
            </w:r>
          </w:p>
        </w:tc>
        <w:tc>
          <w:tcPr>
            <w:tcW w:w="0" w:type="auto"/>
            <w:vAlign w:val="center"/>
          </w:tcPr>
          <w:p w14:paraId="7EDB8505"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68B149D" w14:textId="77777777" w:rsidR="00B301B0" w:rsidRPr="00B301B0" w:rsidRDefault="00B301B0" w:rsidP="00B301B0">
            <w:pPr>
              <w:widowControl/>
              <w:overflowPunct/>
              <w:autoSpaceDE/>
              <w:autoSpaceDN/>
              <w:adjustRightInd/>
              <w:rPr>
                <w:color w:val="000000"/>
                <w:kern w:val="0"/>
              </w:rPr>
            </w:pPr>
            <w:r w:rsidRPr="00B301B0">
              <w:rPr>
                <w:color w:val="000000"/>
                <w:kern w:val="0"/>
              </w:rPr>
              <w:t>Basic Metals</w:t>
            </w:r>
          </w:p>
        </w:tc>
        <w:tc>
          <w:tcPr>
            <w:tcW w:w="1257" w:type="dxa"/>
            <w:shd w:val="clear" w:color="auto" w:fill="auto"/>
            <w:noWrap/>
            <w:vAlign w:val="center"/>
            <w:hideMark/>
          </w:tcPr>
          <w:p w14:paraId="60A2B85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54</w:t>
            </w:r>
          </w:p>
        </w:tc>
        <w:tc>
          <w:tcPr>
            <w:tcW w:w="1072" w:type="dxa"/>
            <w:shd w:val="clear" w:color="auto" w:fill="auto"/>
            <w:noWrap/>
            <w:vAlign w:val="center"/>
            <w:hideMark/>
          </w:tcPr>
          <w:p w14:paraId="5D87556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19</w:t>
            </w:r>
          </w:p>
        </w:tc>
        <w:tc>
          <w:tcPr>
            <w:tcW w:w="1901" w:type="dxa"/>
            <w:vAlign w:val="center"/>
          </w:tcPr>
          <w:p w14:paraId="2BE4EC5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084AE8B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3CCDC58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2D1BE84B" w14:textId="77777777" w:rsidTr="00DB7B9A">
        <w:trPr>
          <w:gridAfter w:val="1"/>
          <w:wAfter w:w="44" w:type="dxa"/>
          <w:trHeight w:val="20"/>
        </w:trPr>
        <w:tc>
          <w:tcPr>
            <w:tcW w:w="1415" w:type="dxa"/>
            <w:shd w:val="clear" w:color="auto" w:fill="auto"/>
            <w:noWrap/>
            <w:vAlign w:val="center"/>
            <w:hideMark/>
          </w:tcPr>
          <w:p w14:paraId="6B1E4A47" w14:textId="77777777" w:rsidR="00B301B0" w:rsidRPr="00B301B0" w:rsidRDefault="00B301B0" w:rsidP="00B301B0">
            <w:pPr>
              <w:widowControl/>
              <w:overflowPunct/>
              <w:autoSpaceDE/>
              <w:autoSpaceDN/>
              <w:adjustRightInd/>
              <w:rPr>
                <w:color w:val="000000"/>
                <w:kern w:val="0"/>
              </w:rPr>
            </w:pPr>
            <w:r w:rsidRPr="00B301B0">
              <w:rPr>
                <w:color w:val="000000"/>
                <w:kern w:val="0"/>
              </w:rPr>
              <w:t>Bulgaria</w:t>
            </w:r>
          </w:p>
        </w:tc>
        <w:tc>
          <w:tcPr>
            <w:tcW w:w="1440" w:type="dxa"/>
            <w:shd w:val="clear" w:color="auto" w:fill="auto"/>
            <w:noWrap/>
            <w:vAlign w:val="center"/>
            <w:hideMark/>
          </w:tcPr>
          <w:p w14:paraId="041473CB" w14:textId="77777777" w:rsidR="00B301B0" w:rsidRPr="00B301B0" w:rsidRDefault="00B301B0" w:rsidP="00B301B0">
            <w:pPr>
              <w:widowControl/>
              <w:overflowPunct/>
              <w:autoSpaceDE/>
              <w:autoSpaceDN/>
              <w:adjustRightInd/>
              <w:rPr>
                <w:color w:val="000000"/>
                <w:kern w:val="0"/>
              </w:rPr>
            </w:pPr>
            <w:r w:rsidRPr="00B301B0">
              <w:rPr>
                <w:color w:val="000000"/>
                <w:kern w:val="0"/>
              </w:rPr>
              <w:t>Greece</w:t>
            </w:r>
          </w:p>
        </w:tc>
        <w:tc>
          <w:tcPr>
            <w:tcW w:w="0" w:type="auto"/>
            <w:vAlign w:val="center"/>
          </w:tcPr>
          <w:p w14:paraId="1FAAD8BD"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784981A8" w14:textId="77777777" w:rsidR="00B301B0" w:rsidRPr="00B301B0" w:rsidRDefault="00B301B0" w:rsidP="00B301B0">
            <w:pPr>
              <w:widowControl/>
              <w:overflowPunct/>
              <w:autoSpaceDE/>
              <w:autoSpaceDN/>
              <w:adjustRightInd/>
              <w:rPr>
                <w:color w:val="000000"/>
                <w:kern w:val="0"/>
              </w:rPr>
            </w:pPr>
            <w:r w:rsidRPr="00B301B0">
              <w:rPr>
                <w:color w:val="000000"/>
                <w:kern w:val="0"/>
              </w:rPr>
              <w:t>Paper Products</w:t>
            </w:r>
          </w:p>
        </w:tc>
        <w:tc>
          <w:tcPr>
            <w:tcW w:w="1257" w:type="dxa"/>
            <w:shd w:val="clear" w:color="auto" w:fill="auto"/>
            <w:noWrap/>
            <w:vAlign w:val="center"/>
            <w:hideMark/>
          </w:tcPr>
          <w:p w14:paraId="36FFF04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77</w:t>
            </w:r>
          </w:p>
        </w:tc>
        <w:tc>
          <w:tcPr>
            <w:tcW w:w="1072" w:type="dxa"/>
            <w:shd w:val="clear" w:color="auto" w:fill="auto"/>
            <w:noWrap/>
            <w:vAlign w:val="center"/>
            <w:hideMark/>
          </w:tcPr>
          <w:p w14:paraId="13B2DE4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18</w:t>
            </w:r>
          </w:p>
        </w:tc>
        <w:tc>
          <w:tcPr>
            <w:tcW w:w="1901" w:type="dxa"/>
            <w:vAlign w:val="center"/>
          </w:tcPr>
          <w:p w14:paraId="5006A3A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29C2528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1EE4083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5EA8620A" w14:textId="77777777" w:rsidTr="00DB7B9A">
        <w:trPr>
          <w:gridAfter w:val="1"/>
          <w:wAfter w:w="44" w:type="dxa"/>
          <w:trHeight w:val="20"/>
        </w:trPr>
        <w:tc>
          <w:tcPr>
            <w:tcW w:w="1415" w:type="dxa"/>
            <w:shd w:val="clear" w:color="auto" w:fill="auto"/>
            <w:noWrap/>
            <w:vAlign w:val="center"/>
            <w:hideMark/>
          </w:tcPr>
          <w:p w14:paraId="22AB5592" w14:textId="77777777" w:rsidR="00B301B0" w:rsidRPr="00B301B0" w:rsidRDefault="00B301B0" w:rsidP="00B301B0">
            <w:pPr>
              <w:widowControl/>
              <w:overflowPunct/>
              <w:autoSpaceDE/>
              <w:autoSpaceDN/>
              <w:adjustRightInd/>
              <w:rPr>
                <w:color w:val="000000"/>
                <w:kern w:val="0"/>
              </w:rPr>
            </w:pPr>
            <w:r w:rsidRPr="00B301B0">
              <w:rPr>
                <w:color w:val="000000"/>
                <w:kern w:val="0"/>
              </w:rPr>
              <w:t>Bulgaria</w:t>
            </w:r>
          </w:p>
        </w:tc>
        <w:tc>
          <w:tcPr>
            <w:tcW w:w="1440" w:type="dxa"/>
            <w:shd w:val="clear" w:color="auto" w:fill="auto"/>
            <w:noWrap/>
            <w:vAlign w:val="center"/>
            <w:hideMark/>
          </w:tcPr>
          <w:p w14:paraId="21FE9117" w14:textId="77777777" w:rsidR="00B301B0" w:rsidRPr="00B301B0" w:rsidRDefault="00B301B0" w:rsidP="00B301B0">
            <w:pPr>
              <w:widowControl/>
              <w:overflowPunct/>
              <w:autoSpaceDE/>
              <w:autoSpaceDN/>
              <w:adjustRightInd/>
              <w:rPr>
                <w:color w:val="000000"/>
                <w:kern w:val="0"/>
              </w:rPr>
            </w:pPr>
            <w:r w:rsidRPr="00B301B0">
              <w:rPr>
                <w:color w:val="000000"/>
                <w:kern w:val="0"/>
              </w:rPr>
              <w:t>Iceland</w:t>
            </w:r>
          </w:p>
        </w:tc>
        <w:tc>
          <w:tcPr>
            <w:tcW w:w="0" w:type="auto"/>
            <w:vAlign w:val="center"/>
          </w:tcPr>
          <w:p w14:paraId="3E10EB09"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2A157D48" w14:textId="77777777" w:rsidR="00B301B0" w:rsidRPr="00B301B0" w:rsidRDefault="00B301B0" w:rsidP="00B301B0">
            <w:pPr>
              <w:widowControl/>
              <w:overflowPunct/>
              <w:autoSpaceDE/>
              <w:autoSpaceDN/>
              <w:adjustRightInd/>
              <w:rPr>
                <w:color w:val="000000"/>
                <w:kern w:val="0"/>
              </w:rPr>
            </w:pPr>
            <w:r w:rsidRPr="00B301B0">
              <w:rPr>
                <w:color w:val="000000"/>
                <w:kern w:val="0"/>
              </w:rPr>
              <w:t>Textiles</w:t>
            </w:r>
          </w:p>
        </w:tc>
        <w:tc>
          <w:tcPr>
            <w:tcW w:w="1257" w:type="dxa"/>
            <w:shd w:val="clear" w:color="auto" w:fill="auto"/>
            <w:noWrap/>
            <w:vAlign w:val="center"/>
            <w:hideMark/>
          </w:tcPr>
          <w:p w14:paraId="1573F1C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280</w:t>
            </w:r>
          </w:p>
        </w:tc>
        <w:tc>
          <w:tcPr>
            <w:tcW w:w="1072" w:type="dxa"/>
            <w:shd w:val="clear" w:color="auto" w:fill="auto"/>
            <w:noWrap/>
            <w:vAlign w:val="center"/>
            <w:hideMark/>
          </w:tcPr>
          <w:p w14:paraId="1C0FF34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26</w:t>
            </w:r>
          </w:p>
        </w:tc>
        <w:tc>
          <w:tcPr>
            <w:tcW w:w="1901" w:type="dxa"/>
            <w:vAlign w:val="center"/>
          </w:tcPr>
          <w:p w14:paraId="2AF3DDC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688FFAF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769C20E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4A08E8CD" w14:textId="77777777" w:rsidTr="00DB7B9A">
        <w:trPr>
          <w:gridAfter w:val="1"/>
          <w:wAfter w:w="44" w:type="dxa"/>
          <w:trHeight w:val="20"/>
        </w:trPr>
        <w:tc>
          <w:tcPr>
            <w:tcW w:w="1415" w:type="dxa"/>
            <w:shd w:val="clear" w:color="auto" w:fill="auto"/>
            <w:noWrap/>
            <w:vAlign w:val="center"/>
            <w:hideMark/>
          </w:tcPr>
          <w:p w14:paraId="7CC60527"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53C09C1B" w14:textId="77777777" w:rsidR="00B301B0" w:rsidRPr="00B301B0" w:rsidRDefault="00B301B0" w:rsidP="00B301B0">
            <w:pPr>
              <w:widowControl/>
              <w:overflowPunct/>
              <w:autoSpaceDE/>
              <w:autoSpaceDN/>
              <w:adjustRightInd/>
              <w:rPr>
                <w:color w:val="000000"/>
                <w:kern w:val="0"/>
              </w:rPr>
            </w:pPr>
            <w:r w:rsidRPr="00B301B0">
              <w:rPr>
                <w:color w:val="000000"/>
                <w:kern w:val="0"/>
              </w:rPr>
              <w:t>Austria</w:t>
            </w:r>
          </w:p>
        </w:tc>
        <w:tc>
          <w:tcPr>
            <w:tcW w:w="0" w:type="auto"/>
            <w:vAlign w:val="center"/>
          </w:tcPr>
          <w:p w14:paraId="1F31AA3A"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F5C348F" w14:textId="77777777" w:rsidR="00B301B0" w:rsidRPr="00B301B0" w:rsidRDefault="00B301B0" w:rsidP="00B301B0">
            <w:pPr>
              <w:widowControl/>
              <w:overflowPunct/>
              <w:autoSpaceDE/>
              <w:autoSpaceDN/>
              <w:adjustRightInd/>
              <w:rPr>
                <w:color w:val="000000"/>
                <w:kern w:val="0"/>
              </w:rPr>
            </w:pPr>
            <w:r w:rsidRPr="00B301B0">
              <w:rPr>
                <w:color w:val="000000"/>
                <w:kern w:val="0"/>
              </w:rPr>
              <w:t>Plastics &amp; Rubber</w:t>
            </w:r>
          </w:p>
        </w:tc>
        <w:tc>
          <w:tcPr>
            <w:tcW w:w="1257" w:type="dxa"/>
            <w:shd w:val="clear" w:color="auto" w:fill="auto"/>
            <w:noWrap/>
            <w:vAlign w:val="center"/>
            <w:hideMark/>
          </w:tcPr>
          <w:p w14:paraId="1F59225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200</w:t>
            </w:r>
          </w:p>
        </w:tc>
        <w:tc>
          <w:tcPr>
            <w:tcW w:w="1072" w:type="dxa"/>
            <w:shd w:val="clear" w:color="auto" w:fill="auto"/>
            <w:noWrap/>
            <w:vAlign w:val="center"/>
            <w:hideMark/>
          </w:tcPr>
          <w:p w14:paraId="3987865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86</w:t>
            </w:r>
          </w:p>
        </w:tc>
        <w:tc>
          <w:tcPr>
            <w:tcW w:w="1901" w:type="dxa"/>
            <w:vAlign w:val="center"/>
          </w:tcPr>
          <w:p w14:paraId="1F39F24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0D0F6D0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23D5541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003D6863" w14:textId="77777777" w:rsidTr="00DB7B9A">
        <w:trPr>
          <w:gridAfter w:val="1"/>
          <w:wAfter w:w="44" w:type="dxa"/>
          <w:trHeight w:val="20"/>
        </w:trPr>
        <w:tc>
          <w:tcPr>
            <w:tcW w:w="1415" w:type="dxa"/>
            <w:shd w:val="clear" w:color="auto" w:fill="auto"/>
            <w:noWrap/>
            <w:vAlign w:val="center"/>
            <w:hideMark/>
          </w:tcPr>
          <w:p w14:paraId="52D7DB82"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3E0CFEAA" w14:textId="77777777" w:rsidR="00B301B0" w:rsidRPr="00B301B0" w:rsidRDefault="00B301B0" w:rsidP="00B301B0">
            <w:pPr>
              <w:widowControl/>
              <w:overflowPunct/>
              <w:autoSpaceDE/>
              <w:autoSpaceDN/>
              <w:adjustRightInd/>
              <w:rPr>
                <w:color w:val="000000"/>
                <w:kern w:val="0"/>
              </w:rPr>
            </w:pPr>
            <w:r w:rsidRPr="00B301B0">
              <w:rPr>
                <w:color w:val="000000"/>
                <w:kern w:val="0"/>
              </w:rPr>
              <w:t>Austria</w:t>
            </w:r>
          </w:p>
        </w:tc>
        <w:tc>
          <w:tcPr>
            <w:tcW w:w="0" w:type="auto"/>
            <w:vAlign w:val="center"/>
          </w:tcPr>
          <w:p w14:paraId="1392A3F1"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7BA80267" w14:textId="77777777" w:rsidR="00B301B0" w:rsidRPr="00B301B0" w:rsidRDefault="00B301B0" w:rsidP="00B301B0">
            <w:pPr>
              <w:widowControl/>
              <w:overflowPunct/>
              <w:autoSpaceDE/>
              <w:autoSpaceDN/>
              <w:adjustRightInd/>
              <w:rPr>
                <w:color w:val="000000"/>
                <w:kern w:val="0"/>
              </w:rPr>
            </w:pPr>
            <w:r w:rsidRPr="00B301B0">
              <w:rPr>
                <w:color w:val="000000"/>
                <w:kern w:val="0"/>
              </w:rPr>
              <w:t>Consumer Food</w:t>
            </w:r>
          </w:p>
        </w:tc>
        <w:tc>
          <w:tcPr>
            <w:tcW w:w="1257" w:type="dxa"/>
            <w:shd w:val="clear" w:color="auto" w:fill="auto"/>
            <w:noWrap/>
            <w:vAlign w:val="center"/>
            <w:hideMark/>
          </w:tcPr>
          <w:p w14:paraId="77712FE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444</w:t>
            </w:r>
          </w:p>
        </w:tc>
        <w:tc>
          <w:tcPr>
            <w:tcW w:w="1072" w:type="dxa"/>
            <w:shd w:val="clear" w:color="auto" w:fill="auto"/>
            <w:noWrap/>
            <w:vAlign w:val="center"/>
            <w:hideMark/>
          </w:tcPr>
          <w:p w14:paraId="4C47FFA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176</w:t>
            </w:r>
          </w:p>
        </w:tc>
        <w:tc>
          <w:tcPr>
            <w:tcW w:w="1901" w:type="dxa"/>
            <w:vAlign w:val="center"/>
          </w:tcPr>
          <w:p w14:paraId="01273C7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5947DE8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352FA79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7CE0DA31" w14:textId="77777777" w:rsidTr="00DB7B9A">
        <w:trPr>
          <w:gridAfter w:val="1"/>
          <w:wAfter w:w="44" w:type="dxa"/>
          <w:trHeight w:val="20"/>
        </w:trPr>
        <w:tc>
          <w:tcPr>
            <w:tcW w:w="1415" w:type="dxa"/>
            <w:shd w:val="clear" w:color="auto" w:fill="auto"/>
            <w:noWrap/>
            <w:vAlign w:val="center"/>
            <w:hideMark/>
          </w:tcPr>
          <w:p w14:paraId="4EDA3C3C"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2545B253" w14:textId="77777777" w:rsidR="00B301B0" w:rsidRPr="00B301B0" w:rsidRDefault="00B301B0" w:rsidP="00B301B0">
            <w:pPr>
              <w:widowControl/>
              <w:overflowPunct/>
              <w:autoSpaceDE/>
              <w:autoSpaceDN/>
              <w:adjustRightInd/>
              <w:rPr>
                <w:color w:val="000000"/>
                <w:kern w:val="0"/>
              </w:rPr>
            </w:pPr>
            <w:r w:rsidRPr="00B301B0">
              <w:rPr>
                <w:color w:val="000000"/>
                <w:kern w:val="0"/>
              </w:rPr>
              <w:t>Austria</w:t>
            </w:r>
          </w:p>
        </w:tc>
        <w:tc>
          <w:tcPr>
            <w:tcW w:w="0" w:type="auto"/>
            <w:vAlign w:val="center"/>
          </w:tcPr>
          <w:p w14:paraId="7DD6EAEC"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8FF5898" w14:textId="77777777" w:rsidR="00B301B0" w:rsidRPr="00B301B0" w:rsidRDefault="00B301B0" w:rsidP="00B301B0">
            <w:pPr>
              <w:widowControl/>
              <w:overflowPunct/>
              <w:autoSpaceDE/>
              <w:autoSpaceDN/>
              <w:adjustRightInd/>
              <w:rPr>
                <w:color w:val="000000"/>
                <w:kern w:val="0"/>
              </w:rPr>
            </w:pPr>
            <w:r w:rsidRPr="00B301B0">
              <w:rPr>
                <w:color w:val="000000"/>
                <w:kern w:val="0"/>
              </w:rPr>
              <w:t>Automotive Parts</w:t>
            </w:r>
          </w:p>
        </w:tc>
        <w:tc>
          <w:tcPr>
            <w:tcW w:w="1257" w:type="dxa"/>
            <w:shd w:val="clear" w:color="auto" w:fill="auto"/>
            <w:noWrap/>
            <w:vAlign w:val="center"/>
            <w:hideMark/>
          </w:tcPr>
          <w:p w14:paraId="36F6989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770</w:t>
            </w:r>
          </w:p>
        </w:tc>
        <w:tc>
          <w:tcPr>
            <w:tcW w:w="1072" w:type="dxa"/>
            <w:shd w:val="clear" w:color="auto" w:fill="auto"/>
            <w:noWrap/>
            <w:vAlign w:val="center"/>
            <w:hideMark/>
          </w:tcPr>
          <w:p w14:paraId="2D4966E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22</w:t>
            </w:r>
          </w:p>
        </w:tc>
        <w:tc>
          <w:tcPr>
            <w:tcW w:w="1901" w:type="dxa"/>
            <w:vAlign w:val="center"/>
          </w:tcPr>
          <w:p w14:paraId="73FD514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Autonomous</w:t>
            </w:r>
          </w:p>
        </w:tc>
        <w:tc>
          <w:tcPr>
            <w:tcW w:w="1264" w:type="dxa"/>
            <w:vAlign w:val="center"/>
          </w:tcPr>
          <w:p w14:paraId="58250FA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20D740E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6C197DE9" w14:textId="77777777" w:rsidTr="00DB7B9A">
        <w:trPr>
          <w:gridAfter w:val="1"/>
          <w:wAfter w:w="44" w:type="dxa"/>
          <w:trHeight w:val="20"/>
        </w:trPr>
        <w:tc>
          <w:tcPr>
            <w:tcW w:w="1415" w:type="dxa"/>
            <w:shd w:val="clear" w:color="auto" w:fill="auto"/>
            <w:noWrap/>
            <w:vAlign w:val="center"/>
            <w:hideMark/>
          </w:tcPr>
          <w:p w14:paraId="591F7D90"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2820EF94" w14:textId="77777777" w:rsidR="00B301B0" w:rsidRPr="00B301B0" w:rsidRDefault="00B301B0" w:rsidP="00B301B0">
            <w:pPr>
              <w:widowControl/>
              <w:overflowPunct/>
              <w:autoSpaceDE/>
              <w:autoSpaceDN/>
              <w:adjustRightInd/>
              <w:rPr>
                <w:color w:val="000000"/>
                <w:kern w:val="0"/>
              </w:rPr>
            </w:pPr>
            <w:r w:rsidRPr="00B301B0">
              <w:rPr>
                <w:color w:val="000000"/>
                <w:kern w:val="0"/>
              </w:rPr>
              <w:t>Belgium</w:t>
            </w:r>
          </w:p>
        </w:tc>
        <w:tc>
          <w:tcPr>
            <w:tcW w:w="0" w:type="auto"/>
            <w:vAlign w:val="center"/>
          </w:tcPr>
          <w:p w14:paraId="1293DAAF"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D391DDA" w14:textId="77777777" w:rsidR="00B301B0" w:rsidRPr="00B301B0" w:rsidRDefault="00B301B0" w:rsidP="00B301B0">
            <w:pPr>
              <w:widowControl/>
              <w:overflowPunct/>
              <w:autoSpaceDE/>
              <w:autoSpaceDN/>
              <w:adjustRightInd/>
              <w:rPr>
                <w:color w:val="000000"/>
                <w:kern w:val="0"/>
              </w:rPr>
            </w:pPr>
            <w:r w:rsidRPr="00B301B0">
              <w:rPr>
                <w:color w:val="000000"/>
                <w:kern w:val="0"/>
              </w:rPr>
              <w:t>Chemicals</w:t>
            </w:r>
          </w:p>
        </w:tc>
        <w:tc>
          <w:tcPr>
            <w:tcW w:w="1257" w:type="dxa"/>
            <w:shd w:val="clear" w:color="auto" w:fill="auto"/>
            <w:noWrap/>
            <w:vAlign w:val="center"/>
            <w:hideMark/>
          </w:tcPr>
          <w:p w14:paraId="233B097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4359</w:t>
            </w:r>
          </w:p>
        </w:tc>
        <w:tc>
          <w:tcPr>
            <w:tcW w:w="1072" w:type="dxa"/>
            <w:shd w:val="clear" w:color="auto" w:fill="auto"/>
            <w:noWrap/>
            <w:vAlign w:val="center"/>
            <w:hideMark/>
          </w:tcPr>
          <w:p w14:paraId="2AE6E8D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10</w:t>
            </w:r>
          </w:p>
        </w:tc>
        <w:tc>
          <w:tcPr>
            <w:tcW w:w="1901" w:type="dxa"/>
            <w:vAlign w:val="center"/>
          </w:tcPr>
          <w:p w14:paraId="777EFB9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5D876D6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2F7D119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4C6DF333" w14:textId="77777777" w:rsidTr="00DB7B9A">
        <w:trPr>
          <w:gridAfter w:val="1"/>
          <w:wAfter w:w="44" w:type="dxa"/>
          <w:trHeight w:val="20"/>
        </w:trPr>
        <w:tc>
          <w:tcPr>
            <w:tcW w:w="1415" w:type="dxa"/>
            <w:shd w:val="clear" w:color="auto" w:fill="auto"/>
            <w:noWrap/>
            <w:vAlign w:val="center"/>
            <w:hideMark/>
          </w:tcPr>
          <w:p w14:paraId="29005798"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0D2D371E" w14:textId="77777777" w:rsidR="00B301B0" w:rsidRPr="00B301B0" w:rsidRDefault="00B301B0" w:rsidP="00B301B0">
            <w:pPr>
              <w:widowControl/>
              <w:overflowPunct/>
              <w:autoSpaceDE/>
              <w:autoSpaceDN/>
              <w:adjustRightInd/>
              <w:rPr>
                <w:color w:val="000000"/>
                <w:kern w:val="0"/>
              </w:rPr>
            </w:pPr>
            <w:r w:rsidRPr="00B301B0">
              <w:rPr>
                <w:color w:val="000000"/>
                <w:kern w:val="0"/>
              </w:rPr>
              <w:t>UK</w:t>
            </w:r>
          </w:p>
        </w:tc>
        <w:tc>
          <w:tcPr>
            <w:tcW w:w="0" w:type="auto"/>
            <w:vAlign w:val="center"/>
          </w:tcPr>
          <w:p w14:paraId="1AA825A9"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FB97ADE" w14:textId="77777777" w:rsidR="00B301B0" w:rsidRPr="00B301B0" w:rsidRDefault="00B301B0" w:rsidP="00B301B0">
            <w:pPr>
              <w:widowControl/>
              <w:overflowPunct/>
              <w:autoSpaceDE/>
              <w:autoSpaceDN/>
              <w:adjustRightInd/>
              <w:rPr>
                <w:color w:val="000000"/>
                <w:kern w:val="0"/>
              </w:rPr>
            </w:pPr>
            <w:r w:rsidRPr="00B301B0">
              <w:rPr>
                <w:color w:val="000000"/>
                <w:kern w:val="0"/>
              </w:rPr>
              <w:t>Plastics &amp; Rubber</w:t>
            </w:r>
          </w:p>
        </w:tc>
        <w:tc>
          <w:tcPr>
            <w:tcW w:w="1257" w:type="dxa"/>
            <w:shd w:val="clear" w:color="auto" w:fill="auto"/>
            <w:noWrap/>
            <w:vAlign w:val="center"/>
            <w:hideMark/>
          </w:tcPr>
          <w:p w14:paraId="49AB728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1343</w:t>
            </w:r>
          </w:p>
        </w:tc>
        <w:tc>
          <w:tcPr>
            <w:tcW w:w="1072" w:type="dxa"/>
            <w:shd w:val="clear" w:color="auto" w:fill="auto"/>
            <w:noWrap/>
            <w:vAlign w:val="center"/>
            <w:hideMark/>
          </w:tcPr>
          <w:p w14:paraId="5154D99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144</w:t>
            </w:r>
          </w:p>
        </w:tc>
        <w:tc>
          <w:tcPr>
            <w:tcW w:w="1901" w:type="dxa"/>
            <w:vAlign w:val="center"/>
          </w:tcPr>
          <w:p w14:paraId="3F2C531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Controlled</w:t>
            </w:r>
          </w:p>
        </w:tc>
        <w:tc>
          <w:tcPr>
            <w:tcW w:w="1264" w:type="dxa"/>
            <w:vAlign w:val="center"/>
          </w:tcPr>
          <w:p w14:paraId="227B8B8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78A426B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520C5662" w14:textId="77777777" w:rsidTr="00DB7B9A">
        <w:trPr>
          <w:gridAfter w:val="1"/>
          <w:wAfter w:w="44" w:type="dxa"/>
          <w:trHeight w:val="20"/>
        </w:trPr>
        <w:tc>
          <w:tcPr>
            <w:tcW w:w="1415" w:type="dxa"/>
            <w:shd w:val="clear" w:color="auto" w:fill="auto"/>
            <w:noWrap/>
            <w:vAlign w:val="center"/>
            <w:hideMark/>
          </w:tcPr>
          <w:p w14:paraId="3117D8B3"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7AE11773"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284DA179"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5385AD3" w14:textId="77777777" w:rsidR="00B301B0" w:rsidRPr="00B301B0" w:rsidRDefault="00B301B0" w:rsidP="00B301B0">
            <w:pPr>
              <w:widowControl/>
              <w:overflowPunct/>
              <w:autoSpaceDE/>
              <w:autoSpaceDN/>
              <w:adjustRightInd/>
              <w:rPr>
                <w:color w:val="000000"/>
                <w:kern w:val="0"/>
              </w:rPr>
            </w:pPr>
            <w:r w:rsidRPr="00B301B0">
              <w:rPr>
                <w:color w:val="000000"/>
                <w:kern w:val="0"/>
              </w:rPr>
              <w:t>Paper Products</w:t>
            </w:r>
          </w:p>
        </w:tc>
        <w:tc>
          <w:tcPr>
            <w:tcW w:w="1257" w:type="dxa"/>
            <w:shd w:val="clear" w:color="auto" w:fill="auto"/>
            <w:noWrap/>
            <w:vAlign w:val="center"/>
            <w:hideMark/>
          </w:tcPr>
          <w:p w14:paraId="1E012F8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2875</w:t>
            </w:r>
          </w:p>
        </w:tc>
        <w:tc>
          <w:tcPr>
            <w:tcW w:w="1072" w:type="dxa"/>
            <w:shd w:val="clear" w:color="auto" w:fill="auto"/>
            <w:noWrap/>
            <w:vAlign w:val="center"/>
            <w:hideMark/>
          </w:tcPr>
          <w:p w14:paraId="2E888CC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142</w:t>
            </w:r>
          </w:p>
        </w:tc>
        <w:tc>
          <w:tcPr>
            <w:tcW w:w="1901" w:type="dxa"/>
            <w:vAlign w:val="center"/>
          </w:tcPr>
          <w:p w14:paraId="478DA67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20387DA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32390F4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7984E99E" w14:textId="77777777" w:rsidTr="00DB7B9A">
        <w:trPr>
          <w:gridAfter w:val="1"/>
          <w:wAfter w:w="44" w:type="dxa"/>
          <w:trHeight w:val="20"/>
        </w:trPr>
        <w:tc>
          <w:tcPr>
            <w:tcW w:w="1415" w:type="dxa"/>
            <w:shd w:val="clear" w:color="auto" w:fill="auto"/>
            <w:noWrap/>
            <w:vAlign w:val="center"/>
            <w:hideMark/>
          </w:tcPr>
          <w:p w14:paraId="3E5AD8E6"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3E3FCD97"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30BEF21F"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285B680E" w14:textId="77777777" w:rsidR="00B301B0" w:rsidRPr="00B301B0" w:rsidRDefault="00B301B0" w:rsidP="00B301B0">
            <w:pPr>
              <w:widowControl/>
              <w:overflowPunct/>
              <w:autoSpaceDE/>
              <w:autoSpaceDN/>
              <w:adjustRightInd/>
              <w:rPr>
                <w:color w:val="000000"/>
                <w:kern w:val="0"/>
              </w:rPr>
            </w:pPr>
            <w:r w:rsidRPr="00B301B0">
              <w:rPr>
                <w:color w:val="000000"/>
                <w:kern w:val="0"/>
              </w:rPr>
              <w:t>Machinery &amp; Equipment</w:t>
            </w:r>
          </w:p>
        </w:tc>
        <w:tc>
          <w:tcPr>
            <w:tcW w:w="1257" w:type="dxa"/>
            <w:shd w:val="clear" w:color="auto" w:fill="auto"/>
            <w:noWrap/>
            <w:vAlign w:val="center"/>
            <w:hideMark/>
          </w:tcPr>
          <w:p w14:paraId="55B39DE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280</w:t>
            </w:r>
          </w:p>
        </w:tc>
        <w:tc>
          <w:tcPr>
            <w:tcW w:w="1072" w:type="dxa"/>
            <w:shd w:val="clear" w:color="auto" w:fill="auto"/>
            <w:noWrap/>
            <w:vAlign w:val="center"/>
            <w:hideMark/>
          </w:tcPr>
          <w:p w14:paraId="66BE79D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56</w:t>
            </w:r>
          </w:p>
        </w:tc>
        <w:tc>
          <w:tcPr>
            <w:tcW w:w="1901" w:type="dxa"/>
            <w:vAlign w:val="center"/>
          </w:tcPr>
          <w:p w14:paraId="3454364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1DB2CBC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6F3FB16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27099A32" w14:textId="77777777" w:rsidTr="00DB7B9A">
        <w:trPr>
          <w:gridAfter w:val="1"/>
          <w:wAfter w:w="44" w:type="dxa"/>
          <w:trHeight w:val="20"/>
        </w:trPr>
        <w:tc>
          <w:tcPr>
            <w:tcW w:w="1415" w:type="dxa"/>
            <w:shd w:val="clear" w:color="auto" w:fill="auto"/>
            <w:noWrap/>
            <w:vAlign w:val="center"/>
            <w:hideMark/>
          </w:tcPr>
          <w:p w14:paraId="7B035DB0"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4B2E1C8D"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430A318D"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791BD060" w14:textId="77777777" w:rsidR="00B301B0" w:rsidRPr="00B301B0" w:rsidRDefault="00B301B0" w:rsidP="00B301B0">
            <w:pPr>
              <w:widowControl/>
              <w:overflowPunct/>
              <w:autoSpaceDE/>
              <w:autoSpaceDN/>
              <w:adjustRightInd/>
              <w:rPr>
                <w:color w:val="000000"/>
                <w:kern w:val="0"/>
              </w:rPr>
            </w:pPr>
            <w:r w:rsidRPr="00B301B0">
              <w:rPr>
                <w:color w:val="000000"/>
                <w:kern w:val="0"/>
              </w:rPr>
              <w:t>Fabricated Metal Products</w:t>
            </w:r>
          </w:p>
        </w:tc>
        <w:tc>
          <w:tcPr>
            <w:tcW w:w="1257" w:type="dxa"/>
            <w:shd w:val="clear" w:color="auto" w:fill="auto"/>
            <w:noWrap/>
            <w:vAlign w:val="center"/>
            <w:hideMark/>
          </w:tcPr>
          <w:p w14:paraId="3B15F12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296</w:t>
            </w:r>
          </w:p>
        </w:tc>
        <w:tc>
          <w:tcPr>
            <w:tcW w:w="1072" w:type="dxa"/>
            <w:shd w:val="clear" w:color="auto" w:fill="auto"/>
            <w:noWrap/>
            <w:vAlign w:val="center"/>
            <w:hideMark/>
          </w:tcPr>
          <w:p w14:paraId="53D05B6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38</w:t>
            </w:r>
          </w:p>
        </w:tc>
        <w:tc>
          <w:tcPr>
            <w:tcW w:w="1901" w:type="dxa"/>
            <w:vAlign w:val="center"/>
          </w:tcPr>
          <w:p w14:paraId="7B4E4A4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0584DF9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55833EB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1B7FA16F" w14:textId="77777777" w:rsidTr="00DB7B9A">
        <w:trPr>
          <w:gridAfter w:val="1"/>
          <w:wAfter w:w="44" w:type="dxa"/>
          <w:trHeight w:val="20"/>
        </w:trPr>
        <w:tc>
          <w:tcPr>
            <w:tcW w:w="1415" w:type="dxa"/>
            <w:shd w:val="clear" w:color="auto" w:fill="auto"/>
            <w:noWrap/>
            <w:vAlign w:val="center"/>
            <w:hideMark/>
          </w:tcPr>
          <w:p w14:paraId="366D2DFB"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1589CA68"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6226B18D"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017649CA" w14:textId="77777777" w:rsidR="00B301B0" w:rsidRPr="00B301B0" w:rsidRDefault="00B301B0" w:rsidP="00B301B0">
            <w:pPr>
              <w:widowControl/>
              <w:overflowPunct/>
              <w:autoSpaceDE/>
              <w:autoSpaceDN/>
              <w:adjustRightInd/>
              <w:rPr>
                <w:color w:val="000000"/>
                <w:kern w:val="0"/>
              </w:rPr>
            </w:pPr>
            <w:r w:rsidRPr="00B301B0">
              <w:rPr>
                <w:color w:val="000000"/>
                <w:kern w:val="0"/>
              </w:rPr>
              <w:t>Fabricated Metal Products</w:t>
            </w:r>
          </w:p>
        </w:tc>
        <w:tc>
          <w:tcPr>
            <w:tcW w:w="1257" w:type="dxa"/>
            <w:shd w:val="clear" w:color="auto" w:fill="auto"/>
            <w:noWrap/>
            <w:vAlign w:val="center"/>
            <w:hideMark/>
          </w:tcPr>
          <w:p w14:paraId="31F97C8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453</w:t>
            </w:r>
          </w:p>
        </w:tc>
        <w:tc>
          <w:tcPr>
            <w:tcW w:w="1072" w:type="dxa"/>
            <w:shd w:val="clear" w:color="auto" w:fill="auto"/>
            <w:noWrap/>
            <w:vAlign w:val="center"/>
            <w:hideMark/>
          </w:tcPr>
          <w:p w14:paraId="4B2A74E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115</w:t>
            </w:r>
          </w:p>
        </w:tc>
        <w:tc>
          <w:tcPr>
            <w:tcW w:w="1901" w:type="dxa"/>
            <w:vAlign w:val="center"/>
          </w:tcPr>
          <w:p w14:paraId="36D4641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Controlled</w:t>
            </w:r>
          </w:p>
        </w:tc>
        <w:tc>
          <w:tcPr>
            <w:tcW w:w="1264" w:type="dxa"/>
            <w:vAlign w:val="center"/>
          </w:tcPr>
          <w:p w14:paraId="0D10297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40125CD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44349797" w14:textId="77777777" w:rsidTr="00DB7B9A">
        <w:trPr>
          <w:gridAfter w:val="1"/>
          <w:wAfter w:w="44" w:type="dxa"/>
          <w:trHeight w:val="20"/>
        </w:trPr>
        <w:tc>
          <w:tcPr>
            <w:tcW w:w="1415" w:type="dxa"/>
            <w:shd w:val="clear" w:color="auto" w:fill="auto"/>
            <w:noWrap/>
            <w:vAlign w:val="center"/>
            <w:hideMark/>
          </w:tcPr>
          <w:p w14:paraId="0A60DB32"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40C5C5A9"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7E3CBC95"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7B1B9850" w14:textId="77777777" w:rsidR="00B301B0" w:rsidRPr="00B301B0" w:rsidRDefault="00B301B0" w:rsidP="00B301B0">
            <w:pPr>
              <w:widowControl/>
              <w:overflowPunct/>
              <w:autoSpaceDE/>
              <w:autoSpaceDN/>
              <w:adjustRightInd/>
              <w:rPr>
                <w:color w:val="000000"/>
                <w:kern w:val="0"/>
              </w:rPr>
            </w:pPr>
            <w:r w:rsidRPr="00B301B0">
              <w:rPr>
                <w:color w:val="000000"/>
                <w:kern w:val="0"/>
              </w:rPr>
              <w:t>Fabricated Metal Products</w:t>
            </w:r>
          </w:p>
        </w:tc>
        <w:tc>
          <w:tcPr>
            <w:tcW w:w="1257" w:type="dxa"/>
            <w:shd w:val="clear" w:color="auto" w:fill="auto"/>
            <w:noWrap/>
            <w:vAlign w:val="center"/>
            <w:hideMark/>
          </w:tcPr>
          <w:p w14:paraId="6CAF1C6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432</w:t>
            </w:r>
          </w:p>
        </w:tc>
        <w:tc>
          <w:tcPr>
            <w:tcW w:w="1072" w:type="dxa"/>
            <w:shd w:val="clear" w:color="auto" w:fill="auto"/>
            <w:noWrap/>
            <w:vAlign w:val="center"/>
            <w:hideMark/>
          </w:tcPr>
          <w:p w14:paraId="14E0EE6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47</w:t>
            </w:r>
          </w:p>
        </w:tc>
        <w:tc>
          <w:tcPr>
            <w:tcW w:w="1901" w:type="dxa"/>
            <w:vAlign w:val="center"/>
          </w:tcPr>
          <w:p w14:paraId="14261F8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Autonomous</w:t>
            </w:r>
          </w:p>
        </w:tc>
        <w:tc>
          <w:tcPr>
            <w:tcW w:w="1264" w:type="dxa"/>
            <w:vAlign w:val="center"/>
          </w:tcPr>
          <w:p w14:paraId="1593AC6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5D4892C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20747044" w14:textId="77777777" w:rsidTr="00DB7B9A">
        <w:trPr>
          <w:gridAfter w:val="1"/>
          <w:wAfter w:w="44" w:type="dxa"/>
          <w:trHeight w:val="20"/>
        </w:trPr>
        <w:tc>
          <w:tcPr>
            <w:tcW w:w="1415" w:type="dxa"/>
            <w:shd w:val="clear" w:color="auto" w:fill="auto"/>
            <w:noWrap/>
            <w:vAlign w:val="center"/>
            <w:hideMark/>
          </w:tcPr>
          <w:p w14:paraId="30A862E2"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46E64893"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0B7B0C64"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0A971BC4" w14:textId="77777777" w:rsidR="00B301B0" w:rsidRPr="00B301B0" w:rsidRDefault="00B301B0" w:rsidP="00B301B0">
            <w:pPr>
              <w:widowControl/>
              <w:overflowPunct/>
              <w:autoSpaceDE/>
              <w:autoSpaceDN/>
              <w:adjustRightInd/>
              <w:rPr>
                <w:color w:val="000000"/>
                <w:kern w:val="0"/>
              </w:rPr>
            </w:pPr>
            <w:r w:rsidRPr="00B301B0">
              <w:rPr>
                <w:color w:val="000000"/>
                <w:kern w:val="0"/>
              </w:rPr>
              <w:t>Paper Products</w:t>
            </w:r>
          </w:p>
        </w:tc>
        <w:tc>
          <w:tcPr>
            <w:tcW w:w="1257" w:type="dxa"/>
            <w:shd w:val="clear" w:color="auto" w:fill="auto"/>
            <w:noWrap/>
            <w:vAlign w:val="center"/>
            <w:hideMark/>
          </w:tcPr>
          <w:p w14:paraId="6210F3F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224</w:t>
            </w:r>
          </w:p>
        </w:tc>
        <w:tc>
          <w:tcPr>
            <w:tcW w:w="1072" w:type="dxa"/>
            <w:shd w:val="clear" w:color="auto" w:fill="auto"/>
            <w:noWrap/>
            <w:vAlign w:val="center"/>
            <w:hideMark/>
          </w:tcPr>
          <w:p w14:paraId="3F6C025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55</w:t>
            </w:r>
          </w:p>
        </w:tc>
        <w:tc>
          <w:tcPr>
            <w:tcW w:w="1901" w:type="dxa"/>
            <w:vAlign w:val="center"/>
          </w:tcPr>
          <w:p w14:paraId="2DA221D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Controlled</w:t>
            </w:r>
          </w:p>
        </w:tc>
        <w:tc>
          <w:tcPr>
            <w:tcW w:w="1264" w:type="dxa"/>
            <w:vAlign w:val="center"/>
          </w:tcPr>
          <w:p w14:paraId="3FF8057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28F6D5C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0BE1C648" w14:textId="77777777" w:rsidTr="00DB7B9A">
        <w:trPr>
          <w:gridAfter w:val="1"/>
          <w:wAfter w:w="44" w:type="dxa"/>
          <w:trHeight w:val="20"/>
        </w:trPr>
        <w:tc>
          <w:tcPr>
            <w:tcW w:w="1415" w:type="dxa"/>
            <w:shd w:val="clear" w:color="auto" w:fill="auto"/>
            <w:noWrap/>
            <w:vAlign w:val="center"/>
            <w:hideMark/>
          </w:tcPr>
          <w:p w14:paraId="2E0397ED"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5AE833EA"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191C8987"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76D4BAA2" w14:textId="77777777" w:rsidR="00B301B0" w:rsidRPr="00B301B0" w:rsidRDefault="00B301B0" w:rsidP="00B301B0">
            <w:pPr>
              <w:widowControl/>
              <w:overflowPunct/>
              <w:autoSpaceDE/>
              <w:autoSpaceDN/>
              <w:adjustRightInd/>
              <w:rPr>
                <w:color w:val="000000"/>
                <w:kern w:val="0"/>
              </w:rPr>
            </w:pPr>
            <w:r w:rsidRPr="00B301B0">
              <w:rPr>
                <w:color w:val="000000"/>
                <w:kern w:val="0"/>
              </w:rPr>
              <w:t>Electrical Equipment</w:t>
            </w:r>
          </w:p>
        </w:tc>
        <w:tc>
          <w:tcPr>
            <w:tcW w:w="1257" w:type="dxa"/>
            <w:shd w:val="clear" w:color="auto" w:fill="auto"/>
            <w:noWrap/>
            <w:vAlign w:val="center"/>
            <w:hideMark/>
          </w:tcPr>
          <w:p w14:paraId="5A08DAB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250</w:t>
            </w:r>
          </w:p>
        </w:tc>
        <w:tc>
          <w:tcPr>
            <w:tcW w:w="1072" w:type="dxa"/>
            <w:shd w:val="clear" w:color="auto" w:fill="auto"/>
            <w:noWrap/>
            <w:vAlign w:val="center"/>
            <w:hideMark/>
          </w:tcPr>
          <w:p w14:paraId="20BAFCF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39</w:t>
            </w:r>
          </w:p>
        </w:tc>
        <w:tc>
          <w:tcPr>
            <w:tcW w:w="1901" w:type="dxa"/>
            <w:vAlign w:val="center"/>
          </w:tcPr>
          <w:p w14:paraId="4088485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474BB73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3EC0F77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4CEA8426" w14:textId="77777777" w:rsidTr="00DB7B9A">
        <w:trPr>
          <w:gridAfter w:val="1"/>
          <w:wAfter w:w="44" w:type="dxa"/>
          <w:trHeight w:val="20"/>
        </w:trPr>
        <w:tc>
          <w:tcPr>
            <w:tcW w:w="1415" w:type="dxa"/>
            <w:shd w:val="clear" w:color="auto" w:fill="auto"/>
            <w:noWrap/>
            <w:vAlign w:val="center"/>
            <w:hideMark/>
          </w:tcPr>
          <w:p w14:paraId="6F8060EA"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2B12EA05"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0FA882C8"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EADF8A4" w14:textId="77777777" w:rsidR="00B301B0" w:rsidRPr="00B301B0" w:rsidRDefault="00B301B0" w:rsidP="00B301B0">
            <w:pPr>
              <w:widowControl/>
              <w:overflowPunct/>
              <w:autoSpaceDE/>
              <w:autoSpaceDN/>
              <w:adjustRightInd/>
              <w:rPr>
                <w:color w:val="000000"/>
                <w:kern w:val="0"/>
              </w:rPr>
            </w:pPr>
            <w:r w:rsidRPr="00B301B0">
              <w:rPr>
                <w:color w:val="000000"/>
                <w:kern w:val="0"/>
              </w:rPr>
              <w:t>Chemicals</w:t>
            </w:r>
          </w:p>
        </w:tc>
        <w:tc>
          <w:tcPr>
            <w:tcW w:w="1257" w:type="dxa"/>
            <w:shd w:val="clear" w:color="auto" w:fill="auto"/>
            <w:noWrap/>
            <w:vAlign w:val="center"/>
            <w:hideMark/>
          </w:tcPr>
          <w:p w14:paraId="0328781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1060</w:t>
            </w:r>
          </w:p>
        </w:tc>
        <w:tc>
          <w:tcPr>
            <w:tcW w:w="1072" w:type="dxa"/>
            <w:shd w:val="clear" w:color="auto" w:fill="auto"/>
            <w:noWrap/>
            <w:vAlign w:val="center"/>
            <w:hideMark/>
          </w:tcPr>
          <w:p w14:paraId="4293829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38</w:t>
            </w:r>
          </w:p>
        </w:tc>
        <w:tc>
          <w:tcPr>
            <w:tcW w:w="1901" w:type="dxa"/>
            <w:vAlign w:val="center"/>
          </w:tcPr>
          <w:p w14:paraId="3004AC5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Autonomous</w:t>
            </w:r>
          </w:p>
        </w:tc>
        <w:tc>
          <w:tcPr>
            <w:tcW w:w="1264" w:type="dxa"/>
            <w:vAlign w:val="center"/>
          </w:tcPr>
          <w:p w14:paraId="3E54C19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549400A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11EB1B93" w14:textId="77777777" w:rsidTr="00DB7B9A">
        <w:trPr>
          <w:gridAfter w:val="1"/>
          <w:wAfter w:w="44" w:type="dxa"/>
          <w:trHeight w:val="20"/>
        </w:trPr>
        <w:tc>
          <w:tcPr>
            <w:tcW w:w="1415" w:type="dxa"/>
            <w:shd w:val="clear" w:color="auto" w:fill="auto"/>
            <w:noWrap/>
            <w:vAlign w:val="center"/>
            <w:hideMark/>
          </w:tcPr>
          <w:p w14:paraId="5BDC9273"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37EB2E27"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545668FB"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120644B8" w14:textId="77777777" w:rsidR="00B301B0" w:rsidRPr="00B301B0" w:rsidRDefault="00B301B0" w:rsidP="00B301B0">
            <w:pPr>
              <w:widowControl/>
              <w:overflowPunct/>
              <w:autoSpaceDE/>
              <w:autoSpaceDN/>
              <w:adjustRightInd/>
              <w:rPr>
                <w:color w:val="000000"/>
                <w:kern w:val="0"/>
              </w:rPr>
            </w:pPr>
            <w:r w:rsidRPr="00B301B0">
              <w:rPr>
                <w:color w:val="000000"/>
                <w:kern w:val="0"/>
              </w:rPr>
              <w:t>Plastics &amp; Rubber</w:t>
            </w:r>
          </w:p>
        </w:tc>
        <w:tc>
          <w:tcPr>
            <w:tcW w:w="1257" w:type="dxa"/>
            <w:shd w:val="clear" w:color="auto" w:fill="auto"/>
            <w:noWrap/>
            <w:vAlign w:val="center"/>
            <w:hideMark/>
          </w:tcPr>
          <w:p w14:paraId="1587110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3978</w:t>
            </w:r>
          </w:p>
        </w:tc>
        <w:tc>
          <w:tcPr>
            <w:tcW w:w="1072" w:type="dxa"/>
            <w:shd w:val="clear" w:color="auto" w:fill="auto"/>
            <w:noWrap/>
            <w:vAlign w:val="center"/>
            <w:hideMark/>
          </w:tcPr>
          <w:p w14:paraId="79A4E64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58</w:t>
            </w:r>
          </w:p>
        </w:tc>
        <w:tc>
          <w:tcPr>
            <w:tcW w:w="1901" w:type="dxa"/>
            <w:vAlign w:val="center"/>
          </w:tcPr>
          <w:p w14:paraId="4622F62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Autonomous</w:t>
            </w:r>
          </w:p>
        </w:tc>
        <w:tc>
          <w:tcPr>
            <w:tcW w:w="1264" w:type="dxa"/>
            <w:vAlign w:val="center"/>
          </w:tcPr>
          <w:p w14:paraId="46491CA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7DDC927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7BED42C8" w14:textId="77777777" w:rsidTr="00DB7B9A">
        <w:trPr>
          <w:gridAfter w:val="1"/>
          <w:wAfter w:w="44" w:type="dxa"/>
          <w:trHeight w:val="20"/>
        </w:trPr>
        <w:tc>
          <w:tcPr>
            <w:tcW w:w="1415" w:type="dxa"/>
            <w:shd w:val="clear" w:color="auto" w:fill="auto"/>
            <w:noWrap/>
            <w:vAlign w:val="center"/>
            <w:hideMark/>
          </w:tcPr>
          <w:p w14:paraId="038D8922"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67D28FB4" w14:textId="77777777" w:rsidR="00B301B0" w:rsidRPr="00B301B0" w:rsidRDefault="00B301B0" w:rsidP="00B301B0">
            <w:pPr>
              <w:widowControl/>
              <w:overflowPunct/>
              <w:autoSpaceDE/>
              <w:autoSpaceDN/>
              <w:adjustRightInd/>
              <w:rPr>
                <w:color w:val="000000"/>
                <w:kern w:val="0"/>
              </w:rPr>
            </w:pPr>
            <w:r w:rsidRPr="00B301B0">
              <w:rPr>
                <w:color w:val="000000"/>
                <w:kern w:val="0"/>
              </w:rPr>
              <w:t>France</w:t>
            </w:r>
          </w:p>
        </w:tc>
        <w:tc>
          <w:tcPr>
            <w:tcW w:w="0" w:type="auto"/>
            <w:vAlign w:val="center"/>
          </w:tcPr>
          <w:p w14:paraId="13DFC8A1"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0B2092F8" w14:textId="77777777" w:rsidR="00B301B0" w:rsidRPr="00B301B0" w:rsidRDefault="00B301B0" w:rsidP="00B301B0">
            <w:pPr>
              <w:widowControl/>
              <w:overflowPunct/>
              <w:autoSpaceDE/>
              <w:autoSpaceDN/>
              <w:adjustRightInd/>
              <w:rPr>
                <w:color w:val="000000"/>
                <w:kern w:val="0"/>
              </w:rPr>
            </w:pPr>
            <w:r w:rsidRPr="00B301B0">
              <w:rPr>
                <w:color w:val="000000"/>
                <w:kern w:val="0"/>
              </w:rPr>
              <w:t>Chemicals</w:t>
            </w:r>
          </w:p>
        </w:tc>
        <w:tc>
          <w:tcPr>
            <w:tcW w:w="1257" w:type="dxa"/>
            <w:shd w:val="clear" w:color="auto" w:fill="auto"/>
            <w:noWrap/>
            <w:vAlign w:val="center"/>
            <w:hideMark/>
          </w:tcPr>
          <w:p w14:paraId="7BB2FCB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564</w:t>
            </w:r>
          </w:p>
        </w:tc>
        <w:tc>
          <w:tcPr>
            <w:tcW w:w="1072" w:type="dxa"/>
            <w:shd w:val="clear" w:color="auto" w:fill="auto"/>
            <w:noWrap/>
            <w:vAlign w:val="center"/>
            <w:hideMark/>
          </w:tcPr>
          <w:p w14:paraId="1C95393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126</w:t>
            </w:r>
          </w:p>
        </w:tc>
        <w:tc>
          <w:tcPr>
            <w:tcW w:w="1901" w:type="dxa"/>
            <w:vAlign w:val="center"/>
          </w:tcPr>
          <w:p w14:paraId="23C1CDA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5CFC2AA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50FC58F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2F9DDE73" w14:textId="77777777" w:rsidTr="00DB7B9A">
        <w:trPr>
          <w:gridAfter w:val="1"/>
          <w:wAfter w:w="44" w:type="dxa"/>
          <w:trHeight w:val="20"/>
        </w:trPr>
        <w:tc>
          <w:tcPr>
            <w:tcW w:w="1415" w:type="dxa"/>
            <w:shd w:val="clear" w:color="auto" w:fill="auto"/>
            <w:noWrap/>
            <w:vAlign w:val="center"/>
            <w:hideMark/>
          </w:tcPr>
          <w:p w14:paraId="5827F10F"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0F57B6C7" w14:textId="77777777" w:rsidR="00B301B0" w:rsidRPr="00B301B0" w:rsidRDefault="00B301B0" w:rsidP="00B301B0">
            <w:pPr>
              <w:widowControl/>
              <w:overflowPunct/>
              <w:autoSpaceDE/>
              <w:autoSpaceDN/>
              <w:adjustRightInd/>
              <w:rPr>
                <w:color w:val="000000"/>
                <w:kern w:val="0"/>
              </w:rPr>
            </w:pPr>
            <w:r w:rsidRPr="00B301B0">
              <w:rPr>
                <w:color w:val="000000"/>
                <w:kern w:val="0"/>
              </w:rPr>
              <w:t>France</w:t>
            </w:r>
          </w:p>
        </w:tc>
        <w:tc>
          <w:tcPr>
            <w:tcW w:w="0" w:type="auto"/>
            <w:vAlign w:val="center"/>
          </w:tcPr>
          <w:p w14:paraId="330B9A1B"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5F23BEEB" w14:textId="77777777" w:rsidR="00B301B0" w:rsidRPr="00B301B0" w:rsidRDefault="00B301B0" w:rsidP="00B301B0">
            <w:pPr>
              <w:widowControl/>
              <w:overflowPunct/>
              <w:autoSpaceDE/>
              <w:autoSpaceDN/>
              <w:adjustRightInd/>
              <w:rPr>
                <w:color w:val="000000"/>
                <w:kern w:val="0"/>
              </w:rPr>
            </w:pPr>
            <w:r w:rsidRPr="00B301B0">
              <w:rPr>
                <w:color w:val="000000"/>
                <w:kern w:val="0"/>
              </w:rPr>
              <w:t>Machinery &amp; Equipment</w:t>
            </w:r>
          </w:p>
        </w:tc>
        <w:tc>
          <w:tcPr>
            <w:tcW w:w="1257" w:type="dxa"/>
            <w:shd w:val="clear" w:color="auto" w:fill="auto"/>
            <w:noWrap/>
            <w:vAlign w:val="center"/>
            <w:hideMark/>
          </w:tcPr>
          <w:p w14:paraId="796037A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100</w:t>
            </w:r>
          </w:p>
        </w:tc>
        <w:tc>
          <w:tcPr>
            <w:tcW w:w="1072" w:type="dxa"/>
            <w:shd w:val="clear" w:color="auto" w:fill="auto"/>
            <w:noWrap/>
            <w:vAlign w:val="center"/>
            <w:hideMark/>
          </w:tcPr>
          <w:p w14:paraId="7B43EC4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60</w:t>
            </w:r>
          </w:p>
        </w:tc>
        <w:tc>
          <w:tcPr>
            <w:tcW w:w="1901" w:type="dxa"/>
            <w:vAlign w:val="center"/>
          </w:tcPr>
          <w:p w14:paraId="77CCBF0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04C8676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17338C6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5DFDAD2A" w14:textId="77777777" w:rsidTr="00DB7B9A">
        <w:trPr>
          <w:gridAfter w:val="1"/>
          <w:wAfter w:w="44" w:type="dxa"/>
          <w:trHeight w:val="20"/>
        </w:trPr>
        <w:tc>
          <w:tcPr>
            <w:tcW w:w="1415" w:type="dxa"/>
            <w:shd w:val="clear" w:color="auto" w:fill="auto"/>
            <w:noWrap/>
            <w:vAlign w:val="center"/>
            <w:hideMark/>
          </w:tcPr>
          <w:p w14:paraId="566BC0DC"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7ED2A504" w14:textId="77777777" w:rsidR="00B301B0" w:rsidRPr="00B301B0" w:rsidRDefault="00B301B0" w:rsidP="00B301B0">
            <w:pPr>
              <w:widowControl/>
              <w:overflowPunct/>
              <w:autoSpaceDE/>
              <w:autoSpaceDN/>
              <w:adjustRightInd/>
              <w:rPr>
                <w:color w:val="000000"/>
                <w:kern w:val="0"/>
              </w:rPr>
            </w:pPr>
            <w:r w:rsidRPr="00B301B0">
              <w:rPr>
                <w:color w:val="000000"/>
                <w:kern w:val="0"/>
              </w:rPr>
              <w:t>Luxemburg</w:t>
            </w:r>
          </w:p>
        </w:tc>
        <w:tc>
          <w:tcPr>
            <w:tcW w:w="0" w:type="auto"/>
            <w:vAlign w:val="center"/>
          </w:tcPr>
          <w:p w14:paraId="72117646"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22F343F5" w14:textId="77777777" w:rsidR="00B301B0" w:rsidRPr="00B301B0" w:rsidRDefault="00B301B0" w:rsidP="00B301B0">
            <w:pPr>
              <w:widowControl/>
              <w:overflowPunct/>
              <w:autoSpaceDE/>
              <w:autoSpaceDN/>
              <w:adjustRightInd/>
              <w:rPr>
                <w:color w:val="000000"/>
                <w:kern w:val="0"/>
              </w:rPr>
            </w:pPr>
            <w:r w:rsidRPr="00B301B0">
              <w:rPr>
                <w:color w:val="000000"/>
                <w:kern w:val="0"/>
              </w:rPr>
              <w:t>Fabricated Metal Products</w:t>
            </w:r>
          </w:p>
        </w:tc>
        <w:tc>
          <w:tcPr>
            <w:tcW w:w="1257" w:type="dxa"/>
            <w:shd w:val="clear" w:color="auto" w:fill="auto"/>
            <w:noWrap/>
            <w:vAlign w:val="center"/>
            <w:hideMark/>
          </w:tcPr>
          <w:p w14:paraId="6982D07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598</w:t>
            </w:r>
          </w:p>
        </w:tc>
        <w:tc>
          <w:tcPr>
            <w:tcW w:w="1072" w:type="dxa"/>
            <w:shd w:val="clear" w:color="auto" w:fill="auto"/>
            <w:noWrap/>
            <w:vAlign w:val="center"/>
            <w:hideMark/>
          </w:tcPr>
          <w:p w14:paraId="5A84437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128</w:t>
            </w:r>
          </w:p>
        </w:tc>
        <w:tc>
          <w:tcPr>
            <w:tcW w:w="1901" w:type="dxa"/>
            <w:vAlign w:val="center"/>
          </w:tcPr>
          <w:p w14:paraId="1F1DFF9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5CE2C38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027502E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59D28EC3" w14:textId="77777777" w:rsidTr="00DB7B9A">
        <w:trPr>
          <w:gridAfter w:val="1"/>
          <w:wAfter w:w="44" w:type="dxa"/>
          <w:trHeight w:val="20"/>
        </w:trPr>
        <w:tc>
          <w:tcPr>
            <w:tcW w:w="1415" w:type="dxa"/>
            <w:shd w:val="clear" w:color="auto" w:fill="auto"/>
            <w:noWrap/>
            <w:vAlign w:val="center"/>
            <w:hideMark/>
          </w:tcPr>
          <w:p w14:paraId="67E8FC26"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701E311E" w14:textId="77777777" w:rsidR="00B301B0" w:rsidRPr="00B301B0" w:rsidRDefault="00B301B0" w:rsidP="00B301B0">
            <w:pPr>
              <w:widowControl/>
              <w:overflowPunct/>
              <w:autoSpaceDE/>
              <w:autoSpaceDN/>
              <w:adjustRightInd/>
              <w:rPr>
                <w:color w:val="000000"/>
                <w:kern w:val="0"/>
              </w:rPr>
            </w:pPr>
            <w:r w:rsidRPr="00B301B0">
              <w:rPr>
                <w:color w:val="000000"/>
                <w:kern w:val="0"/>
              </w:rPr>
              <w:t>Sweden</w:t>
            </w:r>
          </w:p>
        </w:tc>
        <w:tc>
          <w:tcPr>
            <w:tcW w:w="0" w:type="auto"/>
            <w:vAlign w:val="center"/>
          </w:tcPr>
          <w:p w14:paraId="514F3AA4"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67899166" w14:textId="77777777" w:rsidR="00B301B0" w:rsidRPr="00B301B0" w:rsidRDefault="00B301B0" w:rsidP="00B301B0">
            <w:pPr>
              <w:widowControl/>
              <w:overflowPunct/>
              <w:autoSpaceDE/>
              <w:autoSpaceDN/>
              <w:adjustRightInd/>
              <w:rPr>
                <w:color w:val="000000"/>
                <w:kern w:val="0"/>
              </w:rPr>
            </w:pPr>
            <w:r w:rsidRPr="00B301B0">
              <w:rPr>
                <w:color w:val="000000"/>
                <w:kern w:val="0"/>
              </w:rPr>
              <w:t>Electronics</w:t>
            </w:r>
          </w:p>
        </w:tc>
        <w:tc>
          <w:tcPr>
            <w:tcW w:w="1257" w:type="dxa"/>
            <w:shd w:val="clear" w:color="auto" w:fill="auto"/>
            <w:noWrap/>
            <w:vAlign w:val="center"/>
            <w:hideMark/>
          </w:tcPr>
          <w:p w14:paraId="239BDE8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998</w:t>
            </w:r>
          </w:p>
        </w:tc>
        <w:tc>
          <w:tcPr>
            <w:tcW w:w="1072" w:type="dxa"/>
            <w:shd w:val="clear" w:color="auto" w:fill="auto"/>
            <w:noWrap/>
            <w:vAlign w:val="center"/>
            <w:hideMark/>
          </w:tcPr>
          <w:p w14:paraId="2DB3DCA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46</w:t>
            </w:r>
          </w:p>
        </w:tc>
        <w:tc>
          <w:tcPr>
            <w:tcW w:w="1901" w:type="dxa"/>
            <w:vAlign w:val="center"/>
          </w:tcPr>
          <w:p w14:paraId="6824815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5B834A9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56D2389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5AE4062F" w14:textId="77777777" w:rsidTr="00DB7B9A">
        <w:trPr>
          <w:gridAfter w:val="1"/>
          <w:wAfter w:w="44" w:type="dxa"/>
          <w:trHeight w:val="20"/>
        </w:trPr>
        <w:tc>
          <w:tcPr>
            <w:tcW w:w="1415" w:type="dxa"/>
            <w:shd w:val="clear" w:color="auto" w:fill="auto"/>
            <w:noWrap/>
            <w:vAlign w:val="center"/>
            <w:hideMark/>
          </w:tcPr>
          <w:p w14:paraId="7DBBC3B9"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27509E33" w14:textId="77777777" w:rsidR="00B301B0" w:rsidRPr="00B301B0" w:rsidRDefault="00B301B0" w:rsidP="00B301B0">
            <w:pPr>
              <w:widowControl/>
              <w:overflowPunct/>
              <w:autoSpaceDE/>
              <w:autoSpaceDN/>
              <w:adjustRightInd/>
              <w:rPr>
                <w:color w:val="000000"/>
                <w:kern w:val="0"/>
              </w:rPr>
            </w:pPr>
            <w:r w:rsidRPr="00B301B0">
              <w:rPr>
                <w:color w:val="000000"/>
                <w:kern w:val="0"/>
              </w:rPr>
              <w:t>Sweden</w:t>
            </w:r>
          </w:p>
        </w:tc>
        <w:tc>
          <w:tcPr>
            <w:tcW w:w="0" w:type="auto"/>
            <w:vAlign w:val="center"/>
          </w:tcPr>
          <w:p w14:paraId="5AD1C618"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CA97012" w14:textId="77777777" w:rsidR="00B301B0" w:rsidRPr="00B301B0" w:rsidRDefault="00B301B0" w:rsidP="00B301B0">
            <w:pPr>
              <w:widowControl/>
              <w:overflowPunct/>
              <w:autoSpaceDE/>
              <w:autoSpaceDN/>
              <w:adjustRightInd/>
              <w:rPr>
                <w:color w:val="000000"/>
                <w:kern w:val="0"/>
              </w:rPr>
            </w:pPr>
            <w:r w:rsidRPr="00B301B0">
              <w:rPr>
                <w:color w:val="000000"/>
                <w:kern w:val="0"/>
              </w:rPr>
              <w:t>Consumer Food</w:t>
            </w:r>
          </w:p>
        </w:tc>
        <w:tc>
          <w:tcPr>
            <w:tcW w:w="1257" w:type="dxa"/>
            <w:shd w:val="clear" w:color="auto" w:fill="auto"/>
            <w:noWrap/>
            <w:vAlign w:val="center"/>
            <w:hideMark/>
          </w:tcPr>
          <w:p w14:paraId="4B3D24D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6492</w:t>
            </w:r>
          </w:p>
        </w:tc>
        <w:tc>
          <w:tcPr>
            <w:tcW w:w="1072" w:type="dxa"/>
            <w:shd w:val="clear" w:color="auto" w:fill="auto"/>
            <w:noWrap/>
            <w:vAlign w:val="center"/>
            <w:hideMark/>
          </w:tcPr>
          <w:p w14:paraId="03BB8F8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110</w:t>
            </w:r>
          </w:p>
        </w:tc>
        <w:tc>
          <w:tcPr>
            <w:tcW w:w="1901" w:type="dxa"/>
            <w:vAlign w:val="center"/>
          </w:tcPr>
          <w:p w14:paraId="4D7DB05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69E3D1D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63F5770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106526A7" w14:textId="77777777" w:rsidTr="00DB7B9A">
        <w:trPr>
          <w:gridAfter w:val="1"/>
          <w:wAfter w:w="44" w:type="dxa"/>
          <w:trHeight w:val="20"/>
        </w:trPr>
        <w:tc>
          <w:tcPr>
            <w:tcW w:w="1415" w:type="dxa"/>
            <w:shd w:val="clear" w:color="auto" w:fill="auto"/>
            <w:noWrap/>
            <w:vAlign w:val="center"/>
            <w:hideMark/>
          </w:tcPr>
          <w:p w14:paraId="78CE0D37"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13DDF683" w14:textId="77777777" w:rsidR="00B301B0" w:rsidRPr="00B301B0" w:rsidRDefault="00B301B0" w:rsidP="00B301B0">
            <w:pPr>
              <w:widowControl/>
              <w:overflowPunct/>
              <w:autoSpaceDE/>
              <w:autoSpaceDN/>
              <w:adjustRightInd/>
              <w:rPr>
                <w:color w:val="000000"/>
                <w:kern w:val="0"/>
              </w:rPr>
            </w:pPr>
            <w:r w:rsidRPr="00B301B0">
              <w:rPr>
                <w:color w:val="000000"/>
                <w:kern w:val="0"/>
              </w:rPr>
              <w:t>Sweden</w:t>
            </w:r>
          </w:p>
        </w:tc>
        <w:tc>
          <w:tcPr>
            <w:tcW w:w="0" w:type="auto"/>
            <w:vAlign w:val="center"/>
          </w:tcPr>
          <w:p w14:paraId="4546B90F"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5365A80" w14:textId="77777777" w:rsidR="00B301B0" w:rsidRPr="00B301B0" w:rsidRDefault="00B301B0" w:rsidP="00B301B0">
            <w:pPr>
              <w:widowControl/>
              <w:overflowPunct/>
              <w:autoSpaceDE/>
              <w:autoSpaceDN/>
              <w:adjustRightInd/>
              <w:rPr>
                <w:color w:val="000000"/>
                <w:kern w:val="0"/>
              </w:rPr>
            </w:pPr>
            <w:r w:rsidRPr="00B301B0">
              <w:rPr>
                <w:color w:val="000000"/>
                <w:kern w:val="0"/>
              </w:rPr>
              <w:t>Consumer Food</w:t>
            </w:r>
          </w:p>
        </w:tc>
        <w:tc>
          <w:tcPr>
            <w:tcW w:w="1257" w:type="dxa"/>
            <w:shd w:val="clear" w:color="auto" w:fill="auto"/>
            <w:noWrap/>
            <w:vAlign w:val="center"/>
            <w:hideMark/>
          </w:tcPr>
          <w:p w14:paraId="513AC97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220</w:t>
            </w:r>
          </w:p>
        </w:tc>
        <w:tc>
          <w:tcPr>
            <w:tcW w:w="1072" w:type="dxa"/>
            <w:shd w:val="clear" w:color="auto" w:fill="auto"/>
            <w:noWrap/>
            <w:vAlign w:val="center"/>
            <w:hideMark/>
          </w:tcPr>
          <w:p w14:paraId="5750132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37</w:t>
            </w:r>
          </w:p>
        </w:tc>
        <w:tc>
          <w:tcPr>
            <w:tcW w:w="1901" w:type="dxa"/>
            <w:vAlign w:val="center"/>
          </w:tcPr>
          <w:p w14:paraId="35FBA41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11D3204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6B89614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52A5B24E" w14:textId="77777777" w:rsidTr="00DB7B9A">
        <w:trPr>
          <w:gridAfter w:val="1"/>
          <w:wAfter w:w="44" w:type="dxa"/>
          <w:trHeight w:val="20"/>
        </w:trPr>
        <w:tc>
          <w:tcPr>
            <w:tcW w:w="1415" w:type="dxa"/>
            <w:shd w:val="clear" w:color="auto" w:fill="auto"/>
            <w:noWrap/>
            <w:vAlign w:val="center"/>
            <w:hideMark/>
          </w:tcPr>
          <w:p w14:paraId="138889F2"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7820C202" w14:textId="77777777" w:rsidR="00B301B0" w:rsidRPr="00B301B0" w:rsidRDefault="00B301B0" w:rsidP="00B301B0">
            <w:pPr>
              <w:widowControl/>
              <w:overflowPunct/>
              <w:autoSpaceDE/>
              <w:autoSpaceDN/>
              <w:adjustRightInd/>
              <w:rPr>
                <w:color w:val="000000"/>
                <w:kern w:val="0"/>
              </w:rPr>
            </w:pPr>
            <w:r w:rsidRPr="00B301B0">
              <w:rPr>
                <w:color w:val="000000"/>
                <w:kern w:val="0"/>
              </w:rPr>
              <w:t>Sweden</w:t>
            </w:r>
          </w:p>
        </w:tc>
        <w:tc>
          <w:tcPr>
            <w:tcW w:w="0" w:type="auto"/>
            <w:vAlign w:val="center"/>
          </w:tcPr>
          <w:p w14:paraId="1BBFB04E"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23DB5144" w14:textId="77777777" w:rsidR="00B301B0" w:rsidRPr="00B301B0" w:rsidRDefault="00B301B0" w:rsidP="00B301B0">
            <w:pPr>
              <w:widowControl/>
              <w:overflowPunct/>
              <w:autoSpaceDE/>
              <w:autoSpaceDN/>
              <w:adjustRightInd/>
              <w:rPr>
                <w:color w:val="000000"/>
                <w:kern w:val="0"/>
              </w:rPr>
            </w:pPr>
            <w:r w:rsidRPr="00B301B0">
              <w:rPr>
                <w:color w:val="000000"/>
                <w:kern w:val="0"/>
              </w:rPr>
              <w:t>Electrical Equipment</w:t>
            </w:r>
          </w:p>
        </w:tc>
        <w:tc>
          <w:tcPr>
            <w:tcW w:w="1257" w:type="dxa"/>
            <w:shd w:val="clear" w:color="auto" w:fill="auto"/>
            <w:noWrap/>
            <w:vAlign w:val="center"/>
            <w:hideMark/>
          </w:tcPr>
          <w:p w14:paraId="2FC968A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1850</w:t>
            </w:r>
          </w:p>
        </w:tc>
        <w:tc>
          <w:tcPr>
            <w:tcW w:w="1072" w:type="dxa"/>
            <w:shd w:val="clear" w:color="auto" w:fill="auto"/>
            <w:noWrap/>
            <w:vAlign w:val="center"/>
            <w:hideMark/>
          </w:tcPr>
          <w:p w14:paraId="5CBFDAE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99</w:t>
            </w:r>
          </w:p>
        </w:tc>
        <w:tc>
          <w:tcPr>
            <w:tcW w:w="1901" w:type="dxa"/>
            <w:vAlign w:val="center"/>
          </w:tcPr>
          <w:p w14:paraId="473DB7C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Autonomous</w:t>
            </w:r>
          </w:p>
        </w:tc>
        <w:tc>
          <w:tcPr>
            <w:tcW w:w="1264" w:type="dxa"/>
            <w:vAlign w:val="center"/>
          </w:tcPr>
          <w:p w14:paraId="25BFD0F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4AC069B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6C9BC64D" w14:textId="77777777" w:rsidTr="00DB7B9A">
        <w:trPr>
          <w:gridAfter w:val="1"/>
          <w:wAfter w:w="44" w:type="dxa"/>
          <w:trHeight w:val="20"/>
        </w:trPr>
        <w:tc>
          <w:tcPr>
            <w:tcW w:w="1415" w:type="dxa"/>
            <w:shd w:val="clear" w:color="auto" w:fill="auto"/>
            <w:noWrap/>
            <w:vAlign w:val="center"/>
            <w:hideMark/>
          </w:tcPr>
          <w:p w14:paraId="39B64615"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20AB751D" w14:textId="77777777" w:rsidR="00B301B0" w:rsidRPr="00B301B0" w:rsidRDefault="00B301B0" w:rsidP="00B301B0">
            <w:pPr>
              <w:widowControl/>
              <w:overflowPunct/>
              <w:autoSpaceDE/>
              <w:autoSpaceDN/>
              <w:adjustRightInd/>
              <w:rPr>
                <w:color w:val="000000"/>
                <w:kern w:val="0"/>
              </w:rPr>
            </w:pPr>
            <w:r w:rsidRPr="00B301B0">
              <w:rPr>
                <w:color w:val="000000"/>
                <w:kern w:val="0"/>
              </w:rPr>
              <w:t>Sweden</w:t>
            </w:r>
          </w:p>
        </w:tc>
        <w:tc>
          <w:tcPr>
            <w:tcW w:w="0" w:type="auto"/>
            <w:vAlign w:val="center"/>
          </w:tcPr>
          <w:p w14:paraId="6CB89912"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00D548F2" w14:textId="77777777" w:rsidR="00B301B0" w:rsidRPr="00B301B0" w:rsidRDefault="00B301B0" w:rsidP="00B301B0">
            <w:pPr>
              <w:widowControl/>
              <w:overflowPunct/>
              <w:autoSpaceDE/>
              <w:autoSpaceDN/>
              <w:adjustRightInd/>
              <w:rPr>
                <w:color w:val="000000"/>
                <w:kern w:val="0"/>
              </w:rPr>
            </w:pPr>
            <w:r w:rsidRPr="00B301B0">
              <w:rPr>
                <w:color w:val="000000"/>
                <w:kern w:val="0"/>
              </w:rPr>
              <w:t>Plastics &amp; Rubber</w:t>
            </w:r>
          </w:p>
        </w:tc>
        <w:tc>
          <w:tcPr>
            <w:tcW w:w="1257" w:type="dxa"/>
            <w:shd w:val="clear" w:color="auto" w:fill="auto"/>
            <w:noWrap/>
            <w:vAlign w:val="center"/>
            <w:hideMark/>
          </w:tcPr>
          <w:p w14:paraId="115C13B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107</w:t>
            </w:r>
          </w:p>
        </w:tc>
        <w:tc>
          <w:tcPr>
            <w:tcW w:w="1072" w:type="dxa"/>
            <w:shd w:val="clear" w:color="auto" w:fill="auto"/>
            <w:noWrap/>
            <w:vAlign w:val="center"/>
            <w:hideMark/>
          </w:tcPr>
          <w:p w14:paraId="146CA52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59</w:t>
            </w:r>
          </w:p>
        </w:tc>
        <w:tc>
          <w:tcPr>
            <w:tcW w:w="1901" w:type="dxa"/>
            <w:vAlign w:val="center"/>
          </w:tcPr>
          <w:p w14:paraId="27098AF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3424551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70E06BF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18EC910A" w14:textId="77777777" w:rsidTr="00DB7B9A">
        <w:trPr>
          <w:gridAfter w:val="1"/>
          <w:wAfter w:w="44" w:type="dxa"/>
          <w:trHeight w:val="20"/>
        </w:trPr>
        <w:tc>
          <w:tcPr>
            <w:tcW w:w="1415" w:type="dxa"/>
            <w:shd w:val="clear" w:color="auto" w:fill="auto"/>
            <w:noWrap/>
            <w:vAlign w:val="center"/>
            <w:hideMark/>
          </w:tcPr>
          <w:p w14:paraId="2F136418"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15F3CAC2" w14:textId="77777777" w:rsidR="00B301B0" w:rsidRPr="00B301B0" w:rsidRDefault="00B301B0" w:rsidP="00B301B0">
            <w:pPr>
              <w:widowControl/>
              <w:overflowPunct/>
              <w:autoSpaceDE/>
              <w:autoSpaceDN/>
              <w:adjustRightInd/>
              <w:rPr>
                <w:color w:val="000000"/>
                <w:kern w:val="0"/>
              </w:rPr>
            </w:pPr>
            <w:r w:rsidRPr="00B301B0">
              <w:rPr>
                <w:color w:val="000000"/>
                <w:kern w:val="0"/>
              </w:rPr>
              <w:t>Denmark</w:t>
            </w:r>
          </w:p>
        </w:tc>
        <w:tc>
          <w:tcPr>
            <w:tcW w:w="0" w:type="auto"/>
            <w:vAlign w:val="center"/>
          </w:tcPr>
          <w:p w14:paraId="44B62661"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1AEB3008" w14:textId="77777777" w:rsidR="00B301B0" w:rsidRPr="00B301B0" w:rsidRDefault="00B301B0" w:rsidP="00B301B0">
            <w:pPr>
              <w:widowControl/>
              <w:overflowPunct/>
              <w:autoSpaceDE/>
              <w:autoSpaceDN/>
              <w:adjustRightInd/>
              <w:rPr>
                <w:color w:val="000000"/>
                <w:kern w:val="0"/>
              </w:rPr>
            </w:pPr>
            <w:r w:rsidRPr="00B301B0">
              <w:rPr>
                <w:color w:val="000000"/>
                <w:kern w:val="0"/>
              </w:rPr>
              <w:t>Plastics &amp; Rubber</w:t>
            </w:r>
          </w:p>
        </w:tc>
        <w:tc>
          <w:tcPr>
            <w:tcW w:w="1257" w:type="dxa"/>
            <w:shd w:val="clear" w:color="auto" w:fill="auto"/>
            <w:noWrap/>
            <w:vAlign w:val="center"/>
            <w:hideMark/>
          </w:tcPr>
          <w:p w14:paraId="4B9E5FB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82</w:t>
            </w:r>
          </w:p>
        </w:tc>
        <w:tc>
          <w:tcPr>
            <w:tcW w:w="1072" w:type="dxa"/>
            <w:shd w:val="clear" w:color="auto" w:fill="auto"/>
            <w:noWrap/>
            <w:vAlign w:val="center"/>
            <w:hideMark/>
          </w:tcPr>
          <w:p w14:paraId="15CC0F1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65</w:t>
            </w:r>
          </w:p>
        </w:tc>
        <w:tc>
          <w:tcPr>
            <w:tcW w:w="1901" w:type="dxa"/>
            <w:vAlign w:val="center"/>
          </w:tcPr>
          <w:p w14:paraId="506C6E2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6ACAA4D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7B236BD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06FB0C85" w14:textId="77777777" w:rsidTr="00DB7B9A">
        <w:trPr>
          <w:gridAfter w:val="1"/>
          <w:wAfter w:w="44" w:type="dxa"/>
          <w:trHeight w:val="20"/>
        </w:trPr>
        <w:tc>
          <w:tcPr>
            <w:tcW w:w="1415" w:type="dxa"/>
            <w:shd w:val="clear" w:color="auto" w:fill="auto"/>
            <w:noWrap/>
            <w:vAlign w:val="center"/>
            <w:hideMark/>
          </w:tcPr>
          <w:p w14:paraId="4684EB33"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743FD0B3" w14:textId="77777777" w:rsidR="00B301B0" w:rsidRPr="00B301B0" w:rsidRDefault="00B301B0" w:rsidP="00B301B0">
            <w:pPr>
              <w:widowControl/>
              <w:overflowPunct/>
              <w:autoSpaceDE/>
              <w:autoSpaceDN/>
              <w:adjustRightInd/>
              <w:rPr>
                <w:color w:val="000000"/>
                <w:kern w:val="0"/>
              </w:rPr>
            </w:pPr>
            <w:r w:rsidRPr="00B301B0">
              <w:rPr>
                <w:color w:val="000000"/>
                <w:kern w:val="0"/>
              </w:rPr>
              <w:t>Finland</w:t>
            </w:r>
          </w:p>
        </w:tc>
        <w:tc>
          <w:tcPr>
            <w:tcW w:w="0" w:type="auto"/>
            <w:vAlign w:val="center"/>
          </w:tcPr>
          <w:p w14:paraId="4F3666AD"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750DDA3A" w14:textId="77777777" w:rsidR="00B301B0" w:rsidRPr="00B301B0" w:rsidRDefault="00B301B0" w:rsidP="00B301B0">
            <w:pPr>
              <w:widowControl/>
              <w:overflowPunct/>
              <w:autoSpaceDE/>
              <w:autoSpaceDN/>
              <w:adjustRightInd/>
              <w:rPr>
                <w:color w:val="000000"/>
                <w:kern w:val="0"/>
              </w:rPr>
            </w:pPr>
            <w:r w:rsidRPr="00B301B0">
              <w:rPr>
                <w:color w:val="000000"/>
                <w:kern w:val="0"/>
              </w:rPr>
              <w:t>Electrical Equipment</w:t>
            </w:r>
          </w:p>
        </w:tc>
        <w:tc>
          <w:tcPr>
            <w:tcW w:w="1257" w:type="dxa"/>
            <w:shd w:val="clear" w:color="auto" w:fill="auto"/>
            <w:noWrap/>
            <w:vAlign w:val="center"/>
            <w:hideMark/>
          </w:tcPr>
          <w:p w14:paraId="2F79EC0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1160</w:t>
            </w:r>
          </w:p>
        </w:tc>
        <w:tc>
          <w:tcPr>
            <w:tcW w:w="1072" w:type="dxa"/>
            <w:shd w:val="clear" w:color="auto" w:fill="auto"/>
            <w:noWrap/>
            <w:vAlign w:val="center"/>
            <w:hideMark/>
          </w:tcPr>
          <w:p w14:paraId="736116F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128</w:t>
            </w:r>
          </w:p>
        </w:tc>
        <w:tc>
          <w:tcPr>
            <w:tcW w:w="1901" w:type="dxa"/>
            <w:vAlign w:val="center"/>
          </w:tcPr>
          <w:p w14:paraId="6EBB120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Autonomous</w:t>
            </w:r>
          </w:p>
        </w:tc>
        <w:tc>
          <w:tcPr>
            <w:tcW w:w="1264" w:type="dxa"/>
            <w:vAlign w:val="center"/>
          </w:tcPr>
          <w:p w14:paraId="19B003D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109032D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5B4E8235" w14:textId="77777777" w:rsidTr="00DB7B9A">
        <w:trPr>
          <w:gridAfter w:val="1"/>
          <w:wAfter w:w="44" w:type="dxa"/>
          <w:trHeight w:val="20"/>
        </w:trPr>
        <w:tc>
          <w:tcPr>
            <w:tcW w:w="1415" w:type="dxa"/>
            <w:shd w:val="clear" w:color="auto" w:fill="auto"/>
            <w:noWrap/>
            <w:vAlign w:val="center"/>
            <w:hideMark/>
          </w:tcPr>
          <w:p w14:paraId="681BF672"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13CA7318" w14:textId="77777777" w:rsidR="00B301B0" w:rsidRPr="00B301B0" w:rsidRDefault="00B301B0" w:rsidP="00B301B0">
            <w:pPr>
              <w:widowControl/>
              <w:overflowPunct/>
              <w:autoSpaceDE/>
              <w:autoSpaceDN/>
              <w:adjustRightInd/>
              <w:rPr>
                <w:color w:val="000000"/>
                <w:kern w:val="0"/>
              </w:rPr>
            </w:pPr>
            <w:r w:rsidRPr="00B301B0">
              <w:rPr>
                <w:color w:val="000000"/>
                <w:kern w:val="0"/>
              </w:rPr>
              <w:t>Portugal</w:t>
            </w:r>
          </w:p>
        </w:tc>
        <w:tc>
          <w:tcPr>
            <w:tcW w:w="0" w:type="auto"/>
            <w:vAlign w:val="center"/>
          </w:tcPr>
          <w:p w14:paraId="58AE26F9"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2C1A14B2" w14:textId="77777777" w:rsidR="00B301B0" w:rsidRPr="00B301B0" w:rsidRDefault="00B301B0" w:rsidP="00B301B0">
            <w:pPr>
              <w:widowControl/>
              <w:overflowPunct/>
              <w:autoSpaceDE/>
              <w:autoSpaceDN/>
              <w:adjustRightInd/>
              <w:rPr>
                <w:color w:val="000000"/>
                <w:kern w:val="0"/>
              </w:rPr>
            </w:pPr>
            <w:r w:rsidRPr="00B301B0">
              <w:rPr>
                <w:color w:val="000000"/>
                <w:kern w:val="0"/>
              </w:rPr>
              <w:t>Fabricated Metal Products</w:t>
            </w:r>
          </w:p>
        </w:tc>
        <w:tc>
          <w:tcPr>
            <w:tcW w:w="1257" w:type="dxa"/>
            <w:shd w:val="clear" w:color="auto" w:fill="auto"/>
            <w:noWrap/>
            <w:vAlign w:val="center"/>
            <w:hideMark/>
          </w:tcPr>
          <w:p w14:paraId="7F98BC4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987</w:t>
            </w:r>
          </w:p>
        </w:tc>
        <w:tc>
          <w:tcPr>
            <w:tcW w:w="1072" w:type="dxa"/>
            <w:shd w:val="clear" w:color="auto" w:fill="auto"/>
            <w:noWrap/>
            <w:vAlign w:val="center"/>
            <w:hideMark/>
          </w:tcPr>
          <w:p w14:paraId="217B611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57</w:t>
            </w:r>
          </w:p>
        </w:tc>
        <w:tc>
          <w:tcPr>
            <w:tcW w:w="1901" w:type="dxa"/>
            <w:vAlign w:val="center"/>
          </w:tcPr>
          <w:p w14:paraId="154931F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Autonomous</w:t>
            </w:r>
          </w:p>
        </w:tc>
        <w:tc>
          <w:tcPr>
            <w:tcW w:w="1264" w:type="dxa"/>
            <w:vAlign w:val="center"/>
          </w:tcPr>
          <w:p w14:paraId="340D719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02CBB0E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0A9D05BB" w14:textId="77777777" w:rsidTr="00DB7B9A">
        <w:trPr>
          <w:gridAfter w:val="1"/>
          <w:wAfter w:w="44" w:type="dxa"/>
          <w:trHeight w:val="20"/>
        </w:trPr>
        <w:tc>
          <w:tcPr>
            <w:tcW w:w="1415" w:type="dxa"/>
            <w:shd w:val="clear" w:color="auto" w:fill="auto"/>
            <w:noWrap/>
            <w:vAlign w:val="center"/>
            <w:hideMark/>
          </w:tcPr>
          <w:p w14:paraId="6DE6017F"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1440" w:type="dxa"/>
            <w:shd w:val="clear" w:color="auto" w:fill="auto"/>
            <w:noWrap/>
            <w:vAlign w:val="center"/>
            <w:hideMark/>
          </w:tcPr>
          <w:p w14:paraId="2BD4589A" w14:textId="77777777" w:rsidR="00B301B0" w:rsidRPr="00B301B0" w:rsidRDefault="00B301B0" w:rsidP="00B301B0">
            <w:pPr>
              <w:widowControl/>
              <w:overflowPunct/>
              <w:autoSpaceDE/>
              <w:autoSpaceDN/>
              <w:adjustRightInd/>
              <w:rPr>
                <w:color w:val="000000"/>
                <w:kern w:val="0"/>
              </w:rPr>
            </w:pPr>
            <w:r w:rsidRPr="00B301B0">
              <w:rPr>
                <w:color w:val="000000"/>
                <w:kern w:val="0"/>
              </w:rPr>
              <w:t>Italy</w:t>
            </w:r>
          </w:p>
        </w:tc>
        <w:tc>
          <w:tcPr>
            <w:tcW w:w="0" w:type="auto"/>
            <w:vAlign w:val="center"/>
          </w:tcPr>
          <w:p w14:paraId="0C57E257"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2292E7A4" w14:textId="77777777" w:rsidR="00B301B0" w:rsidRPr="00B301B0" w:rsidRDefault="00B301B0" w:rsidP="00B301B0">
            <w:pPr>
              <w:widowControl/>
              <w:overflowPunct/>
              <w:autoSpaceDE/>
              <w:autoSpaceDN/>
              <w:adjustRightInd/>
              <w:rPr>
                <w:color w:val="000000"/>
                <w:kern w:val="0"/>
              </w:rPr>
            </w:pPr>
            <w:r w:rsidRPr="00B301B0">
              <w:rPr>
                <w:color w:val="000000"/>
                <w:kern w:val="0"/>
              </w:rPr>
              <w:t>Paper Products</w:t>
            </w:r>
          </w:p>
        </w:tc>
        <w:tc>
          <w:tcPr>
            <w:tcW w:w="1257" w:type="dxa"/>
            <w:shd w:val="clear" w:color="auto" w:fill="auto"/>
            <w:noWrap/>
            <w:vAlign w:val="center"/>
            <w:hideMark/>
          </w:tcPr>
          <w:p w14:paraId="78CD55B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379</w:t>
            </w:r>
          </w:p>
        </w:tc>
        <w:tc>
          <w:tcPr>
            <w:tcW w:w="1072" w:type="dxa"/>
            <w:shd w:val="clear" w:color="auto" w:fill="auto"/>
            <w:noWrap/>
            <w:vAlign w:val="center"/>
            <w:hideMark/>
          </w:tcPr>
          <w:p w14:paraId="785E573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49</w:t>
            </w:r>
          </w:p>
        </w:tc>
        <w:tc>
          <w:tcPr>
            <w:tcW w:w="1901" w:type="dxa"/>
            <w:vAlign w:val="center"/>
          </w:tcPr>
          <w:p w14:paraId="564413F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Autonomous</w:t>
            </w:r>
          </w:p>
        </w:tc>
        <w:tc>
          <w:tcPr>
            <w:tcW w:w="1264" w:type="dxa"/>
            <w:vAlign w:val="center"/>
          </w:tcPr>
          <w:p w14:paraId="0CBF063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175DF56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48E495F0" w14:textId="77777777" w:rsidTr="00DB7B9A">
        <w:trPr>
          <w:gridAfter w:val="1"/>
          <w:wAfter w:w="44" w:type="dxa"/>
          <w:trHeight w:val="20"/>
        </w:trPr>
        <w:tc>
          <w:tcPr>
            <w:tcW w:w="1415" w:type="dxa"/>
            <w:shd w:val="clear" w:color="auto" w:fill="auto"/>
            <w:noWrap/>
            <w:vAlign w:val="center"/>
            <w:hideMark/>
          </w:tcPr>
          <w:p w14:paraId="44F19413" w14:textId="77777777" w:rsidR="00B301B0" w:rsidRPr="00B301B0" w:rsidRDefault="00B301B0" w:rsidP="00B301B0">
            <w:pPr>
              <w:widowControl/>
              <w:overflowPunct/>
              <w:autoSpaceDE/>
              <w:autoSpaceDN/>
              <w:adjustRightInd/>
              <w:rPr>
                <w:color w:val="000000"/>
                <w:kern w:val="0"/>
              </w:rPr>
            </w:pPr>
            <w:r w:rsidRPr="00B301B0">
              <w:rPr>
                <w:color w:val="000000"/>
                <w:kern w:val="0"/>
              </w:rPr>
              <w:t>India</w:t>
            </w:r>
          </w:p>
        </w:tc>
        <w:tc>
          <w:tcPr>
            <w:tcW w:w="1440" w:type="dxa"/>
            <w:shd w:val="clear" w:color="auto" w:fill="auto"/>
            <w:noWrap/>
            <w:vAlign w:val="center"/>
            <w:hideMark/>
          </w:tcPr>
          <w:p w14:paraId="02CA7F23" w14:textId="77777777" w:rsidR="00B301B0" w:rsidRPr="00B301B0" w:rsidRDefault="00B301B0" w:rsidP="00B301B0">
            <w:pPr>
              <w:widowControl/>
              <w:overflowPunct/>
              <w:autoSpaceDE/>
              <w:autoSpaceDN/>
              <w:adjustRightInd/>
              <w:rPr>
                <w:color w:val="000000"/>
                <w:kern w:val="0"/>
              </w:rPr>
            </w:pPr>
            <w:r w:rsidRPr="00B301B0">
              <w:rPr>
                <w:color w:val="000000"/>
                <w:kern w:val="0"/>
              </w:rPr>
              <w:t>China</w:t>
            </w:r>
          </w:p>
        </w:tc>
        <w:tc>
          <w:tcPr>
            <w:tcW w:w="0" w:type="auto"/>
            <w:vAlign w:val="center"/>
          </w:tcPr>
          <w:p w14:paraId="2D7C1A36"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0D0661D0" w14:textId="77777777" w:rsidR="00B301B0" w:rsidRPr="00B301B0" w:rsidRDefault="00B301B0" w:rsidP="00B301B0">
            <w:pPr>
              <w:widowControl/>
              <w:overflowPunct/>
              <w:autoSpaceDE/>
              <w:autoSpaceDN/>
              <w:adjustRightInd/>
              <w:rPr>
                <w:color w:val="000000"/>
                <w:kern w:val="0"/>
              </w:rPr>
            </w:pPr>
            <w:r w:rsidRPr="00B301B0">
              <w:rPr>
                <w:color w:val="000000"/>
                <w:kern w:val="0"/>
              </w:rPr>
              <w:t>Fabricated Metal Products</w:t>
            </w:r>
          </w:p>
        </w:tc>
        <w:tc>
          <w:tcPr>
            <w:tcW w:w="1257" w:type="dxa"/>
            <w:shd w:val="clear" w:color="auto" w:fill="auto"/>
            <w:noWrap/>
            <w:vAlign w:val="center"/>
            <w:hideMark/>
          </w:tcPr>
          <w:p w14:paraId="48E32B0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160</w:t>
            </w:r>
          </w:p>
        </w:tc>
        <w:tc>
          <w:tcPr>
            <w:tcW w:w="1072" w:type="dxa"/>
            <w:shd w:val="clear" w:color="auto" w:fill="auto"/>
            <w:noWrap/>
            <w:vAlign w:val="center"/>
            <w:hideMark/>
          </w:tcPr>
          <w:p w14:paraId="4DF6637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29</w:t>
            </w:r>
          </w:p>
        </w:tc>
        <w:tc>
          <w:tcPr>
            <w:tcW w:w="1901" w:type="dxa"/>
            <w:vAlign w:val="center"/>
          </w:tcPr>
          <w:p w14:paraId="0051ACD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5861405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25EE7AA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7C87C74E" w14:textId="77777777" w:rsidTr="00DB7B9A">
        <w:trPr>
          <w:gridAfter w:val="1"/>
          <w:wAfter w:w="44" w:type="dxa"/>
          <w:trHeight w:val="20"/>
        </w:trPr>
        <w:tc>
          <w:tcPr>
            <w:tcW w:w="1415" w:type="dxa"/>
            <w:shd w:val="clear" w:color="auto" w:fill="auto"/>
            <w:noWrap/>
            <w:vAlign w:val="center"/>
            <w:hideMark/>
          </w:tcPr>
          <w:p w14:paraId="0458EB49" w14:textId="77777777" w:rsidR="00B301B0" w:rsidRPr="00B301B0" w:rsidRDefault="00B301B0" w:rsidP="00B301B0">
            <w:pPr>
              <w:widowControl/>
              <w:overflowPunct/>
              <w:autoSpaceDE/>
              <w:autoSpaceDN/>
              <w:adjustRightInd/>
              <w:rPr>
                <w:color w:val="000000"/>
                <w:kern w:val="0"/>
              </w:rPr>
            </w:pPr>
            <w:r w:rsidRPr="00B301B0">
              <w:rPr>
                <w:color w:val="000000"/>
                <w:kern w:val="0"/>
              </w:rPr>
              <w:t>India</w:t>
            </w:r>
          </w:p>
        </w:tc>
        <w:tc>
          <w:tcPr>
            <w:tcW w:w="1440" w:type="dxa"/>
            <w:shd w:val="clear" w:color="auto" w:fill="auto"/>
            <w:noWrap/>
            <w:vAlign w:val="center"/>
            <w:hideMark/>
          </w:tcPr>
          <w:p w14:paraId="624713DA" w14:textId="77777777" w:rsidR="00B301B0" w:rsidRPr="00B301B0" w:rsidRDefault="00B301B0" w:rsidP="00B301B0">
            <w:pPr>
              <w:widowControl/>
              <w:overflowPunct/>
              <w:autoSpaceDE/>
              <w:autoSpaceDN/>
              <w:adjustRightInd/>
              <w:rPr>
                <w:color w:val="000000"/>
                <w:kern w:val="0"/>
              </w:rPr>
            </w:pPr>
            <w:r w:rsidRPr="00B301B0">
              <w:rPr>
                <w:color w:val="000000"/>
                <w:kern w:val="0"/>
              </w:rPr>
              <w:t>Korea</w:t>
            </w:r>
          </w:p>
        </w:tc>
        <w:tc>
          <w:tcPr>
            <w:tcW w:w="0" w:type="auto"/>
            <w:vAlign w:val="center"/>
          </w:tcPr>
          <w:p w14:paraId="5BD18535"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0FF03B7E" w14:textId="77777777" w:rsidR="00B301B0" w:rsidRPr="00B301B0" w:rsidRDefault="00B301B0" w:rsidP="00B301B0">
            <w:pPr>
              <w:widowControl/>
              <w:overflowPunct/>
              <w:autoSpaceDE/>
              <w:autoSpaceDN/>
              <w:adjustRightInd/>
              <w:rPr>
                <w:color w:val="000000"/>
                <w:kern w:val="0"/>
              </w:rPr>
            </w:pPr>
            <w:r w:rsidRPr="00B301B0">
              <w:rPr>
                <w:color w:val="000000"/>
                <w:kern w:val="0"/>
              </w:rPr>
              <w:t>Machinery &amp; Equipment</w:t>
            </w:r>
          </w:p>
        </w:tc>
        <w:tc>
          <w:tcPr>
            <w:tcW w:w="1257" w:type="dxa"/>
            <w:shd w:val="clear" w:color="auto" w:fill="auto"/>
            <w:noWrap/>
            <w:vAlign w:val="center"/>
            <w:hideMark/>
          </w:tcPr>
          <w:p w14:paraId="0E27003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400</w:t>
            </w:r>
          </w:p>
        </w:tc>
        <w:tc>
          <w:tcPr>
            <w:tcW w:w="1072" w:type="dxa"/>
            <w:shd w:val="clear" w:color="auto" w:fill="auto"/>
            <w:noWrap/>
            <w:vAlign w:val="center"/>
            <w:hideMark/>
          </w:tcPr>
          <w:p w14:paraId="093FA3E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19</w:t>
            </w:r>
          </w:p>
        </w:tc>
        <w:tc>
          <w:tcPr>
            <w:tcW w:w="1901" w:type="dxa"/>
            <w:vAlign w:val="center"/>
          </w:tcPr>
          <w:p w14:paraId="697FCD0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66E965E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22F7190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4B431B3A" w14:textId="77777777" w:rsidTr="00DB7B9A">
        <w:trPr>
          <w:gridAfter w:val="1"/>
          <w:wAfter w:w="44" w:type="dxa"/>
          <w:trHeight w:val="20"/>
        </w:trPr>
        <w:tc>
          <w:tcPr>
            <w:tcW w:w="1415" w:type="dxa"/>
            <w:shd w:val="clear" w:color="auto" w:fill="auto"/>
            <w:noWrap/>
            <w:vAlign w:val="center"/>
            <w:hideMark/>
          </w:tcPr>
          <w:p w14:paraId="7FF5EA27" w14:textId="77777777" w:rsidR="00B301B0" w:rsidRPr="00B301B0" w:rsidRDefault="00B301B0" w:rsidP="00B301B0">
            <w:pPr>
              <w:widowControl/>
              <w:overflowPunct/>
              <w:autoSpaceDE/>
              <w:autoSpaceDN/>
              <w:adjustRightInd/>
              <w:rPr>
                <w:color w:val="000000"/>
                <w:kern w:val="0"/>
              </w:rPr>
            </w:pPr>
            <w:r w:rsidRPr="00B301B0">
              <w:rPr>
                <w:color w:val="000000"/>
                <w:kern w:val="0"/>
              </w:rPr>
              <w:t>India</w:t>
            </w:r>
          </w:p>
        </w:tc>
        <w:tc>
          <w:tcPr>
            <w:tcW w:w="1440" w:type="dxa"/>
            <w:shd w:val="clear" w:color="auto" w:fill="auto"/>
            <w:noWrap/>
            <w:vAlign w:val="center"/>
            <w:hideMark/>
          </w:tcPr>
          <w:p w14:paraId="1824CCE3" w14:textId="77777777" w:rsidR="00B301B0" w:rsidRPr="00B301B0" w:rsidRDefault="00B301B0" w:rsidP="00B301B0">
            <w:pPr>
              <w:widowControl/>
              <w:overflowPunct/>
              <w:autoSpaceDE/>
              <w:autoSpaceDN/>
              <w:adjustRightInd/>
              <w:rPr>
                <w:color w:val="000000"/>
                <w:kern w:val="0"/>
              </w:rPr>
            </w:pPr>
            <w:r w:rsidRPr="00B301B0">
              <w:rPr>
                <w:color w:val="000000"/>
                <w:kern w:val="0"/>
              </w:rPr>
              <w:t>Japan</w:t>
            </w:r>
          </w:p>
        </w:tc>
        <w:tc>
          <w:tcPr>
            <w:tcW w:w="0" w:type="auto"/>
            <w:vAlign w:val="center"/>
          </w:tcPr>
          <w:p w14:paraId="56D4D789"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E5D9004" w14:textId="77777777" w:rsidR="00B301B0" w:rsidRPr="00B301B0" w:rsidRDefault="00B301B0" w:rsidP="00B301B0">
            <w:pPr>
              <w:widowControl/>
              <w:overflowPunct/>
              <w:autoSpaceDE/>
              <w:autoSpaceDN/>
              <w:adjustRightInd/>
              <w:rPr>
                <w:color w:val="000000"/>
                <w:kern w:val="0"/>
              </w:rPr>
            </w:pPr>
            <w:r w:rsidRPr="00B301B0">
              <w:rPr>
                <w:color w:val="000000"/>
                <w:kern w:val="0"/>
              </w:rPr>
              <w:t>Machinery &amp; Equipment</w:t>
            </w:r>
          </w:p>
        </w:tc>
        <w:tc>
          <w:tcPr>
            <w:tcW w:w="1257" w:type="dxa"/>
            <w:shd w:val="clear" w:color="auto" w:fill="auto"/>
            <w:noWrap/>
            <w:vAlign w:val="center"/>
            <w:hideMark/>
          </w:tcPr>
          <w:p w14:paraId="266ABCD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120</w:t>
            </w:r>
          </w:p>
        </w:tc>
        <w:tc>
          <w:tcPr>
            <w:tcW w:w="1072" w:type="dxa"/>
            <w:shd w:val="clear" w:color="auto" w:fill="auto"/>
            <w:noWrap/>
            <w:vAlign w:val="center"/>
            <w:hideMark/>
          </w:tcPr>
          <w:p w14:paraId="67DBB10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32</w:t>
            </w:r>
          </w:p>
        </w:tc>
        <w:tc>
          <w:tcPr>
            <w:tcW w:w="1901" w:type="dxa"/>
            <w:vAlign w:val="center"/>
          </w:tcPr>
          <w:p w14:paraId="7223AF2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Controlled</w:t>
            </w:r>
          </w:p>
        </w:tc>
        <w:tc>
          <w:tcPr>
            <w:tcW w:w="1264" w:type="dxa"/>
            <w:vAlign w:val="center"/>
          </w:tcPr>
          <w:p w14:paraId="5E03B2A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4EE8925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46CC1380" w14:textId="77777777" w:rsidTr="00DB7B9A">
        <w:trPr>
          <w:gridAfter w:val="1"/>
          <w:wAfter w:w="44" w:type="dxa"/>
          <w:trHeight w:val="20"/>
        </w:trPr>
        <w:tc>
          <w:tcPr>
            <w:tcW w:w="1415" w:type="dxa"/>
            <w:shd w:val="clear" w:color="auto" w:fill="auto"/>
            <w:noWrap/>
            <w:vAlign w:val="center"/>
            <w:hideMark/>
          </w:tcPr>
          <w:p w14:paraId="68785111" w14:textId="77777777" w:rsidR="00B301B0" w:rsidRPr="00B301B0" w:rsidRDefault="00B301B0" w:rsidP="00B301B0">
            <w:pPr>
              <w:widowControl/>
              <w:overflowPunct/>
              <w:autoSpaceDE/>
              <w:autoSpaceDN/>
              <w:adjustRightInd/>
              <w:rPr>
                <w:color w:val="000000"/>
                <w:kern w:val="0"/>
              </w:rPr>
            </w:pPr>
            <w:r w:rsidRPr="00B301B0">
              <w:rPr>
                <w:color w:val="000000"/>
                <w:kern w:val="0"/>
              </w:rPr>
              <w:t>India</w:t>
            </w:r>
          </w:p>
        </w:tc>
        <w:tc>
          <w:tcPr>
            <w:tcW w:w="1440" w:type="dxa"/>
            <w:shd w:val="clear" w:color="auto" w:fill="auto"/>
            <w:noWrap/>
            <w:vAlign w:val="center"/>
            <w:hideMark/>
          </w:tcPr>
          <w:p w14:paraId="6ACAE093"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04165AB9"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68A30D4C" w14:textId="77777777" w:rsidR="00B301B0" w:rsidRPr="00B301B0" w:rsidRDefault="00B301B0" w:rsidP="00B301B0">
            <w:pPr>
              <w:widowControl/>
              <w:overflowPunct/>
              <w:autoSpaceDE/>
              <w:autoSpaceDN/>
              <w:adjustRightInd/>
              <w:rPr>
                <w:color w:val="000000"/>
                <w:kern w:val="0"/>
              </w:rPr>
            </w:pPr>
            <w:r w:rsidRPr="00B301B0">
              <w:rPr>
                <w:color w:val="000000"/>
                <w:kern w:val="0"/>
              </w:rPr>
              <w:t>Automotive Parts</w:t>
            </w:r>
          </w:p>
        </w:tc>
        <w:tc>
          <w:tcPr>
            <w:tcW w:w="1257" w:type="dxa"/>
            <w:shd w:val="clear" w:color="auto" w:fill="auto"/>
            <w:noWrap/>
            <w:vAlign w:val="center"/>
            <w:hideMark/>
          </w:tcPr>
          <w:p w14:paraId="52420F4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100</w:t>
            </w:r>
          </w:p>
        </w:tc>
        <w:tc>
          <w:tcPr>
            <w:tcW w:w="1072" w:type="dxa"/>
            <w:shd w:val="clear" w:color="auto" w:fill="auto"/>
            <w:noWrap/>
            <w:vAlign w:val="center"/>
            <w:hideMark/>
          </w:tcPr>
          <w:p w14:paraId="4B4FE0A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19</w:t>
            </w:r>
          </w:p>
        </w:tc>
        <w:tc>
          <w:tcPr>
            <w:tcW w:w="1901" w:type="dxa"/>
            <w:vAlign w:val="center"/>
          </w:tcPr>
          <w:p w14:paraId="5269DDF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427596F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342D3EB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08CE7D37" w14:textId="77777777" w:rsidTr="00DB7B9A">
        <w:trPr>
          <w:gridAfter w:val="1"/>
          <w:wAfter w:w="44" w:type="dxa"/>
          <w:trHeight w:val="20"/>
        </w:trPr>
        <w:tc>
          <w:tcPr>
            <w:tcW w:w="1415" w:type="dxa"/>
            <w:shd w:val="clear" w:color="auto" w:fill="auto"/>
            <w:noWrap/>
            <w:vAlign w:val="center"/>
            <w:hideMark/>
          </w:tcPr>
          <w:p w14:paraId="1E14FC9B" w14:textId="77777777" w:rsidR="00B301B0" w:rsidRPr="00B301B0" w:rsidRDefault="00B301B0" w:rsidP="00B301B0">
            <w:pPr>
              <w:widowControl/>
              <w:overflowPunct/>
              <w:autoSpaceDE/>
              <w:autoSpaceDN/>
              <w:adjustRightInd/>
              <w:rPr>
                <w:color w:val="000000"/>
                <w:kern w:val="0"/>
              </w:rPr>
            </w:pPr>
            <w:r w:rsidRPr="00B301B0">
              <w:rPr>
                <w:color w:val="000000"/>
                <w:kern w:val="0"/>
              </w:rPr>
              <w:t>India</w:t>
            </w:r>
          </w:p>
        </w:tc>
        <w:tc>
          <w:tcPr>
            <w:tcW w:w="1440" w:type="dxa"/>
            <w:shd w:val="clear" w:color="auto" w:fill="auto"/>
            <w:noWrap/>
            <w:vAlign w:val="center"/>
            <w:hideMark/>
          </w:tcPr>
          <w:p w14:paraId="262B7763"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6C8FE9D4"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680A5430" w14:textId="77777777" w:rsidR="00B301B0" w:rsidRPr="00B301B0" w:rsidRDefault="00B301B0" w:rsidP="00B301B0">
            <w:pPr>
              <w:widowControl/>
              <w:overflowPunct/>
              <w:autoSpaceDE/>
              <w:autoSpaceDN/>
              <w:adjustRightInd/>
              <w:rPr>
                <w:color w:val="000000"/>
                <w:kern w:val="0"/>
              </w:rPr>
            </w:pPr>
            <w:r w:rsidRPr="00B301B0">
              <w:rPr>
                <w:color w:val="000000"/>
                <w:kern w:val="0"/>
              </w:rPr>
              <w:t>Non-mineral Products</w:t>
            </w:r>
          </w:p>
        </w:tc>
        <w:tc>
          <w:tcPr>
            <w:tcW w:w="1257" w:type="dxa"/>
            <w:shd w:val="clear" w:color="auto" w:fill="auto"/>
            <w:noWrap/>
            <w:vAlign w:val="center"/>
            <w:hideMark/>
          </w:tcPr>
          <w:p w14:paraId="6F4C9E1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125</w:t>
            </w:r>
          </w:p>
        </w:tc>
        <w:tc>
          <w:tcPr>
            <w:tcW w:w="1072" w:type="dxa"/>
            <w:shd w:val="clear" w:color="auto" w:fill="auto"/>
            <w:noWrap/>
            <w:vAlign w:val="center"/>
            <w:hideMark/>
          </w:tcPr>
          <w:p w14:paraId="695A8ED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25</w:t>
            </w:r>
          </w:p>
        </w:tc>
        <w:tc>
          <w:tcPr>
            <w:tcW w:w="1901" w:type="dxa"/>
            <w:vAlign w:val="center"/>
          </w:tcPr>
          <w:p w14:paraId="52275CF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4B26882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20416BB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21B95D44" w14:textId="77777777" w:rsidTr="00DB7B9A">
        <w:trPr>
          <w:gridAfter w:val="1"/>
          <w:wAfter w:w="44" w:type="dxa"/>
          <w:trHeight w:val="20"/>
        </w:trPr>
        <w:tc>
          <w:tcPr>
            <w:tcW w:w="1415" w:type="dxa"/>
            <w:shd w:val="clear" w:color="auto" w:fill="auto"/>
            <w:noWrap/>
            <w:vAlign w:val="center"/>
            <w:hideMark/>
          </w:tcPr>
          <w:p w14:paraId="74A654C2" w14:textId="77777777" w:rsidR="00B301B0" w:rsidRPr="00B301B0" w:rsidRDefault="00B301B0" w:rsidP="00B301B0">
            <w:pPr>
              <w:widowControl/>
              <w:overflowPunct/>
              <w:autoSpaceDE/>
              <w:autoSpaceDN/>
              <w:adjustRightInd/>
              <w:rPr>
                <w:color w:val="000000"/>
                <w:kern w:val="0"/>
              </w:rPr>
            </w:pPr>
            <w:r w:rsidRPr="00B301B0">
              <w:rPr>
                <w:color w:val="000000"/>
                <w:kern w:val="0"/>
              </w:rPr>
              <w:t>India</w:t>
            </w:r>
          </w:p>
        </w:tc>
        <w:tc>
          <w:tcPr>
            <w:tcW w:w="1440" w:type="dxa"/>
            <w:shd w:val="clear" w:color="auto" w:fill="auto"/>
            <w:noWrap/>
            <w:vAlign w:val="center"/>
            <w:hideMark/>
          </w:tcPr>
          <w:p w14:paraId="2C0E9602"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469D8432"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23E55838" w14:textId="77777777" w:rsidR="00B301B0" w:rsidRPr="00B301B0" w:rsidRDefault="00B301B0" w:rsidP="00B301B0">
            <w:pPr>
              <w:widowControl/>
              <w:overflowPunct/>
              <w:autoSpaceDE/>
              <w:autoSpaceDN/>
              <w:adjustRightInd/>
              <w:rPr>
                <w:color w:val="000000"/>
                <w:kern w:val="0"/>
              </w:rPr>
            </w:pPr>
            <w:r w:rsidRPr="00B301B0">
              <w:rPr>
                <w:color w:val="000000"/>
                <w:kern w:val="0"/>
              </w:rPr>
              <w:t>Textiles</w:t>
            </w:r>
          </w:p>
        </w:tc>
        <w:tc>
          <w:tcPr>
            <w:tcW w:w="1257" w:type="dxa"/>
            <w:shd w:val="clear" w:color="auto" w:fill="auto"/>
            <w:noWrap/>
            <w:vAlign w:val="center"/>
            <w:hideMark/>
          </w:tcPr>
          <w:p w14:paraId="30761EF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43</w:t>
            </w:r>
          </w:p>
        </w:tc>
        <w:tc>
          <w:tcPr>
            <w:tcW w:w="1072" w:type="dxa"/>
            <w:shd w:val="clear" w:color="auto" w:fill="auto"/>
            <w:noWrap/>
            <w:vAlign w:val="center"/>
            <w:hideMark/>
          </w:tcPr>
          <w:p w14:paraId="3E8E62D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30</w:t>
            </w:r>
          </w:p>
        </w:tc>
        <w:tc>
          <w:tcPr>
            <w:tcW w:w="1901" w:type="dxa"/>
            <w:vAlign w:val="center"/>
          </w:tcPr>
          <w:p w14:paraId="777290A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0124E3A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7F3EA7D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2337EE5B" w14:textId="77777777" w:rsidTr="00DB7B9A">
        <w:trPr>
          <w:gridAfter w:val="1"/>
          <w:wAfter w:w="44" w:type="dxa"/>
          <w:trHeight w:val="20"/>
        </w:trPr>
        <w:tc>
          <w:tcPr>
            <w:tcW w:w="1415" w:type="dxa"/>
            <w:shd w:val="clear" w:color="auto" w:fill="auto"/>
            <w:noWrap/>
            <w:vAlign w:val="center"/>
            <w:hideMark/>
          </w:tcPr>
          <w:p w14:paraId="5F3BB246" w14:textId="77777777" w:rsidR="00B301B0" w:rsidRPr="00B301B0" w:rsidRDefault="00B301B0" w:rsidP="00B301B0">
            <w:pPr>
              <w:widowControl/>
              <w:overflowPunct/>
              <w:autoSpaceDE/>
              <w:autoSpaceDN/>
              <w:adjustRightInd/>
              <w:rPr>
                <w:color w:val="000000"/>
                <w:kern w:val="0"/>
              </w:rPr>
            </w:pPr>
            <w:r w:rsidRPr="00B301B0">
              <w:rPr>
                <w:color w:val="000000"/>
                <w:kern w:val="0"/>
              </w:rPr>
              <w:t>India</w:t>
            </w:r>
          </w:p>
        </w:tc>
        <w:tc>
          <w:tcPr>
            <w:tcW w:w="1440" w:type="dxa"/>
            <w:shd w:val="clear" w:color="auto" w:fill="auto"/>
            <w:noWrap/>
            <w:vAlign w:val="center"/>
            <w:hideMark/>
          </w:tcPr>
          <w:p w14:paraId="10330698"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0" w:type="auto"/>
            <w:vAlign w:val="center"/>
          </w:tcPr>
          <w:p w14:paraId="10909C8F"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16D2DB4A" w14:textId="77777777" w:rsidR="00B301B0" w:rsidRPr="00B301B0" w:rsidRDefault="00B301B0" w:rsidP="00B301B0">
            <w:pPr>
              <w:widowControl/>
              <w:overflowPunct/>
              <w:autoSpaceDE/>
              <w:autoSpaceDN/>
              <w:adjustRightInd/>
              <w:rPr>
                <w:color w:val="000000"/>
                <w:kern w:val="0"/>
              </w:rPr>
            </w:pPr>
            <w:r w:rsidRPr="00B301B0">
              <w:rPr>
                <w:color w:val="000000"/>
                <w:kern w:val="0"/>
              </w:rPr>
              <w:t>Automotive Parts</w:t>
            </w:r>
          </w:p>
        </w:tc>
        <w:tc>
          <w:tcPr>
            <w:tcW w:w="1257" w:type="dxa"/>
            <w:shd w:val="clear" w:color="auto" w:fill="auto"/>
            <w:noWrap/>
            <w:vAlign w:val="center"/>
            <w:hideMark/>
          </w:tcPr>
          <w:p w14:paraId="3233685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78</w:t>
            </w:r>
          </w:p>
        </w:tc>
        <w:tc>
          <w:tcPr>
            <w:tcW w:w="1072" w:type="dxa"/>
            <w:shd w:val="clear" w:color="auto" w:fill="auto"/>
            <w:noWrap/>
            <w:vAlign w:val="center"/>
            <w:hideMark/>
          </w:tcPr>
          <w:p w14:paraId="7936D63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28</w:t>
            </w:r>
          </w:p>
        </w:tc>
        <w:tc>
          <w:tcPr>
            <w:tcW w:w="1901" w:type="dxa"/>
            <w:vAlign w:val="center"/>
          </w:tcPr>
          <w:p w14:paraId="47C55C3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7970830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6C5F687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76DF25E0" w14:textId="77777777" w:rsidTr="00DB7B9A">
        <w:trPr>
          <w:gridAfter w:val="1"/>
          <w:wAfter w:w="44" w:type="dxa"/>
          <w:trHeight w:val="20"/>
        </w:trPr>
        <w:tc>
          <w:tcPr>
            <w:tcW w:w="1415" w:type="dxa"/>
            <w:shd w:val="clear" w:color="auto" w:fill="auto"/>
            <w:noWrap/>
            <w:vAlign w:val="center"/>
            <w:hideMark/>
          </w:tcPr>
          <w:p w14:paraId="33BFF166" w14:textId="77777777" w:rsidR="00B301B0" w:rsidRPr="00B301B0" w:rsidRDefault="00B301B0" w:rsidP="00B301B0">
            <w:pPr>
              <w:widowControl/>
              <w:overflowPunct/>
              <w:autoSpaceDE/>
              <w:autoSpaceDN/>
              <w:adjustRightInd/>
              <w:rPr>
                <w:color w:val="000000"/>
                <w:kern w:val="0"/>
              </w:rPr>
            </w:pPr>
            <w:r w:rsidRPr="00B301B0">
              <w:rPr>
                <w:color w:val="000000"/>
                <w:kern w:val="0"/>
              </w:rPr>
              <w:t>Kazakhstan</w:t>
            </w:r>
          </w:p>
        </w:tc>
        <w:tc>
          <w:tcPr>
            <w:tcW w:w="1440" w:type="dxa"/>
            <w:shd w:val="clear" w:color="auto" w:fill="auto"/>
            <w:noWrap/>
            <w:vAlign w:val="center"/>
            <w:hideMark/>
          </w:tcPr>
          <w:p w14:paraId="659CB5D0" w14:textId="77777777" w:rsidR="00B301B0" w:rsidRPr="00B301B0" w:rsidRDefault="00B301B0" w:rsidP="00B301B0">
            <w:pPr>
              <w:widowControl/>
              <w:overflowPunct/>
              <w:autoSpaceDE/>
              <w:autoSpaceDN/>
              <w:adjustRightInd/>
              <w:rPr>
                <w:color w:val="000000"/>
                <w:kern w:val="0"/>
              </w:rPr>
            </w:pPr>
            <w:r w:rsidRPr="00B301B0">
              <w:rPr>
                <w:color w:val="000000"/>
                <w:kern w:val="0"/>
              </w:rPr>
              <w:t>Japan</w:t>
            </w:r>
          </w:p>
        </w:tc>
        <w:tc>
          <w:tcPr>
            <w:tcW w:w="0" w:type="auto"/>
            <w:vAlign w:val="center"/>
          </w:tcPr>
          <w:p w14:paraId="47F7CBA5"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084C660A" w14:textId="77777777" w:rsidR="00B301B0" w:rsidRPr="00B301B0" w:rsidRDefault="00B301B0" w:rsidP="00B301B0">
            <w:pPr>
              <w:widowControl/>
              <w:overflowPunct/>
              <w:autoSpaceDE/>
              <w:autoSpaceDN/>
              <w:adjustRightInd/>
              <w:rPr>
                <w:color w:val="000000"/>
                <w:kern w:val="0"/>
              </w:rPr>
            </w:pPr>
            <w:r w:rsidRPr="00B301B0">
              <w:rPr>
                <w:color w:val="000000"/>
                <w:kern w:val="0"/>
              </w:rPr>
              <w:t>Consumer Food</w:t>
            </w:r>
          </w:p>
        </w:tc>
        <w:tc>
          <w:tcPr>
            <w:tcW w:w="1257" w:type="dxa"/>
            <w:shd w:val="clear" w:color="auto" w:fill="auto"/>
            <w:noWrap/>
            <w:vAlign w:val="center"/>
            <w:hideMark/>
          </w:tcPr>
          <w:p w14:paraId="75F3531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1000</w:t>
            </w:r>
          </w:p>
        </w:tc>
        <w:tc>
          <w:tcPr>
            <w:tcW w:w="1072" w:type="dxa"/>
            <w:shd w:val="clear" w:color="auto" w:fill="auto"/>
            <w:noWrap/>
            <w:vAlign w:val="center"/>
            <w:hideMark/>
          </w:tcPr>
          <w:p w14:paraId="12C781C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22</w:t>
            </w:r>
          </w:p>
        </w:tc>
        <w:tc>
          <w:tcPr>
            <w:tcW w:w="1901" w:type="dxa"/>
            <w:vAlign w:val="center"/>
          </w:tcPr>
          <w:p w14:paraId="0ACB9DC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4070518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2FF576E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75065847" w14:textId="77777777" w:rsidTr="00DB7B9A">
        <w:trPr>
          <w:gridAfter w:val="1"/>
          <w:wAfter w:w="44" w:type="dxa"/>
          <w:trHeight w:val="20"/>
        </w:trPr>
        <w:tc>
          <w:tcPr>
            <w:tcW w:w="1415" w:type="dxa"/>
            <w:shd w:val="clear" w:color="auto" w:fill="auto"/>
            <w:noWrap/>
            <w:vAlign w:val="center"/>
            <w:hideMark/>
          </w:tcPr>
          <w:p w14:paraId="69BCF7C9" w14:textId="77777777" w:rsidR="00B301B0" w:rsidRPr="00B301B0" w:rsidRDefault="00B301B0" w:rsidP="00B301B0">
            <w:pPr>
              <w:widowControl/>
              <w:overflowPunct/>
              <w:autoSpaceDE/>
              <w:autoSpaceDN/>
              <w:adjustRightInd/>
              <w:rPr>
                <w:color w:val="000000"/>
                <w:kern w:val="0"/>
              </w:rPr>
            </w:pPr>
            <w:r w:rsidRPr="00B301B0">
              <w:rPr>
                <w:color w:val="000000"/>
                <w:kern w:val="0"/>
              </w:rPr>
              <w:t>Kazakhstan</w:t>
            </w:r>
          </w:p>
        </w:tc>
        <w:tc>
          <w:tcPr>
            <w:tcW w:w="1440" w:type="dxa"/>
            <w:shd w:val="clear" w:color="auto" w:fill="auto"/>
            <w:noWrap/>
            <w:vAlign w:val="center"/>
            <w:hideMark/>
          </w:tcPr>
          <w:p w14:paraId="117ACC23" w14:textId="77777777" w:rsidR="00B301B0" w:rsidRPr="00B301B0" w:rsidRDefault="00B301B0" w:rsidP="00B301B0">
            <w:pPr>
              <w:widowControl/>
              <w:overflowPunct/>
              <w:autoSpaceDE/>
              <w:autoSpaceDN/>
              <w:adjustRightInd/>
              <w:rPr>
                <w:color w:val="000000"/>
                <w:kern w:val="0"/>
              </w:rPr>
            </w:pPr>
            <w:r w:rsidRPr="00B301B0">
              <w:rPr>
                <w:color w:val="000000"/>
                <w:kern w:val="0"/>
              </w:rPr>
              <w:t>Moldova</w:t>
            </w:r>
          </w:p>
        </w:tc>
        <w:tc>
          <w:tcPr>
            <w:tcW w:w="0" w:type="auto"/>
            <w:vAlign w:val="center"/>
          </w:tcPr>
          <w:p w14:paraId="2EF626B2"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437352F" w14:textId="77777777" w:rsidR="00B301B0" w:rsidRPr="00B301B0" w:rsidRDefault="00B301B0" w:rsidP="00B301B0">
            <w:pPr>
              <w:widowControl/>
              <w:overflowPunct/>
              <w:autoSpaceDE/>
              <w:autoSpaceDN/>
              <w:adjustRightInd/>
              <w:rPr>
                <w:color w:val="000000"/>
                <w:kern w:val="0"/>
              </w:rPr>
            </w:pPr>
            <w:r w:rsidRPr="00B301B0">
              <w:rPr>
                <w:color w:val="000000"/>
                <w:kern w:val="0"/>
              </w:rPr>
              <w:t>Consumer Food</w:t>
            </w:r>
          </w:p>
        </w:tc>
        <w:tc>
          <w:tcPr>
            <w:tcW w:w="1257" w:type="dxa"/>
            <w:shd w:val="clear" w:color="auto" w:fill="auto"/>
            <w:noWrap/>
            <w:vAlign w:val="center"/>
            <w:hideMark/>
          </w:tcPr>
          <w:p w14:paraId="4500209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201</w:t>
            </w:r>
          </w:p>
        </w:tc>
        <w:tc>
          <w:tcPr>
            <w:tcW w:w="1072" w:type="dxa"/>
            <w:shd w:val="clear" w:color="auto" w:fill="auto"/>
            <w:noWrap/>
            <w:vAlign w:val="center"/>
            <w:hideMark/>
          </w:tcPr>
          <w:p w14:paraId="30EF3CD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17</w:t>
            </w:r>
          </w:p>
        </w:tc>
        <w:tc>
          <w:tcPr>
            <w:tcW w:w="1901" w:type="dxa"/>
            <w:vAlign w:val="center"/>
          </w:tcPr>
          <w:p w14:paraId="64FEB55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Autonomous</w:t>
            </w:r>
          </w:p>
        </w:tc>
        <w:tc>
          <w:tcPr>
            <w:tcW w:w="1264" w:type="dxa"/>
            <w:vAlign w:val="center"/>
          </w:tcPr>
          <w:p w14:paraId="1A808AC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5058AD8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6A9AE2D9" w14:textId="77777777" w:rsidTr="00DB7B9A">
        <w:trPr>
          <w:gridAfter w:val="1"/>
          <w:wAfter w:w="44" w:type="dxa"/>
          <w:trHeight w:val="20"/>
        </w:trPr>
        <w:tc>
          <w:tcPr>
            <w:tcW w:w="1415" w:type="dxa"/>
            <w:shd w:val="clear" w:color="auto" w:fill="auto"/>
            <w:noWrap/>
            <w:vAlign w:val="center"/>
            <w:hideMark/>
          </w:tcPr>
          <w:p w14:paraId="0F759122" w14:textId="77777777" w:rsidR="00B301B0" w:rsidRPr="00B301B0" w:rsidRDefault="00B301B0" w:rsidP="00B301B0">
            <w:pPr>
              <w:widowControl/>
              <w:overflowPunct/>
              <w:autoSpaceDE/>
              <w:autoSpaceDN/>
              <w:adjustRightInd/>
              <w:rPr>
                <w:color w:val="000000"/>
                <w:kern w:val="0"/>
              </w:rPr>
            </w:pPr>
            <w:r w:rsidRPr="00B301B0">
              <w:rPr>
                <w:color w:val="000000"/>
                <w:kern w:val="0"/>
              </w:rPr>
              <w:t>Lithuania</w:t>
            </w:r>
          </w:p>
        </w:tc>
        <w:tc>
          <w:tcPr>
            <w:tcW w:w="1440" w:type="dxa"/>
            <w:shd w:val="clear" w:color="auto" w:fill="auto"/>
            <w:noWrap/>
            <w:vAlign w:val="center"/>
            <w:hideMark/>
          </w:tcPr>
          <w:p w14:paraId="2C4D8A36" w14:textId="77777777" w:rsidR="00B301B0" w:rsidRPr="00B301B0" w:rsidRDefault="00B301B0" w:rsidP="00B301B0">
            <w:pPr>
              <w:widowControl/>
              <w:overflowPunct/>
              <w:autoSpaceDE/>
              <w:autoSpaceDN/>
              <w:adjustRightInd/>
              <w:rPr>
                <w:color w:val="000000"/>
                <w:kern w:val="0"/>
              </w:rPr>
            </w:pPr>
            <w:r w:rsidRPr="00B301B0">
              <w:rPr>
                <w:color w:val="000000"/>
                <w:kern w:val="0"/>
              </w:rPr>
              <w:t>France</w:t>
            </w:r>
          </w:p>
        </w:tc>
        <w:tc>
          <w:tcPr>
            <w:tcW w:w="0" w:type="auto"/>
            <w:vAlign w:val="center"/>
          </w:tcPr>
          <w:p w14:paraId="35BC10AF"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0AD8E5F7" w14:textId="77777777" w:rsidR="00B301B0" w:rsidRPr="00B301B0" w:rsidRDefault="00B301B0" w:rsidP="00B301B0">
            <w:pPr>
              <w:widowControl/>
              <w:overflowPunct/>
              <w:autoSpaceDE/>
              <w:autoSpaceDN/>
              <w:adjustRightInd/>
              <w:rPr>
                <w:color w:val="000000"/>
                <w:kern w:val="0"/>
              </w:rPr>
            </w:pPr>
            <w:r w:rsidRPr="00B301B0">
              <w:rPr>
                <w:color w:val="000000"/>
                <w:kern w:val="0"/>
              </w:rPr>
              <w:t>Textiles</w:t>
            </w:r>
          </w:p>
        </w:tc>
        <w:tc>
          <w:tcPr>
            <w:tcW w:w="1257" w:type="dxa"/>
            <w:shd w:val="clear" w:color="auto" w:fill="auto"/>
            <w:noWrap/>
            <w:vAlign w:val="center"/>
            <w:hideMark/>
          </w:tcPr>
          <w:p w14:paraId="3DFAE6C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245</w:t>
            </w:r>
          </w:p>
        </w:tc>
        <w:tc>
          <w:tcPr>
            <w:tcW w:w="1072" w:type="dxa"/>
            <w:shd w:val="clear" w:color="auto" w:fill="auto"/>
            <w:noWrap/>
            <w:vAlign w:val="center"/>
            <w:hideMark/>
          </w:tcPr>
          <w:p w14:paraId="5D746D6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111</w:t>
            </w:r>
          </w:p>
        </w:tc>
        <w:tc>
          <w:tcPr>
            <w:tcW w:w="1901" w:type="dxa"/>
            <w:vAlign w:val="center"/>
          </w:tcPr>
          <w:p w14:paraId="5695239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Controlled</w:t>
            </w:r>
          </w:p>
        </w:tc>
        <w:tc>
          <w:tcPr>
            <w:tcW w:w="1264" w:type="dxa"/>
            <w:vAlign w:val="center"/>
          </w:tcPr>
          <w:p w14:paraId="328238C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48C938F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51CC45D8" w14:textId="77777777" w:rsidTr="00DB7B9A">
        <w:trPr>
          <w:gridAfter w:val="1"/>
          <w:wAfter w:w="44" w:type="dxa"/>
          <w:trHeight w:val="20"/>
        </w:trPr>
        <w:tc>
          <w:tcPr>
            <w:tcW w:w="1415" w:type="dxa"/>
            <w:shd w:val="clear" w:color="auto" w:fill="auto"/>
            <w:noWrap/>
            <w:vAlign w:val="center"/>
            <w:hideMark/>
          </w:tcPr>
          <w:p w14:paraId="52FD827C" w14:textId="77777777" w:rsidR="00B301B0" w:rsidRPr="00B301B0" w:rsidRDefault="00B301B0" w:rsidP="00B301B0">
            <w:pPr>
              <w:widowControl/>
              <w:overflowPunct/>
              <w:autoSpaceDE/>
              <w:autoSpaceDN/>
              <w:adjustRightInd/>
              <w:rPr>
                <w:color w:val="000000"/>
                <w:kern w:val="0"/>
              </w:rPr>
            </w:pPr>
            <w:r w:rsidRPr="00B301B0">
              <w:rPr>
                <w:color w:val="000000"/>
                <w:kern w:val="0"/>
              </w:rPr>
              <w:t>Lithuania</w:t>
            </w:r>
          </w:p>
        </w:tc>
        <w:tc>
          <w:tcPr>
            <w:tcW w:w="1440" w:type="dxa"/>
            <w:shd w:val="clear" w:color="auto" w:fill="auto"/>
            <w:noWrap/>
            <w:vAlign w:val="center"/>
            <w:hideMark/>
          </w:tcPr>
          <w:p w14:paraId="6283BF36" w14:textId="77777777" w:rsidR="00B301B0" w:rsidRPr="00B301B0" w:rsidRDefault="00B301B0" w:rsidP="00B301B0">
            <w:pPr>
              <w:widowControl/>
              <w:overflowPunct/>
              <w:autoSpaceDE/>
              <w:autoSpaceDN/>
              <w:adjustRightInd/>
              <w:rPr>
                <w:color w:val="000000"/>
                <w:kern w:val="0"/>
              </w:rPr>
            </w:pPr>
            <w:r w:rsidRPr="00B301B0">
              <w:rPr>
                <w:color w:val="000000"/>
                <w:kern w:val="0"/>
              </w:rPr>
              <w:t>Finland</w:t>
            </w:r>
          </w:p>
        </w:tc>
        <w:tc>
          <w:tcPr>
            <w:tcW w:w="0" w:type="auto"/>
            <w:vAlign w:val="center"/>
          </w:tcPr>
          <w:p w14:paraId="734B7798"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1380186" w14:textId="77777777" w:rsidR="00B301B0" w:rsidRPr="00B301B0" w:rsidRDefault="00B301B0" w:rsidP="00B301B0">
            <w:pPr>
              <w:widowControl/>
              <w:overflowPunct/>
              <w:autoSpaceDE/>
              <w:autoSpaceDN/>
              <w:adjustRightInd/>
              <w:rPr>
                <w:color w:val="000000"/>
                <w:kern w:val="0"/>
              </w:rPr>
            </w:pPr>
            <w:r w:rsidRPr="00B301B0">
              <w:rPr>
                <w:color w:val="000000"/>
                <w:kern w:val="0"/>
              </w:rPr>
              <w:t>Fabricated Metal Products</w:t>
            </w:r>
          </w:p>
        </w:tc>
        <w:tc>
          <w:tcPr>
            <w:tcW w:w="1257" w:type="dxa"/>
            <w:shd w:val="clear" w:color="auto" w:fill="auto"/>
            <w:noWrap/>
            <w:vAlign w:val="center"/>
            <w:hideMark/>
          </w:tcPr>
          <w:p w14:paraId="4C9F3C8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200</w:t>
            </w:r>
          </w:p>
        </w:tc>
        <w:tc>
          <w:tcPr>
            <w:tcW w:w="1072" w:type="dxa"/>
            <w:shd w:val="clear" w:color="auto" w:fill="auto"/>
            <w:noWrap/>
            <w:vAlign w:val="center"/>
            <w:hideMark/>
          </w:tcPr>
          <w:p w14:paraId="13E218D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25</w:t>
            </w:r>
          </w:p>
        </w:tc>
        <w:tc>
          <w:tcPr>
            <w:tcW w:w="1901" w:type="dxa"/>
            <w:vAlign w:val="center"/>
          </w:tcPr>
          <w:p w14:paraId="63E04F2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Autonomous</w:t>
            </w:r>
          </w:p>
        </w:tc>
        <w:tc>
          <w:tcPr>
            <w:tcW w:w="1264" w:type="dxa"/>
            <w:vAlign w:val="center"/>
          </w:tcPr>
          <w:p w14:paraId="2F49F4A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433B377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6E4AF5FC" w14:textId="77777777" w:rsidTr="00DB7B9A">
        <w:trPr>
          <w:gridAfter w:val="1"/>
          <w:wAfter w:w="44" w:type="dxa"/>
          <w:trHeight w:val="20"/>
        </w:trPr>
        <w:tc>
          <w:tcPr>
            <w:tcW w:w="1415" w:type="dxa"/>
            <w:shd w:val="clear" w:color="auto" w:fill="auto"/>
            <w:noWrap/>
            <w:vAlign w:val="center"/>
            <w:hideMark/>
          </w:tcPr>
          <w:p w14:paraId="24A05958" w14:textId="77777777" w:rsidR="00B301B0" w:rsidRPr="00B301B0" w:rsidRDefault="00B301B0" w:rsidP="00B301B0">
            <w:pPr>
              <w:widowControl/>
              <w:overflowPunct/>
              <w:autoSpaceDE/>
              <w:autoSpaceDN/>
              <w:adjustRightInd/>
              <w:rPr>
                <w:color w:val="000000"/>
                <w:kern w:val="0"/>
              </w:rPr>
            </w:pPr>
            <w:r w:rsidRPr="00B301B0">
              <w:rPr>
                <w:color w:val="000000"/>
                <w:kern w:val="0"/>
              </w:rPr>
              <w:t>Lithuania</w:t>
            </w:r>
          </w:p>
        </w:tc>
        <w:tc>
          <w:tcPr>
            <w:tcW w:w="1440" w:type="dxa"/>
            <w:shd w:val="clear" w:color="auto" w:fill="auto"/>
            <w:noWrap/>
            <w:vAlign w:val="center"/>
            <w:hideMark/>
          </w:tcPr>
          <w:p w14:paraId="369051B2" w14:textId="77777777" w:rsidR="00B301B0" w:rsidRPr="00B301B0" w:rsidRDefault="00B301B0" w:rsidP="00B301B0">
            <w:pPr>
              <w:widowControl/>
              <w:overflowPunct/>
              <w:autoSpaceDE/>
              <w:autoSpaceDN/>
              <w:adjustRightInd/>
              <w:rPr>
                <w:color w:val="000000"/>
                <w:kern w:val="0"/>
              </w:rPr>
            </w:pPr>
            <w:r w:rsidRPr="00B301B0">
              <w:rPr>
                <w:color w:val="000000"/>
                <w:kern w:val="0"/>
              </w:rPr>
              <w:t>Denmark</w:t>
            </w:r>
          </w:p>
        </w:tc>
        <w:tc>
          <w:tcPr>
            <w:tcW w:w="0" w:type="auto"/>
            <w:vAlign w:val="center"/>
          </w:tcPr>
          <w:p w14:paraId="599AF380"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287C6D89" w14:textId="77777777" w:rsidR="00B301B0" w:rsidRPr="00B301B0" w:rsidRDefault="00B301B0" w:rsidP="00B301B0">
            <w:pPr>
              <w:widowControl/>
              <w:overflowPunct/>
              <w:autoSpaceDE/>
              <w:autoSpaceDN/>
              <w:adjustRightInd/>
              <w:rPr>
                <w:color w:val="000000"/>
                <w:kern w:val="0"/>
              </w:rPr>
            </w:pPr>
            <w:r w:rsidRPr="00B301B0">
              <w:rPr>
                <w:color w:val="000000"/>
                <w:kern w:val="0"/>
              </w:rPr>
              <w:t>Machinery &amp; Equipment</w:t>
            </w:r>
          </w:p>
        </w:tc>
        <w:tc>
          <w:tcPr>
            <w:tcW w:w="1257" w:type="dxa"/>
            <w:shd w:val="clear" w:color="auto" w:fill="auto"/>
            <w:noWrap/>
            <w:vAlign w:val="center"/>
            <w:hideMark/>
          </w:tcPr>
          <w:p w14:paraId="4882FA2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100</w:t>
            </w:r>
          </w:p>
        </w:tc>
        <w:tc>
          <w:tcPr>
            <w:tcW w:w="1072" w:type="dxa"/>
            <w:shd w:val="clear" w:color="auto" w:fill="auto"/>
            <w:noWrap/>
            <w:vAlign w:val="center"/>
            <w:hideMark/>
          </w:tcPr>
          <w:p w14:paraId="63C3C51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26</w:t>
            </w:r>
          </w:p>
        </w:tc>
        <w:tc>
          <w:tcPr>
            <w:tcW w:w="1901" w:type="dxa"/>
            <w:vAlign w:val="center"/>
          </w:tcPr>
          <w:p w14:paraId="686E020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5F501F6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1FD29FD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775DD481" w14:textId="77777777" w:rsidTr="00DB7B9A">
        <w:trPr>
          <w:gridAfter w:val="1"/>
          <w:wAfter w:w="44" w:type="dxa"/>
          <w:trHeight w:val="20"/>
        </w:trPr>
        <w:tc>
          <w:tcPr>
            <w:tcW w:w="1415" w:type="dxa"/>
            <w:shd w:val="clear" w:color="auto" w:fill="auto"/>
            <w:noWrap/>
            <w:vAlign w:val="center"/>
            <w:hideMark/>
          </w:tcPr>
          <w:p w14:paraId="4CCBC08E" w14:textId="77777777" w:rsidR="00B301B0" w:rsidRPr="00B301B0" w:rsidRDefault="00B301B0" w:rsidP="00B301B0">
            <w:pPr>
              <w:widowControl/>
              <w:overflowPunct/>
              <w:autoSpaceDE/>
              <w:autoSpaceDN/>
              <w:adjustRightInd/>
              <w:rPr>
                <w:color w:val="000000"/>
                <w:kern w:val="0"/>
              </w:rPr>
            </w:pPr>
            <w:r w:rsidRPr="00B301B0">
              <w:rPr>
                <w:color w:val="000000"/>
                <w:kern w:val="0"/>
              </w:rPr>
              <w:t>Lithuania</w:t>
            </w:r>
          </w:p>
        </w:tc>
        <w:tc>
          <w:tcPr>
            <w:tcW w:w="1440" w:type="dxa"/>
            <w:shd w:val="clear" w:color="auto" w:fill="auto"/>
            <w:noWrap/>
            <w:vAlign w:val="center"/>
            <w:hideMark/>
          </w:tcPr>
          <w:p w14:paraId="3FA6D2BD"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0" w:type="auto"/>
            <w:vAlign w:val="center"/>
          </w:tcPr>
          <w:p w14:paraId="7DEF7D9D"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67B2F1E2" w14:textId="77777777" w:rsidR="00B301B0" w:rsidRPr="00B301B0" w:rsidRDefault="00B301B0" w:rsidP="00B301B0">
            <w:pPr>
              <w:widowControl/>
              <w:overflowPunct/>
              <w:autoSpaceDE/>
              <w:autoSpaceDN/>
              <w:adjustRightInd/>
              <w:rPr>
                <w:color w:val="000000"/>
                <w:kern w:val="0"/>
              </w:rPr>
            </w:pPr>
            <w:r w:rsidRPr="00B301B0">
              <w:rPr>
                <w:color w:val="000000"/>
                <w:kern w:val="0"/>
              </w:rPr>
              <w:t>Non-mineral Products</w:t>
            </w:r>
          </w:p>
        </w:tc>
        <w:tc>
          <w:tcPr>
            <w:tcW w:w="1257" w:type="dxa"/>
            <w:shd w:val="clear" w:color="auto" w:fill="auto"/>
            <w:noWrap/>
            <w:vAlign w:val="center"/>
            <w:hideMark/>
          </w:tcPr>
          <w:p w14:paraId="56F6631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58</w:t>
            </w:r>
          </w:p>
        </w:tc>
        <w:tc>
          <w:tcPr>
            <w:tcW w:w="1072" w:type="dxa"/>
            <w:shd w:val="clear" w:color="auto" w:fill="auto"/>
            <w:noWrap/>
            <w:vAlign w:val="center"/>
            <w:hideMark/>
          </w:tcPr>
          <w:p w14:paraId="45432F3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26</w:t>
            </w:r>
          </w:p>
        </w:tc>
        <w:tc>
          <w:tcPr>
            <w:tcW w:w="1901" w:type="dxa"/>
            <w:vAlign w:val="center"/>
          </w:tcPr>
          <w:p w14:paraId="3D77E32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3B51CDD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4C51C0C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6BF8512E" w14:textId="77777777" w:rsidTr="00DB7B9A">
        <w:trPr>
          <w:gridAfter w:val="1"/>
          <w:wAfter w:w="44" w:type="dxa"/>
          <w:trHeight w:val="20"/>
        </w:trPr>
        <w:tc>
          <w:tcPr>
            <w:tcW w:w="1415" w:type="dxa"/>
            <w:shd w:val="clear" w:color="auto" w:fill="auto"/>
            <w:noWrap/>
            <w:vAlign w:val="center"/>
            <w:hideMark/>
          </w:tcPr>
          <w:p w14:paraId="65AE51DF" w14:textId="77777777" w:rsidR="00B301B0" w:rsidRPr="00B301B0" w:rsidRDefault="00B301B0" w:rsidP="00B301B0">
            <w:pPr>
              <w:widowControl/>
              <w:overflowPunct/>
              <w:autoSpaceDE/>
              <w:autoSpaceDN/>
              <w:adjustRightInd/>
              <w:rPr>
                <w:color w:val="000000"/>
                <w:kern w:val="0"/>
              </w:rPr>
            </w:pPr>
            <w:r w:rsidRPr="00B301B0">
              <w:rPr>
                <w:color w:val="000000"/>
                <w:kern w:val="0"/>
              </w:rPr>
              <w:t>Lithuania</w:t>
            </w:r>
          </w:p>
        </w:tc>
        <w:tc>
          <w:tcPr>
            <w:tcW w:w="1440" w:type="dxa"/>
            <w:shd w:val="clear" w:color="auto" w:fill="auto"/>
            <w:noWrap/>
            <w:vAlign w:val="center"/>
            <w:hideMark/>
          </w:tcPr>
          <w:p w14:paraId="6B87BF56" w14:textId="77777777" w:rsidR="00B301B0" w:rsidRPr="00B301B0" w:rsidRDefault="00B301B0" w:rsidP="00B301B0">
            <w:pPr>
              <w:widowControl/>
              <w:overflowPunct/>
              <w:autoSpaceDE/>
              <w:autoSpaceDN/>
              <w:adjustRightInd/>
              <w:rPr>
                <w:color w:val="000000"/>
                <w:kern w:val="0"/>
              </w:rPr>
            </w:pPr>
            <w:r w:rsidRPr="00B301B0">
              <w:rPr>
                <w:color w:val="000000"/>
                <w:kern w:val="0"/>
              </w:rPr>
              <w:t>Sweden</w:t>
            </w:r>
          </w:p>
        </w:tc>
        <w:tc>
          <w:tcPr>
            <w:tcW w:w="0" w:type="auto"/>
            <w:vAlign w:val="center"/>
          </w:tcPr>
          <w:p w14:paraId="51C43296"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6ED59781" w14:textId="77777777" w:rsidR="00B301B0" w:rsidRPr="00B301B0" w:rsidRDefault="00B301B0" w:rsidP="00B301B0">
            <w:pPr>
              <w:widowControl/>
              <w:overflowPunct/>
              <w:autoSpaceDE/>
              <w:autoSpaceDN/>
              <w:adjustRightInd/>
              <w:rPr>
                <w:color w:val="000000"/>
                <w:kern w:val="0"/>
              </w:rPr>
            </w:pPr>
            <w:r w:rsidRPr="00B301B0">
              <w:rPr>
                <w:color w:val="000000"/>
                <w:kern w:val="0"/>
              </w:rPr>
              <w:t>Consumer Food</w:t>
            </w:r>
          </w:p>
        </w:tc>
        <w:tc>
          <w:tcPr>
            <w:tcW w:w="1257" w:type="dxa"/>
            <w:shd w:val="clear" w:color="auto" w:fill="auto"/>
            <w:noWrap/>
            <w:vAlign w:val="center"/>
            <w:hideMark/>
          </w:tcPr>
          <w:p w14:paraId="1322291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50</w:t>
            </w:r>
          </w:p>
        </w:tc>
        <w:tc>
          <w:tcPr>
            <w:tcW w:w="1072" w:type="dxa"/>
            <w:shd w:val="clear" w:color="auto" w:fill="auto"/>
            <w:noWrap/>
            <w:vAlign w:val="center"/>
            <w:hideMark/>
          </w:tcPr>
          <w:p w14:paraId="208F7A0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13</w:t>
            </w:r>
          </w:p>
        </w:tc>
        <w:tc>
          <w:tcPr>
            <w:tcW w:w="1901" w:type="dxa"/>
            <w:vAlign w:val="center"/>
          </w:tcPr>
          <w:p w14:paraId="3B491F2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Autonomous</w:t>
            </w:r>
          </w:p>
        </w:tc>
        <w:tc>
          <w:tcPr>
            <w:tcW w:w="1264" w:type="dxa"/>
            <w:vAlign w:val="center"/>
          </w:tcPr>
          <w:p w14:paraId="7F3C24D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415EC6A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217A5B0D" w14:textId="77777777" w:rsidTr="00DB7B9A">
        <w:trPr>
          <w:gridAfter w:val="1"/>
          <w:wAfter w:w="44" w:type="dxa"/>
          <w:trHeight w:val="20"/>
        </w:trPr>
        <w:tc>
          <w:tcPr>
            <w:tcW w:w="1415" w:type="dxa"/>
            <w:shd w:val="clear" w:color="auto" w:fill="auto"/>
            <w:noWrap/>
            <w:vAlign w:val="center"/>
            <w:hideMark/>
          </w:tcPr>
          <w:p w14:paraId="304F415B" w14:textId="77777777" w:rsidR="00B301B0" w:rsidRPr="00B301B0" w:rsidRDefault="00B301B0" w:rsidP="00B301B0">
            <w:pPr>
              <w:widowControl/>
              <w:overflowPunct/>
              <w:autoSpaceDE/>
              <w:autoSpaceDN/>
              <w:adjustRightInd/>
              <w:rPr>
                <w:color w:val="000000"/>
                <w:kern w:val="0"/>
              </w:rPr>
            </w:pPr>
            <w:r w:rsidRPr="00B301B0">
              <w:rPr>
                <w:color w:val="000000"/>
                <w:kern w:val="0"/>
              </w:rPr>
              <w:t>Lithuania</w:t>
            </w:r>
          </w:p>
        </w:tc>
        <w:tc>
          <w:tcPr>
            <w:tcW w:w="1440" w:type="dxa"/>
            <w:shd w:val="clear" w:color="auto" w:fill="auto"/>
            <w:noWrap/>
            <w:vAlign w:val="center"/>
            <w:hideMark/>
          </w:tcPr>
          <w:p w14:paraId="6B8B0C68" w14:textId="77777777" w:rsidR="00B301B0" w:rsidRPr="00B301B0" w:rsidRDefault="00B301B0" w:rsidP="00B301B0">
            <w:pPr>
              <w:widowControl/>
              <w:overflowPunct/>
              <w:autoSpaceDE/>
              <w:autoSpaceDN/>
              <w:adjustRightInd/>
              <w:rPr>
                <w:color w:val="000000"/>
                <w:kern w:val="0"/>
              </w:rPr>
            </w:pPr>
            <w:r w:rsidRPr="00B301B0">
              <w:rPr>
                <w:color w:val="000000"/>
                <w:kern w:val="0"/>
              </w:rPr>
              <w:t>Finland</w:t>
            </w:r>
          </w:p>
        </w:tc>
        <w:tc>
          <w:tcPr>
            <w:tcW w:w="0" w:type="auto"/>
            <w:vAlign w:val="center"/>
          </w:tcPr>
          <w:p w14:paraId="5067F581"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F423C4A" w14:textId="77777777" w:rsidR="00B301B0" w:rsidRPr="00B301B0" w:rsidRDefault="00B301B0" w:rsidP="00B301B0">
            <w:pPr>
              <w:widowControl/>
              <w:overflowPunct/>
              <w:autoSpaceDE/>
              <w:autoSpaceDN/>
              <w:adjustRightInd/>
              <w:rPr>
                <w:color w:val="000000"/>
                <w:kern w:val="0"/>
              </w:rPr>
            </w:pPr>
            <w:r w:rsidRPr="00B301B0">
              <w:rPr>
                <w:color w:val="000000"/>
                <w:kern w:val="0"/>
              </w:rPr>
              <w:t>Consumer Food</w:t>
            </w:r>
          </w:p>
        </w:tc>
        <w:tc>
          <w:tcPr>
            <w:tcW w:w="1257" w:type="dxa"/>
            <w:shd w:val="clear" w:color="auto" w:fill="auto"/>
            <w:noWrap/>
            <w:vAlign w:val="center"/>
            <w:hideMark/>
          </w:tcPr>
          <w:p w14:paraId="6B0FC85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200</w:t>
            </w:r>
          </w:p>
        </w:tc>
        <w:tc>
          <w:tcPr>
            <w:tcW w:w="1072" w:type="dxa"/>
            <w:shd w:val="clear" w:color="auto" w:fill="auto"/>
            <w:noWrap/>
            <w:vAlign w:val="center"/>
            <w:hideMark/>
          </w:tcPr>
          <w:p w14:paraId="578562D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21</w:t>
            </w:r>
          </w:p>
        </w:tc>
        <w:tc>
          <w:tcPr>
            <w:tcW w:w="1901" w:type="dxa"/>
            <w:vAlign w:val="center"/>
          </w:tcPr>
          <w:p w14:paraId="332D6C4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709EE28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1A64A0D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3C5B4E3D" w14:textId="77777777" w:rsidTr="00DB7B9A">
        <w:trPr>
          <w:gridAfter w:val="1"/>
          <w:wAfter w:w="44" w:type="dxa"/>
          <w:trHeight w:val="20"/>
        </w:trPr>
        <w:tc>
          <w:tcPr>
            <w:tcW w:w="1415" w:type="dxa"/>
            <w:shd w:val="clear" w:color="auto" w:fill="auto"/>
            <w:noWrap/>
            <w:vAlign w:val="center"/>
            <w:hideMark/>
          </w:tcPr>
          <w:p w14:paraId="6E03D57D" w14:textId="77777777" w:rsidR="00B301B0" w:rsidRPr="00B301B0" w:rsidRDefault="00B301B0" w:rsidP="00B301B0">
            <w:pPr>
              <w:widowControl/>
              <w:overflowPunct/>
              <w:autoSpaceDE/>
              <w:autoSpaceDN/>
              <w:adjustRightInd/>
              <w:rPr>
                <w:color w:val="000000"/>
                <w:kern w:val="0"/>
              </w:rPr>
            </w:pPr>
            <w:r w:rsidRPr="00B301B0">
              <w:rPr>
                <w:color w:val="000000"/>
                <w:kern w:val="0"/>
              </w:rPr>
              <w:t>Poland</w:t>
            </w:r>
          </w:p>
        </w:tc>
        <w:tc>
          <w:tcPr>
            <w:tcW w:w="1440" w:type="dxa"/>
            <w:shd w:val="clear" w:color="auto" w:fill="auto"/>
            <w:noWrap/>
            <w:vAlign w:val="center"/>
            <w:hideMark/>
          </w:tcPr>
          <w:p w14:paraId="24221F76" w14:textId="77777777" w:rsidR="00B301B0" w:rsidRPr="00B301B0" w:rsidRDefault="00B301B0" w:rsidP="00B301B0">
            <w:pPr>
              <w:widowControl/>
              <w:overflowPunct/>
              <w:autoSpaceDE/>
              <w:autoSpaceDN/>
              <w:adjustRightInd/>
              <w:rPr>
                <w:color w:val="000000"/>
                <w:kern w:val="0"/>
              </w:rPr>
            </w:pPr>
            <w:r w:rsidRPr="00B301B0">
              <w:rPr>
                <w:color w:val="000000"/>
                <w:kern w:val="0"/>
              </w:rPr>
              <w:t>Japan</w:t>
            </w:r>
          </w:p>
        </w:tc>
        <w:tc>
          <w:tcPr>
            <w:tcW w:w="0" w:type="auto"/>
            <w:vAlign w:val="center"/>
          </w:tcPr>
          <w:p w14:paraId="4C1DBFDE"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2C5684DC" w14:textId="77777777" w:rsidR="00B301B0" w:rsidRPr="00B301B0" w:rsidRDefault="00B301B0" w:rsidP="00B301B0">
            <w:pPr>
              <w:widowControl/>
              <w:overflowPunct/>
              <w:autoSpaceDE/>
              <w:autoSpaceDN/>
              <w:adjustRightInd/>
              <w:rPr>
                <w:color w:val="000000"/>
                <w:kern w:val="0"/>
              </w:rPr>
            </w:pPr>
            <w:r w:rsidRPr="00B301B0">
              <w:rPr>
                <w:color w:val="000000"/>
                <w:kern w:val="0"/>
              </w:rPr>
              <w:t>Electrical Equipment</w:t>
            </w:r>
          </w:p>
        </w:tc>
        <w:tc>
          <w:tcPr>
            <w:tcW w:w="1257" w:type="dxa"/>
            <w:shd w:val="clear" w:color="auto" w:fill="auto"/>
            <w:noWrap/>
            <w:vAlign w:val="center"/>
            <w:hideMark/>
          </w:tcPr>
          <w:p w14:paraId="0E33C44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850</w:t>
            </w:r>
          </w:p>
        </w:tc>
        <w:tc>
          <w:tcPr>
            <w:tcW w:w="1072" w:type="dxa"/>
            <w:shd w:val="clear" w:color="auto" w:fill="auto"/>
            <w:noWrap/>
            <w:vAlign w:val="center"/>
            <w:hideMark/>
          </w:tcPr>
          <w:p w14:paraId="72FD1E1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21</w:t>
            </w:r>
          </w:p>
        </w:tc>
        <w:tc>
          <w:tcPr>
            <w:tcW w:w="1901" w:type="dxa"/>
            <w:vAlign w:val="center"/>
          </w:tcPr>
          <w:p w14:paraId="7378842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71732C6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6A7C447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58A32F4B" w14:textId="77777777" w:rsidTr="00DB7B9A">
        <w:trPr>
          <w:gridAfter w:val="1"/>
          <w:wAfter w:w="44" w:type="dxa"/>
          <w:trHeight w:val="20"/>
        </w:trPr>
        <w:tc>
          <w:tcPr>
            <w:tcW w:w="1415" w:type="dxa"/>
            <w:shd w:val="clear" w:color="auto" w:fill="auto"/>
            <w:noWrap/>
            <w:vAlign w:val="center"/>
            <w:hideMark/>
          </w:tcPr>
          <w:p w14:paraId="15D55F2B" w14:textId="77777777" w:rsidR="00B301B0" w:rsidRPr="00B301B0" w:rsidRDefault="00B301B0" w:rsidP="00B301B0">
            <w:pPr>
              <w:widowControl/>
              <w:overflowPunct/>
              <w:autoSpaceDE/>
              <w:autoSpaceDN/>
              <w:adjustRightInd/>
              <w:rPr>
                <w:color w:val="000000"/>
                <w:kern w:val="0"/>
              </w:rPr>
            </w:pPr>
            <w:r w:rsidRPr="00B301B0">
              <w:rPr>
                <w:color w:val="000000"/>
                <w:kern w:val="0"/>
              </w:rPr>
              <w:t>Poland</w:t>
            </w:r>
          </w:p>
        </w:tc>
        <w:tc>
          <w:tcPr>
            <w:tcW w:w="1440" w:type="dxa"/>
            <w:shd w:val="clear" w:color="auto" w:fill="auto"/>
            <w:noWrap/>
            <w:vAlign w:val="center"/>
            <w:hideMark/>
          </w:tcPr>
          <w:p w14:paraId="35B0A267" w14:textId="77777777" w:rsidR="00B301B0" w:rsidRPr="00B301B0" w:rsidRDefault="00B301B0" w:rsidP="00B301B0">
            <w:pPr>
              <w:widowControl/>
              <w:overflowPunct/>
              <w:autoSpaceDE/>
              <w:autoSpaceDN/>
              <w:adjustRightInd/>
              <w:rPr>
                <w:color w:val="000000"/>
                <w:kern w:val="0"/>
              </w:rPr>
            </w:pPr>
            <w:r w:rsidRPr="00B301B0">
              <w:rPr>
                <w:color w:val="000000"/>
                <w:kern w:val="0"/>
              </w:rPr>
              <w:t>France</w:t>
            </w:r>
          </w:p>
        </w:tc>
        <w:tc>
          <w:tcPr>
            <w:tcW w:w="0" w:type="auto"/>
            <w:vAlign w:val="center"/>
          </w:tcPr>
          <w:p w14:paraId="54532295"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14628DD1" w14:textId="77777777" w:rsidR="00B301B0" w:rsidRPr="00B301B0" w:rsidRDefault="00B301B0" w:rsidP="00B301B0">
            <w:pPr>
              <w:widowControl/>
              <w:overflowPunct/>
              <w:autoSpaceDE/>
              <w:autoSpaceDN/>
              <w:adjustRightInd/>
              <w:rPr>
                <w:color w:val="000000"/>
                <w:kern w:val="0"/>
              </w:rPr>
            </w:pPr>
            <w:r w:rsidRPr="00B301B0">
              <w:rPr>
                <w:color w:val="000000"/>
                <w:kern w:val="0"/>
              </w:rPr>
              <w:t>Non-mineral Products</w:t>
            </w:r>
          </w:p>
        </w:tc>
        <w:tc>
          <w:tcPr>
            <w:tcW w:w="1257" w:type="dxa"/>
            <w:shd w:val="clear" w:color="auto" w:fill="auto"/>
            <w:noWrap/>
            <w:vAlign w:val="center"/>
            <w:hideMark/>
          </w:tcPr>
          <w:p w14:paraId="23E73CA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130</w:t>
            </w:r>
          </w:p>
        </w:tc>
        <w:tc>
          <w:tcPr>
            <w:tcW w:w="1072" w:type="dxa"/>
            <w:shd w:val="clear" w:color="auto" w:fill="auto"/>
            <w:noWrap/>
            <w:vAlign w:val="center"/>
            <w:hideMark/>
          </w:tcPr>
          <w:p w14:paraId="790FAA1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60</w:t>
            </w:r>
          </w:p>
        </w:tc>
        <w:tc>
          <w:tcPr>
            <w:tcW w:w="1901" w:type="dxa"/>
            <w:vAlign w:val="center"/>
          </w:tcPr>
          <w:p w14:paraId="68FC134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Autonomous</w:t>
            </w:r>
          </w:p>
        </w:tc>
        <w:tc>
          <w:tcPr>
            <w:tcW w:w="1264" w:type="dxa"/>
            <w:vAlign w:val="center"/>
          </w:tcPr>
          <w:p w14:paraId="297BB71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0A2C180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51C7B0E9" w14:textId="77777777" w:rsidTr="00DB7B9A">
        <w:trPr>
          <w:gridAfter w:val="1"/>
          <w:wAfter w:w="44" w:type="dxa"/>
          <w:trHeight w:val="20"/>
        </w:trPr>
        <w:tc>
          <w:tcPr>
            <w:tcW w:w="1415" w:type="dxa"/>
            <w:shd w:val="clear" w:color="auto" w:fill="auto"/>
            <w:noWrap/>
            <w:vAlign w:val="center"/>
            <w:hideMark/>
          </w:tcPr>
          <w:p w14:paraId="075A2D29" w14:textId="77777777" w:rsidR="00B301B0" w:rsidRPr="00B301B0" w:rsidRDefault="00B301B0" w:rsidP="00B301B0">
            <w:pPr>
              <w:widowControl/>
              <w:overflowPunct/>
              <w:autoSpaceDE/>
              <w:autoSpaceDN/>
              <w:adjustRightInd/>
              <w:rPr>
                <w:color w:val="000000"/>
                <w:kern w:val="0"/>
              </w:rPr>
            </w:pPr>
            <w:r w:rsidRPr="00B301B0">
              <w:rPr>
                <w:color w:val="000000"/>
                <w:kern w:val="0"/>
              </w:rPr>
              <w:t>Poland</w:t>
            </w:r>
          </w:p>
        </w:tc>
        <w:tc>
          <w:tcPr>
            <w:tcW w:w="1440" w:type="dxa"/>
            <w:shd w:val="clear" w:color="auto" w:fill="auto"/>
            <w:noWrap/>
            <w:vAlign w:val="center"/>
            <w:hideMark/>
          </w:tcPr>
          <w:p w14:paraId="29833A5D"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2A62CBAB"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2B2C1658" w14:textId="77777777" w:rsidR="00B301B0" w:rsidRPr="00B301B0" w:rsidRDefault="00B301B0" w:rsidP="00B301B0">
            <w:pPr>
              <w:widowControl/>
              <w:overflowPunct/>
              <w:autoSpaceDE/>
              <w:autoSpaceDN/>
              <w:adjustRightInd/>
              <w:rPr>
                <w:color w:val="000000"/>
                <w:kern w:val="0"/>
              </w:rPr>
            </w:pPr>
            <w:r w:rsidRPr="00B301B0">
              <w:rPr>
                <w:color w:val="000000"/>
                <w:kern w:val="0"/>
              </w:rPr>
              <w:t>Fabricated Metal Products</w:t>
            </w:r>
          </w:p>
        </w:tc>
        <w:tc>
          <w:tcPr>
            <w:tcW w:w="1257" w:type="dxa"/>
            <w:shd w:val="clear" w:color="auto" w:fill="auto"/>
            <w:noWrap/>
            <w:vAlign w:val="center"/>
            <w:hideMark/>
          </w:tcPr>
          <w:p w14:paraId="556202C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2500</w:t>
            </w:r>
          </w:p>
        </w:tc>
        <w:tc>
          <w:tcPr>
            <w:tcW w:w="1072" w:type="dxa"/>
            <w:shd w:val="clear" w:color="auto" w:fill="auto"/>
            <w:noWrap/>
            <w:vAlign w:val="center"/>
            <w:hideMark/>
          </w:tcPr>
          <w:p w14:paraId="2C11CA8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27</w:t>
            </w:r>
          </w:p>
        </w:tc>
        <w:tc>
          <w:tcPr>
            <w:tcW w:w="1901" w:type="dxa"/>
            <w:vAlign w:val="center"/>
          </w:tcPr>
          <w:p w14:paraId="4193CAB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5DD51D0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53C899F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5673A81F" w14:textId="77777777" w:rsidTr="00DB7B9A">
        <w:trPr>
          <w:gridAfter w:val="1"/>
          <w:wAfter w:w="44" w:type="dxa"/>
          <w:trHeight w:val="20"/>
        </w:trPr>
        <w:tc>
          <w:tcPr>
            <w:tcW w:w="1415" w:type="dxa"/>
            <w:shd w:val="clear" w:color="auto" w:fill="auto"/>
            <w:noWrap/>
            <w:vAlign w:val="center"/>
            <w:hideMark/>
          </w:tcPr>
          <w:p w14:paraId="74DAB11C" w14:textId="77777777" w:rsidR="00B301B0" w:rsidRPr="00B301B0" w:rsidRDefault="00B301B0" w:rsidP="00B301B0">
            <w:pPr>
              <w:widowControl/>
              <w:overflowPunct/>
              <w:autoSpaceDE/>
              <w:autoSpaceDN/>
              <w:adjustRightInd/>
              <w:rPr>
                <w:color w:val="000000"/>
                <w:kern w:val="0"/>
              </w:rPr>
            </w:pPr>
            <w:r w:rsidRPr="00B301B0">
              <w:rPr>
                <w:color w:val="000000"/>
                <w:kern w:val="0"/>
              </w:rPr>
              <w:t>Poland</w:t>
            </w:r>
          </w:p>
        </w:tc>
        <w:tc>
          <w:tcPr>
            <w:tcW w:w="1440" w:type="dxa"/>
            <w:shd w:val="clear" w:color="auto" w:fill="auto"/>
            <w:noWrap/>
            <w:vAlign w:val="center"/>
            <w:hideMark/>
          </w:tcPr>
          <w:p w14:paraId="04C9708B" w14:textId="77777777" w:rsidR="00B301B0" w:rsidRPr="00B301B0" w:rsidRDefault="00B301B0" w:rsidP="00B301B0">
            <w:pPr>
              <w:widowControl/>
              <w:overflowPunct/>
              <w:autoSpaceDE/>
              <w:autoSpaceDN/>
              <w:adjustRightInd/>
              <w:rPr>
                <w:color w:val="000000"/>
                <w:kern w:val="0"/>
              </w:rPr>
            </w:pPr>
            <w:r w:rsidRPr="00B301B0">
              <w:rPr>
                <w:color w:val="000000"/>
                <w:kern w:val="0"/>
              </w:rPr>
              <w:t>USA</w:t>
            </w:r>
          </w:p>
        </w:tc>
        <w:tc>
          <w:tcPr>
            <w:tcW w:w="0" w:type="auto"/>
            <w:vAlign w:val="center"/>
          </w:tcPr>
          <w:p w14:paraId="3EEF313B"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794068C4" w14:textId="77777777" w:rsidR="00B301B0" w:rsidRPr="00B301B0" w:rsidRDefault="00B301B0" w:rsidP="00B301B0">
            <w:pPr>
              <w:widowControl/>
              <w:overflowPunct/>
              <w:autoSpaceDE/>
              <w:autoSpaceDN/>
              <w:adjustRightInd/>
              <w:rPr>
                <w:color w:val="000000"/>
                <w:kern w:val="0"/>
              </w:rPr>
            </w:pPr>
            <w:r w:rsidRPr="00B301B0">
              <w:rPr>
                <w:color w:val="000000"/>
                <w:kern w:val="0"/>
              </w:rPr>
              <w:t>Basic Metals</w:t>
            </w:r>
          </w:p>
        </w:tc>
        <w:tc>
          <w:tcPr>
            <w:tcW w:w="1257" w:type="dxa"/>
            <w:shd w:val="clear" w:color="auto" w:fill="auto"/>
            <w:noWrap/>
            <w:vAlign w:val="center"/>
            <w:hideMark/>
          </w:tcPr>
          <w:p w14:paraId="37001A3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300</w:t>
            </w:r>
          </w:p>
        </w:tc>
        <w:tc>
          <w:tcPr>
            <w:tcW w:w="1072" w:type="dxa"/>
            <w:shd w:val="clear" w:color="auto" w:fill="auto"/>
            <w:noWrap/>
            <w:vAlign w:val="center"/>
            <w:hideMark/>
          </w:tcPr>
          <w:p w14:paraId="19FAA94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25</w:t>
            </w:r>
          </w:p>
        </w:tc>
        <w:tc>
          <w:tcPr>
            <w:tcW w:w="1901" w:type="dxa"/>
            <w:vAlign w:val="center"/>
          </w:tcPr>
          <w:p w14:paraId="403D58A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0C7E86D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6D0791D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4D51F10D" w14:textId="77777777" w:rsidTr="00DB7B9A">
        <w:trPr>
          <w:gridAfter w:val="1"/>
          <w:wAfter w:w="44" w:type="dxa"/>
          <w:trHeight w:val="20"/>
        </w:trPr>
        <w:tc>
          <w:tcPr>
            <w:tcW w:w="1415" w:type="dxa"/>
            <w:shd w:val="clear" w:color="auto" w:fill="auto"/>
            <w:noWrap/>
            <w:vAlign w:val="center"/>
            <w:hideMark/>
          </w:tcPr>
          <w:p w14:paraId="2E058933" w14:textId="77777777" w:rsidR="00B301B0" w:rsidRPr="00B301B0" w:rsidRDefault="00B301B0" w:rsidP="00B301B0">
            <w:pPr>
              <w:widowControl/>
              <w:overflowPunct/>
              <w:autoSpaceDE/>
              <w:autoSpaceDN/>
              <w:adjustRightInd/>
              <w:rPr>
                <w:color w:val="000000"/>
                <w:kern w:val="0"/>
              </w:rPr>
            </w:pPr>
            <w:r w:rsidRPr="00B301B0">
              <w:rPr>
                <w:color w:val="000000"/>
                <w:kern w:val="0"/>
              </w:rPr>
              <w:t>Poland</w:t>
            </w:r>
          </w:p>
        </w:tc>
        <w:tc>
          <w:tcPr>
            <w:tcW w:w="1440" w:type="dxa"/>
            <w:shd w:val="clear" w:color="auto" w:fill="auto"/>
            <w:noWrap/>
            <w:vAlign w:val="center"/>
            <w:hideMark/>
          </w:tcPr>
          <w:p w14:paraId="256D3E7F" w14:textId="77777777" w:rsidR="00B301B0" w:rsidRPr="00B301B0" w:rsidRDefault="00B301B0" w:rsidP="00B301B0">
            <w:pPr>
              <w:widowControl/>
              <w:overflowPunct/>
              <w:autoSpaceDE/>
              <w:autoSpaceDN/>
              <w:adjustRightInd/>
              <w:rPr>
                <w:color w:val="000000"/>
                <w:kern w:val="0"/>
              </w:rPr>
            </w:pPr>
            <w:r w:rsidRPr="00B301B0">
              <w:rPr>
                <w:color w:val="000000"/>
                <w:kern w:val="0"/>
              </w:rPr>
              <w:t>UK</w:t>
            </w:r>
          </w:p>
        </w:tc>
        <w:tc>
          <w:tcPr>
            <w:tcW w:w="0" w:type="auto"/>
            <w:vAlign w:val="center"/>
          </w:tcPr>
          <w:p w14:paraId="6B036739"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7C9BF4C8" w14:textId="77777777" w:rsidR="00B301B0" w:rsidRPr="00B301B0" w:rsidRDefault="00B301B0" w:rsidP="00B301B0">
            <w:pPr>
              <w:widowControl/>
              <w:overflowPunct/>
              <w:autoSpaceDE/>
              <w:autoSpaceDN/>
              <w:adjustRightInd/>
              <w:rPr>
                <w:color w:val="000000"/>
                <w:kern w:val="0"/>
              </w:rPr>
            </w:pPr>
            <w:r w:rsidRPr="00B301B0">
              <w:rPr>
                <w:color w:val="000000"/>
                <w:kern w:val="0"/>
              </w:rPr>
              <w:t>Electronics</w:t>
            </w:r>
          </w:p>
        </w:tc>
        <w:tc>
          <w:tcPr>
            <w:tcW w:w="1257" w:type="dxa"/>
            <w:shd w:val="clear" w:color="auto" w:fill="auto"/>
            <w:noWrap/>
            <w:vAlign w:val="center"/>
            <w:hideMark/>
          </w:tcPr>
          <w:p w14:paraId="060A9F4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400</w:t>
            </w:r>
          </w:p>
        </w:tc>
        <w:tc>
          <w:tcPr>
            <w:tcW w:w="1072" w:type="dxa"/>
            <w:shd w:val="clear" w:color="auto" w:fill="auto"/>
            <w:noWrap/>
            <w:vAlign w:val="center"/>
            <w:hideMark/>
          </w:tcPr>
          <w:p w14:paraId="608C718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24</w:t>
            </w:r>
          </w:p>
        </w:tc>
        <w:tc>
          <w:tcPr>
            <w:tcW w:w="1901" w:type="dxa"/>
            <w:vAlign w:val="center"/>
          </w:tcPr>
          <w:p w14:paraId="06EC3DF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30129C4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55021E5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073DE6BB" w14:textId="77777777" w:rsidTr="00DB7B9A">
        <w:trPr>
          <w:gridAfter w:val="1"/>
          <w:wAfter w:w="44" w:type="dxa"/>
          <w:trHeight w:val="20"/>
        </w:trPr>
        <w:tc>
          <w:tcPr>
            <w:tcW w:w="1415" w:type="dxa"/>
            <w:shd w:val="clear" w:color="auto" w:fill="auto"/>
            <w:noWrap/>
            <w:vAlign w:val="center"/>
            <w:hideMark/>
          </w:tcPr>
          <w:p w14:paraId="5B996194" w14:textId="77777777" w:rsidR="00B301B0" w:rsidRPr="00B301B0" w:rsidRDefault="00B301B0" w:rsidP="00B301B0">
            <w:pPr>
              <w:widowControl/>
              <w:overflowPunct/>
              <w:autoSpaceDE/>
              <w:autoSpaceDN/>
              <w:adjustRightInd/>
              <w:rPr>
                <w:color w:val="000000"/>
                <w:kern w:val="0"/>
              </w:rPr>
            </w:pPr>
            <w:r w:rsidRPr="00B301B0">
              <w:rPr>
                <w:color w:val="000000"/>
                <w:kern w:val="0"/>
              </w:rPr>
              <w:t>Poland</w:t>
            </w:r>
          </w:p>
        </w:tc>
        <w:tc>
          <w:tcPr>
            <w:tcW w:w="1440" w:type="dxa"/>
            <w:shd w:val="clear" w:color="auto" w:fill="auto"/>
            <w:noWrap/>
            <w:vAlign w:val="center"/>
            <w:hideMark/>
          </w:tcPr>
          <w:p w14:paraId="26414D26"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0" w:type="auto"/>
            <w:vAlign w:val="center"/>
          </w:tcPr>
          <w:p w14:paraId="3239713D"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60BA011B" w14:textId="77777777" w:rsidR="00B301B0" w:rsidRPr="00B301B0" w:rsidRDefault="00B301B0" w:rsidP="00B301B0">
            <w:pPr>
              <w:widowControl/>
              <w:overflowPunct/>
              <w:autoSpaceDE/>
              <w:autoSpaceDN/>
              <w:adjustRightInd/>
              <w:rPr>
                <w:color w:val="000000"/>
                <w:kern w:val="0"/>
              </w:rPr>
            </w:pPr>
            <w:r w:rsidRPr="00B301B0">
              <w:rPr>
                <w:color w:val="000000"/>
                <w:kern w:val="0"/>
              </w:rPr>
              <w:t>Electronics</w:t>
            </w:r>
          </w:p>
        </w:tc>
        <w:tc>
          <w:tcPr>
            <w:tcW w:w="1257" w:type="dxa"/>
            <w:shd w:val="clear" w:color="auto" w:fill="auto"/>
            <w:noWrap/>
            <w:vAlign w:val="center"/>
            <w:hideMark/>
          </w:tcPr>
          <w:p w14:paraId="5AC961B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1630</w:t>
            </w:r>
          </w:p>
        </w:tc>
        <w:tc>
          <w:tcPr>
            <w:tcW w:w="1072" w:type="dxa"/>
            <w:shd w:val="clear" w:color="auto" w:fill="auto"/>
            <w:noWrap/>
            <w:vAlign w:val="center"/>
            <w:hideMark/>
          </w:tcPr>
          <w:p w14:paraId="7AB7964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90</w:t>
            </w:r>
          </w:p>
        </w:tc>
        <w:tc>
          <w:tcPr>
            <w:tcW w:w="1901" w:type="dxa"/>
            <w:vAlign w:val="center"/>
          </w:tcPr>
          <w:p w14:paraId="700E17D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67B53CF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2EF1A46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0216CD6A" w14:textId="77777777" w:rsidTr="00DB7B9A">
        <w:trPr>
          <w:gridAfter w:val="1"/>
          <w:wAfter w:w="44" w:type="dxa"/>
          <w:trHeight w:val="20"/>
        </w:trPr>
        <w:tc>
          <w:tcPr>
            <w:tcW w:w="1415" w:type="dxa"/>
            <w:shd w:val="clear" w:color="auto" w:fill="auto"/>
            <w:noWrap/>
            <w:vAlign w:val="center"/>
            <w:hideMark/>
          </w:tcPr>
          <w:p w14:paraId="6CC95472" w14:textId="77777777" w:rsidR="00B301B0" w:rsidRPr="00B301B0" w:rsidRDefault="00B301B0" w:rsidP="00B301B0">
            <w:pPr>
              <w:widowControl/>
              <w:overflowPunct/>
              <w:autoSpaceDE/>
              <w:autoSpaceDN/>
              <w:adjustRightInd/>
              <w:rPr>
                <w:color w:val="000000"/>
                <w:kern w:val="0"/>
              </w:rPr>
            </w:pPr>
            <w:r w:rsidRPr="00B301B0">
              <w:rPr>
                <w:color w:val="000000"/>
                <w:kern w:val="0"/>
              </w:rPr>
              <w:t>Poland</w:t>
            </w:r>
          </w:p>
        </w:tc>
        <w:tc>
          <w:tcPr>
            <w:tcW w:w="1440" w:type="dxa"/>
            <w:shd w:val="clear" w:color="auto" w:fill="auto"/>
            <w:noWrap/>
            <w:vAlign w:val="center"/>
            <w:hideMark/>
          </w:tcPr>
          <w:p w14:paraId="02B98251" w14:textId="77777777" w:rsidR="00B301B0" w:rsidRPr="00B301B0" w:rsidRDefault="00B301B0" w:rsidP="00B301B0">
            <w:pPr>
              <w:widowControl/>
              <w:overflowPunct/>
              <w:autoSpaceDE/>
              <w:autoSpaceDN/>
              <w:adjustRightInd/>
              <w:rPr>
                <w:color w:val="000000"/>
                <w:kern w:val="0"/>
              </w:rPr>
            </w:pPr>
            <w:r w:rsidRPr="00B301B0">
              <w:rPr>
                <w:color w:val="000000"/>
                <w:kern w:val="0"/>
              </w:rPr>
              <w:t>Denmark</w:t>
            </w:r>
          </w:p>
        </w:tc>
        <w:tc>
          <w:tcPr>
            <w:tcW w:w="0" w:type="auto"/>
            <w:vAlign w:val="center"/>
          </w:tcPr>
          <w:p w14:paraId="21C91C4B"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B4F2BEF" w14:textId="77777777" w:rsidR="00B301B0" w:rsidRPr="00B301B0" w:rsidRDefault="00B301B0" w:rsidP="00B301B0">
            <w:pPr>
              <w:widowControl/>
              <w:overflowPunct/>
              <w:autoSpaceDE/>
              <w:autoSpaceDN/>
              <w:adjustRightInd/>
              <w:rPr>
                <w:color w:val="000000"/>
                <w:kern w:val="0"/>
              </w:rPr>
            </w:pPr>
            <w:r w:rsidRPr="00B301B0">
              <w:rPr>
                <w:color w:val="000000"/>
                <w:kern w:val="0"/>
              </w:rPr>
              <w:t>Plastics &amp; Rubber</w:t>
            </w:r>
          </w:p>
        </w:tc>
        <w:tc>
          <w:tcPr>
            <w:tcW w:w="1257" w:type="dxa"/>
            <w:shd w:val="clear" w:color="auto" w:fill="auto"/>
            <w:noWrap/>
            <w:vAlign w:val="center"/>
            <w:hideMark/>
          </w:tcPr>
          <w:p w14:paraId="675553A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300</w:t>
            </w:r>
          </w:p>
        </w:tc>
        <w:tc>
          <w:tcPr>
            <w:tcW w:w="1072" w:type="dxa"/>
            <w:shd w:val="clear" w:color="auto" w:fill="auto"/>
            <w:noWrap/>
            <w:vAlign w:val="center"/>
            <w:hideMark/>
          </w:tcPr>
          <w:p w14:paraId="4F761F3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23</w:t>
            </w:r>
          </w:p>
        </w:tc>
        <w:tc>
          <w:tcPr>
            <w:tcW w:w="1901" w:type="dxa"/>
            <w:vAlign w:val="center"/>
          </w:tcPr>
          <w:p w14:paraId="0198E8D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622826E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3968BC9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112963CF" w14:textId="77777777" w:rsidTr="00DB7B9A">
        <w:trPr>
          <w:gridAfter w:val="1"/>
          <w:wAfter w:w="44" w:type="dxa"/>
          <w:trHeight w:val="20"/>
        </w:trPr>
        <w:tc>
          <w:tcPr>
            <w:tcW w:w="1415" w:type="dxa"/>
            <w:shd w:val="clear" w:color="auto" w:fill="auto"/>
            <w:noWrap/>
            <w:vAlign w:val="center"/>
            <w:hideMark/>
          </w:tcPr>
          <w:p w14:paraId="3FD2FA9A" w14:textId="77777777" w:rsidR="00B301B0" w:rsidRPr="00B301B0" w:rsidRDefault="00B301B0" w:rsidP="00B301B0">
            <w:pPr>
              <w:widowControl/>
              <w:overflowPunct/>
              <w:autoSpaceDE/>
              <w:autoSpaceDN/>
              <w:adjustRightInd/>
              <w:rPr>
                <w:color w:val="000000"/>
                <w:kern w:val="0"/>
              </w:rPr>
            </w:pPr>
            <w:r w:rsidRPr="00B301B0">
              <w:rPr>
                <w:color w:val="000000"/>
                <w:kern w:val="0"/>
              </w:rPr>
              <w:t>Romania</w:t>
            </w:r>
          </w:p>
        </w:tc>
        <w:tc>
          <w:tcPr>
            <w:tcW w:w="1440" w:type="dxa"/>
            <w:shd w:val="clear" w:color="auto" w:fill="auto"/>
            <w:noWrap/>
            <w:vAlign w:val="center"/>
            <w:hideMark/>
          </w:tcPr>
          <w:p w14:paraId="1BE4CE66" w14:textId="77777777" w:rsidR="00B301B0" w:rsidRPr="00B301B0" w:rsidRDefault="00B301B0" w:rsidP="00B301B0">
            <w:pPr>
              <w:widowControl/>
              <w:overflowPunct/>
              <w:autoSpaceDE/>
              <w:autoSpaceDN/>
              <w:adjustRightInd/>
              <w:rPr>
                <w:color w:val="000000"/>
                <w:kern w:val="0"/>
              </w:rPr>
            </w:pPr>
            <w:r w:rsidRPr="00B301B0">
              <w:rPr>
                <w:color w:val="000000"/>
                <w:kern w:val="0"/>
              </w:rPr>
              <w:t>Hungary</w:t>
            </w:r>
          </w:p>
        </w:tc>
        <w:tc>
          <w:tcPr>
            <w:tcW w:w="0" w:type="auto"/>
            <w:vAlign w:val="center"/>
          </w:tcPr>
          <w:p w14:paraId="33CEF17A"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2512A7AB" w14:textId="77777777" w:rsidR="00B301B0" w:rsidRPr="00B301B0" w:rsidRDefault="00B301B0" w:rsidP="00B301B0">
            <w:pPr>
              <w:widowControl/>
              <w:overflowPunct/>
              <w:autoSpaceDE/>
              <w:autoSpaceDN/>
              <w:adjustRightInd/>
              <w:rPr>
                <w:color w:val="000000"/>
                <w:kern w:val="0"/>
              </w:rPr>
            </w:pPr>
            <w:r w:rsidRPr="00B301B0">
              <w:rPr>
                <w:color w:val="000000"/>
                <w:kern w:val="0"/>
              </w:rPr>
              <w:t>Other Manufacturing</w:t>
            </w:r>
          </w:p>
        </w:tc>
        <w:tc>
          <w:tcPr>
            <w:tcW w:w="1257" w:type="dxa"/>
            <w:shd w:val="clear" w:color="auto" w:fill="auto"/>
            <w:noWrap/>
            <w:vAlign w:val="center"/>
            <w:hideMark/>
          </w:tcPr>
          <w:p w14:paraId="57B7167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76</w:t>
            </w:r>
          </w:p>
        </w:tc>
        <w:tc>
          <w:tcPr>
            <w:tcW w:w="1072" w:type="dxa"/>
            <w:shd w:val="clear" w:color="auto" w:fill="auto"/>
            <w:noWrap/>
            <w:vAlign w:val="center"/>
            <w:hideMark/>
          </w:tcPr>
          <w:p w14:paraId="25E6FC0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21</w:t>
            </w:r>
          </w:p>
        </w:tc>
        <w:tc>
          <w:tcPr>
            <w:tcW w:w="1901" w:type="dxa"/>
            <w:vAlign w:val="center"/>
          </w:tcPr>
          <w:p w14:paraId="295E5B2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23DAAD4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1736175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09B442AD" w14:textId="77777777" w:rsidTr="00DB7B9A">
        <w:trPr>
          <w:gridAfter w:val="1"/>
          <w:wAfter w:w="44" w:type="dxa"/>
          <w:trHeight w:val="20"/>
        </w:trPr>
        <w:tc>
          <w:tcPr>
            <w:tcW w:w="1415" w:type="dxa"/>
            <w:shd w:val="clear" w:color="auto" w:fill="auto"/>
            <w:noWrap/>
            <w:vAlign w:val="center"/>
            <w:hideMark/>
          </w:tcPr>
          <w:p w14:paraId="7BE6A675" w14:textId="77777777" w:rsidR="00B301B0" w:rsidRPr="00B301B0" w:rsidRDefault="00B301B0" w:rsidP="00B301B0">
            <w:pPr>
              <w:widowControl/>
              <w:overflowPunct/>
              <w:autoSpaceDE/>
              <w:autoSpaceDN/>
              <w:adjustRightInd/>
              <w:rPr>
                <w:color w:val="000000"/>
                <w:kern w:val="0"/>
              </w:rPr>
            </w:pPr>
            <w:r w:rsidRPr="00B301B0">
              <w:rPr>
                <w:color w:val="000000"/>
                <w:kern w:val="0"/>
              </w:rPr>
              <w:t>Romania</w:t>
            </w:r>
          </w:p>
        </w:tc>
        <w:tc>
          <w:tcPr>
            <w:tcW w:w="1440" w:type="dxa"/>
            <w:shd w:val="clear" w:color="auto" w:fill="auto"/>
            <w:noWrap/>
            <w:vAlign w:val="center"/>
            <w:hideMark/>
          </w:tcPr>
          <w:p w14:paraId="5A8CC16D" w14:textId="77777777" w:rsidR="00B301B0" w:rsidRPr="00B301B0" w:rsidRDefault="00B301B0" w:rsidP="00B301B0">
            <w:pPr>
              <w:widowControl/>
              <w:overflowPunct/>
              <w:autoSpaceDE/>
              <w:autoSpaceDN/>
              <w:adjustRightInd/>
              <w:rPr>
                <w:color w:val="000000"/>
                <w:kern w:val="0"/>
              </w:rPr>
            </w:pPr>
            <w:r w:rsidRPr="00B301B0">
              <w:rPr>
                <w:color w:val="000000"/>
                <w:kern w:val="0"/>
              </w:rPr>
              <w:t>Netherlands</w:t>
            </w:r>
          </w:p>
        </w:tc>
        <w:tc>
          <w:tcPr>
            <w:tcW w:w="0" w:type="auto"/>
            <w:vAlign w:val="center"/>
          </w:tcPr>
          <w:p w14:paraId="64E5543A"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CDD28E9" w14:textId="77777777" w:rsidR="00B301B0" w:rsidRPr="00B301B0" w:rsidRDefault="00B301B0" w:rsidP="00B301B0">
            <w:pPr>
              <w:widowControl/>
              <w:overflowPunct/>
              <w:autoSpaceDE/>
              <w:autoSpaceDN/>
              <w:adjustRightInd/>
              <w:rPr>
                <w:color w:val="000000"/>
                <w:kern w:val="0"/>
              </w:rPr>
            </w:pPr>
            <w:r w:rsidRPr="00B301B0">
              <w:rPr>
                <w:color w:val="000000"/>
                <w:kern w:val="0"/>
              </w:rPr>
              <w:t>Textiles</w:t>
            </w:r>
          </w:p>
        </w:tc>
        <w:tc>
          <w:tcPr>
            <w:tcW w:w="1257" w:type="dxa"/>
            <w:shd w:val="clear" w:color="auto" w:fill="auto"/>
            <w:noWrap/>
            <w:vAlign w:val="center"/>
            <w:hideMark/>
          </w:tcPr>
          <w:p w14:paraId="5B77457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67</w:t>
            </w:r>
          </w:p>
        </w:tc>
        <w:tc>
          <w:tcPr>
            <w:tcW w:w="1072" w:type="dxa"/>
            <w:shd w:val="clear" w:color="auto" w:fill="auto"/>
            <w:noWrap/>
            <w:vAlign w:val="center"/>
            <w:hideMark/>
          </w:tcPr>
          <w:p w14:paraId="09AFCEE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20</w:t>
            </w:r>
          </w:p>
        </w:tc>
        <w:tc>
          <w:tcPr>
            <w:tcW w:w="1901" w:type="dxa"/>
            <w:vAlign w:val="center"/>
          </w:tcPr>
          <w:p w14:paraId="38A0448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777126F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4AF08F3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25D51C88" w14:textId="77777777" w:rsidTr="00DB7B9A">
        <w:trPr>
          <w:gridAfter w:val="1"/>
          <w:wAfter w:w="44" w:type="dxa"/>
          <w:trHeight w:val="20"/>
        </w:trPr>
        <w:tc>
          <w:tcPr>
            <w:tcW w:w="1415" w:type="dxa"/>
            <w:shd w:val="clear" w:color="auto" w:fill="auto"/>
            <w:noWrap/>
            <w:vAlign w:val="center"/>
            <w:hideMark/>
          </w:tcPr>
          <w:p w14:paraId="636E91B4" w14:textId="77777777" w:rsidR="00B301B0" w:rsidRPr="00B301B0" w:rsidRDefault="00B301B0" w:rsidP="00B301B0">
            <w:pPr>
              <w:widowControl/>
              <w:overflowPunct/>
              <w:autoSpaceDE/>
              <w:autoSpaceDN/>
              <w:adjustRightInd/>
              <w:rPr>
                <w:color w:val="000000"/>
                <w:kern w:val="0"/>
              </w:rPr>
            </w:pPr>
            <w:r w:rsidRPr="00B301B0">
              <w:rPr>
                <w:color w:val="000000"/>
                <w:kern w:val="0"/>
              </w:rPr>
              <w:t>Romania</w:t>
            </w:r>
          </w:p>
        </w:tc>
        <w:tc>
          <w:tcPr>
            <w:tcW w:w="1440" w:type="dxa"/>
            <w:shd w:val="clear" w:color="auto" w:fill="auto"/>
            <w:noWrap/>
            <w:vAlign w:val="center"/>
            <w:hideMark/>
          </w:tcPr>
          <w:p w14:paraId="23D8A2B3"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0" w:type="auto"/>
            <w:vAlign w:val="center"/>
          </w:tcPr>
          <w:p w14:paraId="48E66D9E"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B080FE7" w14:textId="77777777" w:rsidR="00B301B0" w:rsidRPr="00B301B0" w:rsidRDefault="00B301B0" w:rsidP="00B301B0">
            <w:pPr>
              <w:widowControl/>
              <w:overflowPunct/>
              <w:autoSpaceDE/>
              <w:autoSpaceDN/>
              <w:adjustRightInd/>
              <w:rPr>
                <w:color w:val="000000"/>
                <w:kern w:val="0"/>
              </w:rPr>
            </w:pPr>
            <w:r w:rsidRPr="00B301B0">
              <w:rPr>
                <w:color w:val="000000"/>
                <w:kern w:val="0"/>
              </w:rPr>
              <w:t>Fabricated Metal Products</w:t>
            </w:r>
          </w:p>
        </w:tc>
        <w:tc>
          <w:tcPr>
            <w:tcW w:w="1257" w:type="dxa"/>
            <w:shd w:val="clear" w:color="auto" w:fill="auto"/>
            <w:noWrap/>
            <w:vAlign w:val="center"/>
            <w:hideMark/>
          </w:tcPr>
          <w:p w14:paraId="0F56F20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200</w:t>
            </w:r>
          </w:p>
        </w:tc>
        <w:tc>
          <w:tcPr>
            <w:tcW w:w="1072" w:type="dxa"/>
            <w:shd w:val="clear" w:color="auto" w:fill="auto"/>
            <w:noWrap/>
            <w:vAlign w:val="center"/>
            <w:hideMark/>
          </w:tcPr>
          <w:p w14:paraId="158FB99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w:t>
            </w:r>
          </w:p>
        </w:tc>
        <w:tc>
          <w:tcPr>
            <w:tcW w:w="1901" w:type="dxa"/>
            <w:vAlign w:val="center"/>
          </w:tcPr>
          <w:p w14:paraId="45D0389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Controlled</w:t>
            </w:r>
          </w:p>
        </w:tc>
        <w:tc>
          <w:tcPr>
            <w:tcW w:w="1264" w:type="dxa"/>
            <w:vAlign w:val="center"/>
          </w:tcPr>
          <w:p w14:paraId="6017C50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0AEF9FE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63C6F02C" w14:textId="77777777" w:rsidTr="00DB7B9A">
        <w:trPr>
          <w:gridAfter w:val="1"/>
          <w:wAfter w:w="44" w:type="dxa"/>
          <w:trHeight w:val="20"/>
        </w:trPr>
        <w:tc>
          <w:tcPr>
            <w:tcW w:w="1415" w:type="dxa"/>
            <w:shd w:val="clear" w:color="auto" w:fill="auto"/>
            <w:noWrap/>
            <w:vAlign w:val="center"/>
            <w:hideMark/>
          </w:tcPr>
          <w:p w14:paraId="7BB4642B" w14:textId="77777777" w:rsidR="00B301B0" w:rsidRPr="00B301B0" w:rsidRDefault="00B301B0" w:rsidP="00B301B0">
            <w:pPr>
              <w:widowControl/>
              <w:overflowPunct/>
              <w:autoSpaceDE/>
              <w:autoSpaceDN/>
              <w:adjustRightInd/>
              <w:rPr>
                <w:color w:val="000000"/>
                <w:kern w:val="0"/>
              </w:rPr>
            </w:pPr>
            <w:r w:rsidRPr="00B301B0">
              <w:rPr>
                <w:color w:val="000000"/>
                <w:kern w:val="0"/>
              </w:rPr>
              <w:t>Romania</w:t>
            </w:r>
          </w:p>
        </w:tc>
        <w:tc>
          <w:tcPr>
            <w:tcW w:w="1440" w:type="dxa"/>
            <w:shd w:val="clear" w:color="auto" w:fill="auto"/>
            <w:noWrap/>
            <w:vAlign w:val="center"/>
            <w:hideMark/>
          </w:tcPr>
          <w:p w14:paraId="5273D2DC" w14:textId="77777777" w:rsidR="00B301B0" w:rsidRPr="00B301B0" w:rsidRDefault="00B301B0" w:rsidP="00B301B0">
            <w:pPr>
              <w:widowControl/>
              <w:overflowPunct/>
              <w:autoSpaceDE/>
              <w:autoSpaceDN/>
              <w:adjustRightInd/>
              <w:rPr>
                <w:color w:val="000000"/>
                <w:kern w:val="0"/>
              </w:rPr>
            </w:pPr>
            <w:r w:rsidRPr="00B301B0">
              <w:rPr>
                <w:color w:val="000000"/>
                <w:kern w:val="0"/>
              </w:rPr>
              <w:t>Netherlands</w:t>
            </w:r>
          </w:p>
        </w:tc>
        <w:tc>
          <w:tcPr>
            <w:tcW w:w="0" w:type="auto"/>
            <w:vAlign w:val="center"/>
          </w:tcPr>
          <w:p w14:paraId="406D2AE6"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7137F64" w14:textId="77777777" w:rsidR="00B301B0" w:rsidRPr="00B301B0" w:rsidRDefault="00B301B0" w:rsidP="00B301B0">
            <w:pPr>
              <w:widowControl/>
              <w:overflowPunct/>
              <w:autoSpaceDE/>
              <w:autoSpaceDN/>
              <w:adjustRightInd/>
              <w:rPr>
                <w:color w:val="000000"/>
                <w:kern w:val="0"/>
              </w:rPr>
            </w:pPr>
            <w:r w:rsidRPr="00B301B0">
              <w:rPr>
                <w:color w:val="000000"/>
                <w:kern w:val="0"/>
              </w:rPr>
              <w:t>Consumer Food</w:t>
            </w:r>
          </w:p>
        </w:tc>
        <w:tc>
          <w:tcPr>
            <w:tcW w:w="1257" w:type="dxa"/>
            <w:shd w:val="clear" w:color="auto" w:fill="auto"/>
            <w:noWrap/>
            <w:vAlign w:val="center"/>
            <w:hideMark/>
          </w:tcPr>
          <w:p w14:paraId="020ADDE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50</w:t>
            </w:r>
          </w:p>
        </w:tc>
        <w:tc>
          <w:tcPr>
            <w:tcW w:w="1072" w:type="dxa"/>
            <w:shd w:val="clear" w:color="auto" w:fill="auto"/>
            <w:noWrap/>
            <w:vAlign w:val="center"/>
            <w:hideMark/>
          </w:tcPr>
          <w:p w14:paraId="75EF675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15</w:t>
            </w:r>
          </w:p>
        </w:tc>
        <w:tc>
          <w:tcPr>
            <w:tcW w:w="1901" w:type="dxa"/>
            <w:vAlign w:val="center"/>
          </w:tcPr>
          <w:p w14:paraId="7C5D5E6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24FCBEA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0F2A45D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7706E832" w14:textId="77777777" w:rsidTr="00DB7B9A">
        <w:trPr>
          <w:gridAfter w:val="1"/>
          <w:wAfter w:w="44" w:type="dxa"/>
          <w:trHeight w:val="20"/>
        </w:trPr>
        <w:tc>
          <w:tcPr>
            <w:tcW w:w="1415" w:type="dxa"/>
            <w:shd w:val="clear" w:color="auto" w:fill="auto"/>
            <w:noWrap/>
            <w:vAlign w:val="center"/>
            <w:hideMark/>
          </w:tcPr>
          <w:p w14:paraId="61F8AD5C" w14:textId="77777777" w:rsidR="00B301B0" w:rsidRPr="00B301B0" w:rsidRDefault="00B301B0" w:rsidP="00B301B0">
            <w:pPr>
              <w:widowControl/>
              <w:overflowPunct/>
              <w:autoSpaceDE/>
              <w:autoSpaceDN/>
              <w:adjustRightInd/>
              <w:rPr>
                <w:color w:val="000000"/>
                <w:kern w:val="0"/>
              </w:rPr>
            </w:pPr>
            <w:r w:rsidRPr="00B301B0">
              <w:rPr>
                <w:color w:val="000000"/>
                <w:kern w:val="0"/>
              </w:rPr>
              <w:t>Romania</w:t>
            </w:r>
          </w:p>
        </w:tc>
        <w:tc>
          <w:tcPr>
            <w:tcW w:w="1440" w:type="dxa"/>
            <w:shd w:val="clear" w:color="auto" w:fill="auto"/>
            <w:noWrap/>
            <w:vAlign w:val="center"/>
            <w:hideMark/>
          </w:tcPr>
          <w:p w14:paraId="1C1F9969" w14:textId="77777777" w:rsidR="00B301B0" w:rsidRPr="00B301B0" w:rsidRDefault="00B301B0" w:rsidP="00B301B0">
            <w:pPr>
              <w:widowControl/>
              <w:overflowPunct/>
              <w:autoSpaceDE/>
              <w:autoSpaceDN/>
              <w:adjustRightInd/>
              <w:rPr>
                <w:color w:val="000000"/>
                <w:kern w:val="0"/>
              </w:rPr>
            </w:pPr>
            <w:r w:rsidRPr="00B301B0">
              <w:rPr>
                <w:color w:val="000000"/>
                <w:kern w:val="0"/>
              </w:rPr>
              <w:t>Hungary</w:t>
            </w:r>
          </w:p>
        </w:tc>
        <w:tc>
          <w:tcPr>
            <w:tcW w:w="0" w:type="auto"/>
            <w:vAlign w:val="center"/>
          </w:tcPr>
          <w:p w14:paraId="034D15B5"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F467BF3" w14:textId="77777777" w:rsidR="00B301B0" w:rsidRPr="00B301B0" w:rsidRDefault="00B301B0" w:rsidP="00B301B0">
            <w:pPr>
              <w:widowControl/>
              <w:overflowPunct/>
              <w:autoSpaceDE/>
              <w:autoSpaceDN/>
              <w:adjustRightInd/>
              <w:rPr>
                <w:color w:val="000000"/>
                <w:kern w:val="0"/>
              </w:rPr>
            </w:pPr>
            <w:r w:rsidRPr="00B301B0">
              <w:rPr>
                <w:color w:val="000000"/>
                <w:kern w:val="0"/>
              </w:rPr>
              <w:t>Plastics &amp; Rubber</w:t>
            </w:r>
          </w:p>
        </w:tc>
        <w:tc>
          <w:tcPr>
            <w:tcW w:w="1257" w:type="dxa"/>
            <w:shd w:val="clear" w:color="auto" w:fill="auto"/>
            <w:noWrap/>
            <w:vAlign w:val="center"/>
            <w:hideMark/>
          </w:tcPr>
          <w:p w14:paraId="0E0DDFC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248</w:t>
            </w:r>
          </w:p>
        </w:tc>
        <w:tc>
          <w:tcPr>
            <w:tcW w:w="1072" w:type="dxa"/>
            <w:shd w:val="clear" w:color="auto" w:fill="auto"/>
            <w:noWrap/>
            <w:vAlign w:val="center"/>
            <w:hideMark/>
          </w:tcPr>
          <w:p w14:paraId="454F0FF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w:t>
            </w:r>
          </w:p>
        </w:tc>
        <w:tc>
          <w:tcPr>
            <w:tcW w:w="1901" w:type="dxa"/>
            <w:vAlign w:val="center"/>
          </w:tcPr>
          <w:p w14:paraId="052355F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Autonomous</w:t>
            </w:r>
          </w:p>
        </w:tc>
        <w:tc>
          <w:tcPr>
            <w:tcW w:w="1264" w:type="dxa"/>
            <w:vAlign w:val="center"/>
          </w:tcPr>
          <w:p w14:paraId="37A4934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3FB3FD3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07AC7100" w14:textId="77777777" w:rsidTr="00DB7B9A">
        <w:trPr>
          <w:gridAfter w:val="1"/>
          <w:wAfter w:w="44" w:type="dxa"/>
          <w:trHeight w:val="20"/>
        </w:trPr>
        <w:tc>
          <w:tcPr>
            <w:tcW w:w="1415" w:type="dxa"/>
            <w:shd w:val="clear" w:color="auto" w:fill="auto"/>
            <w:noWrap/>
            <w:vAlign w:val="center"/>
            <w:hideMark/>
          </w:tcPr>
          <w:p w14:paraId="5F06BA9A" w14:textId="77777777" w:rsidR="00B301B0" w:rsidRPr="00B301B0" w:rsidRDefault="00B301B0" w:rsidP="00B301B0">
            <w:pPr>
              <w:widowControl/>
              <w:overflowPunct/>
              <w:autoSpaceDE/>
              <w:autoSpaceDN/>
              <w:adjustRightInd/>
              <w:rPr>
                <w:color w:val="000000"/>
                <w:kern w:val="0"/>
              </w:rPr>
            </w:pPr>
            <w:r w:rsidRPr="00B301B0">
              <w:rPr>
                <w:color w:val="000000"/>
                <w:kern w:val="0"/>
              </w:rPr>
              <w:t>Russia</w:t>
            </w:r>
          </w:p>
        </w:tc>
        <w:tc>
          <w:tcPr>
            <w:tcW w:w="1440" w:type="dxa"/>
            <w:shd w:val="clear" w:color="auto" w:fill="auto"/>
            <w:noWrap/>
            <w:vAlign w:val="center"/>
            <w:hideMark/>
          </w:tcPr>
          <w:p w14:paraId="20318A47"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0" w:type="auto"/>
            <w:vAlign w:val="center"/>
          </w:tcPr>
          <w:p w14:paraId="27928196"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3A822F62" w14:textId="77777777" w:rsidR="00B301B0" w:rsidRPr="00B301B0" w:rsidRDefault="00B301B0" w:rsidP="00B301B0">
            <w:pPr>
              <w:widowControl/>
              <w:overflowPunct/>
              <w:autoSpaceDE/>
              <w:autoSpaceDN/>
              <w:adjustRightInd/>
              <w:rPr>
                <w:color w:val="000000"/>
                <w:kern w:val="0"/>
              </w:rPr>
            </w:pPr>
            <w:r w:rsidRPr="00B301B0">
              <w:rPr>
                <w:color w:val="000000"/>
                <w:kern w:val="0"/>
              </w:rPr>
              <w:t>Fabricated Metal Products</w:t>
            </w:r>
          </w:p>
        </w:tc>
        <w:tc>
          <w:tcPr>
            <w:tcW w:w="1257" w:type="dxa"/>
            <w:shd w:val="clear" w:color="auto" w:fill="auto"/>
            <w:noWrap/>
            <w:vAlign w:val="center"/>
            <w:hideMark/>
          </w:tcPr>
          <w:p w14:paraId="2F609EE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262</w:t>
            </w:r>
          </w:p>
        </w:tc>
        <w:tc>
          <w:tcPr>
            <w:tcW w:w="1072" w:type="dxa"/>
            <w:shd w:val="clear" w:color="auto" w:fill="auto"/>
            <w:noWrap/>
            <w:vAlign w:val="center"/>
            <w:hideMark/>
          </w:tcPr>
          <w:p w14:paraId="28BD487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19</w:t>
            </w:r>
          </w:p>
        </w:tc>
        <w:tc>
          <w:tcPr>
            <w:tcW w:w="1901" w:type="dxa"/>
            <w:vAlign w:val="center"/>
          </w:tcPr>
          <w:p w14:paraId="009174F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6741E87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6681412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04D3B6BE" w14:textId="77777777" w:rsidTr="00DB7B9A">
        <w:trPr>
          <w:gridAfter w:val="1"/>
          <w:wAfter w:w="44" w:type="dxa"/>
          <w:trHeight w:val="20"/>
        </w:trPr>
        <w:tc>
          <w:tcPr>
            <w:tcW w:w="1415" w:type="dxa"/>
            <w:shd w:val="clear" w:color="auto" w:fill="auto"/>
            <w:noWrap/>
            <w:vAlign w:val="center"/>
            <w:hideMark/>
          </w:tcPr>
          <w:p w14:paraId="7D77B096" w14:textId="77777777" w:rsidR="00B301B0" w:rsidRPr="00B301B0" w:rsidRDefault="00B301B0" w:rsidP="00B301B0">
            <w:pPr>
              <w:widowControl/>
              <w:overflowPunct/>
              <w:autoSpaceDE/>
              <w:autoSpaceDN/>
              <w:adjustRightInd/>
              <w:rPr>
                <w:color w:val="000000"/>
                <w:kern w:val="0"/>
              </w:rPr>
            </w:pPr>
            <w:r w:rsidRPr="00B301B0">
              <w:rPr>
                <w:color w:val="000000"/>
                <w:kern w:val="0"/>
              </w:rPr>
              <w:t>Russia</w:t>
            </w:r>
          </w:p>
        </w:tc>
        <w:tc>
          <w:tcPr>
            <w:tcW w:w="1440" w:type="dxa"/>
            <w:shd w:val="clear" w:color="auto" w:fill="auto"/>
            <w:noWrap/>
            <w:vAlign w:val="center"/>
            <w:hideMark/>
          </w:tcPr>
          <w:p w14:paraId="73BE7568"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0" w:type="auto"/>
            <w:vAlign w:val="center"/>
          </w:tcPr>
          <w:p w14:paraId="6CAB0DFD"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7944A2CF" w14:textId="77777777" w:rsidR="00B301B0" w:rsidRPr="00B301B0" w:rsidRDefault="00B301B0" w:rsidP="00B301B0">
            <w:pPr>
              <w:widowControl/>
              <w:overflowPunct/>
              <w:autoSpaceDE/>
              <w:autoSpaceDN/>
              <w:adjustRightInd/>
              <w:rPr>
                <w:color w:val="000000"/>
                <w:kern w:val="0"/>
              </w:rPr>
            </w:pPr>
            <w:r w:rsidRPr="00B301B0">
              <w:rPr>
                <w:color w:val="000000"/>
                <w:kern w:val="0"/>
              </w:rPr>
              <w:t>Fabricated Metal Products</w:t>
            </w:r>
          </w:p>
        </w:tc>
        <w:tc>
          <w:tcPr>
            <w:tcW w:w="1257" w:type="dxa"/>
            <w:shd w:val="clear" w:color="auto" w:fill="auto"/>
            <w:noWrap/>
            <w:vAlign w:val="center"/>
            <w:hideMark/>
          </w:tcPr>
          <w:p w14:paraId="5926E1C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358</w:t>
            </w:r>
          </w:p>
        </w:tc>
        <w:tc>
          <w:tcPr>
            <w:tcW w:w="1072" w:type="dxa"/>
            <w:shd w:val="clear" w:color="auto" w:fill="auto"/>
            <w:noWrap/>
            <w:vAlign w:val="center"/>
            <w:hideMark/>
          </w:tcPr>
          <w:p w14:paraId="43B1400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18</w:t>
            </w:r>
          </w:p>
        </w:tc>
        <w:tc>
          <w:tcPr>
            <w:tcW w:w="1901" w:type="dxa"/>
            <w:vAlign w:val="center"/>
          </w:tcPr>
          <w:p w14:paraId="01F21C1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402D80F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2CBA5EC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37D06317" w14:textId="77777777" w:rsidTr="00DB7B9A">
        <w:trPr>
          <w:gridAfter w:val="1"/>
          <w:wAfter w:w="44" w:type="dxa"/>
          <w:trHeight w:val="20"/>
        </w:trPr>
        <w:tc>
          <w:tcPr>
            <w:tcW w:w="1415" w:type="dxa"/>
            <w:shd w:val="clear" w:color="auto" w:fill="auto"/>
            <w:noWrap/>
            <w:vAlign w:val="center"/>
            <w:hideMark/>
          </w:tcPr>
          <w:p w14:paraId="49164973" w14:textId="77777777" w:rsidR="00B301B0" w:rsidRPr="00B301B0" w:rsidRDefault="00B301B0" w:rsidP="00B301B0">
            <w:pPr>
              <w:widowControl/>
              <w:overflowPunct/>
              <w:autoSpaceDE/>
              <w:autoSpaceDN/>
              <w:adjustRightInd/>
              <w:rPr>
                <w:color w:val="000000"/>
                <w:kern w:val="0"/>
              </w:rPr>
            </w:pPr>
            <w:r w:rsidRPr="00B301B0">
              <w:rPr>
                <w:color w:val="000000"/>
                <w:kern w:val="0"/>
              </w:rPr>
              <w:t>Russia</w:t>
            </w:r>
          </w:p>
        </w:tc>
        <w:tc>
          <w:tcPr>
            <w:tcW w:w="1440" w:type="dxa"/>
            <w:shd w:val="clear" w:color="auto" w:fill="auto"/>
            <w:noWrap/>
            <w:vAlign w:val="center"/>
            <w:hideMark/>
          </w:tcPr>
          <w:p w14:paraId="770CA3FB" w14:textId="77777777" w:rsidR="00B301B0" w:rsidRPr="00B301B0" w:rsidRDefault="00B301B0" w:rsidP="00B301B0">
            <w:pPr>
              <w:widowControl/>
              <w:overflowPunct/>
              <w:autoSpaceDE/>
              <w:autoSpaceDN/>
              <w:adjustRightInd/>
              <w:rPr>
                <w:color w:val="000000"/>
                <w:kern w:val="0"/>
              </w:rPr>
            </w:pPr>
            <w:r w:rsidRPr="00B301B0">
              <w:rPr>
                <w:color w:val="000000"/>
                <w:kern w:val="0"/>
              </w:rPr>
              <w:t>Finland</w:t>
            </w:r>
          </w:p>
        </w:tc>
        <w:tc>
          <w:tcPr>
            <w:tcW w:w="0" w:type="auto"/>
            <w:vAlign w:val="center"/>
          </w:tcPr>
          <w:p w14:paraId="3AFBC0E8"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67244D56" w14:textId="77777777" w:rsidR="00B301B0" w:rsidRPr="00B301B0" w:rsidRDefault="00B301B0" w:rsidP="00B301B0">
            <w:pPr>
              <w:widowControl/>
              <w:overflowPunct/>
              <w:autoSpaceDE/>
              <w:autoSpaceDN/>
              <w:adjustRightInd/>
              <w:rPr>
                <w:color w:val="000000"/>
                <w:kern w:val="0"/>
              </w:rPr>
            </w:pPr>
            <w:r w:rsidRPr="00B301B0">
              <w:rPr>
                <w:color w:val="000000"/>
                <w:kern w:val="0"/>
              </w:rPr>
              <w:t>Chemicals</w:t>
            </w:r>
          </w:p>
        </w:tc>
        <w:tc>
          <w:tcPr>
            <w:tcW w:w="1257" w:type="dxa"/>
            <w:shd w:val="clear" w:color="auto" w:fill="auto"/>
            <w:noWrap/>
            <w:vAlign w:val="center"/>
            <w:hideMark/>
          </w:tcPr>
          <w:p w14:paraId="76B7B9E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237</w:t>
            </w:r>
          </w:p>
        </w:tc>
        <w:tc>
          <w:tcPr>
            <w:tcW w:w="1072" w:type="dxa"/>
            <w:shd w:val="clear" w:color="auto" w:fill="auto"/>
            <w:noWrap/>
            <w:vAlign w:val="center"/>
            <w:hideMark/>
          </w:tcPr>
          <w:p w14:paraId="0163AEB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20</w:t>
            </w:r>
          </w:p>
        </w:tc>
        <w:tc>
          <w:tcPr>
            <w:tcW w:w="1901" w:type="dxa"/>
            <w:vAlign w:val="center"/>
          </w:tcPr>
          <w:p w14:paraId="68321CD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658A0C3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7C03C60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718B89BE" w14:textId="77777777" w:rsidTr="00DB7B9A">
        <w:trPr>
          <w:gridAfter w:val="1"/>
          <w:wAfter w:w="44" w:type="dxa"/>
          <w:trHeight w:val="20"/>
        </w:trPr>
        <w:tc>
          <w:tcPr>
            <w:tcW w:w="1415" w:type="dxa"/>
            <w:shd w:val="clear" w:color="auto" w:fill="auto"/>
            <w:noWrap/>
            <w:vAlign w:val="center"/>
            <w:hideMark/>
          </w:tcPr>
          <w:p w14:paraId="507648E3" w14:textId="77777777" w:rsidR="00B301B0" w:rsidRPr="00B301B0" w:rsidRDefault="00B301B0" w:rsidP="00B301B0">
            <w:pPr>
              <w:widowControl/>
              <w:overflowPunct/>
              <w:autoSpaceDE/>
              <w:autoSpaceDN/>
              <w:adjustRightInd/>
              <w:rPr>
                <w:color w:val="000000"/>
                <w:kern w:val="0"/>
              </w:rPr>
            </w:pPr>
            <w:r w:rsidRPr="00B301B0">
              <w:rPr>
                <w:color w:val="000000"/>
                <w:kern w:val="0"/>
              </w:rPr>
              <w:t>Serbia</w:t>
            </w:r>
          </w:p>
        </w:tc>
        <w:tc>
          <w:tcPr>
            <w:tcW w:w="1440" w:type="dxa"/>
            <w:shd w:val="clear" w:color="auto" w:fill="auto"/>
            <w:noWrap/>
            <w:vAlign w:val="center"/>
            <w:hideMark/>
          </w:tcPr>
          <w:p w14:paraId="64D71D01" w14:textId="77777777" w:rsidR="00B301B0" w:rsidRPr="00B301B0" w:rsidRDefault="00B301B0" w:rsidP="00B301B0">
            <w:pPr>
              <w:widowControl/>
              <w:overflowPunct/>
              <w:autoSpaceDE/>
              <w:autoSpaceDN/>
              <w:adjustRightInd/>
              <w:rPr>
                <w:color w:val="000000"/>
                <w:kern w:val="0"/>
              </w:rPr>
            </w:pPr>
            <w:r w:rsidRPr="00B301B0">
              <w:rPr>
                <w:color w:val="000000"/>
                <w:kern w:val="0"/>
              </w:rPr>
              <w:t>France</w:t>
            </w:r>
          </w:p>
        </w:tc>
        <w:tc>
          <w:tcPr>
            <w:tcW w:w="0" w:type="auto"/>
            <w:vAlign w:val="center"/>
          </w:tcPr>
          <w:p w14:paraId="2B80A8D3"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01D96AFE" w14:textId="77777777" w:rsidR="00B301B0" w:rsidRPr="00B301B0" w:rsidRDefault="00B301B0" w:rsidP="00B301B0">
            <w:pPr>
              <w:widowControl/>
              <w:overflowPunct/>
              <w:autoSpaceDE/>
              <w:autoSpaceDN/>
              <w:adjustRightInd/>
              <w:rPr>
                <w:color w:val="000000"/>
                <w:kern w:val="0"/>
              </w:rPr>
            </w:pPr>
            <w:r w:rsidRPr="00B301B0">
              <w:rPr>
                <w:color w:val="000000"/>
                <w:kern w:val="0"/>
              </w:rPr>
              <w:t>Paper Products</w:t>
            </w:r>
          </w:p>
        </w:tc>
        <w:tc>
          <w:tcPr>
            <w:tcW w:w="1257" w:type="dxa"/>
            <w:shd w:val="clear" w:color="auto" w:fill="auto"/>
            <w:noWrap/>
            <w:vAlign w:val="center"/>
            <w:hideMark/>
          </w:tcPr>
          <w:p w14:paraId="0CEA389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350</w:t>
            </w:r>
          </w:p>
        </w:tc>
        <w:tc>
          <w:tcPr>
            <w:tcW w:w="1072" w:type="dxa"/>
            <w:shd w:val="clear" w:color="auto" w:fill="auto"/>
            <w:noWrap/>
            <w:vAlign w:val="center"/>
            <w:hideMark/>
          </w:tcPr>
          <w:p w14:paraId="1088BF30"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47</w:t>
            </w:r>
          </w:p>
        </w:tc>
        <w:tc>
          <w:tcPr>
            <w:tcW w:w="1901" w:type="dxa"/>
            <w:vAlign w:val="center"/>
          </w:tcPr>
          <w:p w14:paraId="691B5AD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Autonomous</w:t>
            </w:r>
          </w:p>
        </w:tc>
        <w:tc>
          <w:tcPr>
            <w:tcW w:w="1264" w:type="dxa"/>
            <w:vAlign w:val="center"/>
          </w:tcPr>
          <w:p w14:paraId="597990F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27BBFAA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2ACFCCB1" w14:textId="77777777" w:rsidTr="00DB7B9A">
        <w:trPr>
          <w:gridAfter w:val="1"/>
          <w:wAfter w:w="44" w:type="dxa"/>
          <w:trHeight w:val="20"/>
        </w:trPr>
        <w:tc>
          <w:tcPr>
            <w:tcW w:w="1415" w:type="dxa"/>
            <w:shd w:val="clear" w:color="auto" w:fill="auto"/>
            <w:noWrap/>
            <w:vAlign w:val="center"/>
            <w:hideMark/>
          </w:tcPr>
          <w:p w14:paraId="11303D41" w14:textId="77777777" w:rsidR="00B301B0" w:rsidRPr="00B301B0" w:rsidRDefault="00B301B0" w:rsidP="00B301B0">
            <w:pPr>
              <w:widowControl/>
              <w:overflowPunct/>
              <w:autoSpaceDE/>
              <w:autoSpaceDN/>
              <w:adjustRightInd/>
              <w:rPr>
                <w:color w:val="000000"/>
                <w:kern w:val="0"/>
              </w:rPr>
            </w:pPr>
            <w:r w:rsidRPr="00B301B0">
              <w:rPr>
                <w:color w:val="000000"/>
                <w:kern w:val="0"/>
              </w:rPr>
              <w:t>Serbia</w:t>
            </w:r>
          </w:p>
        </w:tc>
        <w:tc>
          <w:tcPr>
            <w:tcW w:w="1440" w:type="dxa"/>
            <w:shd w:val="clear" w:color="auto" w:fill="auto"/>
            <w:noWrap/>
            <w:vAlign w:val="center"/>
            <w:hideMark/>
          </w:tcPr>
          <w:p w14:paraId="02AAAA94" w14:textId="77777777" w:rsidR="00B301B0" w:rsidRPr="00B301B0" w:rsidRDefault="00B301B0" w:rsidP="00B301B0">
            <w:pPr>
              <w:widowControl/>
              <w:overflowPunct/>
              <w:autoSpaceDE/>
              <w:autoSpaceDN/>
              <w:adjustRightInd/>
              <w:rPr>
                <w:color w:val="000000"/>
                <w:kern w:val="0"/>
              </w:rPr>
            </w:pPr>
            <w:r w:rsidRPr="00B301B0">
              <w:rPr>
                <w:color w:val="000000"/>
                <w:kern w:val="0"/>
              </w:rPr>
              <w:t>Romania</w:t>
            </w:r>
          </w:p>
        </w:tc>
        <w:tc>
          <w:tcPr>
            <w:tcW w:w="0" w:type="auto"/>
            <w:vAlign w:val="center"/>
          </w:tcPr>
          <w:p w14:paraId="685E9993"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103683E2" w14:textId="77777777" w:rsidR="00B301B0" w:rsidRPr="00B301B0" w:rsidRDefault="00B301B0" w:rsidP="00B301B0">
            <w:pPr>
              <w:widowControl/>
              <w:overflowPunct/>
              <w:autoSpaceDE/>
              <w:autoSpaceDN/>
              <w:adjustRightInd/>
              <w:rPr>
                <w:color w:val="000000"/>
                <w:kern w:val="0"/>
              </w:rPr>
            </w:pPr>
            <w:r w:rsidRPr="00B301B0">
              <w:rPr>
                <w:color w:val="000000"/>
                <w:kern w:val="0"/>
              </w:rPr>
              <w:t>Non-mineral Products</w:t>
            </w:r>
          </w:p>
        </w:tc>
        <w:tc>
          <w:tcPr>
            <w:tcW w:w="1257" w:type="dxa"/>
            <w:shd w:val="clear" w:color="auto" w:fill="auto"/>
            <w:noWrap/>
            <w:vAlign w:val="center"/>
            <w:hideMark/>
          </w:tcPr>
          <w:p w14:paraId="166E39A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62</w:t>
            </w:r>
          </w:p>
        </w:tc>
        <w:tc>
          <w:tcPr>
            <w:tcW w:w="1072" w:type="dxa"/>
            <w:shd w:val="clear" w:color="auto" w:fill="auto"/>
            <w:noWrap/>
            <w:vAlign w:val="center"/>
            <w:hideMark/>
          </w:tcPr>
          <w:p w14:paraId="1DA6E9F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18</w:t>
            </w:r>
          </w:p>
        </w:tc>
        <w:tc>
          <w:tcPr>
            <w:tcW w:w="1901" w:type="dxa"/>
            <w:vAlign w:val="center"/>
          </w:tcPr>
          <w:p w14:paraId="2769FC2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27FB14B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6656CBA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25612A52" w14:textId="77777777" w:rsidTr="00DB7B9A">
        <w:trPr>
          <w:gridAfter w:val="1"/>
          <w:wAfter w:w="44" w:type="dxa"/>
          <w:trHeight w:val="20"/>
        </w:trPr>
        <w:tc>
          <w:tcPr>
            <w:tcW w:w="1415" w:type="dxa"/>
            <w:shd w:val="clear" w:color="auto" w:fill="auto"/>
            <w:noWrap/>
            <w:vAlign w:val="center"/>
            <w:hideMark/>
          </w:tcPr>
          <w:p w14:paraId="00EC61EB" w14:textId="77777777" w:rsidR="00B301B0" w:rsidRPr="00B301B0" w:rsidRDefault="00B301B0" w:rsidP="00B301B0">
            <w:pPr>
              <w:widowControl/>
              <w:overflowPunct/>
              <w:autoSpaceDE/>
              <w:autoSpaceDN/>
              <w:adjustRightInd/>
              <w:rPr>
                <w:color w:val="000000"/>
                <w:kern w:val="0"/>
              </w:rPr>
            </w:pPr>
            <w:r w:rsidRPr="00B301B0">
              <w:rPr>
                <w:color w:val="000000"/>
                <w:kern w:val="0"/>
              </w:rPr>
              <w:t>Serbia</w:t>
            </w:r>
          </w:p>
        </w:tc>
        <w:tc>
          <w:tcPr>
            <w:tcW w:w="1440" w:type="dxa"/>
            <w:shd w:val="clear" w:color="auto" w:fill="auto"/>
            <w:noWrap/>
            <w:vAlign w:val="center"/>
            <w:hideMark/>
          </w:tcPr>
          <w:p w14:paraId="07753005" w14:textId="77777777" w:rsidR="00B301B0" w:rsidRPr="00B301B0" w:rsidRDefault="00B301B0" w:rsidP="00B301B0">
            <w:pPr>
              <w:widowControl/>
              <w:overflowPunct/>
              <w:autoSpaceDE/>
              <w:autoSpaceDN/>
              <w:adjustRightInd/>
              <w:rPr>
                <w:color w:val="000000"/>
                <w:kern w:val="0"/>
              </w:rPr>
            </w:pPr>
            <w:r w:rsidRPr="00B301B0">
              <w:rPr>
                <w:color w:val="000000"/>
                <w:kern w:val="0"/>
              </w:rPr>
              <w:t>UK</w:t>
            </w:r>
          </w:p>
        </w:tc>
        <w:tc>
          <w:tcPr>
            <w:tcW w:w="0" w:type="auto"/>
            <w:vAlign w:val="center"/>
          </w:tcPr>
          <w:p w14:paraId="35BFD369"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1B1E2CD7" w14:textId="77777777" w:rsidR="00B301B0" w:rsidRPr="00B301B0" w:rsidRDefault="00B301B0" w:rsidP="00B301B0">
            <w:pPr>
              <w:widowControl/>
              <w:overflowPunct/>
              <w:autoSpaceDE/>
              <w:autoSpaceDN/>
              <w:adjustRightInd/>
              <w:rPr>
                <w:color w:val="000000"/>
                <w:kern w:val="0"/>
              </w:rPr>
            </w:pPr>
            <w:r w:rsidRPr="00B301B0">
              <w:rPr>
                <w:color w:val="000000"/>
                <w:kern w:val="0"/>
              </w:rPr>
              <w:t>Textiles</w:t>
            </w:r>
          </w:p>
        </w:tc>
        <w:tc>
          <w:tcPr>
            <w:tcW w:w="1257" w:type="dxa"/>
            <w:shd w:val="clear" w:color="auto" w:fill="auto"/>
            <w:noWrap/>
            <w:vAlign w:val="center"/>
            <w:hideMark/>
          </w:tcPr>
          <w:p w14:paraId="6FAAED0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80</w:t>
            </w:r>
          </w:p>
        </w:tc>
        <w:tc>
          <w:tcPr>
            <w:tcW w:w="1072" w:type="dxa"/>
            <w:shd w:val="clear" w:color="auto" w:fill="auto"/>
            <w:noWrap/>
            <w:vAlign w:val="center"/>
            <w:hideMark/>
          </w:tcPr>
          <w:p w14:paraId="0B54E75D"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29</w:t>
            </w:r>
          </w:p>
        </w:tc>
        <w:tc>
          <w:tcPr>
            <w:tcW w:w="1901" w:type="dxa"/>
            <w:vAlign w:val="center"/>
          </w:tcPr>
          <w:p w14:paraId="533C93F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Controlled</w:t>
            </w:r>
          </w:p>
        </w:tc>
        <w:tc>
          <w:tcPr>
            <w:tcW w:w="1264" w:type="dxa"/>
            <w:vAlign w:val="center"/>
          </w:tcPr>
          <w:p w14:paraId="5604E82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154C262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3D5A06D0" w14:textId="77777777" w:rsidTr="00DB7B9A">
        <w:trPr>
          <w:gridAfter w:val="1"/>
          <w:wAfter w:w="44" w:type="dxa"/>
          <w:trHeight w:val="20"/>
        </w:trPr>
        <w:tc>
          <w:tcPr>
            <w:tcW w:w="1415" w:type="dxa"/>
            <w:shd w:val="clear" w:color="auto" w:fill="auto"/>
            <w:noWrap/>
            <w:vAlign w:val="center"/>
            <w:hideMark/>
          </w:tcPr>
          <w:p w14:paraId="1BA15871" w14:textId="77777777" w:rsidR="00B301B0" w:rsidRPr="00B301B0" w:rsidRDefault="00B301B0" w:rsidP="00B301B0">
            <w:pPr>
              <w:widowControl/>
              <w:overflowPunct/>
              <w:autoSpaceDE/>
              <w:autoSpaceDN/>
              <w:adjustRightInd/>
              <w:rPr>
                <w:color w:val="000000"/>
                <w:kern w:val="0"/>
              </w:rPr>
            </w:pPr>
            <w:r w:rsidRPr="00B301B0">
              <w:rPr>
                <w:color w:val="000000"/>
                <w:kern w:val="0"/>
              </w:rPr>
              <w:t>Serbia</w:t>
            </w:r>
          </w:p>
        </w:tc>
        <w:tc>
          <w:tcPr>
            <w:tcW w:w="1440" w:type="dxa"/>
            <w:shd w:val="clear" w:color="auto" w:fill="auto"/>
            <w:noWrap/>
            <w:vAlign w:val="center"/>
            <w:hideMark/>
          </w:tcPr>
          <w:p w14:paraId="17CAB9ED" w14:textId="77777777" w:rsidR="00B301B0" w:rsidRPr="00B301B0" w:rsidRDefault="00B301B0" w:rsidP="00B301B0">
            <w:pPr>
              <w:widowControl/>
              <w:overflowPunct/>
              <w:autoSpaceDE/>
              <w:autoSpaceDN/>
              <w:adjustRightInd/>
              <w:rPr>
                <w:color w:val="000000"/>
                <w:kern w:val="0"/>
              </w:rPr>
            </w:pPr>
            <w:r w:rsidRPr="00B301B0">
              <w:rPr>
                <w:color w:val="000000"/>
                <w:kern w:val="0"/>
              </w:rPr>
              <w:t>Germany</w:t>
            </w:r>
          </w:p>
        </w:tc>
        <w:tc>
          <w:tcPr>
            <w:tcW w:w="0" w:type="auto"/>
            <w:vAlign w:val="center"/>
          </w:tcPr>
          <w:p w14:paraId="574B6887"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02F5DC10" w14:textId="77777777" w:rsidR="00B301B0" w:rsidRPr="00B301B0" w:rsidRDefault="00B301B0" w:rsidP="00B301B0">
            <w:pPr>
              <w:widowControl/>
              <w:overflowPunct/>
              <w:autoSpaceDE/>
              <w:autoSpaceDN/>
              <w:adjustRightInd/>
              <w:rPr>
                <w:color w:val="000000"/>
                <w:kern w:val="0"/>
              </w:rPr>
            </w:pPr>
            <w:r w:rsidRPr="00B301B0">
              <w:rPr>
                <w:color w:val="000000"/>
                <w:kern w:val="0"/>
              </w:rPr>
              <w:t>Electronics</w:t>
            </w:r>
          </w:p>
        </w:tc>
        <w:tc>
          <w:tcPr>
            <w:tcW w:w="1257" w:type="dxa"/>
            <w:shd w:val="clear" w:color="auto" w:fill="auto"/>
            <w:noWrap/>
            <w:vAlign w:val="center"/>
            <w:hideMark/>
          </w:tcPr>
          <w:p w14:paraId="2D07FD3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120</w:t>
            </w:r>
          </w:p>
        </w:tc>
        <w:tc>
          <w:tcPr>
            <w:tcW w:w="1072" w:type="dxa"/>
            <w:shd w:val="clear" w:color="auto" w:fill="auto"/>
            <w:noWrap/>
            <w:vAlign w:val="center"/>
            <w:hideMark/>
          </w:tcPr>
          <w:p w14:paraId="26894787"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37</w:t>
            </w:r>
          </w:p>
        </w:tc>
        <w:tc>
          <w:tcPr>
            <w:tcW w:w="1901" w:type="dxa"/>
            <w:vAlign w:val="center"/>
          </w:tcPr>
          <w:p w14:paraId="7B89C0C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Autonomous</w:t>
            </w:r>
          </w:p>
        </w:tc>
        <w:tc>
          <w:tcPr>
            <w:tcW w:w="1264" w:type="dxa"/>
            <w:vAlign w:val="center"/>
          </w:tcPr>
          <w:p w14:paraId="6EB5C87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4ED786C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58B23A27" w14:textId="77777777" w:rsidTr="00DB7B9A">
        <w:trPr>
          <w:gridAfter w:val="1"/>
          <w:wAfter w:w="44" w:type="dxa"/>
          <w:trHeight w:val="20"/>
        </w:trPr>
        <w:tc>
          <w:tcPr>
            <w:tcW w:w="1415" w:type="dxa"/>
            <w:shd w:val="clear" w:color="auto" w:fill="auto"/>
            <w:noWrap/>
            <w:vAlign w:val="center"/>
            <w:hideMark/>
          </w:tcPr>
          <w:p w14:paraId="41C42BD5" w14:textId="77777777" w:rsidR="00B301B0" w:rsidRPr="00B301B0" w:rsidRDefault="00B301B0" w:rsidP="00B301B0">
            <w:pPr>
              <w:widowControl/>
              <w:overflowPunct/>
              <w:autoSpaceDE/>
              <w:autoSpaceDN/>
              <w:adjustRightInd/>
              <w:rPr>
                <w:color w:val="000000"/>
                <w:kern w:val="0"/>
              </w:rPr>
            </w:pPr>
            <w:r w:rsidRPr="00B301B0">
              <w:rPr>
                <w:color w:val="000000"/>
                <w:kern w:val="0"/>
              </w:rPr>
              <w:t>Serbia</w:t>
            </w:r>
          </w:p>
        </w:tc>
        <w:tc>
          <w:tcPr>
            <w:tcW w:w="1440" w:type="dxa"/>
            <w:shd w:val="clear" w:color="auto" w:fill="auto"/>
            <w:noWrap/>
            <w:vAlign w:val="center"/>
            <w:hideMark/>
          </w:tcPr>
          <w:p w14:paraId="1DD27527" w14:textId="77777777" w:rsidR="00B301B0" w:rsidRPr="00B301B0" w:rsidRDefault="00B301B0" w:rsidP="00B301B0">
            <w:pPr>
              <w:widowControl/>
              <w:overflowPunct/>
              <w:autoSpaceDE/>
              <w:autoSpaceDN/>
              <w:adjustRightInd/>
              <w:rPr>
                <w:color w:val="000000"/>
                <w:kern w:val="0"/>
              </w:rPr>
            </w:pPr>
            <w:r w:rsidRPr="00B301B0">
              <w:rPr>
                <w:color w:val="000000"/>
                <w:kern w:val="0"/>
              </w:rPr>
              <w:t>Austria</w:t>
            </w:r>
          </w:p>
        </w:tc>
        <w:tc>
          <w:tcPr>
            <w:tcW w:w="0" w:type="auto"/>
            <w:vAlign w:val="center"/>
          </w:tcPr>
          <w:p w14:paraId="2DE52CCA"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BF41022" w14:textId="77777777" w:rsidR="00B301B0" w:rsidRPr="00B301B0" w:rsidRDefault="00B301B0" w:rsidP="00B301B0">
            <w:pPr>
              <w:widowControl/>
              <w:overflowPunct/>
              <w:autoSpaceDE/>
              <w:autoSpaceDN/>
              <w:adjustRightInd/>
              <w:rPr>
                <w:color w:val="000000"/>
                <w:kern w:val="0"/>
              </w:rPr>
            </w:pPr>
            <w:r w:rsidRPr="00B301B0">
              <w:rPr>
                <w:color w:val="000000"/>
                <w:kern w:val="0"/>
              </w:rPr>
              <w:t>Automotive Parts</w:t>
            </w:r>
          </w:p>
        </w:tc>
        <w:tc>
          <w:tcPr>
            <w:tcW w:w="1257" w:type="dxa"/>
            <w:shd w:val="clear" w:color="auto" w:fill="auto"/>
            <w:noWrap/>
            <w:vAlign w:val="center"/>
            <w:hideMark/>
          </w:tcPr>
          <w:p w14:paraId="6D1BBE8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77</w:t>
            </w:r>
          </w:p>
        </w:tc>
        <w:tc>
          <w:tcPr>
            <w:tcW w:w="1072" w:type="dxa"/>
            <w:shd w:val="clear" w:color="auto" w:fill="auto"/>
            <w:noWrap/>
            <w:vAlign w:val="center"/>
            <w:hideMark/>
          </w:tcPr>
          <w:p w14:paraId="5C68C9C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41</w:t>
            </w:r>
          </w:p>
        </w:tc>
        <w:tc>
          <w:tcPr>
            <w:tcW w:w="1901" w:type="dxa"/>
            <w:vAlign w:val="center"/>
          </w:tcPr>
          <w:p w14:paraId="3B12EDC8"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6038D47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7F3CC08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0B6424F3" w14:textId="77777777" w:rsidTr="00DB7B9A">
        <w:trPr>
          <w:gridAfter w:val="1"/>
          <w:wAfter w:w="44" w:type="dxa"/>
          <w:trHeight w:val="20"/>
        </w:trPr>
        <w:tc>
          <w:tcPr>
            <w:tcW w:w="1415" w:type="dxa"/>
            <w:shd w:val="clear" w:color="auto" w:fill="auto"/>
            <w:noWrap/>
            <w:vAlign w:val="center"/>
            <w:hideMark/>
          </w:tcPr>
          <w:p w14:paraId="486DDEFB" w14:textId="77777777" w:rsidR="00B301B0" w:rsidRPr="00B301B0" w:rsidRDefault="00B301B0" w:rsidP="00B301B0">
            <w:pPr>
              <w:widowControl/>
              <w:overflowPunct/>
              <w:autoSpaceDE/>
              <w:autoSpaceDN/>
              <w:adjustRightInd/>
              <w:rPr>
                <w:color w:val="000000"/>
                <w:kern w:val="0"/>
              </w:rPr>
            </w:pPr>
            <w:r w:rsidRPr="00B301B0">
              <w:rPr>
                <w:color w:val="000000"/>
                <w:kern w:val="0"/>
              </w:rPr>
              <w:t>Serbia</w:t>
            </w:r>
          </w:p>
        </w:tc>
        <w:tc>
          <w:tcPr>
            <w:tcW w:w="1440" w:type="dxa"/>
            <w:shd w:val="clear" w:color="auto" w:fill="auto"/>
            <w:noWrap/>
            <w:vAlign w:val="center"/>
            <w:hideMark/>
          </w:tcPr>
          <w:p w14:paraId="3A1023D7" w14:textId="77777777" w:rsidR="00B301B0" w:rsidRPr="00B301B0" w:rsidRDefault="00B301B0" w:rsidP="00B301B0">
            <w:pPr>
              <w:widowControl/>
              <w:overflowPunct/>
              <w:autoSpaceDE/>
              <w:autoSpaceDN/>
              <w:adjustRightInd/>
              <w:rPr>
                <w:color w:val="000000"/>
                <w:kern w:val="0"/>
              </w:rPr>
            </w:pPr>
            <w:r w:rsidRPr="00B301B0">
              <w:rPr>
                <w:color w:val="000000"/>
                <w:kern w:val="0"/>
              </w:rPr>
              <w:t>Switzerland</w:t>
            </w:r>
          </w:p>
        </w:tc>
        <w:tc>
          <w:tcPr>
            <w:tcW w:w="0" w:type="auto"/>
            <w:vAlign w:val="center"/>
          </w:tcPr>
          <w:p w14:paraId="183BD516"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A6A68A3" w14:textId="77777777" w:rsidR="00B301B0" w:rsidRPr="00B301B0" w:rsidRDefault="00B301B0" w:rsidP="00B301B0">
            <w:pPr>
              <w:widowControl/>
              <w:overflowPunct/>
              <w:autoSpaceDE/>
              <w:autoSpaceDN/>
              <w:adjustRightInd/>
              <w:rPr>
                <w:color w:val="000000"/>
                <w:kern w:val="0"/>
              </w:rPr>
            </w:pPr>
            <w:r w:rsidRPr="00B301B0">
              <w:rPr>
                <w:color w:val="000000"/>
                <w:kern w:val="0"/>
              </w:rPr>
              <w:t>Paper Products</w:t>
            </w:r>
          </w:p>
        </w:tc>
        <w:tc>
          <w:tcPr>
            <w:tcW w:w="1257" w:type="dxa"/>
            <w:shd w:val="clear" w:color="auto" w:fill="auto"/>
            <w:noWrap/>
            <w:vAlign w:val="center"/>
            <w:hideMark/>
          </w:tcPr>
          <w:p w14:paraId="6F3CFF2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120</w:t>
            </w:r>
          </w:p>
        </w:tc>
        <w:tc>
          <w:tcPr>
            <w:tcW w:w="1072" w:type="dxa"/>
            <w:shd w:val="clear" w:color="auto" w:fill="auto"/>
            <w:noWrap/>
            <w:vAlign w:val="center"/>
            <w:hideMark/>
          </w:tcPr>
          <w:p w14:paraId="1215F92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22</w:t>
            </w:r>
          </w:p>
        </w:tc>
        <w:tc>
          <w:tcPr>
            <w:tcW w:w="1901" w:type="dxa"/>
            <w:vAlign w:val="center"/>
          </w:tcPr>
          <w:p w14:paraId="7005043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0B7ECBA2"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1A56B4D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62A98974" w14:textId="77777777" w:rsidTr="00DB7B9A">
        <w:trPr>
          <w:gridAfter w:val="1"/>
          <w:wAfter w:w="44" w:type="dxa"/>
          <w:trHeight w:val="20"/>
        </w:trPr>
        <w:tc>
          <w:tcPr>
            <w:tcW w:w="1415" w:type="dxa"/>
            <w:shd w:val="clear" w:color="auto" w:fill="auto"/>
            <w:noWrap/>
            <w:vAlign w:val="center"/>
            <w:hideMark/>
          </w:tcPr>
          <w:p w14:paraId="1BEA4264" w14:textId="77777777" w:rsidR="00B301B0" w:rsidRPr="00B301B0" w:rsidRDefault="00B301B0" w:rsidP="00B301B0">
            <w:pPr>
              <w:widowControl/>
              <w:overflowPunct/>
              <w:autoSpaceDE/>
              <w:autoSpaceDN/>
              <w:adjustRightInd/>
              <w:rPr>
                <w:color w:val="000000"/>
                <w:kern w:val="0"/>
              </w:rPr>
            </w:pPr>
            <w:r w:rsidRPr="00B301B0">
              <w:rPr>
                <w:color w:val="000000"/>
                <w:kern w:val="0"/>
              </w:rPr>
              <w:t>Serbia</w:t>
            </w:r>
          </w:p>
        </w:tc>
        <w:tc>
          <w:tcPr>
            <w:tcW w:w="1440" w:type="dxa"/>
            <w:shd w:val="clear" w:color="auto" w:fill="auto"/>
            <w:noWrap/>
            <w:vAlign w:val="center"/>
            <w:hideMark/>
          </w:tcPr>
          <w:p w14:paraId="0501AE14" w14:textId="77777777" w:rsidR="00B301B0" w:rsidRPr="00B301B0" w:rsidRDefault="00B301B0" w:rsidP="00B301B0">
            <w:pPr>
              <w:widowControl/>
              <w:overflowPunct/>
              <w:autoSpaceDE/>
              <w:autoSpaceDN/>
              <w:adjustRightInd/>
              <w:rPr>
                <w:color w:val="000000"/>
                <w:kern w:val="0"/>
              </w:rPr>
            </w:pPr>
            <w:r w:rsidRPr="00B301B0">
              <w:rPr>
                <w:color w:val="000000"/>
                <w:kern w:val="0"/>
              </w:rPr>
              <w:t>Montenegro</w:t>
            </w:r>
          </w:p>
        </w:tc>
        <w:tc>
          <w:tcPr>
            <w:tcW w:w="0" w:type="auto"/>
            <w:vAlign w:val="center"/>
          </w:tcPr>
          <w:p w14:paraId="2C7FEE23"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2DF8962" w14:textId="77777777" w:rsidR="00B301B0" w:rsidRPr="00B301B0" w:rsidRDefault="00B301B0" w:rsidP="00B301B0">
            <w:pPr>
              <w:widowControl/>
              <w:overflowPunct/>
              <w:autoSpaceDE/>
              <w:autoSpaceDN/>
              <w:adjustRightInd/>
              <w:rPr>
                <w:color w:val="000000"/>
                <w:kern w:val="0"/>
              </w:rPr>
            </w:pPr>
            <w:r w:rsidRPr="00B301B0">
              <w:rPr>
                <w:color w:val="000000"/>
                <w:kern w:val="0"/>
              </w:rPr>
              <w:t>Automotive Parts</w:t>
            </w:r>
          </w:p>
        </w:tc>
        <w:tc>
          <w:tcPr>
            <w:tcW w:w="1257" w:type="dxa"/>
            <w:shd w:val="clear" w:color="auto" w:fill="auto"/>
            <w:noWrap/>
            <w:vAlign w:val="center"/>
            <w:hideMark/>
          </w:tcPr>
          <w:p w14:paraId="14A6582F"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85</w:t>
            </w:r>
          </w:p>
        </w:tc>
        <w:tc>
          <w:tcPr>
            <w:tcW w:w="1072" w:type="dxa"/>
            <w:shd w:val="clear" w:color="auto" w:fill="auto"/>
            <w:noWrap/>
            <w:vAlign w:val="center"/>
            <w:hideMark/>
          </w:tcPr>
          <w:p w14:paraId="4C91C5E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14</w:t>
            </w:r>
          </w:p>
        </w:tc>
        <w:tc>
          <w:tcPr>
            <w:tcW w:w="1901" w:type="dxa"/>
            <w:vAlign w:val="center"/>
          </w:tcPr>
          <w:p w14:paraId="0F62566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Mostly Autonomous</w:t>
            </w:r>
          </w:p>
        </w:tc>
        <w:tc>
          <w:tcPr>
            <w:tcW w:w="1264" w:type="dxa"/>
            <w:vAlign w:val="center"/>
          </w:tcPr>
          <w:p w14:paraId="4A98C62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vAlign w:val="center"/>
          </w:tcPr>
          <w:p w14:paraId="61F72DE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2F3DB8F4" w14:textId="77777777" w:rsidTr="00DB7B9A">
        <w:trPr>
          <w:gridAfter w:val="1"/>
          <w:wAfter w:w="44" w:type="dxa"/>
          <w:trHeight w:val="20"/>
        </w:trPr>
        <w:tc>
          <w:tcPr>
            <w:tcW w:w="1415" w:type="dxa"/>
            <w:shd w:val="clear" w:color="auto" w:fill="auto"/>
            <w:noWrap/>
            <w:vAlign w:val="center"/>
            <w:hideMark/>
          </w:tcPr>
          <w:p w14:paraId="1D0B155D" w14:textId="77777777" w:rsidR="00B301B0" w:rsidRPr="00B301B0" w:rsidRDefault="00B301B0" w:rsidP="00B301B0">
            <w:pPr>
              <w:widowControl/>
              <w:overflowPunct/>
              <w:autoSpaceDE/>
              <w:autoSpaceDN/>
              <w:adjustRightInd/>
              <w:rPr>
                <w:color w:val="000000"/>
                <w:kern w:val="0"/>
              </w:rPr>
            </w:pPr>
            <w:r w:rsidRPr="00B301B0">
              <w:rPr>
                <w:color w:val="000000"/>
                <w:kern w:val="0"/>
              </w:rPr>
              <w:t>Serbia</w:t>
            </w:r>
          </w:p>
        </w:tc>
        <w:tc>
          <w:tcPr>
            <w:tcW w:w="1440" w:type="dxa"/>
            <w:shd w:val="clear" w:color="auto" w:fill="auto"/>
            <w:noWrap/>
            <w:vAlign w:val="center"/>
            <w:hideMark/>
          </w:tcPr>
          <w:p w14:paraId="4D3F4BAE" w14:textId="77777777" w:rsidR="00B301B0" w:rsidRPr="00B301B0" w:rsidRDefault="00B301B0" w:rsidP="00B301B0">
            <w:pPr>
              <w:widowControl/>
              <w:overflowPunct/>
              <w:autoSpaceDE/>
              <w:autoSpaceDN/>
              <w:adjustRightInd/>
              <w:rPr>
                <w:color w:val="000000"/>
                <w:kern w:val="0"/>
              </w:rPr>
            </w:pPr>
            <w:r w:rsidRPr="00B301B0">
              <w:rPr>
                <w:color w:val="000000"/>
                <w:kern w:val="0"/>
              </w:rPr>
              <w:t>Croatia</w:t>
            </w:r>
          </w:p>
        </w:tc>
        <w:tc>
          <w:tcPr>
            <w:tcW w:w="0" w:type="auto"/>
            <w:vAlign w:val="center"/>
          </w:tcPr>
          <w:p w14:paraId="10472336"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141E8FA8" w14:textId="77777777" w:rsidR="00B301B0" w:rsidRPr="00B301B0" w:rsidRDefault="00B301B0" w:rsidP="00B301B0">
            <w:pPr>
              <w:widowControl/>
              <w:overflowPunct/>
              <w:autoSpaceDE/>
              <w:autoSpaceDN/>
              <w:adjustRightInd/>
              <w:rPr>
                <w:color w:val="000000"/>
                <w:kern w:val="0"/>
              </w:rPr>
            </w:pPr>
            <w:r w:rsidRPr="00B301B0">
              <w:rPr>
                <w:color w:val="000000"/>
                <w:kern w:val="0"/>
              </w:rPr>
              <w:t>Chemicals</w:t>
            </w:r>
          </w:p>
        </w:tc>
        <w:tc>
          <w:tcPr>
            <w:tcW w:w="1257" w:type="dxa"/>
            <w:shd w:val="clear" w:color="auto" w:fill="auto"/>
            <w:noWrap/>
            <w:vAlign w:val="center"/>
            <w:hideMark/>
          </w:tcPr>
          <w:p w14:paraId="7379ECF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220</w:t>
            </w:r>
          </w:p>
        </w:tc>
        <w:tc>
          <w:tcPr>
            <w:tcW w:w="1072" w:type="dxa"/>
            <w:shd w:val="clear" w:color="auto" w:fill="auto"/>
            <w:noWrap/>
            <w:vAlign w:val="center"/>
            <w:hideMark/>
          </w:tcPr>
          <w:p w14:paraId="278547E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98</w:t>
            </w:r>
          </w:p>
        </w:tc>
        <w:tc>
          <w:tcPr>
            <w:tcW w:w="1901" w:type="dxa"/>
            <w:vAlign w:val="center"/>
          </w:tcPr>
          <w:p w14:paraId="3F253AEB"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125231D3"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764E2711"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r>
      <w:tr w:rsidR="00B301B0" w:rsidRPr="00B301B0" w14:paraId="6F5761D0" w14:textId="77777777" w:rsidTr="00DB7B9A">
        <w:trPr>
          <w:gridAfter w:val="1"/>
          <w:wAfter w:w="44" w:type="dxa"/>
          <w:trHeight w:val="20"/>
        </w:trPr>
        <w:tc>
          <w:tcPr>
            <w:tcW w:w="1415" w:type="dxa"/>
            <w:shd w:val="clear" w:color="auto" w:fill="auto"/>
            <w:noWrap/>
            <w:vAlign w:val="center"/>
            <w:hideMark/>
          </w:tcPr>
          <w:p w14:paraId="6DED3331" w14:textId="77777777" w:rsidR="00B301B0" w:rsidRPr="00B301B0" w:rsidRDefault="00B301B0" w:rsidP="00B301B0">
            <w:pPr>
              <w:widowControl/>
              <w:overflowPunct/>
              <w:autoSpaceDE/>
              <w:autoSpaceDN/>
              <w:adjustRightInd/>
              <w:rPr>
                <w:color w:val="000000"/>
                <w:kern w:val="0"/>
              </w:rPr>
            </w:pPr>
            <w:r w:rsidRPr="00B301B0">
              <w:rPr>
                <w:color w:val="000000"/>
                <w:kern w:val="0"/>
              </w:rPr>
              <w:t>Serbia</w:t>
            </w:r>
          </w:p>
        </w:tc>
        <w:tc>
          <w:tcPr>
            <w:tcW w:w="1440" w:type="dxa"/>
            <w:shd w:val="clear" w:color="auto" w:fill="auto"/>
            <w:noWrap/>
            <w:vAlign w:val="center"/>
            <w:hideMark/>
          </w:tcPr>
          <w:p w14:paraId="3FD1D4BD" w14:textId="77777777" w:rsidR="00B301B0" w:rsidRPr="00B301B0" w:rsidRDefault="00B301B0" w:rsidP="00B301B0">
            <w:pPr>
              <w:widowControl/>
              <w:overflowPunct/>
              <w:autoSpaceDE/>
              <w:autoSpaceDN/>
              <w:adjustRightInd/>
              <w:rPr>
                <w:color w:val="000000"/>
                <w:kern w:val="0"/>
              </w:rPr>
            </w:pPr>
            <w:r w:rsidRPr="00B301B0">
              <w:rPr>
                <w:color w:val="000000"/>
                <w:kern w:val="0"/>
              </w:rPr>
              <w:t>Romania</w:t>
            </w:r>
          </w:p>
        </w:tc>
        <w:tc>
          <w:tcPr>
            <w:tcW w:w="0" w:type="auto"/>
            <w:vAlign w:val="center"/>
          </w:tcPr>
          <w:p w14:paraId="6FDB2CE6" w14:textId="77777777" w:rsidR="00B301B0" w:rsidRPr="00B301B0" w:rsidRDefault="00B301B0" w:rsidP="00B301B0">
            <w:pPr>
              <w:widowControl/>
              <w:overflowPunct/>
              <w:autoSpaceDE/>
              <w:autoSpaceDN/>
              <w:adjustRightInd/>
              <w:rPr>
                <w:color w:val="000000"/>
                <w:kern w:val="0"/>
              </w:rPr>
            </w:pPr>
          </w:p>
        </w:tc>
        <w:tc>
          <w:tcPr>
            <w:tcW w:w="2478" w:type="dxa"/>
            <w:shd w:val="clear" w:color="auto" w:fill="auto"/>
            <w:noWrap/>
            <w:vAlign w:val="center"/>
            <w:hideMark/>
          </w:tcPr>
          <w:p w14:paraId="46567661" w14:textId="77777777" w:rsidR="00B301B0" w:rsidRPr="00B301B0" w:rsidRDefault="00B301B0" w:rsidP="00B301B0">
            <w:pPr>
              <w:widowControl/>
              <w:overflowPunct/>
              <w:autoSpaceDE/>
              <w:autoSpaceDN/>
              <w:adjustRightInd/>
              <w:rPr>
                <w:color w:val="000000"/>
                <w:kern w:val="0"/>
              </w:rPr>
            </w:pPr>
            <w:r w:rsidRPr="00B301B0">
              <w:rPr>
                <w:color w:val="000000"/>
                <w:kern w:val="0"/>
              </w:rPr>
              <w:t>Consumer Food</w:t>
            </w:r>
          </w:p>
        </w:tc>
        <w:tc>
          <w:tcPr>
            <w:tcW w:w="1257" w:type="dxa"/>
            <w:shd w:val="clear" w:color="auto" w:fill="auto"/>
            <w:noWrap/>
            <w:vAlign w:val="center"/>
            <w:hideMark/>
          </w:tcPr>
          <w:p w14:paraId="7E0846C5"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390</w:t>
            </w:r>
          </w:p>
        </w:tc>
        <w:tc>
          <w:tcPr>
            <w:tcW w:w="1072" w:type="dxa"/>
            <w:shd w:val="clear" w:color="auto" w:fill="auto"/>
            <w:noWrap/>
            <w:vAlign w:val="center"/>
            <w:hideMark/>
          </w:tcPr>
          <w:p w14:paraId="1E8FE41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48</w:t>
            </w:r>
          </w:p>
        </w:tc>
        <w:tc>
          <w:tcPr>
            <w:tcW w:w="1901" w:type="dxa"/>
            <w:vAlign w:val="center"/>
          </w:tcPr>
          <w:p w14:paraId="112ED96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vAlign w:val="center"/>
          </w:tcPr>
          <w:p w14:paraId="4D57B024"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Yes</w:t>
            </w:r>
          </w:p>
        </w:tc>
        <w:tc>
          <w:tcPr>
            <w:tcW w:w="0" w:type="auto"/>
            <w:vAlign w:val="center"/>
          </w:tcPr>
          <w:p w14:paraId="380D3FDA"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r w:rsidR="00B301B0" w:rsidRPr="00B301B0" w14:paraId="164C8BD2" w14:textId="77777777" w:rsidTr="00DB7B9A">
        <w:trPr>
          <w:gridAfter w:val="1"/>
          <w:wAfter w:w="44" w:type="dxa"/>
          <w:trHeight w:val="20"/>
        </w:trPr>
        <w:tc>
          <w:tcPr>
            <w:tcW w:w="1415" w:type="dxa"/>
            <w:tcBorders>
              <w:bottom w:val="single" w:sz="4" w:space="0" w:color="auto"/>
            </w:tcBorders>
            <w:shd w:val="clear" w:color="auto" w:fill="auto"/>
            <w:noWrap/>
            <w:vAlign w:val="center"/>
            <w:hideMark/>
          </w:tcPr>
          <w:p w14:paraId="06505DAE" w14:textId="77777777" w:rsidR="00B301B0" w:rsidRPr="00B301B0" w:rsidRDefault="00B301B0" w:rsidP="00B301B0">
            <w:pPr>
              <w:widowControl/>
              <w:overflowPunct/>
              <w:autoSpaceDE/>
              <w:autoSpaceDN/>
              <w:adjustRightInd/>
              <w:rPr>
                <w:color w:val="000000"/>
                <w:kern w:val="0"/>
              </w:rPr>
            </w:pPr>
            <w:r w:rsidRPr="00B301B0">
              <w:rPr>
                <w:color w:val="000000"/>
                <w:kern w:val="0"/>
              </w:rPr>
              <w:t>Uzbekistan</w:t>
            </w:r>
          </w:p>
        </w:tc>
        <w:tc>
          <w:tcPr>
            <w:tcW w:w="1440" w:type="dxa"/>
            <w:tcBorders>
              <w:bottom w:val="single" w:sz="4" w:space="0" w:color="auto"/>
            </w:tcBorders>
            <w:shd w:val="clear" w:color="auto" w:fill="auto"/>
            <w:noWrap/>
            <w:vAlign w:val="center"/>
            <w:hideMark/>
          </w:tcPr>
          <w:p w14:paraId="54268C17" w14:textId="77777777" w:rsidR="00B301B0" w:rsidRPr="00B301B0" w:rsidRDefault="00B301B0" w:rsidP="00B301B0">
            <w:pPr>
              <w:widowControl/>
              <w:overflowPunct/>
              <w:autoSpaceDE/>
              <w:autoSpaceDN/>
              <w:adjustRightInd/>
              <w:rPr>
                <w:color w:val="000000"/>
                <w:kern w:val="0"/>
              </w:rPr>
            </w:pPr>
            <w:r w:rsidRPr="00B301B0">
              <w:rPr>
                <w:color w:val="000000"/>
                <w:kern w:val="0"/>
              </w:rPr>
              <w:t>India</w:t>
            </w:r>
          </w:p>
        </w:tc>
        <w:tc>
          <w:tcPr>
            <w:tcW w:w="0" w:type="auto"/>
            <w:tcBorders>
              <w:bottom w:val="single" w:sz="4" w:space="0" w:color="auto"/>
            </w:tcBorders>
            <w:vAlign w:val="center"/>
          </w:tcPr>
          <w:p w14:paraId="65D92AD1" w14:textId="77777777" w:rsidR="00B301B0" w:rsidRPr="00B301B0" w:rsidRDefault="00B301B0" w:rsidP="00B301B0">
            <w:pPr>
              <w:widowControl/>
              <w:overflowPunct/>
              <w:autoSpaceDE/>
              <w:autoSpaceDN/>
              <w:adjustRightInd/>
              <w:rPr>
                <w:color w:val="000000"/>
                <w:kern w:val="0"/>
              </w:rPr>
            </w:pPr>
          </w:p>
        </w:tc>
        <w:tc>
          <w:tcPr>
            <w:tcW w:w="2478" w:type="dxa"/>
            <w:tcBorders>
              <w:bottom w:val="single" w:sz="4" w:space="0" w:color="auto"/>
            </w:tcBorders>
            <w:shd w:val="clear" w:color="auto" w:fill="auto"/>
            <w:noWrap/>
            <w:vAlign w:val="center"/>
            <w:hideMark/>
          </w:tcPr>
          <w:p w14:paraId="574C734F" w14:textId="77777777" w:rsidR="00B301B0" w:rsidRPr="00B301B0" w:rsidRDefault="00B301B0" w:rsidP="00B301B0">
            <w:pPr>
              <w:widowControl/>
              <w:overflowPunct/>
              <w:autoSpaceDE/>
              <w:autoSpaceDN/>
              <w:adjustRightInd/>
              <w:rPr>
                <w:color w:val="000000"/>
                <w:kern w:val="0"/>
              </w:rPr>
            </w:pPr>
            <w:r w:rsidRPr="00B301B0">
              <w:rPr>
                <w:color w:val="000000"/>
                <w:kern w:val="0"/>
              </w:rPr>
              <w:t>Textiles</w:t>
            </w:r>
          </w:p>
        </w:tc>
        <w:tc>
          <w:tcPr>
            <w:tcW w:w="1257" w:type="dxa"/>
            <w:tcBorders>
              <w:bottom w:val="single" w:sz="4" w:space="0" w:color="auto"/>
            </w:tcBorders>
            <w:shd w:val="clear" w:color="auto" w:fill="auto"/>
            <w:noWrap/>
            <w:vAlign w:val="center"/>
            <w:hideMark/>
          </w:tcPr>
          <w:p w14:paraId="2AF0804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1925</w:t>
            </w:r>
          </w:p>
        </w:tc>
        <w:tc>
          <w:tcPr>
            <w:tcW w:w="1072" w:type="dxa"/>
            <w:tcBorders>
              <w:bottom w:val="single" w:sz="4" w:space="0" w:color="auto"/>
            </w:tcBorders>
            <w:shd w:val="clear" w:color="auto" w:fill="auto"/>
            <w:noWrap/>
            <w:vAlign w:val="center"/>
            <w:hideMark/>
          </w:tcPr>
          <w:p w14:paraId="67770BAC"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22</w:t>
            </w:r>
          </w:p>
        </w:tc>
        <w:tc>
          <w:tcPr>
            <w:tcW w:w="1901" w:type="dxa"/>
            <w:tcBorders>
              <w:bottom w:val="single" w:sz="4" w:space="0" w:color="auto"/>
            </w:tcBorders>
            <w:vAlign w:val="center"/>
          </w:tcPr>
          <w:p w14:paraId="5D07AF6E"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Controlled</w:t>
            </w:r>
          </w:p>
        </w:tc>
        <w:tc>
          <w:tcPr>
            <w:tcW w:w="1264" w:type="dxa"/>
            <w:tcBorders>
              <w:bottom w:val="single" w:sz="4" w:space="0" w:color="auto"/>
            </w:tcBorders>
            <w:vAlign w:val="center"/>
          </w:tcPr>
          <w:p w14:paraId="0AE20906"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c>
          <w:tcPr>
            <w:tcW w:w="0" w:type="auto"/>
            <w:tcBorders>
              <w:bottom w:val="single" w:sz="4" w:space="0" w:color="auto"/>
            </w:tcBorders>
            <w:vAlign w:val="center"/>
          </w:tcPr>
          <w:p w14:paraId="1C80DA89" w14:textId="77777777" w:rsidR="00B301B0" w:rsidRPr="00B301B0" w:rsidRDefault="00B301B0" w:rsidP="00B301B0">
            <w:pPr>
              <w:widowControl/>
              <w:overflowPunct/>
              <w:autoSpaceDE/>
              <w:autoSpaceDN/>
              <w:adjustRightInd/>
              <w:jc w:val="center"/>
              <w:rPr>
                <w:color w:val="000000"/>
                <w:kern w:val="0"/>
              </w:rPr>
            </w:pPr>
            <w:r w:rsidRPr="00B301B0">
              <w:rPr>
                <w:color w:val="000000"/>
                <w:kern w:val="0"/>
              </w:rPr>
              <w:t>No</w:t>
            </w:r>
          </w:p>
        </w:tc>
      </w:tr>
    </w:tbl>
    <w:p w14:paraId="119CA6CC" w14:textId="77777777" w:rsidR="00B301B0" w:rsidRPr="00B301B0" w:rsidRDefault="00B301B0" w:rsidP="00B301B0">
      <w:pPr>
        <w:widowControl/>
        <w:overflowPunct/>
        <w:autoSpaceDE/>
        <w:autoSpaceDN/>
        <w:adjustRightInd/>
        <w:rPr>
          <w:b/>
          <w:kern w:val="0"/>
          <w:sz w:val="24"/>
          <w:szCs w:val="24"/>
        </w:rPr>
      </w:pPr>
    </w:p>
    <w:p w14:paraId="41B799BB" w14:textId="77777777" w:rsidR="00B301B0" w:rsidRPr="00B301B0" w:rsidRDefault="00B301B0" w:rsidP="00B301B0">
      <w:pPr>
        <w:widowControl/>
        <w:overflowPunct/>
        <w:autoSpaceDE/>
        <w:autoSpaceDN/>
        <w:adjustRightInd/>
        <w:rPr>
          <w:b/>
          <w:kern w:val="0"/>
          <w:sz w:val="24"/>
          <w:szCs w:val="24"/>
        </w:rPr>
      </w:pPr>
      <w:r w:rsidRPr="00B301B0">
        <w:rPr>
          <w:b/>
          <w:kern w:val="0"/>
          <w:sz w:val="24"/>
          <w:szCs w:val="24"/>
        </w:rPr>
        <w:br w:type="page"/>
      </w:r>
    </w:p>
    <w:p w14:paraId="3B91688F" w14:textId="77777777" w:rsidR="00B301B0" w:rsidRPr="00B301B0" w:rsidRDefault="00B301B0" w:rsidP="00B301B0">
      <w:pPr>
        <w:widowControl/>
        <w:overflowPunct/>
        <w:autoSpaceDE/>
        <w:autoSpaceDN/>
        <w:adjustRightInd/>
        <w:ind w:left="720"/>
        <w:rPr>
          <w:bCs/>
          <w:kern w:val="0"/>
          <w:sz w:val="24"/>
          <w:szCs w:val="24"/>
        </w:rPr>
      </w:pPr>
      <w:r w:rsidRPr="00B301B0">
        <w:rPr>
          <w:bCs/>
          <w:kern w:val="0"/>
          <w:sz w:val="24"/>
          <w:szCs w:val="24"/>
        </w:rPr>
        <w:t xml:space="preserve">Table 2. Nested truth table </w:t>
      </w:r>
    </w:p>
    <w:p w14:paraId="546516AE" w14:textId="77777777" w:rsidR="00B301B0" w:rsidRPr="00B301B0" w:rsidRDefault="00B301B0" w:rsidP="00B301B0">
      <w:pPr>
        <w:widowControl/>
        <w:overflowPunct/>
        <w:autoSpaceDE/>
        <w:autoSpaceDN/>
        <w:adjustRightInd/>
        <w:rPr>
          <w:bCs/>
          <w:kern w:val="0"/>
        </w:rPr>
      </w:pPr>
    </w:p>
    <w:tbl>
      <w:tblPr>
        <w:tblW w:w="1069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260"/>
        <w:gridCol w:w="1350"/>
        <w:gridCol w:w="1350"/>
        <w:gridCol w:w="1260"/>
        <w:gridCol w:w="1260"/>
        <w:gridCol w:w="1451"/>
        <w:gridCol w:w="1519"/>
      </w:tblGrid>
      <w:tr w:rsidR="00B301B0" w:rsidRPr="00B301B0" w14:paraId="603DDE8F" w14:textId="77777777" w:rsidTr="00DB7B9A">
        <w:trPr>
          <w:trHeight w:val="20"/>
        </w:trPr>
        <w:tc>
          <w:tcPr>
            <w:tcW w:w="5208" w:type="dxa"/>
            <w:gridSpan w:val="4"/>
            <w:shd w:val="clear" w:color="auto" w:fill="auto"/>
            <w:vAlign w:val="bottom"/>
          </w:tcPr>
          <w:p w14:paraId="4523FE2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Causal Conditions</w:t>
            </w:r>
          </w:p>
        </w:tc>
        <w:tc>
          <w:tcPr>
            <w:tcW w:w="2520" w:type="dxa"/>
            <w:gridSpan w:val="2"/>
            <w:shd w:val="clear" w:color="auto" w:fill="auto"/>
            <w:vAlign w:val="bottom"/>
          </w:tcPr>
          <w:p w14:paraId="10DA226B"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Cases</w:t>
            </w:r>
          </w:p>
        </w:tc>
        <w:tc>
          <w:tcPr>
            <w:tcW w:w="2970" w:type="dxa"/>
            <w:gridSpan w:val="2"/>
            <w:shd w:val="clear" w:color="auto" w:fill="auto"/>
            <w:vAlign w:val="bottom"/>
          </w:tcPr>
          <w:p w14:paraId="1B672D34"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Outcome</w:t>
            </w:r>
          </w:p>
        </w:tc>
      </w:tr>
      <w:tr w:rsidR="00B301B0" w:rsidRPr="00B301B0" w14:paraId="12BF9B9F" w14:textId="77777777" w:rsidTr="00DB7B9A">
        <w:trPr>
          <w:trHeight w:val="20"/>
        </w:trPr>
        <w:tc>
          <w:tcPr>
            <w:tcW w:w="1248" w:type="dxa"/>
            <w:shd w:val="clear" w:color="auto" w:fill="auto"/>
            <w:vAlign w:val="center"/>
            <w:hideMark/>
          </w:tcPr>
          <w:p w14:paraId="408FF66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Institutional Distance</w:t>
            </w:r>
          </w:p>
        </w:tc>
        <w:tc>
          <w:tcPr>
            <w:tcW w:w="1260" w:type="dxa"/>
            <w:shd w:val="clear" w:color="auto" w:fill="auto"/>
            <w:noWrap/>
            <w:vAlign w:val="center"/>
            <w:hideMark/>
          </w:tcPr>
          <w:p w14:paraId="6DECC12E"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Subsidiary Autonomy</w:t>
            </w:r>
          </w:p>
        </w:tc>
        <w:tc>
          <w:tcPr>
            <w:tcW w:w="1350" w:type="dxa"/>
            <w:shd w:val="clear" w:color="auto" w:fill="auto"/>
            <w:vAlign w:val="center"/>
            <w:hideMark/>
          </w:tcPr>
          <w:p w14:paraId="2EBBF3E7"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R&amp;D</w:t>
            </w:r>
          </w:p>
        </w:tc>
        <w:tc>
          <w:tcPr>
            <w:tcW w:w="1350" w:type="dxa"/>
            <w:shd w:val="clear" w:color="auto" w:fill="auto"/>
            <w:vAlign w:val="center"/>
            <w:hideMark/>
          </w:tcPr>
          <w:p w14:paraId="7B88B7DC"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Management Consultants</w:t>
            </w:r>
          </w:p>
        </w:tc>
        <w:tc>
          <w:tcPr>
            <w:tcW w:w="1260" w:type="dxa"/>
            <w:shd w:val="clear" w:color="auto" w:fill="auto"/>
            <w:vAlign w:val="center"/>
            <w:hideMark/>
          </w:tcPr>
          <w:p w14:paraId="4702760C"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 of Subsidiaries</w:t>
            </w:r>
          </w:p>
        </w:tc>
        <w:tc>
          <w:tcPr>
            <w:tcW w:w="1260" w:type="dxa"/>
            <w:shd w:val="clear" w:color="auto" w:fill="auto"/>
            <w:vAlign w:val="center"/>
            <w:hideMark/>
          </w:tcPr>
          <w:p w14:paraId="44777F67"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 of Total</w:t>
            </w:r>
          </w:p>
        </w:tc>
        <w:tc>
          <w:tcPr>
            <w:tcW w:w="1451" w:type="dxa"/>
            <w:shd w:val="clear" w:color="auto" w:fill="auto"/>
            <w:vAlign w:val="center"/>
            <w:hideMark/>
          </w:tcPr>
          <w:p w14:paraId="375F727A"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 xml:space="preserve">Product Innovation </w:t>
            </w:r>
            <w:r w:rsidRPr="00B301B0">
              <w:rPr>
                <w:bCs/>
                <w:color w:val="000000"/>
                <w:kern w:val="0"/>
                <w:vertAlign w:val="superscript"/>
              </w:rPr>
              <w:t>A</w:t>
            </w:r>
          </w:p>
        </w:tc>
        <w:tc>
          <w:tcPr>
            <w:tcW w:w="1519" w:type="dxa"/>
            <w:shd w:val="clear" w:color="auto" w:fill="auto"/>
            <w:vAlign w:val="center"/>
            <w:hideMark/>
          </w:tcPr>
          <w:p w14:paraId="63B786EA"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 xml:space="preserve">Configuration </w:t>
            </w:r>
            <w:r w:rsidRPr="00B301B0">
              <w:rPr>
                <w:bCs/>
                <w:color w:val="000000"/>
                <w:kern w:val="0"/>
                <w:vertAlign w:val="superscript"/>
              </w:rPr>
              <w:t>B</w:t>
            </w:r>
          </w:p>
        </w:tc>
      </w:tr>
      <w:tr w:rsidR="00B301B0" w:rsidRPr="00B301B0" w14:paraId="4C445C39" w14:textId="77777777" w:rsidTr="00DB7B9A">
        <w:trPr>
          <w:trHeight w:val="20"/>
        </w:trPr>
        <w:tc>
          <w:tcPr>
            <w:tcW w:w="1248" w:type="dxa"/>
            <w:vMerge w:val="restart"/>
            <w:shd w:val="clear" w:color="auto" w:fill="auto"/>
            <w:noWrap/>
            <w:vAlign w:val="center"/>
            <w:hideMark/>
          </w:tcPr>
          <w:p w14:paraId="5BC1E9B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260" w:type="dxa"/>
            <w:vMerge w:val="restart"/>
            <w:shd w:val="clear" w:color="auto" w:fill="auto"/>
            <w:noWrap/>
            <w:vAlign w:val="center"/>
            <w:hideMark/>
          </w:tcPr>
          <w:p w14:paraId="39301235"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350" w:type="dxa"/>
            <w:vMerge w:val="restart"/>
            <w:shd w:val="clear" w:color="auto" w:fill="auto"/>
            <w:noWrap/>
            <w:vAlign w:val="center"/>
            <w:hideMark/>
          </w:tcPr>
          <w:p w14:paraId="0437575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350" w:type="dxa"/>
            <w:shd w:val="clear" w:color="auto" w:fill="auto"/>
            <w:noWrap/>
            <w:vAlign w:val="bottom"/>
            <w:hideMark/>
          </w:tcPr>
          <w:p w14:paraId="5A1E8782"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260" w:type="dxa"/>
            <w:shd w:val="clear" w:color="auto" w:fill="auto"/>
            <w:noWrap/>
            <w:vAlign w:val="bottom"/>
            <w:hideMark/>
          </w:tcPr>
          <w:p w14:paraId="60417D70"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4</w:t>
            </w:r>
          </w:p>
        </w:tc>
        <w:tc>
          <w:tcPr>
            <w:tcW w:w="1260" w:type="dxa"/>
            <w:shd w:val="clear" w:color="auto" w:fill="auto"/>
            <w:noWrap/>
            <w:vAlign w:val="bottom"/>
            <w:hideMark/>
          </w:tcPr>
          <w:p w14:paraId="4B760B27"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5.6%</w:t>
            </w:r>
          </w:p>
        </w:tc>
        <w:tc>
          <w:tcPr>
            <w:tcW w:w="1451" w:type="dxa"/>
            <w:shd w:val="clear" w:color="auto" w:fill="auto"/>
            <w:noWrap/>
            <w:vAlign w:val="bottom"/>
            <w:hideMark/>
          </w:tcPr>
          <w:p w14:paraId="0A96AC5D"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1.00</w:t>
            </w:r>
          </w:p>
        </w:tc>
        <w:tc>
          <w:tcPr>
            <w:tcW w:w="1519" w:type="dxa"/>
            <w:shd w:val="clear" w:color="auto" w:fill="auto"/>
            <w:noWrap/>
            <w:vAlign w:val="bottom"/>
            <w:hideMark/>
          </w:tcPr>
          <w:p w14:paraId="515F336A"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C1</w:t>
            </w:r>
          </w:p>
        </w:tc>
      </w:tr>
      <w:tr w:rsidR="00B301B0" w:rsidRPr="00B301B0" w14:paraId="2824FD20" w14:textId="77777777" w:rsidTr="00DB7B9A">
        <w:trPr>
          <w:trHeight w:val="20"/>
        </w:trPr>
        <w:tc>
          <w:tcPr>
            <w:tcW w:w="1248" w:type="dxa"/>
            <w:vMerge/>
            <w:vAlign w:val="center"/>
            <w:hideMark/>
          </w:tcPr>
          <w:p w14:paraId="7592D411"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1CDE7675" w14:textId="77777777" w:rsidR="00B301B0" w:rsidRPr="00B301B0" w:rsidRDefault="00B301B0" w:rsidP="00B301B0">
            <w:pPr>
              <w:widowControl/>
              <w:overflowPunct/>
              <w:autoSpaceDE/>
              <w:autoSpaceDN/>
              <w:adjustRightInd/>
              <w:rPr>
                <w:bCs/>
                <w:color w:val="000000"/>
                <w:kern w:val="0"/>
              </w:rPr>
            </w:pPr>
          </w:p>
        </w:tc>
        <w:tc>
          <w:tcPr>
            <w:tcW w:w="1350" w:type="dxa"/>
            <w:vMerge/>
            <w:vAlign w:val="center"/>
            <w:hideMark/>
          </w:tcPr>
          <w:p w14:paraId="1D7317BC" w14:textId="77777777" w:rsidR="00B301B0" w:rsidRPr="00B301B0" w:rsidRDefault="00B301B0" w:rsidP="00B301B0">
            <w:pPr>
              <w:widowControl/>
              <w:overflowPunct/>
              <w:autoSpaceDE/>
              <w:autoSpaceDN/>
              <w:adjustRightInd/>
              <w:rPr>
                <w:bCs/>
                <w:color w:val="000000"/>
                <w:kern w:val="0"/>
              </w:rPr>
            </w:pPr>
          </w:p>
        </w:tc>
        <w:tc>
          <w:tcPr>
            <w:tcW w:w="1350" w:type="dxa"/>
            <w:shd w:val="clear" w:color="auto" w:fill="auto"/>
            <w:noWrap/>
            <w:vAlign w:val="bottom"/>
            <w:hideMark/>
          </w:tcPr>
          <w:p w14:paraId="636247BC"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260" w:type="dxa"/>
            <w:shd w:val="clear" w:color="auto" w:fill="auto"/>
            <w:noWrap/>
            <w:vAlign w:val="bottom"/>
            <w:hideMark/>
          </w:tcPr>
          <w:p w14:paraId="4C66D93A"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5</w:t>
            </w:r>
          </w:p>
        </w:tc>
        <w:tc>
          <w:tcPr>
            <w:tcW w:w="1260" w:type="dxa"/>
            <w:shd w:val="clear" w:color="auto" w:fill="auto"/>
            <w:noWrap/>
            <w:vAlign w:val="bottom"/>
            <w:hideMark/>
          </w:tcPr>
          <w:p w14:paraId="20A86F6C"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7.0%</w:t>
            </w:r>
          </w:p>
        </w:tc>
        <w:tc>
          <w:tcPr>
            <w:tcW w:w="1451" w:type="dxa"/>
            <w:shd w:val="clear" w:color="auto" w:fill="auto"/>
            <w:noWrap/>
            <w:vAlign w:val="bottom"/>
            <w:hideMark/>
          </w:tcPr>
          <w:p w14:paraId="78C7448B"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0.85</w:t>
            </w:r>
          </w:p>
        </w:tc>
        <w:tc>
          <w:tcPr>
            <w:tcW w:w="1519" w:type="dxa"/>
            <w:shd w:val="clear" w:color="auto" w:fill="auto"/>
            <w:noWrap/>
            <w:vAlign w:val="bottom"/>
            <w:hideMark/>
          </w:tcPr>
          <w:p w14:paraId="0F9D7F30"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C1</w:t>
            </w:r>
          </w:p>
        </w:tc>
      </w:tr>
      <w:tr w:rsidR="00B301B0" w:rsidRPr="00B301B0" w14:paraId="0069BDE2" w14:textId="77777777" w:rsidTr="00DB7B9A">
        <w:trPr>
          <w:trHeight w:val="20"/>
        </w:trPr>
        <w:tc>
          <w:tcPr>
            <w:tcW w:w="1248" w:type="dxa"/>
            <w:vMerge/>
            <w:vAlign w:val="center"/>
            <w:hideMark/>
          </w:tcPr>
          <w:p w14:paraId="2E0F804E"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23B9F559" w14:textId="77777777" w:rsidR="00B301B0" w:rsidRPr="00B301B0" w:rsidRDefault="00B301B0" w:rsidP="00B301B0">
            <w:pPr>
              <w:widowControl/>
              <w:overflowPunct/>
              <w:autoSpaceDE/>
              <w:autoSpaceDN/>
              <w:adjustRightInd/>
              <w:rPr>
                <w:bCs/>
                <w:color w:val="000000"/>
                <w:kern w:val="0"/>
              </w:rPr>
            </w:pPr>
          </w:p>
        </w:tc>
        <w:tc>
          <w:tcPr>
            <w:tcW w:w="1350" w:type="dxa"/>
            <w:vMerge w:val="restart"/>
            <w:shd w:val="clear" w:color="auto" w:fill="auto"/>
            <w:noWrap/>
            <w:vAlign w:val="center"/>
            <w:hideMark/>
          </w:tcPr>
          <w:p w14:paraId="300615F9"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350" w:type="dxa"/>
            <w:shd w:val="clear" w:color="auto" w:fill="auto"/>
            <w:noWrap/>
            <w:vAlign w:val="bottom"/>
            <w:hideMark/>
          </w:tcPr>
          <w:p w14:paraId="7485C599"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260" w:type="dxa"/>
            <w:shd w:val="clear" w:color="auto" w:fill="auto"/>
            <w:noWrap/>
            <w:vAlign w:val="bottom"/>
            <w:hideMark/>
          </w:tcPr>
          <w:p w14:paraId="4AFA7E1C"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2</w:t>
            </w:r>
          </w:p>
        </w:tc>
        <w:tc>
          <w:tcPr>
            <w:tcW w:w="1260" w:type="dxa"/>
            <w:shd w:val="clear" w:color="auto" w:fill="auto"/>
            <w:noWrap/>
            <w:vAlign w:val="bottom"/>
            <w:hideMark/>
          </w:tcPr>
          <w:p w14:paraId="06C4D802"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2.8%</w:t>
            </w:r>
          </w:p>
        </w:tc>
        <w:tc>
          <w:tcPr>
            <w:tcW w:w="1451" w:type="dxa"/>
            <w:shd w:val="clear" w:color="auto" w:fill="auto"/>
            <w:noWrap/>
            <w:vAlign w:val="bottom"/>
            <w:hideMark/>
          </w:tcPr>
          <w:p w14:paraId="489F846A"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1.00</w:t>
            </w:r>
          </w:p>
        </w:tc>
        <w:tc>
          <w:tcPr>
            <w:tcW w:w="1519" w:type="dxa"/>
            <w:shd w:val="clear" w:color="auto" w:fill="auto"/>
            <w:noWrap/>
            <w:vAlign w:val="bottom"/>
            <w:hideMark/>
          </w:tcPr>
          <w:p w14:paraId="2AA7BF7C"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w:t>
            </w:r>
          </w:p>
        </w:tc>
      </w:tr>
      <w:tr w:rsidR="00B301B0" w:rsidRPr="00B301B0" w14:paraId="76484704" w14:textId="77777777" w:rsidTr="00DB7B9A">
        <w:trPr>
          <w:trHeight w:val="20"/>
        </w:trPr>
        <w:tc>
          <w:tcPr>
            <w:tcW w:w="1248" w:type="dxa"/>
            <w:vMerge/>
            <w:vAlign w:val="center"/>
            <w:hideMark/>
          </w:tcPr>
          <w:p w14:paraId="73A645AA"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4CCB7E4C" w14:textId="77777777" w:rsidR="00B301B0" w:rsidRPr="00B301B0" w:rsidRDefault="00B301B0" w:rsidP="00B301B0">
            <w:pPr>
              <w:widowControl/>
              <w:overflowPunct/>
              <w:autoSpaceDE/>
              <w:autoSpaceDN/>
              <w:adjustRightInd/>
              <w:rPr>
                <w:bCs/>
                <w:color w:val="000000"/>
                <w:kern w:val="0"/>
              </w:rPr>
            </w:pPr>
          </w:p>
        </w:tc>
        <w:tc>
          <w:tcPr>
            <w:tcW w:w="1350" w:type="dxa"/>
            <w:vMerge/>
            <w:vAlign w:val="center"/>
            <w:hideMark/>
          </w:tcPr>
          <w:p w14:paraId="35B91548" w14:textId="77777777" w:rsidR="00B301B0" w:rsidRPr="00B301B0" w:rsidRDefault="00B301B0" w:rsidP="00B301B0">
            <w:pPr>
              <w:widowControl/>
              <w:overflowPunct/>
              <w:autoSpaceDE/>
              <w:autoSpaceDN/>
              <w:adjustRightInd/>
              <w:rPr>
                <w:bCs/>
                <w:color w:val="000000"/>
                <w:kern w:val="0"/>
              </w:rPr>
            </w:pPr>
          </w:p>
        </w:tc>
        <w:tc>
          <w:tcPr>
            <w:tcW w:w="1350" w:type="dxa"/>
            <w:shd w:val="clear" w:color="auto" w:fill="auto"/>
            <w:noWrap/>
            <w:vAlign w:val="bottom"/>
            <w:hideMark/>
          </w:tcPr>
          <w:p w14:paraId="187245AC"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260" w:type="dxa"/>
            <w:shd w:val="clear" w:color="auto" w:fill="auto"/>
            <w:noWrap/>
            <w:vAlign w:val="bottom"/>
            <w:hideMark/>
          </w:tcPr>
          <w:p w14:paraId="72E79B24"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4</w:t>
            </w:r>
          </w:p>
        </w:tc>
        <w:tc>
          <w:tcPr>
            <w:tcW w:w="1260" w:type="dxa"/>
            <w:shd w:val="clear" w:color="auto" w:fill="auto"/>
            <w:noWrap/>
            <w:vAlign w:val="bottom"/>
            <w:hideMark/>
          </w:tcPr>
          <w:p w14:paraId="3A37B51B"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5.6%</w:t>
            </w:r>
          </w:p>
        </w:tc>
        <w:tc>
          <w:tcPr>
            <w:tcW w:w="1451" w:type="dxa"/>
            <w:shd w:val="clear" w:color="auto" w:fill="auto"/>
            <w:noWrap/>
            <w:vAlign w:val="bottom"/>
            <w:hideMark/>
          </w:tcPr>
          <w:p w14:paraId="062B9E8F"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0.55</w:t>
            </w:r>
          </w:p>
        </w:tc>
        <w:tc>
          <w:tcPr>
            <w:tcW w:w="1519" w:type="dxa"/>
            <w:shd w:val="clear" w:color="auto" w:fill="auto"/>
            <w:noWrap/>
            <w:vAlign w:val="bottom"/>
            <w:hideMark/>
          </w:tcPr>
          <w:p w14:paraId="526E8DF1"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w:t>
            </w:r>
          </w:p>
        </w:tc>
      </w:tr>
      <w:tr w:rsidR="00B301B0" w:rsidRPr="00B301B0" w14:paraId="3134BB54" w14:textId="77777777" w:rsidTr="00DB7B9A">
        <w:trPr>
          <w:trHeight w:val="20"/>
        </w:trPr>
        <w:tc>
          <w:tcPr>
            <w:tcW w:w="1248" w:type="dxa"/>
            <w:vMerge/>
            <w:vAlign w:val="center"/>
            <w:hideMark/>
          </w:tcPr>
          <w:p w14:paraId="4DD956F1" w14:textId="77777777" w:rsidR="00B301B0" w:rsidRPr="00B301B0" w:rsidRDefault="00B301B0" w:rsidP="00B301B0">
            <w:pPr>
              <w:widowControl/>
              <w:overflowPunct/>
              <w:autoSpaceDE/>
              <w:autoSpaceDN/>
              <w:adjustRightInd/>
              <w:rPr>
                <w:bCs/>
                <w:color w:val="000000"/>
                <w:kern w:val="0"/>
              </w:rPr>
            </w:pPr>
          </w:p>
        </w:tc>
        <w:tc>
          <w:tcPr>
            <w:tcW w:w="1260" w:type="dxa"/>
            <w:vMerge w:val="restart"/>
            <w:shd w:val="clear" w:color="auto" w:fill="auto"/>
            <w:noWrap/>
            <w:vAlign w:val="center"/>
            <w:hideMark/>
          </w:tcPr>
          <w:p w14:paraId="25E94A5F"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350" w:type="dxa"/>
            <w:vMerge w:val="restart"/>
            <w:shd w:val="clear" w:color="auto" w:fill="auto"/>
            <w:noWrap/>
            <w:vAlign w:val="center"/>
            <w:hideMark/>
          </w:tcPr>
          <w:p w14:paraId="01D6EACB"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350" w:type="dxa"/>
            <w:shd w:val="clear" w:color="auto" w:fill="auto"/>
            <w:noWrap/>
            <w:vAlign w:val="bottom"/>
            <w:hideMark/>
          </w:tcPr>
          <w:p w14:paraId="2CFA1DC7"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260" w:type="dxa"/>
            <w:shd w:val="clear" w:color="auto" w:fill="auto"/>
            <w:noWrap/>
            <w:vAlign w:val="bottom"/>
            <w:hideMark/>
          </w:tcPr>
          <w:p w14:paraId="12551F55"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3</w:t>
            </w:r>
          </w:p>
        </w:tc>
        <w:tc>
          <w:tcPr>
            <w:tcW w:w="1260" w:type="dxa"/>
            <w:shd w:val="clear" w:color="auto" w:fill="auto"/>
            <w:noWrap/>
            <w:vAlign w:val="bottom"/>
            <w:hideMark/>
          </w:tcPr>
          <w:p w14:paraId="669FC7A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4.2%</w:t>
            </w:r>
          </w:p>
        </w:tc>
        <w:tc>
          <w:tcPr>
            <w:tcW w:w="1451" w:type="dxa"/>
            <w:shd w:val="clear" w:color="auto" w:fill="auto"/>
            <w:noWrap/>
            <w:vAlign w:val="bottom"/>
            <w:hideMark/>
          </w:tcPr>
          <w:p w14:paraId="1ABB78B0"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0.67</w:t>
            </w:r>
          </w:p>
        </w:tc>
        <w:tc>
          <w:tcPr>
            <w:tcW w:w="1519" w:type="dxa"/>
            <w:shd w:val="clear" w:color="auto" w:fill="auto"/>
            <w:noWrap/>
            <w:vAlign w:val="bottom"/>
            <w:hideMark/>
          </w:tcPr>
          <w:p w14:paraId="2511A6B2"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w:t>
            </w:r>
          </w:p>
        </w:tc>
      </w:tr>
      <w:tr w:rsidR="00B301B0" w:rsidRPr="00B301B0" w14:paraId="4486274C" w14:textId="77777777" w:rsidTr="00DB7B9A">
        <w:trPr>
          <w:trHeight w:val="20"/>
        </w:trPr>
        <w:tc>
          <w:tcPr>
            <w:tcW w:w="1248" w:type="dxa"/>
            <w:vMerge/>
            <w:vAlign w:val="center"/>
            <w:hideMark/>
          </w:tcPr>
          <w:p w14:paraId="4F0355FD"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4E06A7E5" w14:textId="77777777" w:rsidR="00B301B0" w:rsidRPr="00B301B0" w:rsidRDefault="00B301B0" w:rsidP="00B301B0">
            <w:pPr>
              <w:widowControl/>
              <w:overflowPunct/>
              <w:autoSpaceDE/>
              <w:autoSpaceDN/>
              <w:adjustRightInd/>
              <w:rPr>
                <w:bCs/>
                <w:color w:val="000000"/>
                <w:kern w:val="0"/>
              </w:rPr>
            </w:pPr>
          </w:p>
        </w:tc>
        <w:tc>
          <w:tcPr>
            <w:tcW w:w="1350" w:type="dxa"/>
            <w:vMerge/>
            <w:vAlign w:val="center"/>
            <w:hideMark/>
          </w:tcPr>
          <w:p w14:paraId="7063E5FD" w14:textId="77777777" w:rsidR="00B301B0" w:rsidRPr="00B301B0" w:rsidRDefault="00B301B0" w:rsidP="00B301B0">
            <w:pPr>
              <w:widowControl/>
              <w:overflowPunct/>
              <w:autoSpaceDE/>
              <w:autoSpaceDN/>
              <w:adjustRightInd/>
              <w:rPr>
                <w:bCs/>
                <w:color w:val="000000"/>
                <w:kern w:val="0"/>
              </w:rPr>
            </w:pPr>
          </w:p>
        </w:tc>
        <w:tc>
          <w:tcPr>
            <w:tcW w:w="1350" w:type="dxa"/>
            <w:shd w:val="clear" w:color="auto" w:fill="auto"/>
            <w:noWrap/>
            <w:vAlign w:val="bottom"/>
            <w:hideMark/>
          </w:tcPr>
          <w:p w14:paraId="437B070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260" w:type="dxa"/>
            <w:shd w:val="clear" w:color="auto" w:fill="auto"/>
            <w:noWrap/>
            <w:vAlign w:val="bottom"/>
            <w:hideMark/>
          </w:tcPr>
          <w:p w14:paraId="61C99BF1"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260" w:type="dxa"/>
            <w:shd w:val="clear" w:color="auto" w:fill="auto"/>
            <w:noWrap/>
            <w:vAlign w:val="bottom"/>
            <w:hideMark/>
          </w:tcPr>
          <w:p w14:paraId="0E7044D2"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0.0%</w:t>
            </w:r>
          </w:p>
        </w:tc>
        <w:tc>
          <w:tcPr>
            <w:tcW w:w="1451" w:type="dxa"/>
            <w:shd w:val="clear" w:color="auto" w:fill="auto"/>
            <w:noWrap/>
            <w:vAlign w:val="bottom"/>
            <w:hideMark/>
          </w:tcPr>
          <w:p w14:paraId="040CDEB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w:t>
            </w:r>
          </w:p>
        </w:tc>
        <w:tc>
          <w:tcPr>
            <w:tcW w:w="1519" w:type="dxa"/>
            <w:shd w:val="clear" w:color="auto" w:fill="auto"/>
            <w:noWrap/>
            <w:vAlign w:val="bottom"/>
            <w:hideMark/>
          </w:tcPr>
          <w:p w14:paraId="7CC8F5AF"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w:t>
            </w:r>
          </w:p>
        </w:tc>
      </w:tr>
      <w:tr w:rsidR="00B301B0" w:rsidRPr="00B301B0" w14:paraId="36E3ACF1" w14:textId="77777777" w:rsidTr="00DB7B9A">
        <w:trPr>
          <w:trHeight w:val="20"/>
        </w:trPr>
        <w:tc>
          <w:tcPr>
            <w:tcW w:w="1248" w:type="dxa"/>
            <w:vMerge/>
            <w:vAlign w:val="center"/>
            <w:hideMark/>
          </w:tcPr>
          <w:p w14:paraId="699E57AA"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7A95F26A" w14:textId="77777777" w:rsidR="00B301B0" w:rsidRPr="00B301B0" w:rsidRDefault="00B301B0" w:rsidP="00B301B0">
            <w:pPr>
              <w:widowControl/>
              <w:overflowPunct/>
              <w:autoSpaceDE/>
              <w:autoSpaceDN/>
              <w:adjustRightInd/>
              <w:rPr>
                <w:bCs/>
                <w:color w:val="000000"/>
                <w:kern w:val="0"/>
              </w:rPr>
            </w:pPr>
          </w:p>
        </w:tc>
        <w:tc>
          <w:tcPr>
            <w:tcW w:w="1350" w:type="dxa"/>
            <w:vMerge w:val="restart"/>
            <w:shd w:val="clear" w:color="auto" w:fill="auto"/>
            <w:noWrap/>
            <w:vAlign w:val="center"/>
            <w:hideMark/>
          </w:tcPr>
          <w:p w14:paraId="6581CEA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350" w:type="dxa"/>
            <w:shd w:val="clear" w:color="auto" w:fill="auto"/>
            <w:noWrap/>
            <w:vAlign w:val="bottom"/>
            <w:hideMark/>
          </w:tcPr>
          <w:p w14:paraId="3FE1F080"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260" w:type="dxa"/>
            <w:shd w:val="clear" w:color="auto" w:fill="auto"/>
            <w:noWrap/>
            <w:vAlign w:val="bottom"/>
            <w:hideMark/>
          </w:tcPr>
          <w:p w14:paraId="59D446CD"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3</w:t>
            </w:r>
          </w:p>
        </w:tc>
        <w:tc>
          <w:tcPr>
            <w:tcW w:w="1260" w:type="dxa"/>
            <w:shd w:val="clear" w:color="auto" w:fill="auto"/>
            <w:noWrap/>
            <w:vAlign w:val="bottom"/>
            <w:hideMark/>
          </w:tcPr>
          <w:p w14:paraId="3FACFA51"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4.2%</w:t>
            </w:r>
          </w:p>
        </w:tc>
        <w:tc>
          <w:tcPr>
            <w:tcW w:w="1451" w:type="dxa"/>
            <w:shd w:val="clear" w:color="auto" w:fill="auto"/>
            <w:noWrap/>
            <w:vAlign w:val="bottom"/>
            <w:hideMark/>
          </w:tcPr>
          <w:p w14:paraId="6A0BD914"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0.73</w:t>
            </w:r>
          </w:p>
        </w:tc>
        <w:tc>
          <w:tcPr>
            <w:tcW w:w="1519" w:type="dxa"/>
            <w:shd w:val="clear" w:color="auto" w:fill="auto"/>
            <w:noWrap/>
            <w:vAlign w:val="bottom"/>
            <w:hideMark/>
          </w:tcPr>
          <w:p w14:paraId="6393C46E"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w:t>
            </w:r>
          </w:p>
        </w:tc>
      </w:tr>
      <w:tr w:rsidR="00B301B0" w:rsidRPr="00B301B0" w14:paraId="349340F2" w14:textId="77777777" w:rsidTr="00DB7B9A">
        <w:trPr>
          <w:trHeight w:val="20"/>
        </w:trPr>
        <w:tc>
          <w:tcPr>
            <w:tcW w:w="1248" w:type="dxa"/>
            <w:vMerge/>
            <w:vAlign w:val="center"/>
            <w:hideMark/>
          </w:tcPr>
          <w:p w14:paraId="576E727D"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432B168D" w14:textId="77777777" w:rsidR="00B301B0" w:rsidRPr="00B301B0" w:rsidRDefault="00B301B0" w:rsidP="00B301B0">
            <w:pPr>
              <w:widowControl/>
              <w:overflowPunct/>
              <w:autoSpaceDE/>
              <w:autoSpaceDN/>
              <w:adjustRightInd/>
              <w:rPr>
                <w:bCs/>
                <w:color w:val="000000"/>
                <w:kern w:val="0"/>
              </w:rPr>
            </w:pPr>
          </w:p>
        </w:tc>
        <w:tc>
          <w:tcPr>
            <w:tcW w:w="1350" w:type="dxa"/>
            <w:vMerge/>
            <w:vAlign w:val="center"/>
            <w:hideMark/>
          </w:tcPr>
          <w:p w14:paraId="670D03B3" w14:textId="77777777" w:rsidR="00B301B0" w:rsidRPr="00B301B0" w:rsidRDefault="00B301B0" w:rsidP="00B301B0">
            <w:pPr>
              <w:widowControl/>
              <w:overflowPunct/>
              <w:autoSpaceDE/>
              <w:autoSpaceDN/>
              <w:adjustRightInd/>
              <w:rPr>
                <w:bCs/>
                <w:color w:val="000000"/>
                <w:kern w:val="0"/>
              </w:rPr>
            </w:pPr>
          </w:p>
        </w:tc>
        <w:tc>
          <w:tcPr>
            <w:tcW w:w="1350" w:type="dxa"/>
            <w:shd w:val="clear" w:color="auto" w:fill="auto"/>
            <w:noWrap/>
            <w:vAlign w:val="bottom"/>
            <w:hideMark/>
          </w:tcPr>
          <w:p w14:paraId="7953DA1E"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260" w:type="dxa"/>
            <w:shd w:val="clear" w:color="auto" w:fill="auto"/>
            <w:noWrap/>
            <w:vAlign w:val="bottom"/>
            <w:hideMark/>
          </w:tcPr>
          <w:p w14:paraId="20E3A6EA"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6</w:t>
            </w:r>
          </w:p>
        </w:tc>
        <w:tc>
          <w:tcPr>
            <w:tcW w:w="1260" w:type="dxa"/>
            <w:shd w:val="clear" w:color="auto" w:fill="auto"/>
            <w:noWrap/>
            <w:vAlign w:val="bottom"/>
            <w:hideMark/>
          </w:tcPr>
          <w:p w14:paraId="588715C7"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8.5%</w:t>
            </w:r>
          </w:p>
        </w:tc>
        <w:tc>
          <w:tcPr>
            <w:tcW w:w="1451" w:type="dxa"/>
            <w:shd w:val="clear" w:color="auto" w:fill="auto"/>
            <w:noWrap/>
            <w:vAlign w:val="bottom"/>
            <w:hideMark/>
          </w:tcPr>
          <w:p w14:paraId="515B6B07"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0.83</w:t>
            </w:r>
          </w:p>
        </w:tc>
        <w:tc>
          <w:tcPr>
            <w:tcW w:w="1519" w:type="dxa"/>
            <w:shd w:val="clear" w:color="auto" w:fill="auto"/>
            <w:noWrap/>
            <w:vAlign w:val="bottom"/>
            <w:hideMark/>
          </w:tcPr>
          <w:p w14:paraId="3B25CF6C"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C3</w:t>
            </w:r>
          </w:p>
        </w:tc>
      </w:tr>
      <w:tr w:rsidR="00B301B0" w:rsidRPr="00B301B0" w14:paraId="31702336" w14:textId="77777777" w:rsidTr="00DB7B9A">
        <w:trPr>
          <w:trHeight w:val="20"/>
        </w:trPr>
        <w:tc>
          <w:tcPr>
            <w:tcW w:w="1248" w:type="dxa"/>
            <w:vMerge w:val="restart"/>
            <w:shd w:val="clear" w:color="auto" w:fill="auto"/>
            <w:noWrap/>
            <w:vAlign w:val="center"/>
            <w:hideMark/>
          </w:tcPr>
          <w:p w14:paraId="102F4E2C"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260" w:type="dxa"/>
            <w:vMerge w:val="restart"/>
            <w:shd w:val="clear" w:color="auto" w:fill="auto"/>
            <w:noWrap/>
            <w:vAlign w:val="center"/>
            <w:hideMark/>
          </w:tcPr>
          <w:p w14:paraId="01D6A1B0"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350" w:type="dxa"/>
            <w:vMerge w:val="restart"/>
            <w:shd w:val="clear" w:color="auto" w:fill="auto"/>
            <w:noWrap/>
            <w:vAlign w:val="center"/>
            <w:hideMark/>
          </w:tcPr>
          <w:p w14:paraId="22059D27"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350" w:type="dxa"/>
            <w:shd w:val="clear" w:color="auto" w:fill="auto"/>
            <w:noWrap/>
            <w:vAlign w:val="bottom"/>
            <w:hideMark/>
          </w:tcPr>
          <w:p w14:paraId="4C6AAE32"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260" w:type="dxa"/>
            <w:shd w:val="clear" w:color="auto" w:fill="auto"/>
            <w:noWrap/>
            <w:vAlign w:val="bottom"/>
            <w:hideMark/>
          </w:tcPr>
          <w:p w14:paraId="33A99A84"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9</w:t>
            </w:r>
          </w:p>
        </w:tc>
        <w:tc>
          <w:tcPr>
            <w:tcW w:w="1260" w:type="dxa"/>
            <w:shd w:val="clear" w:color="auto" w:fill="auto"/>
            <w:noWrap/>
            <w:vAlign w:val="bottom"/>
            <w:hideMark/>
          </w:tcPr>
          <w:p w14:paraId="0C999871"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12.7%</w:t>
            </w:r>
          </w:p>
        </w:tc>
        <w:tc>
          <w:tcPr>
            <w:tcW w:w="1451" w:type="dxa"/>
            <w:shd w:val="clear" w:color="auto" w:fill="auto"/>
            <w:noWrap/>
            <w:vAlign w:val="bottom"/>
            <w:hideMark/>
          </w:tcPr>
          <w:p w14:paraId="7B79DC65"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1.00</w:t>
            </w:r>
          </w:p>
        </w:tc>
        <w:tc>
          <w:tcPr>
            <w:tcW w:w="1519" w:type="dxa"/>
            <w:shd w:val="clear" w:color="auto" w:fill="auto"/>
            <w:noWrap/>
            <w:vAlign w:val="bottom"/>
            <w:hideMark/>
          </w:tcPr>
          <w:p w14:paraId="0D091B7C"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C1</w:t>
            </w:r>
          </w:p>
        </w:tc>
      </w:tr>
      <w:tr w:rsidR="00B301B0" w:rsidRPr="00B301B0" w14:paraId="3703FB58" w14:textId="77777777" w:rsidTr="00DB7B9A">
        <w:trPr>
          <w:trHeight w:val="20"/>
        </w:trPr>
        <w:tc>
          <w:tcPr>
            <w:tcW w:w="1248" w:type="dxa"/>
            <w:vMerge/>
            <w:vAlign w:val="center"/>
            <w:hideMark/>
          </w:tcPr>
          <w:p w14:paraId="3603AD2D"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46177A07" w14:textId="77777777" w:rsidR="00B301B0" w:rsidRPr="00B301B0" w:rsidRDefault="00B301B0" w:rsidP="00B301B0">
            <w:pPr>
              <w:widowControl/>
              <w:overflowPunct/>
              <w:autoSpaceDE/>
              <w:autoSpaceDN/>
              <w:adjustRightInd/>
              <w:rPr>
                <w:bCs/>
                <w:color w:val="000000"/>
                <w:kern w:val="0"/>
              </w:rPr>
            </w:pPr>
          </w:p>
        </w:tc>
        <w:tc>
          <w:tcPr>
            <w:tcW w:w="1350" w:type="dxa"/>
            <w:vMerge/>
            <w:vAlign w:val="center"/>
            <w:hideMark/>
          </w:tcPr>
          <w:p w14:paraId="0DB140DA" w14:textId="77777777" w:rsidR="00B301B0" w:rsidRPr="00B301B0" w:rsidRDefault="00B301B0" w:rsidP="00B301B0">
            <w:pPr>
              <w:widowControl/>
              <w:overflowPunct/>
              <w:autoSpaceDE/>
              <w:autoSpaceDN/>
              <w:adjustRightInd/>
              <w:rPr>
                <w:bCs/>
                <w:color w:val="000000"/>
                <w:kern w:val="0"/>
              </w:rPr>
            </w:pPr>
          </w:p>
        </w:tc>
        <w:tc>
          <w:tcPr>
            <w:tcW w:w="1350" w:type="dxa"/>
            <w:shd w:val="clear" w:color="auto" w:fill="auto"/>
            <w:noWrap/>
            <w:vAlign w:val="bottom"/>
            <w:hideMark/>
          </w:tcPr>
          <w:p w14:paraId="6411AAA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260" w:type="dxa"/>
            <w:shd w:val="clear" w:color="auto" w:fill="auto"/>
            <w:noWrap/>
            <w:vAlign w:val="bottom"/>
            <w:hideMark/>
          </w:tcPr>
          <w:p w14:paraId="14CCE97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4</w:t>
            </w:r>
          </w:p>
        </w:tc>
        <w:tc>
          <w:tcPr>
            <w:tcW w:w="1260" w:type="dxa"/>
            <w:shd w:val="clear" w:color="auto" w:fill="auto"/>
            <w:noWrap/>
            <w:vAlign w:val="bottom"/>
            <w:hideMark/>
          </w:tcPr>
          <w:p w14:paraId="14254C6E"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5.6%</w:t>
            </w:r>
          </w:p>
        </w:tc>
        <w:tc>
          <w:tcPr>
            <w:tcW w:w="1451" w:type="dxa"/>
            <w:shd w:val="clear" w:color="auto" w:fill="auto"/>
            <w:noWrap/>
            <w:vAlign w:val="bottom"/>
            <w:hideMark/>
          </w:tcPr>
          <w:p w14:paraId="75F1D566"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0.93</w:t>
            </w:r>
          </w:p>
        </w:tc>
        <w:tc>
          <w:tcPr>
            <w:tcW w:w="1519" w:type="dxa"/>
            <w:shd w:val="clear" w:color="auto" w:fill="auto"/>
            <w:noWrap/>
            <w:vAlign w:val="bottom"/>
            <w:hideMark/>
          </w:tcPr>
          <w:p w14:paraId="5994A82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C1</w:t>
            </w:r>
          </w:p>
        </w:tc>
      </w:tr>
      <w:tr w:rsidR="00B301B0" w:rsidRPr="00B301B0" w14:paraId="5E48AD94" w14:textId="77777777" w:rsidTr="00DB7B9A">
        <w:trPr>
          <w:trHeight w:val="20"/>
        </w:trPr>
        <w:tc>
          <w:tcPr>
            <w:tcW w:w="1248" w:type="dxa"/>
            <w:vMerge/>
            <w:vAlign w:val="center"/>
            <w:hideMark/>
          </w:tcPr>
          <w:p w14:paraId="2ECE3FA1"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396BC31A" w14:textId="77777777" w:rsidR="00B301B0" w:rsidRPr="00B301B0" w:rsidRDefault="00B301B0" w:rsidP="00B301B0">
            <w:pPr>
              <w:widowControl/>
              <w:overflowPunct/>
              <w:autoSpaceDE/>
              <w:autoSpaceDN/>
              <w:adjustRightInd/>
              <w:rPr>
                <w:bCs/>
                <w:color w:val="000000"/>
                <w:kern w:val="0"/>
              </w:rPr>
            </w:pPr>
          </w:p>
        </w:tc>
        <w:tc>
          <w:tcPr>
            <w:tcW w:w="1350" w:type="dxa"/>
            <w:vMerge w:val="restart"/>
            <w:shd w:val="clear" w:color="auto" w:fill="auto"/>
            <w:noWrap/>
            <w:vAlign w:val="center"/>
            <w:hideMark/>
          </w:tcPr>
          <w:p w14:paraId="76289E73"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350" w:type="dxa"/>
            <w:shd w:val="clear" w:color="auto" w:fill="auto"/>
            <w:noWrap/>
            <w:vAlign w:val="bottom"/>
            <w:hideMark/>
          </w:tcPr>
          <w:p w14:paraId="0F539219"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260" w:type="dxa"/>
            <w:shd w:val="clear" w:color="auto" w:fill="auto"/>
            <w:noWrap/>
            <w:vAlign w:val="bottom"/>
            <w:hideMark/>
          </w:tcPr>
          <w:p w14:paraId="1418875A"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260" w:type="dxa"/>
            <w:shd w:val="clear" w:color="auto" w:fill="auto"/>
            <w:noWrap/>
            <w:vAlign w:val="bottom"/>
            <w:hideMark/>
          </w:tcPr>
          <w:p w14:paraId="0C0D3900"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1.4%</w:t>
            </w:r>
          </w:p>
        </w:tc>
        <w:tc>
          <w:tcPr>
            <w:tcW w:w="1451" w:type="dxa"/>
            <w:shd w:val="clear" w:color="auto" w:fill="auto"/>
            <w:noWrap/>
            <w:vAlign w:val="bottom"/>
            <w:hideMark/>
          </w:tcPr>
          <w:p w14:paraId="72507C67"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1.00</w:t>
            </w:r>
          </w:p>
        </w:tc>
        <w:tc>
          <w:tcPr>
            <w:tcW w:w="1519" w:type="dxa"/>
            <w:shd w:val="clear" w:color="auto" w:fill="auto"/>
            <w:noWrap/>
            <w:vAlign w:val="bottom"/>
            <w:hideMark/>
          </w:tcPr>
          <w:p w14:paraId="14C17F9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w:t>
            </w:r>
          </w:p>
        </w:tc>
      </w:tr>
      <w:tr w:rsidR="00B301B0" w:rsidRPr="00B301B0" w14:paraId="3C0130BF" w14:textId="77777777" w:rsidTr="00DB7B9A">
        <w:trPr>
          <w:trHeight w:val="20"/>
        </w:trPr>
        <w:tc>
          <w:tcPr>
            <w:tcW w:w="1248" w:type="dxa"/>
            <w:vMerge/>
            <w:vAlign w:val="center"/>
            <w:hideMark/>
          </w:tcPr>
          <w:p w14:paraId="2537EBEC"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6D627873" w14:textId="77777777" w:rsidR="00B301B0" w:rsidRPr="00B301B0" w:rsidRDefault="00B301B0" w:rsidP="00B301B0">
            <w:pPr>
              <w:widowControl/>
              <w:overflowPunct/>
              <w:autoSpaceDE/>
              <w:autoSpaceDN/>
              <w:adjustRightInd/>
              <w:rPr>
                <w:bCs/>
                <w:color w:val="000000"/>
                <w:kern w:val="0"/>
              </w:rPr>
            </w:pPr>
          </w:p>
        </w:tc>
        <w:tc>
          <w:tcPr>
            <w:tcW w:w="1350" w:type="dxa"/>
            <w:vMerge/>
            <w:vAlign w:val="center"/>
            <w:hideMark/>
          </w:tcPr>
          <w:p w14:paraId="75B3CB0F" w14:textId="77777777" w:rsidR="00B301B0" w:rsidRPr="00B301B0" w:rsidRDefault="00B301B0" w:rsidP="00B301B0">
            <w:pPr>
              <w:widowControl/>
              <w:overflowPunct/>
              <w:autoSpaceDE/>
              <w:autoSpaceDN/>
              <w:adjustRightInd/>
              <w:rPr>
                <w:bCs/>
                <w:color w:val="000000"/>
                <w:kern w:val="0"/>
              </w:rPr>
            </w:pPr>
          </w:p>
        </w:tc>
        <w:tc>
          <w:tcPr>
            <w:tcW w:w="1350" w:type="dxa"/>
            <w:shd w:val="clear" w:color="auto" w:fill="auto"/>
            <w:noWrap/>
            <w:vAlign w:val="bottom"/>
            <w:hideMark/>
          </w:tcPr>
          <w:p w14:paraId="0D820540"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260" w:type="dxa"/>
            <w:shd w:val="clear" w:color="auto" w:fill="auto"/>
            <w:noWrap/>
            <w:vAlign w:val="bottom"/>
            <w:hideMark/>
          </w:tcPr>
          <w:p w14:paraId="50101309"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4</w:t>
            </w:r>
          </w:p>
        </w:tc>
        <w:tc>
          <w:tcPr>
            <w:tcW w:w="1260" w:type="dxa"/>
            <w:shd w:val="clear" w:color="auto" w:fill="auto"/>
            <w:noWrap/>
            <w:vAlign w:val="bottom"/>
            <w:hideMark/>
          </w:tcPr>
          <w:p w14:paraId="13B70F3F"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5.6%</w:t>
            </w:r>
          </w:p>
        </w:tc>
        <w:tc>
          <w:tcPr>
            <w:tcW w:w="1451" w:type="dxa"/>
            <w:shd w:val="clear" w:color="auto" w:fill="auto"/>
            <w:noWrap/>
            <w:vAlign w:val="bottom"/>
            <w:hideMark/>
          </w:tcPr>
          <w:p w14:paraId="70D0A89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0.42</w:t>
            </w:r>
          </w:p>
        </w:tc>
        <w:tc>
          <w:tcPr>
            <w:tcW w:w="1519" w:type="dxa"/>
            <w:shd w:val="clear" w:color="auto" w:fill="auto"/>
            <w:noWrap/>
            <w:vAlign w:val="bottom"/>
            <w:hideMark/>
          </w:tcPr>
          <w:p w14:paraId="0FE0BEB7"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w:t>
            </w:r>
          </w:p>
        </w:tc>
      </w:tr>
      <w:tr w:rsidR="00B301B0" w:rsidRPr="00B301B0" w14:paraId="7000640F" w14:textId="77777777" w:rsidTr="00DB7B9A">
        <w:trPr>
          <w:trHeight w:val="20"/>
        </w:trPr>
        <w:tc>
          <w:tcPr>
            <w:tcW w:w="1248" w:type="dxa"/>
            <w:vMerge/>
            <w:vAlign w:val="center"/>
            <w:hideMark/>
          </w:tcPr>
          <w:p w14:paraId="14B7E70E" w14:textId="77777777" w:rsidR="00B301B0" w:rsidRPr="00B301B0" w:rsidRDefault="00B301B0" w:rsidP="00B301B0">
            <w:pPr>
              <w:widowControl/>
              <w:overflowPunct/>
              <w:autoSpaceDE/>
              <w:autoSpaceDN/>
              <w:adjustRightInd/>
              <w:rPr>
                <w:bCs/>
                <w:color w:val="000000"/>
                <w:kern w:val="0"/>
              </w:rPr>
            </w:pPr>
          </w:p>
        </w:tc>
        <w:tc>
          <w:tcPr>
            <w:tcW w:w="1260" w:type="dxa"/>
            <w:vMerge w:val="restart"/>
            <w:shd w:val="clear" w:color="auto" w:fill="auto"/>
            <w:noWrap/>
            <w:vAlign w:val="center"/>
            <w:hideMark/>
          </w:tcPr>
          <w:p w14:paraId="6E27CB7D"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350" w:type="dxa"/>
            <w:vMerge w:val="restart"/>
            <w:shd w:val="clear" w:color="auto" w:fill="auto"/>
            <w:noWrap/>
            <w:vAlign w:val="center"/>
            <w:hideMark/>
          </w:tcPr>
          <w:p w14:paraId="07B67E96"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350" w:type="dxa"/>
            <w:shd w:val="clear" w:color="auto" w:fill="auto"/>
            <w:noWrap/>
            <w:vAlign w:val="bottom"/>
            <w:hideMark/>
          </w:tcPr>
          <w:p w14:paraId="7F2303D9"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260" w:type="dxa"/>
            <w:shd w:val="clear" w:color="auto" w:fill="auto"/>
            <w:noWrap/>
            <w:vAlign w:val="bottom"/>
            <w:hideMark/>
          </w:tcPr>
          <w:p w14:paraId="7D57A75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14</w:t>
            </w:r>
          </w:p>
        </w:tc>
        <w:tc>
          <w:tcPr>
            <w:tcW w:w="1260" w:type="dxa"/>
            <w:shd w:val="clear" w:color="auto" w:fill="auto"/>
            <w:noWrap/>
            <w:vAlign w:val="bottom"/>
            <w:hideMark/>
          </w:tcPr>
          <w:p w14:paraId="26BBE391"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19.7%</w:t>
            </w:r>
          </w:p>
        </w:tc>
        <w:tc>
          <w:tcPr>
            <w:tcW w:w="1451" w:type="dxa"/>
            <w:shd w:val="clear" w:color="auto" w:fill="auto"/>
            <w:noWrap/>
            <w:vAlign w:val="bottom"/>
            <w:hideMark/>
          </w:tcPr>
          <w:p w14:paraId="1115EA40"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0.88</w:t>
            </w:r>
          </w:p>
        </w:tc>
        <w:tc>
          <w:tcPr>
            <w:tcW w:w="1519" w:type="dxa"/>
            <w:shd w:val="clear" w:color="auto" w:fill="auto"/>
            <w:noWrap/>
            <w:vAlign w:val="bottom"/>
            <w:hideMark/>
          </w:tcPr>
          <w:p w14:paraId="10C8520D"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C2</w:t>
            </w:r>
          </w:p>
        </w:tc>
      </w:tr>
      <w:tr w:rsidR="00B301B0" w:rsidRPr="00B301B0" w14:paraId="434D1791" w14:textId="77777777" w:rsidTr="00DB7B9A">
        <w:trPr>
          <w:trHeight w:val="20"/>
        </w:trPr>
        <w:tc>
          <w:tcPr>
            <w:tcW w:w="1248" w:type="dxa"/>
            <w:vMerge/>
            <w:vAlign w:val="center"/>
            <w:hideMark/>
          </w:tcPr>
          <w:p w14:paraId="5A0B7B26"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058049A2" w14:textId="77777777" w:rsidR="00B301B0" w:rsidRPr="00B301B0" w:rsidRDefault="00B301B0" w:rsidP="00B301B0">
            <w:pPr>
              <w:widowControl/>
              <w:overflowPunct/>
              <w:autoSpaceDE/>
              <w:autoSpaceDN/>
              <w:adjustRightInd/>
              <w:rPr>
                <w:bCs/>
                <w:color w:val="000000"/>
                <w:kern w:val="0"/>
              </w:rPr>
            </w:pPr>
          </w:p>
        </w:tc>
        <w:tc>
          <w:tcPr>
            <w:tcW w:w="1350" w:type="dxa"/>
            <w:vMerge/>
            <w:vAlign w:val="center"/>
            <w:hideMark/>
          </w:tcPr>
          <w:p w14:paraId="259583C0" w14:textId="77777777" w:rsidR="00B301B0" w:rsidRPr="00B301B0" w:rsidRDefault="00B301B0" w:rsidP="00B301B0">
            <w:pPr>
              <w:widowControl/>
              <w:overflowPunct/>
              <w:autoSpaceDE/>
              <w:autoSpaceDN/>
              <w:adjustRightInd/>
              <w:rPr>
                <w:bCs/>
                <w:color w:val="000000"/>
                <w:kern w:val="0"/>
              </w:rPr>
            </w:pPr>
          </w:p>
        </w:tc>
        <w:tc>
          <w:tcPr>
            <w:tcW w:w="1350" w:type="dxa"/>
            <w:shd w:val="clear" w:color="auto" w:fill="auto"/>
            <w:noWrap/>
            <w:vAlign w:val="bottom"/>
            <w:hideMark/>
          </w:tcPr>
          <w:p w14:paraId="73EC238E"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260" w:type="dxa"/>
            <w:shd w:val="clear" w:color="auto" w:fill="auto"/>
            <w:noWrap/>
            <w:vAlign w:val="bottom"/>
            <w:hideMark/>
          </w:tcPr>
          <w:p w14:paraId="451CF160"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260" w:type="dxa"/>
            <w:shd w:val="clear" w:color="auto" w:fill="auto"/>
            <w:noWrap/>
            <w:vAlign w:val="bottom"/>
            <w:hideMark/>
          </w:tcPr>
          <w:p w14:paraId="0264D435"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1.4%</w:t>
            </w:r>
          </w:p>
        </w:tc>
        <w:tc>
          <w:tcPr>
            <w:tcW w:w="1451" w:type="dxa"/>
            <w:shd w:val="clear" w:color="auto" w:fill="auto"/>
            <w:noWrap/>
            <w:vAlign w:val="bottom"/>
            <w:hideMark/>
          </w:tcPr>
          <w:p w14:paraId="712DB10B"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1.00</w:t>
            </w:r>
          </w:p>
        </w:tc>
        <w:tc>
          <w:tcPr>
            <w:tcW w:w="1519" w:type="dxa"/>
            <w:shd w:val="clear" w:color="auto" w:fill="auto"/>
            <w:noWrap/>
            <w:vAlign w:val="bottom"/>
            <w:hideMark/>
          </w:tcPr>
          <w:p w14:paraId="00EDF142"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w:t>
            </w:r>
          </w:p>
        </w:tc>
      </w:tr>
      <w:tr w:rsidR="00B301B0" w:rsidRPr="00B301B0" w14:paraId="0A5BC47C" w14:textId="77777777" w:rsidTr="00DB7B9A">
        <w:trPr>
          <w:trHeight w:val="20"/>
        </w:trPr>
        <w:tc>
          <w:tcPr>
            <w:tcW w:w="1248" w:type="dxa"/>
            <w:vMerge/>
            <w:vAlign w:val="center"/>
            <w:hideMark/>
          </w:tcPr>
          <w:p w14:paraId="7F8DDE0E"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008CB63A" w14:textId="77777777" w:rsidR="00B301B0" w:rsidRPr="00B301B0" w:rsidRDefault="00B301B0" w:rsidP="00B301B0">
            <w:pPr>
              <w:widowControl/>
              <w:overflowPunct/>
              <w:autoSpaceDE/>
              <w:autoSpaceDN/>
              <w:adjustRightInd/>
              <w:rPr>
                <w:bCs/>
                <w:color w:val="000000"/>
                <w:kern w:val="0"/>
              </w:rPr>
            </w:pPr>
          </w:p>
        </w:tc>
        <w:tc>
          <w:tcPr>
            <w:tcW w:w="1350" w:type="dxa"/>
            <w:vMerge w:val="restart"/>
            <w:shd w:val="clear" w:color="auto" w:fill="auto"/>
            <w:noWrap/>
            <w:vAlign w:val="center"/>
            <w:hideMark/>
          </w:tcPr>
          <w:p w14:paraId="31377B5B"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350" w:type="dxa"/>
            <w:shd w:val="clear" w:color="auto" w:fill="auto"/>
            <w:noWrap/>
            <w:vAlign w:val="bottom"/>
            <w:hideMark/>
          </w:tcPr>
          <w:p w14:paraId="388412F3"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1</w:t>
            </w:r>
          </w:p>
        </w:tc>
        <w:tc>
          <w:tcPr>
            <w:tcW w:w="1260" w:type="dxa"/>
            <w:shd w:val="clear" w:color="auto" w:fill="auto"/>
            <w:noWrap/>
            <w:vAlign w:val="bottom"/>
            <w:hideMark/>
          </w:tcPr>
          <w:p w14:paraId="3DD7BECB"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7</w:t>
            </w:r>
          </w:p>
        </w:tc>
        <w:tc>
          <w:tcPr>
            <w:tcW w:w="1260" w:type="dxa"/>
            <w:shd w:val="clear" w:color="auto" w:fill="auto"/>
            <w:noWrap/>
            <w:vAlign w:val="bottom"/>
            <w:hideMark/>
          </w:tcPr>
          <w:p w14:paraId="18BF510F"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9.9%</w:t>
            </w:r>
          </w:p>
        </w:tc>
        <w:tc>
          <w:tcPr>
            <w:tcW w:w="1451" w:type="dxa"/>
            <w:shd w:val="clear" w:color="auto" w:fill="auto"/>
            <w:noWrap/>
            <w:vAlign w:val="bottom"/>
            <w:hideMark/>
          </w:tcPr>
          <w:p w14:paraId="7E9561B8"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0.85</w:t>
            </w:r>
          </w:p>
        </w:tc>
        <w:tc>
          <w:tcPr>
            <w:tcW w:w="1519" w:type="dxa"/>
            <w:shd w:val="clear" w:color="auto" w:fill="auto"/>
            <w:noWrap/>
            <w:vAlign w:val="bottom"/>
            <w:hideMark/>
          </w:tcPr>
          <w:p w14:paraId="43D2D5AA"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C2</w:t>
            </w:r>
          </w:p>
        </w:tc>
      </w:tr>
      <w:tr w:rsidR="00B301B0" w:rsidRPr="00B301B0" w14:paraId="238D7054" w14:textId="77777777" w:rsidTr="00DB7B9A">
        <w:trPr>
          <w:trHeight w:val="20"/>
        </w:trPr>
        <w:tc>
          <w:tcPr>
            <w:tcW w:w="1248" w:type="dxa"/>
            <w:vMerge/>
            <w:vAlign w:val="center"/>
            <w:hideMark/>
          </w:tcPr>
          <w:p w14:paraId="7D8D87D5" w14:textId="77777777" w:rsidR="00B301B0" w:rsidRPr="00B301B0" w:rsidRDefault="00B301B0" w:rsidP="00B301B0">
            <w:pPr>
              <w:widowControl/>
              <w:overflowPunct/>
              <w:autoSpaceDE/>
              <w:autoSpaceDN/>
              <w:adjustRightInd/>
              <w:rPr>
                <w:bCs/>
                <w:color w:val="000000"/>
                <w:kern w:val="0"/>
              </w:rPr>
            </w:pPr>
          </w:p>
        </w:tc>
        <w:tc>
          <w:tcPr>
            <w:tcW w:w="1260" w:type="dxa"/>
            <w:vMerge/>
            <w:vAlign w:val="center"/>
            <w:hideMark/>
          </w:tcPr>
          <w:p w14:paraId="39A0FED3" w14:textId="77777777" w:rsidR="00B301B0" w:rsidRPr="00B301B0" w:rsidRDefault="00B301B0" w:rsidP="00B301B0">
            <w:pPr>
              <w:widowControl/>
              <w:overflowPunct/>
              <w:autoSpaceDE/>
              <w:autoSpaceDN/>
              <w:adjustRightInd/>
              <w:rPr>
                <w:bCs/>
                <w:color w:val="000000"/>
                <w:kern w:val="0"/>
              </w:rPr>
            </w:pPr>
          </w:p>
        </w:tc>
        <w:tc>
          <w:tcPr>
            <w:tcW w:w="1350" w:type="dxa"/>
            <w:vMerge/>
            <w:vAlign w:val="center"/>
            <w:hideMark/>
          </w:tcPr>
          <w:p w14:paraId="705CB5A6" w14:textId="77777777" w:rsidR="00B301B0" w:rsidRPr="00B301B0" w:rsidRDefault="00B301B0" w:rsidP="00B301B0">
            <w:pPr>
              <w:widowControl/>
              <w:overflowPunct/>
              <w:autoSpaceDE/>
              <w:autoSpaceDN/>
              <w:adjustRightInd/>
              <w:rPr>
                <w:bCs/>
                <w:color w:val="000000"/>
                <w:kern w:val="0"/>
              </w:rPr>
            </w:pPr>
          </w:p>
        </w:tc>
        <w:tc>
          <w:tcPr>
            <w:tcW w:w="1350" w:type="dxa"/>
            <w:shd w:val="clear" w:color="auto" w:fill="auto"/>
            <w:noWrap/>
            <w:vAlign w:val="bottom"/>
            <w:hideMark/>
          </w:tcPr>
          <w:p w14:paraId="2FB188B5"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w:t>
            </w:r>
          </w:p>
        </w:tc>
        <w:tc>
          <w:tcPr>
            <w:tcW w:w="1260" w:type="dxa"/>
            <w:shd w:val="clear" w:color="auto" w:fill="auto"/>
            <w:noWrap/>
            <w:vAlign w:val="bottom"/>
            <w:hideMark/>
          </w:tcPr>
          <w:p w14:paraId="48D654B4"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4</w:t>
            </w:r>
          </w:p>
        </w:tc>
        <w:tc>
          <w:tcPr>
            <w:tcW w:w="1260" w:type="dxa"/>
            <w:shd w:val="clear" w:color="auto" w:fill="auto"/>
            <w:noWrap/>
            <w:vAlign w:val="bottom"/>
            <w:hideMark/>
          </w:tcPr>
          <w:p w14:paraId="617C6C22"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5.6%</w:t>
            </w:r>
          </w:p>
        </w:tc>
        <w:tc>
          <w:tcPr>
            <w:tcW w:w="1451" w:type="dxa"/>
            <w:shd w:val="clear" w:color="auto" w:fill="auto"/>
            <w:noWrap/>
            <w:vAlign w:val="bottom"/>
            <w:hideMark/>
          </w:tcPr>
          <w:p w14:paraId="7D4D4005"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0.51</w:t>
            </w:r>
          </w:p>
        </w:tc>
        <w:tc>
          <w:tcPr>
            <w:tcW w:w="1519" w:type="dxa"/>
            <w:shd w:val="clear" w:color="auto" w:fill="auto"/>
            <w:noWrap/>
            <w:vAlign w:val="bottom"/>
            <w:hideMark/>
          </w:tcPr>
          <w:p w14:paraId="179E00B2"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w:t>
            </w:r>
          </w:p>
        </w:tc>
      </w:tr>
    </w:tbl>
    <w:p w14:paraId="041AFAD2" w14:textId="77777777" w:rsidR="00B301B0" w:rsidRPr="00B301B0" w:rsidRDefault="00B301B0" w:rsidP="00B301B0">
      <w:pPr>
        <w:widowControl/>
        <w:overflowPunct/>
        <w:autoSpaceDE/>
        <w:autoSpaceDN/>
        <w:adjustRightInd/>
        <w:ind w:left="720" w:right="1440"/>
        <w:rPr>
          <w:bCs/>
          <w:kern w:val="0"/>
        </w:rPr>
      </w:pPr>
      <w:r w:rsidRPr="00B301B0">
        <w:rPr>
          <w:bCs/>
          <w:kern w:val="0"/>
        </w:rPr>
        <w:t>Notes: Cases with less than three subsidiaries are not retained for the sufficiency analysis (Ragin, 2009); A = Values presented are raw consistency scores; B = Items presented are the configuration each row reflects in the solution.</w:t>
      </w:r>
    </w:p>
    <w:p w14:paraId="1A14F586" w14:textId="77777777" w:rsidR="00B301B0" w:rsidRPr="00B301B0" w:rsidRDefault="00B301B0" w:rsidP="00B301B0">
      <w:pPr>
        <w:widowControl/>
        <w:overflowPunct/>
        <w:autoSpaceDE/>
        <w:autoSpaceDN/>
        <w:adjustRightInd/>
        <w:ind w:left="720"/>
        <w:rPr>
          <w:b/>
          <w:kern w:val="0"/>
          <w:sz w:val="24"/>
          <w:szCs w:val="24"/>
        </w:rPr>
      </w:pPr>
    </w:p>
    <w:p w14:paraId="311BE81A" w14:textId="77777777" w:rsidR="00B301B0" w:rsidRPr="00B301B0" w:rsidRDefault="00B301B0" w:rsidP="00B301B0">
      <w:pPr>
        <w:widowControl/>
        <w:overflowPunct/>
        <w:autoSpaceDE/>
        <w:autoSpaceDN/>
        <w:adjustRightInd/>
        <w:ind w:left="720"/>
        <w:rPr>
          <w:b/>
          <w:kern w:val="0"/>
          <w:sz w:val="24"/>
          <w:szCs w:val="24"/>
        </w:rPr>
      </w:pPr>
    </w:p>
    <w:p w14:paraId="16A3FFCB" w14:textId="77777777" w:rsidR="00B301B0" w:rsidRPr="00B301B0" w:rsidRDefault="00B301B0" w:rsidP="00B301B0">
      <w:pPr>
        <w:widowControl/>
        <w:overflowPunct/>
        <w:autoSpaceDE/>
        <w:autoSpaceDN/>
        <w:adjustRightInd/>
        <w:ind w:left="720"/>
        <w:rPr>
          <w:b/>
          <w:kern w:val="0"/>
          <w:sz w:val="24"/>
          <w:szCs w:val="24"/>
        </w:rPr>
        <w:sectPr w:rsidR="00B301B0" w:rsidRPr="00B301B0" w:rsidSect="00DB7B9A">
          <w:pgSz w:w="15840" w:h="12240" w:orient="landscape"/>
          <w:pgMar w:top="1440" w:right="1440" w:bottom="1440" w:left="1440" w:header="720" w:footer="720" w:gutter="0"/>
          <w:cols w:space="720"/>
          <w:docGrid w:linePitch="360"/>
        </w:sectPr>
      </w:pPr>
    </w:p>
    <w:p w14:paraId="2C98DA20" w14:textId="77777777" w:rsidR="00B301B0" w:rsidRPr="00B301B0" w:rsidRDefault="00B301B0" w:rsidP="00B301B0">
      <w:pPr>
        <w:widowControl/>
        <w:overflowPunct/>
        <w:autoSpaceDE/>
        <w:autoSpaceDN/>
        <w:adjustRightInd/>
        <w:ind w:left="720"/>
        <w:rPr>
          <w:bCs/>
          <w:kern w:val="0"/>
          <w:sz w:val="24"/>
          <w:szCs w:val="24"/>
        </w:rPr>
      </w:pPr>
      <w:r w:rsidRPr="00B301B0">
        <w:rPr>
          <w:bCs/>
          <w:kern w:val="0"/>
          <w:sz w:val="24"/>
          <w:szCs w:val="24"/>
        </w:rPr>
        <w:t>Table 3. Sufficiency analysis results</w:t>
      </w:r>
    </w:p>
    <w:p w14:paraId="7EF4CD1F" w14:textId="77777777" w:rsidR="00B301B0" w:rsidRPr="00B301B0" w:rsidRDefault="00B301B0" w:rsidP="00B301B0">
      <w:pPr>
        <w:widowControl/>
        <w:overflowPunct/>
        <w:autoSpaceDE/>
        <w:autoSpaceDN/>
        <w:adjustRightInd/>
        <w:rPr>
          <w:bCs/>
          <w:kern w:val="0"/>
          <w:sz w:val="24"/>
          <w:szCs w:val="24"/>
        </w:rPr>
      </w:pPr>
    </w:p>
    <w:tbl>
      <w:tblPr>
        <w:tblStyle w:val="TableGrid"/>
        <w:tblW w:w="0" w:type="auto"/>
        <w:tblInd w:w="732" w:type="dxa"/>
        <w:tblLook w:val="04A0" w:firstRow="1" w:lastRow="0" w:firstColumn="1" w:lastColumn="0" w:noHBand="0" w:noVBand="1"/>
      </w:tblPr>
      <w:tblGrid>
        <w:gridCol w:w="2790"/>
        <w:gridCol w:w="636"/>
        <w:gridCol w:w="1434"/>
        <w:gridCol w:w="636"/>
      </w:tblGrid>
      <w:tr w:rsidR="00B301B0" w:rsidRPr="00B301B0" w14:paraId="7D3C2CF0" w14:textId="77777777" w:rsidTr="00DB7B9A">
        <w:tc>
          <w:tcPr>
            <w:tcW w:w="2790" w:type="dxa"/>
            <w:tcBorders>
              <w:top w:val="single" w:sz="4" w:space="0" w:color="auto"/>
              <w:left w:val="nil"/>
              <w:bottom w:val="single" w:sz="4" w:space="0" w:color="auto"/>
              <w:right w:val="nil"/>
            </w:tcBorders>
          </w:tcPr>
          <w:p w14:paraId="106E13C1" w14:textId="77777777" w:rsidR="00B301B0" w:rsidRPr="00B301B0" w:rsidRDefault="00B301B0" w:rsidP="00B301B0">
            <w:pPr>
              <w:widowControl/>
              <w:overflowPunct/>
              <w:autoSpaceDE/>
              <w:autoSpaceDN/>
              <w:adjustRightInd/>
              <w:rPr>
                <w:bCs/>
                <w:kern w:val="0"/>
                <w:sz w:val="24"/>
                <w:szCs w:val="24"/>
              </w:rPr>
            </w:pPr>
          </w:p>
        </w:tc>
        <w:tc>
          <w:tcPr>
            <w:tcW w:w="2706" w:type="dxa"/>
            <w:gridSpan w:val="3"/>
            <w:tcBorders>
              <w:top w:val="single" w:sz="4" w:space="0" w:color="auto"/>
              <w:left w:val="nil"/>
              <w:bottom w:val="single" w:sz="4" w:space="0" w:color="auto"/>
              <w:right w:val="nil"/>
            </w:tcBorders>
          </w:tcPr>
          <w:p w14:paraId="69F87F65" w14:textId="77777777" w:rsidR="00B301B0" w:rsidRPr="00B301B0" w:rsidRDefault="00B301B0" w:rsidP="00B301B0">
            <w:pPr>
              <w:widowControl/>
              <w:overflowPunct/>
              <w:autoSpaceDE/>
              <w:autoSpaceDN/>
              <w:adjustRightInd/>
              <w:jc w:val="center"/>
              <w:rPr>
                <w:bCs/>
                <w:kern w:val="0"/>
                <w:sz w:val="24"/>
                <w:szCs w:val="24"/>
              </w:rPr>
            </w:pPr>
            <w:r w:rsidRPr="00B301B0">
              <w:rPr>
                <w:bCs/>
                <w:kern w:val="0"/>
                <w:sz w:val="24"/>
                <w:szCs w:val="24"/>
              </w:rPr>
              <w:t>Product Innovation</w:t>
            </w:r>
          </w:p>
        </w:tc>
      </w:tr>
      <w:tr w:rsidR="00B301B0" w:rsidRPr="00B301B0" w14:paraId="0E6A1E72" w14:textId="77777777" w:rsidTr="00DB7B9A">
        <w:tc>
          <w:tcPr>
            <w:tcW w:w="2790" w:type="dxa"/>
            <w:tcBorders>
              <w:top w:val="single" w:sz="4" w:space="0" w:color="auto"/>
              <w:left w:val="nil"/>
              <w:bottom w:val="single" w:sz="4" w:space="0" w:color="auto"/>
              <w:right w:val="nil"/>
            </w:tcBorders>
          </w:tcPr>
          <w:p w14:paraId="0894FEEF" w14:textId="77777777" w:rsidR="00B301B0" w:rsidRPr="00B301B0" w:rsidRDefault="00B301B0" w:rsidP="00B301B0">
            <w:pPr>
              <w:widowControl/>
              <w:overflowPunct/>
              <w:autoSpaceDE/>
              <w:autoSpaceDN/>
              <w:adjustRightInd/>
              <w:rPr>
                <w:bCs/>
                <w:kern w:val="0"/>
                <w:sz w:val="24"/>
                <w:szCs w:val="24"/>
              </w:rPr>
            </w:pPr>
            <w:r w:rsidRPr="00B301B0">
              <w:rPr>
                <w:bCs/>
                <w:kern w:val="0"/>
                <w:sz w:val="24"/>
                <w:szCs w:val="24"/>
              </w:rPr>
              <w:t>Condition/Configuration</w:t>
            </w:r>
          </w:p>
        </w:tc>
        <w:tc>
          <w:tcPr>
            <w:tcW w:w="636" w:type="dxa"/>
            <w:tcBorders>
              <w:top w:val="single" w:sz="4" w:space="0" w:color="auto"/>
              <w:left w:val="nil"/>
              <w:bottom w:val="single" w:sz="4" w:space="0" w:color="auto"/>
              <w:right w:val="nil"/>
            </w:tcBorders>
          </w:tcPr>
          <w:p w14:paraId="5704C128" w14:textId="77777777" w:rsidR="00B301B0" w:rsidRPr="00B301B0" w:rsidRDefault="00B301B0" w:rsidP="00B301B0">
            <w:pPr>
              <w:widowControl/>
              <w:overflowPunct/>
              <w:autoSpaceDE/>
              <w:autoSpaceDN/>
              <w:adjustRightInd/>
              <w:jc w:val="center"/>
              <w:rPr>
                <w:bCs/>
                <w:kern w:val="0"/>
                <w:sz w:val="24"/>
                <w:szCs w:val="24"/>
              </w:rPr>
            </w:pPr>
            <w:r w:rsidRPr="00B301B0">
              <w:rPr>
                <w:bCs/>
                <w:kern w:val="0"/>
                <w:sz w:val="24"/>
                <w:szCs w:val="24"/>
              </w:rPr>
              <w:t>C1</w:t>
            </w:r>
          </w:p>
        </w:tc>
        <w:tc>
          <w:tcPr>
            <w:tcW w:w="1434" w:type="dxa"/>
            <w:tcBorders>
              <w:top w:val="single" w:sz="4" w:space="0" w:color="auto"/>
              <w:left w:val="nil"/>
              <w:bottom w:val="single" w:sz="4" w:space="0" w:color="auto"/>
              <w:right w:val="nil"/>
            </w:tcBorders>
          </w:tcPr>
          <w:p w14:paraId="6C730D6B" w14:textId="77777777" w:rsidR="00B301B0" w:rsidRPr="00B301B0" w:rsidRDefault="00B301B0" w:rsidP="00B301B0">
            <w:pPr>
              <w:widowControl/>
              <w:overflowPunct/>
              <w:autoSpaceDE/>
              <w:autoSpaceDN/>
              <w:adjustRightInd/>
              <w:jc w:val="center"/>
              <w:rPr>
                <w:bCs/>
                <w:kern w:val="0"/>
                <w:sz w:val="24"/>
                <w:szCs w:val="24"/>
              </w:rPr>
            </w:pPr>
            <w:r w:rsidRPr="00B301B0">
              <w:rPr>
                <w:bCs/>
                <w:kern w:val="0"/>
                <w:sz w:val="24"/>
                <w:szCs w:val="24"/>
              </w:rPr>
              <w:t>C2</w:t>
            </w:r>
          </w:p>
        </w:tc>
        <w:tc>
          <w:tcPr>
            <w:tcW w:w="636" w:type="dxa"/>
            <w:tcBorders>
              <w:top w:val="single" w:sz="4" w:space="0" w:color="auto"/>
              <w:left w:val="nil"/>
              <w:bottom w:val="single" w:sz="4" w:space="0" w:color="auto"/>
              <w:right w:val="nil"/>
            </w:tcBorders>
          </w:tcPr>
          <w:p w14:paraId="14D6C5AC" w14:textId="77777777" w:rsidR="00B301B0" w:rsidRPr="00B301B0" w:rsidRDefault="00B301B0" w:rsidP="00B301B0">
            <w:pPr>
              <w:widowControl/>
              <w:overflowPunct/>
              <w:autoSpaceDE/>
              <w:autoSpaceDN/>
              <w:adjustRightInd/>
              <w:jc w:val="center"/>
              <w:rPr>
                <w:bCs/>
                <w:kern w:val="0"/>
                <w:sz w:val="24"/>
                <w:szCs w:val="24"/>
              </w:rPr>
            </w:pPr>
            <w:r w:rsidRPr="00B301B0">
              <w:rPr>
                <w:bCs/>
                <w:kern w:val="0"/>
                <w:sz w:val="24"/>
                <w:szCs w:val="24"/>
              </w:rPr>
              <w:t>C3</w:t>
            </w:r>
          </w:p>
        </w:tc>
      </w:tr>
      <w:tr w:rsidR="00B301B0" w:rsidRPr="00B301B0" w14:paraId="06A4B66D" w14:textId="77777777" w:rsidTr="00DB7B9A">
        <w:trPr>
          <w:trHeight w:val="432"/>
        </w:trPr>
        <w:tc>
          <w:tcPr>
            <w:tcW w:w="2790" w:type="dxa"/>
            <w:tcBorders>
              <w:top w:val="single" w:sz="4" w:space="0" w:color="auto"/>
              <w:left w:val="nil"/>
              <w:bottom w:val="nil"/>
              <w:right w:val="nil"/>
            </w:tcBorders>
            <w:vAlign w:val="center"/>
          </w:tcPr>
          <w:p w14:paraId="181EAF6B"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Subsidiary Autonomy</w:t>
            </w:r>
          </w:p>
        </w:tc>
        <w:tc>
          <w:tcPr>
            <w:tcW w:w="636" w:type="dxa"/>
            <w:tcBorders>
              <w:top w:val="single" w:sz="4" w:space="0" w:color="auto"/>
              <w:left w:val="nil"/>
              <w:bottom w:val="nil"/>
              <w:right w:val="nil"/>
            </w:tcBorders>
            <w:vAlign w:val="center"/>
          </w:tcPr>
          <w:p w14:paraId="6C3C5198"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sym w:font="Symbol" w:char="F0B7"/>
            </w:r>
          </w:p>
        </w:tc>
        <w:tc>
          <w:tcPr>
            <w:tcW w:w="1434" w:type="dxa"/>
            <w:tcBorders>
              <w:top w:val="single" w:sz="4" w:space="0" w:color="auto"/>
              <w:left w:val="nil"/>
              <w:bottom w:val="nil"/>
              <w:right w:val="nil"/>
            </w:tcBorders>
            <w:vAlign w:val="center"/>
          </w:tcPr>
          <w:p w14:paraId="6113171F" w14:textId="77777777" w:rsidR="00B301B0" w:rsidRPr="00B301B0" w:rsidRDefault="00B301B0" w:rsidP="00B301B0">
            <w:pPr>
              <w:widowControl/>
              <w:overflowPunct/>
              <w:autoSpaceDE/>
              <w:autoSpaceDN/>
              <w:adjustRightInd/>
              <w:jc w:val="center"/>
              <w:rPr>
                <w:kern w:val="0"/>
                <w:sz w:val="24"/>
                <w:szCs w:val="24"/>
              </w:rPr>
            </w:pPr>
            <w:r w:rsidRPr="00B301B0">
              <w:rPr>
                <w:kern w:val="0"/>
                <w:sz w:val="16"/>
                <w:szCs w:val="16"/>
              </w:rPr>
              <w:sym w:font="Symbol" w:char="F0C4"/>
            </w:r>
          </w:p>
        </w:tc>
        <w:tc>
          <w:tcPr>
            <w:tcW w:w="636" w:type="dxa"/>
            <w:tcBorders>
              <w:top w:val="single" w:sz="4" w:space="0" w:color="auto"/>
              <w:left w:val="nil"/>
              <w:bottom w:val="nil"/>
              <w:right w:val="nil"/>
            </w:tcBorders>
            <w:vAlign w:val="center"/>
          </w:tcPr>
          <w:p w14:paraId="346AF779"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sym w:font="Symbol" w:char="F0C4"/>
            </w:r>
          </w:p>
        </w:tc>
      </w:tr>
      <w:tr w:rsidR="00B301B0" w:rsidRPr="00B301B0" w14:paraId="1ABFB156" w14:textId="77777777" w:rsidTr="00DB7B9A">
        <w:trPr>
          <w:trHeight w:val="432"/>
        </w:trPr>
        <w:tc>
          <w:tcPr>
            <w:tcW w:w="2790" w:type="dxa"/>
            <w:tcBorders>
              <w:top w:val="nil"/>
              <w:left w:val="nil"/>
              <w:bottom w:val="nil"/>
              <w:right w:val="nil"/>
            </w:tcBorders>
            <w:vAlign w:val="center"/>
          </w:tcPr>
          <w:p w14:paraId="77F7226D"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Institutional Distance</w:t>
            </w:r>
          </w:p>
        </w:tc>
        <w:tc>
          <w:tcPr>
            <w:tcW w:w="636" w:type="dxa"/>
            <w:tcBorders>
              <w:top w:val="nil"/>
              <w:left w:val="nil"/>
              <w:bottom w:val="nil"/>
              <w:right w:val="nil"/>
            </w:tcBorders>
            <w:vAlign w:val="center"/>
          </w:tcPr>
          <w:p w14:paraId="5EF09D97" w14:textId="77777777" w:rsidR="00B301B0" w:rsidRPr="00B301B0" w:rsidRDefault="00B301B0" w:rsidP="00B301B0">
            <w:pPr>
              <w:widowControl/>
              <w:overflowPunct/>
              <w:autoSpaceDE/>
              <w:autoSpaceDN/>
              <w:adjustRightInd/>
              <w:jc w:val="center"/>
              <w:rPr>
                <w:kern w:val="0"/>
                <w:sz w:val="24"/>
                <w:szCs w:val="24"/>
              </w:rPr>
            </w:pPr>
          </w:p>
        </w:tc>
        <w:tc>
          <w:tcPr>
            <w:tcW w:w="1434" w:type="dxa"/>
            <w:tcBorders>
              <w:top w:val="nil"/>
              <w:left w:val="nil"/>
              <w:bottom w:val="nil"/>
              <w:right w:val="nil"/>
            </w:tcBorders>
            <w:vAlign w:val="center"/>
          </w:tcPr>
          <w:p w14:paraId="4FDA9C92" w14:textId="77777777" w:rsidR="00B301B0" w:rsidRPr="00B301B0" w:rsidRDefault="00B301B0" w:rsidP="00B301B0">
            <w:pPr>
              <w:widowControl/>
              <w:overflowPunct/>
              <w:autoSpaceDE/>
              <w:autoSpaceDN/>
              <w:adjustRightInd/>
              <w:jc w:val="center"/>
              <w:rPr>
                <w:kern w:val="0"/>
                <w:sz w:val="24"/>
                <w:szCs w:val="24"/>
              </w:rPr>
            </w:pPr>
            <w:r w:rsidRPr="00B301B0">
              <w:rPr>
                <w:kern w:val="0"/>
                <w:sz w:val="16"/>
                <w:szCs w:val="16"/>
              </w:rPr>
              <w:sym w:font="Symbol" w:char="F0C4"/>
            </w:r>
          </w:p>
        </w:tc>
        <w:tc>
          <w:tcPr>
            <w:tcW w:w="636" w:type="dxa"/>
            <w:tcBorders>
              <w:top w:val="nil"/>
              <w:left w:val="nil"/>
              <w:bottom w:val="nil"/>
              <w:right w:val="nil"/>
            </w:tcBorders>
            <w:vAlign w:val="center"/>
          </w:tcPr>
          <w:p w14:paraId="10B56A67"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44"/>
                <w:szCs w:val="44"/>
              </w:rPr>
              <w:sym w:font="Symbol" w:char="F0B7"/>
            </w:r>
          </w:p>
        </w:tc>
      </w:tr>
      <w:tr w:rsidR="00B301B0" w:rsidRPr="00B301B0" w14:paraId="08D52B7B" w14:textId="77777777" w:rsidTr="00DB7B9A">
        <w:trPr>
          <w:trHeight w:val="432"/>
        </w:trPr>
        <w:tc>
          <w:tcPr>
            <w:tcW w:w="2790" w:type="dxa"/>
            <w:tcBorders>
              <w:top w:val="nil"/>
              <w:left w:val="nil"/>
              <w:bottom w:val="nil"/>
              <w:right w:val="nil"/>
            </w:tcBorders>
            <w:vAlign w:val="center"/>
          </w:tcPr>
          <w:p w14:paraId="4702E165"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Research &amp; Development</w:t>
            </w:r>
          </w:p>
        </w:tc>
        <w:tc>
          <w:tcPr>
            <w:tcW w:w="636" w:type="dxa"/>
            <w:tcBorders>
              <w:top w:val="nil"/>
              <w:left w:val="nil"/>
              <w:bottom w:val="nil"/>
              <w:right w:val="nil"/>
            </w:tcBorders>
            <w:vAlign w:val="center"/>
          </w:tcPr>
          <w:p w14:paraId="548DBF86"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44"/>
                <w:szCs w:val="44"/>
              </w:rPr>
              <w:sym w:font="Symbol" w:char="F0B7"/>
            </w:r>
          </w:p>
        </w:tc>
        <w:tc>
          <w:tcPr>
            <w:tcW w:w="1434" w:type="dxa"/>
            <w:tcBorders>
              <w:top w:val="nil"/>
              <w:left w:val="nil"/>
              <w:bottom w:val="nil"/>
              <w:right w:val="nil"/>
            </w:tcBorders>
            <w:vAlign w:val="center"/>
          </w:tcPr>
          <w:p w14:paraId="5CF95DBB" w14:textId="77777777" w:rsidR="00B301B0" w:rsidRPr="00B301B0" w:rsidRDefault="00B301B0" w:rsidP="00B301B0">
            <w:pPr>
              <w:widowControl/>
              <w:overflowPunct/>
              <w:autoSpaceDE/>
              <w:autoSpaceDN/>
              <w:adjustRightInd/>
              <w:jc w:val="center"/>
              <w:rPr>
                <w:kern w:val="0"/>
                <w:sz w:val="24"/>
                <w:szCs w:val="24"/>
              </w:rPr>
            </w:pPr>
          </w:p>
        </w:tc>
        <w:tc>
          <w:tcPr>
            <w:tcW w:w="636" w:type="dxa"/>
            <w:tcBorders>
              <w:top w:val="nil"/>
              <w:left w:val="nil"/>
              <w:bottom w:val="nil"/>
              <w:right w:val="nil"/>
            </w:tcBorders>
            <w:vAlign w:val="center"/>
          </w:tcPr>
          <w:p w14:paraId="658DB7E8"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sym w:font="Symbol" w:char="F0C4"/>
            </w:r>
          </w:p>
        </w:tc>
      </w:tr>
      <w:tr w:rsidR="00B301B0" w:rsidRPr="00B301B0" w14:paraId="2196B670" w14:textId="77777777" w:rsidTr="00DB7B9A">
        <w:trPr>
          <w:trHeight w:val="432"/>
        </w:trPr>
        <w:tc>
          <w:tcPr>
            <w:tcW w:w="2790" w:type="dxa"/>
            <w:tcBorders>
              <w:top w:val="nil"/>
              <w:left w:val="nil"/>
              <w:bottom w:val="nil"/>
              <w:right w:val="nil"/>
            </w:tcBorders>
            <w:vAlign w:val="center"/>
          </w:tcPr>
          <w:p w14:paraId="74F1CC3F"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Management Consultants</w:t>
            </w:r>
          </w:p>
        </w:tc>
        <w:tc>
          <w:tcPr>
            <w:tcW w:w="636" w:type="dxa"/>
            <w:tcBorders>
              <w:top w:val="nil"/>
              <w:left w:val="nil"/>
              <w:bottom w:val="nil"/>
              <w:right w:val="nil"/>
            </w:tcBorders>
            <w:vAlign w:val="center"/>
          </w:tcPr>
          <w:p w14:paraId="7B35806C" w14:textId="77777777" w:rsidR="00B301B0" w:rsidRPr="00B301B0" w:rsidRDefault="00B301B0" w:rsidP="00B301B0">
            <w:pPr>
              <w:widowControl/>
              <w:overflowPunct/>
              <w:autoSpaceDE/>
              <w:autoSpaceDN/>
              <w:adjustRightInd/>
              <w:jc w:val="center"/>
              <w:rPr>
                <w:kern w:val="0"/>
                <w:sz w:val="24"/>
                <w:szCs w:val="24"/>
              </w:rPr>
            </w:pPr>
          </w:p>
        </w:tc>
        <w:tc>
          <w:tcPr>
            <w:tcW w:w="1434" w:type="dxa"/>
            <w:tcBorders>
              <w:top w:val="nil"/>
              <w:left w:val="nil"/>
              <w:bottom w:val="nil"/>
              <w:right w:val="nil"/>
            </w:tcBorders>
            <w:vAlign w:val="center"/>
          </w:tcPr>
          <w:p w14:paraId="4E8CB308"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44"/>
                <w:szCs w:val="44"/>
              </w:rPr>
              <w:sym w:font="Symbol" w:char="F0B7"/>
            </w:r>
          </w:p>
        </w:tc>
        <w:tc>
          <w:tcPr>
            <w:tcW w:w="636" w:type="dxa"/>
            <w:tcBorders>
              <w:top w:val="nil"/>
              <w:left w:val="nil"/>
              <w:bottom w:val="nil"/>
              <w:right w:val="nil"/>
            </w:tcBorders>
            <w:vAlign w:val="center"/>
          </w:tcPr>
          <w:p w14:paraId="06BD273B"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sym w:font="Symbol" w:char="F0C4"/>
            </w:r>
          </w:p>
        </w:tc>
      </w:tr>
      <w:tr w:rsidR="00B301B0" w:rsidRPr="00B301B0" w14:paraId="6BA34E0E" w14:textId="77777777" w:rsidTr="00DB7B9A">
        <w:tc>
          <w:tcPr>
            <w:tcW w:w="2790" w:type="dxa"/>
            <w:tcBorders>
              <w:top w:val="single" w:sz="4" w:space="0" w:color="auto"/>
              <w:left w:val="nil"/>
              <w:bottom w:val="nil"/>
              <w:right w:val="nil"/>
            </w:tcBorders>
          </w:tcPr>
          <w:p w14:paraId="2DE19C6A"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Raw Coverage</w:t>
            </w:r>
          </w:p>
        </w:tc>
        <w:tc>
          <w:tcPr>
            <w:tcW w:w="636" w:type="dxa"/>
            <w:tcBorders>
              <w:top w:val="single" w:sz="4" w:space="0" w:color="auto"/>
              <w:left w:val="nil"/>
              <w:bottom w:val="nil"/>
              <w:right w:val="nil"/>
            </w:tcBorders>
          </w:tcPr>
          <w:p w14:paraId="433A4B0D"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0.35</w:t>
            </w:r>
          </w:p>
        </w:tc>
        <w:tc>
          <w:tcPr>
            <w:tcW w:w="1434" w:type="dxa"/>
            <w:tcBorders>
              <w:top w:val="single" w:sz="4" w:space="0" w:color="auto"/>
              <w:left w:val="nil"/>
              <w:bottom w:val="nil"/>
              <w:right w:val="nil"/>
            </w:tcBorders>
          </w:tcPr>
          <w:p w14:paraId="2E5E0292"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0.29</w:t>
            </w:r>
          </w:p>
        </w:tc>
        <w:tc>
          <w:tcPr>
            <w:tcW w:w="636" w:type="dxa"/>
            <w:tcBorders>
              <w:top w:val="single" w:sz="4" w:space="0" w:color="auto"/>
              <w:left w:val="nil"/>
              <w:bottom w:val="nil"/>
              <w:right w:val="nil"/>
            </w:tcBorders>
          </w:tcPr>
          <w:p w14:paraId="67957480"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0.09</w:t>
            </w:r>
          </w:p>
        </w:tc>
      </w:tr>
      <w:tr w:rsidR="00B301B0" w:rsidRPr="00B301B0" w14:paraId="4428CB35" w14:textId="77777777" w:rsidTr="00DB7B9A">
        <w:tc>
          <w:tcPr>
            <w:tcW w:w="2790" w:type="dxa"/>
            <w:tcBorders>
              <w:top w:val="nil"/>
              <w:left w:val="nil"/>
              <w:bottom w:val="nil"/>
              <w:right w:val="nil"/>
            </w:tcBorders>
          </w:tcPr>
          <w:p w14:paraId="72F65D14"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Unique Coverage</w:t>
            </w:r>
          </w:p>
        </w:tc>
        <w:tc>
          <w:tcPr>
            <w:tcW w:w="636" w:type="dxa"/>
            <w:tcBorders>
              <w:top w:val="nil"/>
              <w:left w:val="nil"/>
              <w:bottom w:val="nil"/>
              <w:right w:val="nil"/>
            </w:tcBorders>
          </w:tcPr>
          <w:p w14:paraId="705DBAFA"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0.34</w:t>
            </w:r>
          </w:p>
        </w:tc>
        <w:tc>
          <w:tcPr>
            <w:tcW w:w="1434" w:type="dxa"/>
            <w:tcBorders>
              <w:top w:val="nil"/>
              <w:left w:val="nil"/>
              <w:bottom w:val="nil"/>
              <w:right w:val="nil"/>
            </w:tcBorders>
          </w:tcPr>
          <w:p w14:paraId="56DB0C9E"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0.27</w:t>
            </w:r>
          </w:p>
        </w:tc>
        <w:tc>
          <w:tcPr>
            <w:tcW w:w="636" w:type="dxa"/>
            <w:tcBorders>
              <w:top w:val="nil"/>
              <w:left w:val="nil"/>
              <w:bottom w:val="nil"/>
              <w:right w:val="nil"/>
            </w:tcBorders>
          </w:tcPr>
          <w:p w14:paraId="2C7FF6B8"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0.09</w:t>
            </w:r>
          </w:p>
        </w:tc>
      </w:tr>
      <w:tr w:rsidR="00B301B0" w:rsidRPr="00B301B0" w14:paraId="18B5F15D" w14:textId="77777777" w:rsidTr="00DB7B9A">
        <w:tc>
          <w:tcPr>
            <w:tcW w:w="2790" w:type="dxa"/>
            <w:tcBorders>
              <w:top w:val="nil"/>
              <w:left w:val="nil"/>
              <w:bottom w:val="dashed" w:sz="4" w:space="0" w:color="auto"/>
              <w:right w:val="nil"/>
            </w:tcBorders>
          </w:tcPr>
          <w:p w14:paraId="6C088C57"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Consistency</w:t>
            </w:r>
          </w:p>
        </w:tc>
        <w:tc>
          <w:tcPr>
            <w:tcW w:w="636" w:type="dxa"/>
            <w:tcBorders>
              <w:top w:val="nil"/>
              <w:left w:val="nil"/>
              <w:bottom w:val="dashed" w:sz="4" w:space="0" w:color="auto"/>
              <w:right w:val="nil"/>
            </w:tcBorders>
          </w:tcPr>
          <w:p w14:paraId="1EFCC883"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0.95</w:t>
            </w:r>
          </w:p>
        </w:tc>
        <w:tc>
          <w:tcPr>
            <w:tcW w:w="1434" w:type="dxa"/>
            <w:tcBorders>
              <w:top w:val="nil"/>
              <w:left w:val="nil"/>
              <w:bottom w:val="dashed" w:sz="4" w:space="0" w:color="auto"/>
              <w:right w:val="nil"/>
            </w:tcBorders>
          </w:tcPr>
          <w:p w14:paraId="62A51A70"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0.87</w:t>
            </w:r>
          </w:p>
        </w:tc>
        <w:tc>
          <w:tcPr>
            <w:tcW w:w="636" w:type="dxa"/>
            <w:tcBorders>
              <w:top w:val="nil"/>
              <w:left w:val="nil"/>
              <w:bottom w:val="dashed" w:sz="4" w:space="0" w:color="auto"/>
              <w:right w:val="nil"/>
            </w:tcBorders>
          </w:tcPr>
          <w:p w14:paraId="72F41426"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0.83</w:t>
            </w:r>
          </w:p>
        </w:tc>
      </w:tr>
      <w:tr w:rsidR="00B301B0" w:rsidRPr="00B301B0" w14:paraId="775D96F5" w14:textId="77777777" w:rsidTr="00DB7B9A">
        <w:tc>
          <w:tcPr>
            <w:tcW w:w="2790" w:type="dxa"/>
            <w:tcBorders>
              <w:top w:val="dashed" w:sz="4" w:space="0" w:color="auto"/>
              <w:left w:val="nil"/>
              <w:bottom w:val="nil"/>
              <w:right w:val="nil"/>
            </w:tcBorders>
          </w:tcPr>
          <w:p w14:paraId="16F9447F"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Solution Coverage</w:t>
            </w:r>
          </w:p>
        </w:tc>
        <w:tc>
          <w:tcPr>
            <w:tcW w:w="2706" w:type="dxa"/>
            <w:gridSpan w:val="3"/>
            <w:tcBorders>
              <w:top w:val="dashed" w:sz="4" w:space="0" w:color="auto"/>
              <w:left w:val="nil"/>
              <w:bottom w:val="nil"/>
              <w:right w:val="nil"/>
            </w:tcBorders>
          </w:tcPr>
          <w:p w14:paraId="73C56917"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0.72</w:t>
            </w:r>
          </w:p>
        </w:tc>
      </w:tr>
      <w:tr w:rsidR="00B301B0" w:rsidRPr="00B301B0" w14:paraId="3C2CB188" w14:textId="77777777" w:rsidTr="00DB7B9A">
        <w:tc>
          <w:tcPr>
            <w:tcW w:w="2790" w:type="dxa"/>
            <w:tcBorders>
              <w:top w:val="nil"/>
              <w:left w:val="nil"/>
              <w:bottom w:val="single" w:sz="4" w:space="0" w:color="auto"/>
              <w:right w:val="nil"/>
            </w:tcBorders>
          </w:tcPr>
          <w:p w14:paraId="5C751BBB"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Solution Consistency</w:t>
            </w:r>
          </w:p>
        </w:tc>
        <w:tc>
          <w:tcPr>
            <w:tcW w:w="2706" w:type="dxa"/>
            <w:gridSpan w:val="3"/>
            <w:tcBorders>
              <w:top w:val="nil"/>
              <w:left w:val="nil"/>
              <w:bottom w:val="single" w:sz="4" w:space="0" w:color="auto"/>
              <w:right w:val="nil"/>
            </w:tcBorders>
          </w:tcPr>
          <w:p w14:paraId="13B5AFF9"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0.90</w:t>
            </w:r>
          </w:p>
        </w:tc>
      </w:tr>
    </w:tbl>
    <w:p w14:paraId="19A39297" w14:textId="77777777" w:rsidR="00B301B0" w:rsidRPr="00B301B0" w:rsidRDefault="00B301B0" w:rsidP="00B301B0">
      <w:pPr>
        <w:widowControl/>
        <w:overflowPunct/>
        <w:autoSpaceDE/>
        <w:autoSpaceDN/>
        <w:adjustRightInd/>
        <w:ind w:left="720" w:right="3150"/>
        <w:jc w:val="both"/>
        <w:rPr>
          <w:bCs/>
          <w:kern w:val="0"/>
        </w:rPr>
      </w:pPr>
      <w:r w:rsidRPr="00B301B0">
        <w:rPr>
          <w:bCs/>
          <w:kern w:val="0"/>
        </w:rPr>
        <w:t>Notes: The use of a filled circle (“</w:t>
      </w:r>
      <w:r w:rsidRPr="00B301B0">
        <w:rPr>
          <w:bCs/>
          <w:color w:val="000000"/>
          <w:kern w:val="0"/>
        </w:rPr>
        <w:sym w:font="Symbol" w:char="F0B7"/>
      </w:r>
      <w:r w:rsidRPr="00B301B0">
        <w:rPr>
          <w:bCs/>
          <w:kern w:val="0"/>
        </w:rPr>
        <w:t>”) denotes the presence of a condition. A larger circle (“</w:t>
      </w:r>
      <w:r w:rsidRPr="00B301B0">
        <w:rPr>
          <w:bCs/>
          <w:color w:val="000000"/>
          <w:kern w:val="0"/>
          <w:sz w:val="40"/>
          <w:szCs w:val="40"/>
        </w:rPr>
        <w:sym w:font="Symbol" w:char="F0B7"/>
      </w:r>
      <w:r w:rsidRPr="00B301B0">
        <w:rPr>
          <w:bCs/>
          <w:kern w:val="0"/>
        </w:rPr>
        <w:t>”) represents a core condition, while a smaller circle (“</w:t>
      </w:r>
      <w:r w:rsidRPr="00B301B0">
        <w:rPr>
          <w:bCs/>
          <w:color w:val="000000"/>
          <w:kern w:val="0"/>
        </w:rPr>
        <w:sym w:font="Symbol" w:char="F0B7"/>
      </w:r>
      <w:r w:rsidRPr="00B301B0">
        <w:rPr>
          <w:bCs/>
          <w:kern w:val="0"/>
        </w:rPr>
        <w:t>”) a peripheral condition; a larger (“</w:t>
      </w:r>
      <w:r w:rsidRPr="00B301B0">
        <w:rPr>
          <w:bCs/>
          <w:kern w:val="0"/>
          <w:sz w:val="24"/>
          <w:szCs w:val="24"/>
        </w:rPr>
        <w:sym w:font="Symbol" w:char="F0C4"/>
      </w:r>
      <w:r w:rsidRPr="00B301B0">
        <w:rPr>
          <w:bCs/>
          <w:kern w:val="0"/>
        </w:rPr>
        <w:t>”) represents the absence of a core condition, while a smaller (“</w:t>
      </w:r>
      <w:r w:rsidRPr="00B301B0">
        <w:rPr>
          <w:bCs/>
          <w:kern w:val="0"/>
          <w:sz w:val="12"/>
          <w:szCs w:val="12"/>
        </w:rPr>
        <w:sym w:font="Symbol" w:char="F0C4"/>
      </w:r>
      <w:r w:rsidRPr="00B301B0">
        <w:rPr>
          <w:bCs/>
          <w:kern w:val="0"/>
        </w:rPr>
        <w:t xml:space="preserve">”) the absence of a peripheral condition. </w:t>
      </w:r>
    </w:p>
    <w:p w14:paraId="333B58B6" w14:textId="77777777" w:rsidR="00B301B0" w:rsidRPr="00B301B0" w:rsidRDefault="00B301B0" w:rsidP="00B301B0">
      <w:pPr>
        <w:widowControl/>
        <w:overflowPunct/>
        <w:autoSpaceDE/>
        <w:autoSpaceDN/>
        <w:adjustRightInd/>
        <w:ind w:left="720"/>
        <w:rPr>
          <w:bCs/>
          <w:kern w:val="0"/>
          <w:sz w:val="24"/>
          <w:szCs w:val="24"/>
        </w:rPr>
      </w:pPr>
      <w:r w:rsidRPr="00B301B0">
        <w:rPr>
          <w:b/>
          <w:kern w:val="0"/>
          <w:sz w:val="24"/>
          <w:szCs w:val="24"/>
        </w:rPr>
        <w:br w:type="page"/>
      </w:r>
      <w:r w:rsidRPr="00B301B0">
        <w:rPr>
          <w:bCs/>
          <w:kern w:val="0"/>
          <w:sz w:val="24"/>
          <w:szCs w:val="24"/>
        </w:rPr>
        <w:t>Table 4. Sufficiency analysis results including cultural distance</w:t>
      </w:r>
    </w:p>
    <w:p w14:paraId="06C71E41" w14:textId="77777777" w:rsidR="00B301B0" w:rsidRPr="00B301B0" w:rsidRDefault="00B301B0" w:rsidP="00B301B0">
      <w:pPr>
        <w:widowControl/>
        <w:overflowPunct/>
        <w:autoSpaceDE/>
        <w:autoSpaceDN/>
        <w:adjustRightInd/>
        <w:rPr>
          <w:bCs/>
          <w:kern w:val="0"/>
          <w:sz w:val="24"/>
          <w:szCs w:val="24"/>
        </w:rPr>
      </w:pPr>
    </w:p>
    <w:tbl>
      <w:tblPr>
        <w:tblStyle w:val="TableGrid"/>
        <w:tblW w:w="0" w:type="auto"/>
        <w:tblInd w:w="707" w:type="dxa"/>
        <w:tblLook w:val="04A0" w:firstRow="1" w:lastRow="0" w:firstColumn="1" w:lastColumn="0" w:noHBand="0" w:noVBand="1"/>
      </w:tblPr>
      <w:tblGrid>
        <w:gridCol w:w="2782"/>
        <w:gridCol w:w="636"/>
        <w:gridCol w:w="636"/>
        <w:gridCol w:w="636"/>
        <w:gridCol w:w="636"/>
        <w:gridCol w:w="636"/>
        <w:gridCol w:w="636"/>
      </w:tblGrid>
      <w:tr w:rsidR="00B301B0" w:rsidRPr="00B301B0" w14:paraId="52C16C6B" w14:textId="77777777" w:rsidTr="00DB7B9A">
        <w:tc>
          <w:tcPr>
            <w:tcW w:w="2782" w:type="dxa"/>
            <w:tcBorders>
              <w:top w:val="single" w:sz="4" w:space="0" w:color="auto"/>
              <w:left w:val="nil"/>
              <w:bottom w:val="single" w:sz="4" w:space="0" w:color="auto"/>
              <w:right w:val="nil"/>
            </w:tcBorders>
          </w:tcPr>
          <w:p w14:paraId="1FE058D1" w14:textId="77777777" w:rsidR="00B301B0" w:rsidRPr="00B301B0" w:rsidRDefault="00B301B0" w:rsidP="00B301B0">
            <w:pPr>
              <w:widowControl/>
              <w:overflowPunct/>
              <w:autoSpaceDE/>
              <w:autoSpaceDN/>
              <w:adjustRightInd/>
              <w:rPr>
                <w:bCs/>
                <w:kern w:val="0"/>
                <w:sz w:val="24"/>
                <w:szCs w:val="24"/>
              </w:rPr>
            </w:pPr>
          </w:p>
        </w:tc>
        <w:tc>
          <w:tcPr>
            <w:tcW w:w="3816" w:type="dxa"/>
            <w:gridSpan w:val="6"/>
            <w:tcBorders>
              <w:top w:val="single" w:sz="4" w:space="0" w:color="auto"/>
              <w:left w:val="nil"/>
              <w:bottom w:val="single" w:sz="4" w:space="0" w:color="auto"/>
              <w:right w:val="nil"/>
            </w:tcBorders>
          </w:tcPr>
          <w:p w14:paraId="7CBBFC0D" w14:textId="77777777" w:rsidR="00B301B0" w:rsidRPr="00B301B0" w:rsidRDefault="00B301B0" w:rsidP="00B301B0">
            <w:pPr>
              <w:widowControl/>
              <w:overflowPunct/>
              <w:autoSpaceDE/>
              <w:autoSpaceDN/>
              <w:adjustRightInd/>
              <w:jc w:val="center"/>
              <w:rPr>
                <w:bCs/>
                <w:kern w:val="0"/>
                <w:sz w:val="24"/>
                <w:szCs w:val="24"/>
              </w:rPr>
            </w:pPr>
            <w:r w:rsidRPr="00B301B0">
              <w:rPr>
                <w:bCs/>
                <w:kern w:val="0"/>
                <w:sz w:val="24"/>
                <w:szCs w:val="24"/>
              </w:rPr>
              <w:t>Product Innovation</w:t>
            </w:r>
          </w:p>
        </w:tc>
      </w:tr>
      <w:tr w:rsidR="00B301B0" w:rsidRPr="00B301B0" w14:paraId="0E96D76A" w14:textId="77777777" w:rsidTr="00DB7B9A">
        <w:tc>
          <w:tcPr>
            <w:tcW w:w="2782" w:type="dxa"/>
            <w:tcBorders>
              <w:top w:val="single" w:sz="4" w:space="0" w:color="auto"/>
              <w:left w:val="nil"/>
              <w:bottom w:val="single" w:sz="4" w:space="0" w:color="auto"/>
              <w:right w:val="nil"/>
            </w:tcBorders>
          </w:tcPr>
          <w:p w14:paraId="61691BB6" w14:textId="77777777" w:rsidR="00B301B0" w:rsidRPr="00B301B0" w:rsidRDefault="00B301B0" w:rsidP="00B301B0">
            <w:pPr>
              <w:widowControl/>
              <w:overflowPunct/>
              <w:autoSpaceDE/>
              <w:autoSpaceDN/>
              <w:adjustRightInd/>
              <w:rPr>
                <w:bCs/>
                <w:kern w:val="0"/>
                <w:sz w:val="24"/>
                <w:szCs w:val="24"/>
              </w:rPr>
            </w:pPr>
            <w:r w:rsidRPr="00B301B0">
              <w:rPr>
                <w:bCs/>
                <w:kern w:val="0"/>
                <w:sz w:val="24"/>
                <w:szCs w:val="24"/>
              </w:rPr>
              <w:t>Condition/Configuration</w:t>
            </w:r>
          </w:p>
        </w:tc>
        <w:tc>
          <w:tcPr>
            <w:tcW w:w="636" w:type="dxa"/>
            <w:tcBorders>
              <w:top w:val="single" w:sz="4" w:space="0" w:color="auto"/>
              <w:left w:val="nil"/>
              <w:bottom w:val="single" w:sz="4" w:space="0" w:color="auto"/>
              <w:right w:val="nil"/>
            </w:tcBorders>
          </w:tcPr>
          <w:p w14:paraId="185902F7" w14:textId="77777777" w:rsidR="00B301B0" w:rsidRPr="00B301B0" w:rsidRDefault="00B301B0" w:rsidP="00B301B0">
            <w:pPr>
              <w:widowControl/>
              <w:overflowPunct/>
              <w:autoSpaceDE/>
              <w:autoSpaceDN/>
              <w:adjustRightInd/>
              <w:jc w:val="center"/>
              <w:rPr>
                <w:bCs/>
                <w:kern w:val="0"/>
                <w:sz w:val="24"/>
                <w:szCs w:val="24"/>
              </w:rPr>
            </w:pPr>
            <w:r w:rsidRPr="00B301B0">
              <w:rPr>
                <w:bCs/>
                <w:kern w:val="0"/>
                <w:sz w:val="24"/>
                <w:szCs w:val="24"/>
              </w:rPr>
              <w:t>C4</w:t>
            </w:r>
          </w:p>
        </w:tc>
        <w:tc>
          <w:tcPr>
            <w:tcW w:w="636" w:type="dxa"/>
            <w:tcBorders>
              <w:top w:val="single" w:sz="4" w:space="0" w:color="auto"/>
              <w:left w:val="nil"/>
              <w:bottom w:val="single" w:sz="4" w:space="0" w:color="auto"/>
              <w:right w:val="nil"/>
            </w:tcBorders>
          </w:tcPr>
          <w:p w14:paraId="29D37C26" w14:textId="77777777" w:rsidR="00B301B0" w:rsidRPr="00B301B0" w:rsidRDefault="00B301B0" w:rsidP="00B301B0">
            <w:pPr>
              <w:widowControl/>
              <w:overflowPunct/>
              <w:autoSpaceDE/>
              <w:autoSpaceDN/>
              <w:adjustRightInd/>
              <w:jc w:val="center"/>
              <w:rPr>
                <w:bCs/>
                <w:kern w:val="0"/>
                <w:sz w:val="24"/>
                <w:szCs w:val="24"/>
              </w:rPr>
            </w:pPr>
            <w:r w:rsidRPr="00B301B0">
              <w:rPr>
                <w:bCs/>
                <w:kern w:val="0"/>
                <w:sz w:val="24"/>
                <w:szCs w:val="24"/>
              </w:rPr>
              <w:t>C5</w:t>
            </w:r>
          </w:p>
        </w:tc>
        <w:tc>
          <w:tcPr>
            <w:tcW w:w="636" w:type="dxa"/>
            <w:tcBorders>
              <w:top w:val="single" w:sz="4" w:space="0" w:color="auto"/>
              <w:left w:val="nil"/>
              <w:bottom w:val="single" w:sz="4" w:space="0" w:color="auto"/>
              <w:right w:val="nil"/>
            </w:tcBorders>
          </w:tcPr>
          <w:p w14:paraId="314E7D0C" w14:textId="77777777" w:rsidR="00B301B0" w:rsidRPr="00B301B0" w:rsidRDefault="00B301B0" w:rsidP="00B301B0">
            <w:pPr>
              <w:widowControl/>
              <w:overflowPunct/>
              <w:autoSpaceDE/>
              <w:autoSpaceDN/>
              <w:adjustRightInd/>
              <w:jc w:val="center"/>
              <w:rPr>
                <w:bCs/>
                <w:kern w:val="0"/>
                <w:sz w:val="24"/>
                <w:szCs w:val="24"/>
              </w:rPr>
            </w:pPr>
            <w:r w:rsidRPr="00B301B0">
              <w:rPr>
                <w:bCs/>
                <w:kern w:val="0"/>
                <w:sz w:val="24"/>
                <w:szCs w:val="24"/>
              </w:rPr>
              <w:t>C6</w:t>
            </w:r>
          </w:p>
        </w:tc>
        <w:tc>
          <w:tcPr>
            <w:tcW w:w="636" w:type="dxa"/>
            <w:tcBorders>
              <w:top w:val="single" w:sz="4" w:space="0" w:color="auto"/>
              <w:left w:val="nil"/>
              <w:bottom w:val="single" w:sz="4" w:space="0" w:color="auto"/>
              <w:right w:val="nil"/>
            </w:tcBorders>
          </w:tcPr>
          <w:p w14:paraId="2B1FF487" w14:textId="77777777" w:rsidR="00B301B0" w:rsidRPr="00B301B0" w:rsidRDefault="00B301B0" w:rsidP="00B301B0">
            <w:pPr>
              <w:widowControl/>
              <w:overflowPunct/>
              <w:autoSpaceDE/>
              <w:autoSpaceDN/>
              <w:adjustRightInd/>
              <w:jc w:val="center"/>
              <w:rPr>
                <w:bCs/>
                <w:kern w:val="0"/>
                <w:sz w:val="24"/>
                <w:szCs w:val="24"/>
              </w:rPr>
            </w:pPr>
            <w:r w:rsidRPr="00B301B0">
              <w:rPr>
                <w:bCs/>
                <w:kern w:val="0"/>
                <w:sz w:val="24"/>
                <w:szCs w:val="24"/>
              </w:rPr>
              <w:t>C7</w:t>
            </w:r>
          </w:p>
        </w:tc>
        <w:tc>
          <w:tcPr>
            <w:tcW w:w="636" w:type="dxa"/>
            <w:tcBorders>
              <w:top w:val="single" w:sz="4" w:space="0" w:color="auto"/>
              <w:left w:val="nil"/>
              <w:bottom w:val="single" w:sz="4" w:space="0" w:color="auto"/>
              <w:right w:val="nil"/>
            </w:tcBorders>
          </w:tcPr>
          <w:p w14:paraId="03F4973E" w14:textId="77777777" w:rsidR="00B301B0" w:rsidRPr="00B301B0" w:rsidRDefault="00B301B0" w:rsidP="00B301B0">
            <w:pPr>
              <w:widowControl/>
              <w:overflowPunct/>
              <w:autoSpaceDE/>
              <w:autoSpaceDN/>
              <w:adjustRightInd/>
              <w:jc w:val="center"/>
              <w:rPr>
                <w:bCs/>
                <w:kern w:val="0"/>
                <w:sz w:val="24"/>
                <w:szCs w:val="24"/>
              </w:rPr>
            </w:pPr>
            <w:r w:rsidRPr="00B301B0">
              <w:rPr>
                <w:bCs/>
                <w:kern w:val="0"/>
                <w:sz w:val="24"/>
                <w:szCs w:val="24"/>
              </w:rPr>
              <w:t>C8</w:t>
            </w:r>
          </w:p>
        </w:tc>
        <w:tc>
          <w:tcPr>
            <w:tcW w:w="636" w:type="dxa"/>
            <w:tcBorders>
              <w:top w:val="single" w:sz="4" w:space="0" w:color="auto"/>
              <w:left w:val="nil"/>
              <w:bottom w:val="single" w:sz="4" w:space="0" w:color="auto"/>
              <w:right w:val="nil"/>
            </w:tcBorders>
          </w:tcPr>
          <w:p w14:paraId="595AE1D7" w14:textId="77777777" w:rsidR="00B301B0" w:rsidRPr="00B301B0" w:rsidRDefault="00B301B0" w:rsidP="00B301B0">
            <w:pPr>
              <w:widowControl/>
              <w:overflowPunct/>
              <w:autoSpaceDE/>
              <w:autoSpaceDN/>
              <w:adjustRightInd/>
              <w:jc w:val="center"/>
              <w:rPr>
                <w:bCs/>
                <w:kern w:val="0"/>
                <w:sz w:val="24"/>
                <w:szCs w:val="24"/>
              </w:rPr>
            </w:pPr>
            <w:r w:rsidRPr="00B301B0">
              <w:rPr>
                <w:bCs/>
                <w:kern w:val="0"/>
                <w:sz w:val="24"/>
                <w:szCs w:val="24"/>
              </w:rPr>
              <w:t>C9</w:t>
            </w:r>
          </w:p>
        </w:tc>
      </w:tr>
      <w:tr w:rsidR="00B301B0" w:rsidRPr="00B301B0" w14:paraId="61436124" w14:textId="77777777" w:rsidTr="00DB7B9A">
        <w:trPr>
          <w:trHeight w:val="432"/>
        </w:trPr>
        <w:tc>
          <w:tcPr>
            <w:tcW w:w="2782" w:type="dxa"/>
            <w:tcBorders>
              <w:top w:val="single" w:sz="4" w:space="0" w:color="auto"/>
              <w:left w:val="nil"/>
              <w:bottom w:val="nil"/>
              <w:right w:val="nil"/>
            </w:tcBorders>
            <w:vAlign w:val="center"/>
          </w:tcPr>
          <w:p w14:paraId="4BD2BCF9"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Subsidiary Autonomy</w:t>
            </w:r>
          </w:p>
        </w:tc>
        <w:tc>
          <w:tcPr>
            <w:tcW w:w="636" w:type="dxa"/>
            <w:tcBorders>
              <w:top w:val="single" w:sz="4" w:space="0" w:color="auto"/>
              <w:left w:val="nil"/>
              <w:bottom w:val="nil"/>
              <w:right w:val="nil"/>
            </w:tcBorders>
            <w:vAlign w:val="center"/>
          </w:tcPr>
          <w:p w14:paraId="6EA87086" w14:textId="77777777" w:rsidR="00B301B0" w:rsidRPr="00B301B0" w:rsidRDefault="00B301B0" w:rsidP="00B301B0">
            <w:pPr>
              <w:widowControl/>
              <w:overflowPunct/>
              <w:autoSpaceDE/>
              <w:autoSpaceDN/>
              <w:adjustRightInd/>
              <w:jc w:val="center"/>
              <w:rPr>
                <w:kern w:val="0"/>
                <w:sz w:val="24"/>
                <w:szCs w:val="24"/>
              </w:rPr>
            </w:pPr>
            <w:r w:rsidRPr="00B301B0">
              <w:rPr>
                <w:kern w:val="0"/>
                <w:sz w:val="16"/>
                <w:szCs w:val="16"/>
              </w:rPr>
              <w:sym w:font="Symbol" w:char="F0C4"/>
            </w:r>
          </w:p>
        </w:tc>
        <w:tc>
          <w:tcPr>
            <w:tcW w:w="636" w:type="dxa"/>
            <w:tcBorders>
              <w:top w:val="single" w:sz="4" w:space="0" w:color="auto"/>
              <w:left w:val="nil"/>
              <w:bottom w:val="nil"/>
              <w:right w:val="nil"/>
            </w:tcBorders>
            <w:vAlign w:val="center"/>
          </w:tcPr>
          <w:p w14:paraId="4EF1BD3D"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44"/>
                <w:szCs w:val="44"/>
              </w:rPr>
              <w:sym w:font="Symbol" w:char="F0B7"/>
            </w:r>
          </w:p>
        </w:tc>
        <w:tc>
          <w:tcPr>
            <w:tcW w:w="636" w:type="dxa"/>
            <w:tcBorders>
              <w:top w:val="single" w:sz="4" w:space="0" w:color="auto"/>
              <w:left w:val="nil"/>
              <w:bottom w:val="nil"/>
              <w:right w:val="nil"/>
            </w:tcBorders>
            <w:vAlign w:val="center"/>
          </w:tcPr>
          <w:p w14:paraId="2AF5B10B"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24"/>
                <w:szCs w:val="24"/>
              </w:rPr>
              <w:sym w:font="Symbol" w:char="F0B7"/>
            </w:r>
          </w:p>
        </w:tc>
        <w:tc>
          <w:tcPr>
            <w:tcW w:w="636" w:type="dxa"/>
            <w:tcBorders>
              <w:top w:val="single" w:sz="4" w:space="0" w:color="auto"/>
              <w:left w:val="nil"/>
              <w:bottom w:val="nil"/>
              <w:right w:val="nil"/>
            </w:tcBorders>
            <w:vAlign w:val="center"/>
          </w:tcPr>
          <w:p w14:paraId="2E95AB58" w14:textId="77777777" w:rsidR="00B301B0" w:rsidRPr="00B301B0" w:rsidRDefault="00B301B0" w:rsidP="00B301B0">
            <w:pPr>
              <w:widowControl/>
              <w:overflowPunct/>
              <w:autoSpaceDE/>
              <w:autoSpaceDN/>
              <w:adjustRightInd/>
              <w:jc w:val="center"/>
              <w:rPr>
                <w:rFonts w:eastAsiaTheme="minorHAnsi"/>
                <w:kern w:val="0"/>
                <w:sz w:val="24"/>
                <w:szCs w:val="24"/>
              </w:rPr>
            </w:pPr>
            <w:r w:rsidRPr="00B301B0">
              <w:rPr>
                <w:kern w:val="0"/>
                <w:sz w:val="16"/>
                <w:szCs w:val="16"/>
              </w:rPr>
              <w:sym w:font="Symbol" w:char="F0C4"/>
            </w:r>
          </w:p>
        </w:tc>
        <w:tc>
          <w:tcPr>
            <w:tcW w:w="636" w:type="dxa"/>
            <w:tcBorders>
              <w:top w:val="single" w:sz="4" w:space="0" w:color="auto"/>
              <w:left w:val="nil"/>
              <w:bottom w:val="nil"/>
              <w:right w:val="nil"/>
            </w:tcBorders>
            <w:vAlign w:val="center"/>
          </w:tcPr>
          <w:p w14:paraId="3EDB1939" w14:textId="77777777" w:rsidR="00B301B0" w:rsidRPr="00B301B0" w:rsidRDefault="00B301B0" w:rsidP="00B301B0">
            <w:pPr>
              <w:widowControl/>
              <w:overflowPunct/>
              <w:autoSpaceDE/>
              <w:autoSpaceDN/>
              <w:adjustRightInd/>
              <w:jc w:val="center"/>
              <w:rPr>
                <w:rFonts w:eastAsiaTheme="minorHAnsi"/>
                <w:kern w:val="0"/>
                <w:sz w:val="24"/>
                <w:szCs w:val="24"/>
              </w:rPr>
            </w:pPr>
            <w:r w:rsidRPr="00B301B0">
              <w:rPr>
                <w:kern w:val="0"/>
                <w:sz w:val="16"/>
                <w:szCs w:val="16"/>
              </w:rPr>
              <w:sym w:font="Symbol" w:char="F0C4"/>
            </w:r>
          </w:p>
        </w:tc>
        <w:tc>
          <w:tcPr>
            <w:tcW w:w="636" w:type="dxa"/>
            <w:tcBorders>
              <w:top w:val="single" w:sz="4" w:space="0" w:color="auto"/>
              <w:left w:val="nil"/>
              <w:bottom w:val="nil"/>
              <w:right w:val="nil"/>
            </w:tcBorders>
            <w:vAlign w:val="center"/>
          </w:tcPr>
          <w:p w14:paraId="766379C5" w14:textId="77777777" w:rsidR="00B301B0" w:rsidRPr="00B301B0" w:rsidRDefault="00B301B0" w:rsidP="00B301B0">
            <w:pPr>
              <w:widowControl/>
              <w:overflowPunct/>
              <w:autoSpaceDE/>
              <w:autoSpaceDN/>
              <w:adjustRightInd/>
              <w:jc w:val="center"/>
              <w:rPr>
                <w:rFonts w:eastAsiaTheme="minorHAnsi"/>
                <w:kern w:val="0"/>
                <w:sz w:val="24"/>
                <w:szCs w:val="24"/>
              </w:rPr>
            </w:pPr>
            <w:r w:rsidRPr="00B301B0">
              <w:rPr>
                <w:kern w:val="0"/>
                <w:sz w:val="24"/>
                <w:szCs w:val="24"/>
              </w:rPr>
              <w:sym w:font="Symbol" w:char="F0C4"/>
            </w:r>
          </w:p>
        </w:tc>
      </w:tr>
      <w:tr w:rsidR="00B301B0" w:rsidRPr="00B301B0" w14:paraId="5182E062" w14:textId="77777777" w:rsidTr="00DB7B9A">
        <w:trPr>
          <w:trHeight w:val="432"/>
        </w:trPr>
        <w:tc>
          <w:tcPr>
            <w:tcW w:w="2782" w:type="dxa"/>
            <w:tcBorders>
              <w:top w:val="nil"/>
              <w:left w:val="nil"/>
              <w:bottom w:val="nil"/>
              <w:right w:val="nil"/>
            </w:tcBorders>
            <w:vAlign w:val="center"/>
          </w:tcPr>
          <w:p w14:paraId="70F2958A"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Institutional Distance</w:t>
            </w:r>
          </w:p>
        </w:tc>
        <w:tc>
          <w:tcPr>
            <w:tcW w:w="636" w:type="dxa"/>
            <w:tcBorders>
              <w:top w:val="nil"/>
              <w:left w:val="nil"/>
              <w:bottom w:val="nil"/>
              <w:right w:val="nil"/>
            </w:tcBorders>
            <w:vAlign w:val="center"/>
          </w:tcPr>
          <w:p w14:paraId="255FCBD1" w14:textId="77777777" w:rsidR="00B301B0" w:rsidRPr="00B301B0" w:rsidRDefault="00B301B0" w:rsidP="00B301B0">
            <w:pPr>
              <w:widowControl/>
              <w:overflowPunct/>
              <w:autoSpaceDE/>
              <w:autoSpaceDN/>
              <w:adjustRightInd/>
              <w:jc w:val="center"/>
              <w:rPr>
                <w:kern w:val="0"/>
                <w:sz w:val="24"/>
                <w:szCs w:val="24"/>
              </w:rPr>
            </w:pPr>
            <w:r w:rsidRPr="00B301B0">
              <w:rPr>
                <w:kern w:val="0"/>
                <w:sz w:val="16"/>
                <w:szCs w:val="16"/>
              </w:rPr>
              <w:sym w:font="Symbol" w:char="F0C4"/>
            </w:r>
          </w:p>
        </w:tc>
        <w:tc>
          <w:tcPr>
            <w:tcW w:w="636" w:type="dxa"/>
            <w:tcBorders>
              <w:top w:val="nil"/>
              <w:left w:val="nil"/>
              <w:bottom w:val="nil"/>
              <w:right w:val="nil"/>
            </w:tcBorders>
            <w:vAlign w:val="center"/>
          </w:tcPr>
          <w:p w14:paraId="671ACDFE"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sym w:font="Symbol" w:char="F0C4"/>
            </w:r>
          </w:p>
        </w:tc>
        <w:tc>
          <w:tcPr>
            <w:tcW w:w="636" w:type="dxa"/>
            <w:tcBorders>
              <w:top w:val="nil"/>
              <w:left w:val="nil"/>
              <w:bottom w:val="nil"/>
              <w:right w:val="nil"/>
            </w:tcBorders>
            <w:vAlign w:val="center"/>
          </w:tcPr>
          <w:p w14:paraId="0A5D648A"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24"/>
                <w:szCs w:val="24"/>
              </w:rPr>
              <w:sym w:font="Symbol" w:char="F0B7"/>
            </w:r>
          </w:p>
        </w:tc>
        <w:tc>
          <w:tcPr>
            <w:tcW w:w="636" w:type="dxa"/>
            <w:tcBorders>
              <w:top w:val="nil"/>
              <w:left w:val="nil"/>
              <w:bottom w:val="nil"/>
              <w:right w:val="nil"/>
            </w:tcBorders>
            <w:vAlign w:val="center"/>
          </w:tcPr>
          <w:p w14:paraId="3BE6BEC0" w14:textId="77777777" w:rsidR="00B301B0" w:rsidRPr="00B301B0" w:rsidRDefault="00B301B0" w:rsidP="00B301B0">
            <w:pPr>
              <w:widowControl/>
              <w:overflowPunct/>
              <w:autoSpaceDE/>
              <w:autoSpaceDN/>
              <w:adjustRightInd/>
              <w:jc w:val="center"/>
              <w:rPr>
                <w:kern w:val="0"/>
                <w:sz w:val="24"/>
                <w:szCs w:val="24"/>
              </w:rPr>
            </w:pPr>
          </w:p>
        </w:tc>
        <w:tc>
          <w:tcPr>
            <w:tcW w:w="636" w:type="dxa"/>
            <w:tcBorders>
              <w:top w:val="nil"/>
              <w:left w:val="nil"/>
              <w:bottom w:val="nil"/>
              <w:right w:val="nil"/>
            </w:tcBorders>
            <w:vAlign w:val="center"/>
          </w:tcPr>
          <w:p w14:paraId="1E30A391"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sym w:font="Symbol" w:char="F0C4"/>
            </w:r>
          </w:p>
        </w:tc>
        <w:tc>
          <w:tcPr>
            <w:tcW w:w="636" w:type="dxa"/>
            <w:tcBorders>
              <w:top w:val="nil"/>
              <w:left w:val="nil"/>
              <w:bottom w:val="nil"/>
              <w:right w:val="nil"/>
            </w:tcBorders>
            <w:vAlign w:val="center"/>
          </w:tcPr>
          <w:p w14:paraId="4AFFC705"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sym w:font="Symbol" w:char="F0C4"/>
            </w:r>
          </w:p>
        </w:tc>
      </w:tr>
      <w:tr w:rsidR="00B301B0" w:rsidRPr="00B301B0" w14:paraId="0C03279C" w14:textId="77777777" w:rsidTr="00DB7B9A">
        <w:trPr>
          <w:trHeight w:val="432"/>
        </w:trPr>
        <w:tc>
          <w:tcPr>
            <w:tcW w:w="2782" w:type="dxa"/>
            <w:tcBorders>
              <w:top w:val="nil"/>
              <w:left w:val="nil"/>
              <w:bottom w:val="nil"/>
              <w:right w:val="nil"/>
            </w:tcBorders>
            <w:vAlign w:val="center"/>
          </w:tcPr>
          <w:p w14:paraId="24E6FA14"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Cultural Distance</w:t>
            </w:r>
          </w:p>
        </w:tc>
        <w:tc>
          <w:tcPr>
            <w:tcW w:w="636" w:type="dxa"/>
            <w:tcBorders>
              <w:top w:val="nil"/>
              <w:left w:val="nil"/>
              <w:bottom w:val="nil"/>
              <w:right w:val="nil"/>
            </w:tcBorders>
            <w:vAlign w:val="center"/>
          </w:tcPr>
          <w:p w14:paraId="4C148903" w14:textId="77777777" w:rsidR="00B301B0" w:rsidRPr="00B301B0" w:rsidRDefault="00B301B0" w:rsidP="00B301B0">
            <w:pPr>
              <w:widowControl/>
              <w:overflowPunct/>
              <w:autoSpaceDE/>
              <w:autoSpaceDN/>
              <w:adjustRightInd/>
              <w:jc w:val="center"/>
              <w:rPr>
                <w:kern w:val="0"/>
                <w:sz w:val="24"/>
                <w:szCs w:val="24"/>
              </w:rPr>
            </w:pPr>
          </w:p>
        </w:tc>
        <w:tc>
          <w:tcPr>
            <w:tcW w:w="636" w:type="dxa"/>
            <w:tcBorders>
              <w:top w:val="nil"/>
              <w:left w:val="nil"/>
              <w:bottom w:val="nil"/>
              <w:right w:val="nil"/>
            </w:tcBorders>
            <w:vAlign w:val="center"/>
          </w:tcPr>
          <w:p w14:paraId="4AD91753" w14:textId="77777777" w:rsidR="00B301B0" w:rsidRPr="00B301B0" w:rsidRDefault="00B301B0" w:rsidP="00B301B0">
            <w:pPr>
              <w:widowControl/>
              <w:overflowPunct/>
              <w:autoSpaceDE/>
              <w:autoSpaceDN/>
              <w:adjustRightInd/>
              <w:jc w:val="center"/>
              <w:rPr>
                <w:rFonts w:eastAsiaTheme="minorHAnsi"/>
                <w:kern w:val="0"/>
                <w:sz w:val="24"/>
                <w:szCs w:val="24"/>
              </w:rPr>
            </w:pPr>
            <w:r w:rsidRPr="00B301B0">
              <w:rPr>
                <w:kern w:val="0"/>
                <w:sz w:val="16"/>
                <w:szCs w:val="16"/>
              </w:rPr>
              <w:sym w:font="Symbol" w:char="F0C4"/>
            </w:r>
          </w:p>
        </w:tc>
        <w:tc>
          <w:tcPr>
            <w:tcW w:w="636" w:type="dxa"/>
            <w:tcBorders>
              <w:top w:val="nil"/>
              <w:left w:val="nil"/>
              <w:bottom w:val="nil"/>
              <w:right w:val="nil"/>
            </w:tcBorders>
            <w:vAlign w:val="center"/>
          </w:tcPr>
          <w:p w14:paraId="05609FD3"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24"/>
                <w:szCs w:val="24"/>
              </w:rPr>
              <w:sym w:font="Symbol" w:char="F0B7"/>
            </w:r>
          </w:p>
        </w:tc>
        <w:tc>
          <w:tcPr>
            <w:tcW w:w="636" w:type="dxa"/>
            <w:tcBorders>
              <w:top w:val="nil"/>
              <w:left w:val="nil"/>
              <w:bottom w:val="nil"/>
              <w:right w:val="nil"/>
            </w:tcBorders>
            <w:vAlign w:val="center"/>
          </w:tcPr>
          <w:p w14:paraId="66E01EDE"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24"/>
                <w:szCs w:val="24"/>
              </w:rPr>
              <w:sym w:font="Symbol" w:char="F0B7"/>
            </w:r>
          </w:p>
        </w:tc>
        <w:tc>
          <w:tcPr>
            <w:tcW w:w="636" w:type="dxa"/>
            <w:tcBorders>
              <w:top w:val="nil"/>
              <w:left w:val="nil"/>
              <w:bottom w:val="nil"/>
              <w:right w:val="nil"/>
            </w:tcBorders>
            <w:vAlign w:val="center"/>
          </w:tcPr>
          <w:p w14:paraId="3F0D13D9"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44"/>
                <w:szCs w:val="44"/>
              </w:rPr>
              <w:sym w:font="Symbol" w:char="F0B7"/>
            </w:r>
          </w:p>
        </w:tc>
        <w:tc>
          <w:tcPr>
            <w:tcW w:w="636" w:type="dxa"/>
            <w:tcBorders>
              <w:top w:val="nil"/>
              <w:left w:val="nil"/>
              <w:bottom w:val="nil"/>
              <w:right w:val="nil"/>
            </w:tcBorders>
            <w:vAlign w:val="center"/>
          </w:tcPr>
          <w:p w14:paraId="73BF4691"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sym w:font="Symbol" w:char="F0C4"/>
            </w:r>
          </w:p>
        </w:tc>
      </w:tr>
      <w:tr w:rsidR="00B301B0" w:rsidRPr="00B301B0" w14:paraId="195DF953" w14:textId="77777777" w:rsidTr="00DB7B9A">
        <w:trPr>
          <w:trHeight w:val="432"/>
        </w:trPr>
        <w:tc>
          <w:tcPr>
            <w:tcW w:w="2782" w:type="dxa"/>
            <w:tcBorders>
              <w:top w:val="nil"/>
              <w:left w:val="nil"/>
              <w:bottom w:val="nil"/>
              <w:right w:val="nil"/>
            </w:tcBorders>
            <w:vAlign w:val="center"/>
          </w:tcPr>
          <w:p w14:paraId="701333C2"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Research &amp; Development</w:t>
            </w:r>
          </w:p>
        </w:tc>
        <w:tc>
          <w:tcPr>
            <w:tcW w:w="636" w:type="dxa"/>
            <w:tcBorders>
              <w:top w:val="nil"/>
              <w:left w:val="nil"/>
              <w:bottom w:val="nil"/>
              <w:right w:val="nil"/>
            </w:tcBorders>
            <w:vAlign w:val="center"/>
          </w:tcPr>
          <w:p w14:paraId="2BB57A23" w14:textId="77777777" w:rsidR="00B301B0" w:rsidRPr="00B301B0" w:rsidRDefault="00B301B0" w:rsidP="00B301B0">
            <w:pPr>
              <w:widowControl/>
              <w:overflowPunct/>
              <w:autoSpaceDE/>
              <w:autoSpaceDN/>
              <w:adjustRightInd/>
              <w:jc w:val="center"/>
              <w:rPr>
                <w:kern w:val="0"/>
                <w:sz w:val="24"/>
                <w:szCs w:val="24"/>
              </w:rPr>
            </w:pPr>
          </w:p>
        </w:tc>
        <w:tc>
          <w:tcPr>
            <w:tcW w:w="636" w:type="dxa"/>
            <w:tcBorders>
              <w:top w:val="nil"/>
              <w:left w:val="nil"/>
              <w:bottom w:val="nil"/>
              <w:right w:val="nil"/>
            </w:tcBorders>
            <w:vAlign w:val="center"/>
          </w:tcPr>
          <w:p w14:paraId="6C1B507A"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44"/>
                <w:szCs w:val="44"/>
              </w:rPr>
              <w:sym w:font="Symbol" w:char="F0B7"/>
            </w:r>
          </w:p>
        </w:tc>
        <w:tc>
          <w:tcPr>
            <w:tcW w:w="636" w:type="dxa"/>
            <w:tcBorders>
              <w:top w:val="nil"/>
              <w:left w:val="nil"/>
              <w:bottom w:val="nil"/>
              <w:right w:val="nil"/>
            </w:tcBorders>
            <w:vAlign w:val="center"/>
          </w:tcPr>
          <w:p w14:paraId="6EEB4843"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24"/>
                <w:szCs w:val="24"/>
              </w:rPr>
              <w:sym w:font="Symbol" w:char="F0B7"/>
            </w:r>
          </w:p>
        </w:tc>
        <w:tc>
          <w:tcPr>
            <w:tcW w:w="636" w:type="dxa"/>
            <w:tcBorders>
              <w:top w:val="nil"/>
              <w:left w:val="nil"/>
              <w:bottom w:val="nil"/>
              <w:right w:val="nil"/>
            </w:tcBorders>
            <w:vAlign w:val="center"/>
          </w:tcPr>
          <w:p w14:paraId="53401A90"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sym w:font="Symbol" w:char="F0C4"/>
            </w:r>
          </w:p>
        </w:tc>
        <w:tc>
          <w:tcPr>
            <w:tcW w:w="636" w:type="dxa"/>
            <w:tcBorders>
              <w:top w:val="nil"/>
              <w:left w:val="nil"/>
              <w:bottom w:val="nil"/>
              <w:right w:val="nil"/>
            </w:tcBorders>
            <w:vAlign w:val="center"/>
          </w:tcPr>
          <w:p w14:paraId="5D47F9A0" w14:textId="77777777" w:rsidR="00B301B0" w:rsidRPr="00B301B0" w:rsidRDefault="00B301B0" w:rsidP="00B301B0">
            <w:pPr>
              <w:widowControl/>
              <w:overflowPunct/>
              <w:autoSpaceDE/>
              <w:autoSpaceDN/>
              <w:adjustRightInd/>
              <w:jc w:val="center"/>
              <w:rPr>
                <w:kern w:val="0"/>
                <w:sz w:val="24"/>
                <w:szCs w:val="24"/>
              </w:rPr>
            </w:pPr>
            <w:r w:rsidRPr="00B301B0">
              <w:rPr>
                <w:kern w:val="0"/>
                <w:sz w:val="16"/>
                <w:szCs w:val="16"/>
              </w:rPr>
              <w:sym w:font="Symbol" w:char="F0C4"/>
            </w:r>
          </w:p>
        </w:tc>
        <w:tc>
          <w:tcPr>
            <w:tcW w:w="636" w:type="dxa"/>
            <w:tcBorders>
              <w:top w:val="nil"/>
              <w:left w:val="nil"/>
              <w:bottom w:val="nil"/>
              <w:right w:val="nil"/>
            </w:tcBorders>
            <w:vAlign w:val="center"/>
          </w:tcPr>
          <w:p w14:paraId="2D405DDF" w14:textId="77777777" w:rsidR="00B301B0" w:rsidRPr="00B301B0" w:rsidRDefault="00B301B0" w:rsidP="00B301B0">
            <w:pPr>
              <w:widowControl/>
              <w:overflowPunct/>
              <w:autoSpaceDE/>
              <w:autoSpaceDN/>
              <w:adjustRightInd/>
              <w:jc w:val="center"/>
              <w:rPr>
                <w:kern w:val="0"/>
                <w:sz w:val="24"/>
                <w:szCs w:val="24"/>
              </w:rPr>
            </w:pPr>
            <w:r w:rsidRPr="00B301B0">
              <w:rPr>
                <w:kern w:val="0"/>
                <w:sz w:val="16"/>
                <w:szCs w:val="16"/>
              </w:rPr>
              <w:sym w:font="Symbol" w:char="F0C4"/>
            </w:r>
          </w:p>
        </w:tc>
      </w:tr>
      <w:tr w:rsidR="00B301B0" w:rsidRPr="00B301B0" w14:paraId="6489C61F" w14:textId="77777777" w:rsidTr="00DB7B9A">
        <w:trPr>
          <w:trHeight w:val="432"/>
        </w:trPr>
        <w:tc>
          <w:tcPr>
            <w:tcW w:w="2782" w:type="dxa"/>
            <w:tcBorders>
              <w:top w:val="nil"/>
              <w:left w:val="nil"/>
              <w:bottom w:val="nil"/>
              <w:right w:val="nil"/>
            </w:tcBorders>
            <w:vAlign w:val="center"/>
          </w:tcPr>
          <w:p w14:paraId="4532994D"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Management Consultants</w:t>
            </w:r>
          </w:p>
        </w:tc>
        <w:tc>
          <w:tcPr>
            <w:tcW w:w="636" w:type="dxa"/>
            <w:tcBorders>
              <w:top w:val="nil"/>
              <w:left w:val="nil"/>
              <w:bottom w:val="nil"/>
              <w:right w:val="nil"/>
            </w:tcBorders>
            <w:vAlign w:val="center"/>
          </w:tcPr>
          <w:p w14:paraId="413008FF"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24"/>
                <w:szCs w:val="24"/>
              </w:rPr>
              <w:sym w:font="Symbol" w:char="F0B7"/>
            </w:r>
          </w:p>
        </w:tc>
        <w:tc>
          <w:tcPr>
            <w:tcW w:w="636" w:type="dxa"/>
            <w:tcBorders>
              <w:top w:val="nil"/>
              <w:left w:val="nil"/>
              <w:bottom w:val="nil"/>
              <w:right w:val="nil"/>
            </w:tcBorders>
            <w:vAlign w:val="center"/>
          </w:tcPr>
          <w:p w14:paraId="6AD5F94C" w14:textId="77777777" w:rsidR="00B301B0" w:rsidRPr="00B301B0" w:rsidRDefault="00B301B0" w:rsidP="00B301B0">
            <w:pPr>
              <w:widowControl/>
              <w:overflowPunct/>
              <w:autoSpaceDE/>
              <w:autoSpaceDN/>
              <w:adjustRightInd/>
              <w:jc w:val="center"/>
              <w:rPr>
                <w:kern w:val="0"/>
                <w:sz w:val="24"/>
                <w:szCs w:val="24"/>
              </w:rPr>
            </w:pPr>
          </w:p>
        </w:tc>
        <w:tc>
          <w:tcPr>
            <w:tcW w:w="636" w:type="dxa"/>
            <w:tcBorders>
              <w:top w:val="nil"/>
              <w:left w:val="nil"/>
              <w:bottom w:val="nil"/>
              <w:right w:val="nil"/>
            </w:tcBorders>
            <w:vAlign w:val="center"/>
          </w:tcPr>
          <w:p w14:paraId="2DC9D092" w14:textId="77777777" w:rsidR="00B301B0" w:rsidRPr="00B301B0" w:rsidRDefault="00B301B0" w:rsidP="00B301B0">
            <w:pPr>
              <w:widowControl/>
              <w:overflowPunct/>
              <w:autoSpaceDE/>
              <w:autoSpaceDN/>
              <w:adjustRightInd/>
              <w:jc w:val="center"/>
              <w:rPr>
                <w:kern w:val="0"/>
                <w:sz w:val="24"/>
                <w:szCs w:val="24"/>
              </w:rPr>
            </w:pPr>
          </w:p>
        </w:tc>
        <w:tc>
          <w:tcPr>
            <w:tcW w:w="636" w:type="dxa"/>
            <w:tcBorders>
              <w:top w:val="nil"/>
              <w:left w:val="nil"/>
              <w:bottom w:val="nil"/>
              <w:right w:val="nil"/>
            </w:tcBorders>
            <w:vAlign w:val="center"/>
          </w:tcPr>
          <w:p w14:paraId="32534389" w14:textId="77777777" w:rsidR="00B301B0" w:rsidRPr="00B301B0" w:rsidRDefault="00B301B0" w:rsidP="00B301B0">
            <w:pPr>
              <w:widowControl/>
              <w:overflowPunct/>
              <w:autoSpaceDE/>
              <w:autoSpaceDN/>
              <w:adjustRightInd/>
              <w:jc w:val="center"/>
              <w:rPr>
                <w:kern w:val="0"/>
                <w:sz w:val="24"/>
                <w:szCs w:val="24"/>
              </w:rPr>
            </w:pPr>
            <w:r w:rsidRPr="00B301B0">
              <w:rPr>
                <w:color w:val="000000"/>
                <w:kern w:val="0"/>
                <w:sz w:val="44"/>
                <w:szCs w:val="44"/>
              </w:rPr>
              <w:sym w:font="Symbol" w:char="F0B7"/>
            </w:r>
          </w:p>
        </w:tc>
        <w:tc>
          <w:tcPr>
            <w:tcW w:w="636" w:type="dxa"/>
            <w:tcBorders>
              <w:top w:val="nil"/>
              <w:left w:val="nil"/>
              <w:bottom w:val="nil"/>
              <w:right w:val="nil"/>
            </w:tcBorders>
            <w:vAlign w:val="center"/>
          </w:tcPr>
          <w:p w14:paraId="3F52B816" w14:textId="77777777" w:rsidR="00B301B0" w:rsidRPr="00B301B0" w:rsidRDefault="00B301B0" w:rsidP="00B301B0">
            <w:pPr>
              <w:widowControl/>
              <w:overflowPunct/>
              <w:autoSpaceDE/>
              <w:autoSpaceDN/>
              <w:adjustRightInd/>
              <w:jc w:val="center"/>
              <w:rPr>
                <w:kern w:val="0"/>
                <w:sz w:val="24"/>
                <w:szCs w:val="24"/>
              </w:rPr>
            </w:pPr>
          </w:p>
        </w:tc>
        <w:tc>
          <w:tcPr>
            <w:tcW w:w="636" w:type="dxa"/>
            <w:tcBorders>
              <w:top w:val="nil"/>
              <w:left w:val="nil"/>
              <w:bottom w:val="nil"/>
              <w:right w:val="nil"/>
            </w:tcBorders>
            <w:vAlign w:val="center"/>
          </w:tcPr>
          <w:p w14:paraId="636CEB3F" w14:textId="77777777" w:rsidR="00B301B0" w:rsidRPr="00B301B0" w:rsidRDefault="00B301B0" w:rsidP="00B301B0">
            <w:pPr>
              <w:widowControl/>
              <w:overflowPunct/>
              <w:autoSpaceDE/>
              <w:autoSpaceDN/>
              <w:adjustRightInd/>
              <w:jc w:val="center"/>
              <w:rPr>
                <w:kern w:val="0"/>
                <w:sz w:val="24"/>
                <w:szCs w:val="24"/>
              </w:rPr>
            </w:pPr>
            <w:r w:rsidRPr="00B301B0">
              <w:rPr>
                <w:kern w:val="0"/>
                <w:sz w:val="16"/>
                <w:szCs w:val="16"/>
              </w:rPr>
              <w:sym w:font="Symbol" w:char="F0C4"/>
            </w:r>
          </w:p>
        </w:tc>
      </w:tr>
      <w:tr w:rsidR="00B301B0" w:rsidRPr="00B301B0" w14:paraId="4C3352EE" w14:textId="77777777" w:rsidTr="00DB7B9A">
        <w:tc>
          <w:tcPr>
            <w:tcW w:w="2782" w:type="dxa"/>
            <w:tcBorders>
              <w:top w:val="single" w:sz="4" w:space="0" w:color="auto"/>
              <w:left w:val="nil"/>
              <w:bottom w:val="nil"/>
              <w:right w:val="nil"/>
            </w:tcBorders>
          </w:tcPr>
          <w:p w14:paraId="1482853B" w14:textId="77777777" w:rsidR="00B301B0" w:rsidRPr="00B301B0" w:rsidRDefault="00B301B0" w:rsidP="00B301B0">
            <w:pPr>
              <w:widowControl/>
              <w:overflowPunct/>
              <w:autoSpaceDE/>
              <w:autoSpaceDN/>
              <w:adjustRightInd/>
              <w:rPr>
                <w:iCs/>
                <w:kern w:val="0"/>
                <w:sz w:val="24"/>
                <w:szCs w:val="24"/>
              </w:rPr>
            </w:pPr>
            <w:r w:rsidRPr="00B301B0">
              <w:rPr>
                <w:iCs/>
                <w:kern w:val="0"/>
                <w:sz w:val="24"/>
                <w:szCs w:val="24"/>
              </w:rPr>
              <w:t>Analog in Main Results</w:t>
            </w:r>
          </w:p>
        </w:tc>
        <w:tc>
          <w:tcPr>
            <w:tcW w:w="636" w:type="dxa"/>
            <w:tcBorders>
              <w:top w:val="single" w:sz="4" w:space="0" w:color="auto"/>
              <w:left w:val="nil"/>
              <w:bottom w:val="nil"/>
              <w:right w:val="nil"/>
            </w:tcBorders>
          </w:tcPr>
          <w:p w14:paraId="6E3DE679" w14:textId="77777777" w:rsidR="00B301B0" w:rsidRPr="00B301B0" w:rsidRDefault="00B301B0" w:rsidP="00B301B0">
            <w:pPr>
              <w:widowControl/>
              <w:overflowPunct/>
              <w:autoSpaceDE/>
              <w:autoSpaceDN/>
              <w:adjustRightInd/>
              <w:jc w:val="center"/>
              <w:rPr>
                <w:iCs/>
                <w:kern w:val="0"/>
                <w:sz w:val="24"/>
                <w:szCs w:val="24"/>
              </w:rPr>
            </w:pPr>
            <w:r w:rsidRPr="00B301B0">
              <w:rPr>
                <w:iCs/>
                <w:kern w:val="0"/>
                <w:sz w:val="24"/>
                <w:szCs w:val="24"/>
              </w:rPr>
              <w:t>C2</w:t>
            </w:r>
          </w:p>
        </w:tc>
        <w:tc>
          <w:tcPr>
            <w:tcW w:w="636" w:type="dxa"/>
            <w:tcBorders>
              <w:top w:val="single" w:sz="4" w:space="0" w:color="auto"/>
              <w:left w:val="nil"/>
              <w:bottom w:val="nil"/>
              <w:right w:val="nil"/>
            </w:tcBorders>
          </w:tcPr>
          <w:p w14:paraId="57BF9915" w14:textId="77777777" w:rsidR="00B301B0" w:rsidRPr="00B301B0" w:rsidRDefault="00B301B0" w:rsidP="00B301B0">
            <w:pPr>
              <w:widowControl/>
              <w:overflowPunct/>
              <w:autoSpaceDE/>
              <w:autoSpaceDN/>
              <w:adjustRightInd/>
              <w:jc w:val="center"/>
              <w:rPr>
                <w:iCs/>
                <w:kern w:val="0"/>
                <w:sz w:val="24"/>
                <w:szCs w:val="24"/>
              </w:rPr>
            </w:pPr>
            <w:r w:rsidRPr="00B301B0">
              <w:rPr>
                <w:iCs/>
                <w:kern w:val="0"/>
                <w:sz w:val="24"/>
                <w:szCs w:val="24"/>
              </w:rPr>
              <w:t>C1</w:t>
            </w:r>
          </w:p>
        </w:tc>
        <w:tc>
          <w:tcPr>
            <w:tcW w:w="636" w:type="dxa"/>
            <w:tcBorders>
              <w:top w:val="single" w:sz="4" w:space="0" w:color="auto"/>
              <w:left w:val="nil"/>
              <w:bottom w:val="nil"/>
              <w:right w:val="nil"/>
            </w:tcBorders>
          </w:tcPr>
          <w:p w14:paraId="6C608E79" w14:textId="77777777" w:rsidR="00B301B0" w:rsidRPr="00B301B0" w:rsidRDefault="00B301B0" w:rsidP="00B301B0">
            <w:pPr>
              <w:widowControl/>
              <w:overflowPunct/>
              <w:autoSpaceDE/>
              <w:autoSpaceDN/>
              <w:adjustRightInd/>
              <w:jc w:val="center"/>
              <w:rPr>
                <w:iCs/>
                <w:kern w:val="0"/>
                <w:sz w:val="24"/>
                <w:szCs w:val="24"/>
              </w:rPr>
            </w:pPr>
            <w:r w:rsidRPr="00B301B0">
              <w:rPr>
                <w:iCs/>
                <w:kern w:val="0"/>
                <w:sz w:val="24"/>
                <w:szCs w:val="24"/>
              </w:rPr>
              <w:t>C1</w:t>
            </w:r>
          </w:p>
        </w:tc>
        <w:tc>
          <w:tcPr>
            <w:tcW w:w="636" w:type="dxa"/>
            <w:tcBorders>
              <w:top w:val="single" w:sz="4" w:space="0" w:color="auto"/>
              <w:left w:val="nil"/>
              <w:bottom w:val="nil"/>
              <w:right w:val="nil"/>
            </w:tcBorders>
          </w:tcPr>
          <w:p w14:paraId="4F469B9C" w14:textId="77777777" w:rsidR="00B301B0" w:rsidRPr="00B301B0" w:rsidRDefault="00B301B0" w:rsidP="00B301B0">
            <w:pPr>
              <w:widowControl/>
              <w:overflowPunct/>
              <w:autoSpaceDE/>
              <w:autoSpaceDN/>
              <w:adjustRightInd/>
              <w:jc w:val="center"/>
              <w:rPr>
                <w:iCs/>
                <w:kern w:val="0"/>
                <w:sz w:val="24"/>
                <w:szCs w:val="24"/>
              </w:rPr>
            </w:pPr>
            <w:r w:rsidRPr="00B301B0">
              <w:rPr>
                <w:iCs/>
                <w:kern w:val="0"/>
                <w:sz w:val="24"/>
                <w:szCs w:val="24"/>
              </w:rPr>
              <w:t>C2</w:t>
            </w:r>
          </w:p>
        </w:tc>
        <w:tc>
          <w:tcPr>
            <w:tcW w:w="636" w:type="dxa"/>
            <w:tcBorders>
              <w:top w:val="single" w:sz="4" w:space="0" w:color="auto"/>
              <w:left w:val="nil"/>
              <w:bottom w:val="nil"/>
              <w:right w:val="nil"/>
            </w:tcBorders>
          </w:tcPr>
          <w:p w14:paraId="62CC9FFD" w14:textId="77777777" w:rsidR="00B301B0" w:rsidRPr="00B301B0" w:rsidRDefault="00B301B0" w:rsidP="00B301B0">
            <w:pPr>
              <w:widowControl/>
              <w:overflowPunct/>
              <w:autoSpaceDE/>
              <w:autoSpaceDN/>
              <w:adjustRightInd/>
              <w:jc w:val="center"/>
              <w:rPr>
                <w:iCs/>
                <w:kern w:val="0"/>
                <w:sz w:val="24"/>
                <w:szCs w:val="24"/>
              </w:rPr>
            </w:pPr>
            <w:r w:rsidRPr="00B301B0">
              <w:rPr>
                <w:iCs/>
                <w:kern w:val="0"/>
                <w:sz w:val="24"/>
                <w:szCs w:val="24"/>
              </w:rPr>
              <w:t>C2</w:t>
            </w:r>
          </w:p>
        </w:tc>
        <w:tc>
          <w:tcPr>
            <w:tcW w:w="636" w:type="dxa"/>
            <w:tcBorders>
              <w:top w:val="single" w:sz="4" w:space="0" w:color="auto"/>
              <w:left w:val="nil"/>
              <w:bottom w:val="nil"/>
              <w:right w:val="nil"/>
            </w:tcBorders>
          </w:tcPr>
          <w:p w14:paraId="5F229176" w14:textId="77777777" w:rsidR="00B301B0" w:rsidRPr="00B301B0" w:rsidRDefault="00B301B0" w:rsidP="00B301B0">
            <w:pPr>
              <w:widowControl/>
              <w:overflowPunct/>
              <w:autoSpaceDE/>
              <w:autoSpaceDN/>
              <w:adjustRightInd/>
              <w:jc w:val="center"/>
              <w:rPr>
                <w:iCs/>
                <w:kern w:val="0"/>
                <w:sz w:val="24"/>
                <w:szCs w:val="24"/>
              </w:rPr>
            </w:pPr>
            <w:r w:rsidRPr="00B301B0">
              <w:rPr>
                <w:iCs/>
                <w:kern w:val="0"/>
                <w:sz w:val="24"/>
                <w:szCs w:val="24"/>
              </w:rPr>
              <w:t>-</w:t>
            </w:r>
          </w:p>
        </w:tc>
      </w:tr>
      <w:tr w:rsidR="00B301B0" w:rsidRPr="00B301B0" w14:paraId="44035869" w14:textId="77777777" w:rsidTr="00DB7B9A">
        <w:tc>
          <w:tcPr>
            <w:tcW w:w="2782" w:type="dxa"/>
            <w:tcBorders>
              <w:top w:val="single" w:sz="4" w:space="0" w:color="auto"/>
              <w:left w:val="nil"/>
              <w:bottom w:val="nil"/>
              <w:right w:val="nil"/>
            </w:tcBorders>
          </w:tcPr>
          <w:p w14:paraId="68013FFD"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Raw Coverage</w:t>
            </w:r>
          </w:p>
        </w:tc>
        <w:tc>
          <w:tcPr>
            <w:tcW w:w="636" w:type="dxa"/>
            <w:tcBorders>
              <w:top w:val="single" w:sz="4" w:space="0" w:color="auto"/>
              <w:left w:val="nil"/>
              <w:bottom w:val="nil"/>
              <w:right w:val="nil"/>
            </w:tcBorders>
          </w:tcPr>
          <w:p w14:paraId="1300AA59"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0.27</w:t>
            </w:r>
          </w:p>
        </w:tc>
        <w:tc>
          <w:tcPr>
            <w:tcW w:w="636" w:type="dxa"/>
            <w:tcBorders>
              <w:top w:val="single" w:sz="4" w:space="0" w:color="auto"/>
              <w:left w:val="nil"/>
              <w:bottom w:val="nil"/>
              <w:right w:val="nil"/>
            </w:tcBorders>
          </w:tcPr>
          <w:p w14:paraId="1B93DF37"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0.18</w:t>
            </w:r>
          </w:p>
        </w:tc>
        <w:tc>
          <w:tcPr>
            <w:tcW w:w="636" w:type="dxa"/>
            <w:tcBorders>
              <w:top w:val="single" w:sz="4" w:space="0" w:color="auto"/>
              <w:left w:val="nil"/>
              <w:bottom w:val="nil"/>
              <w:right w:val="nil"/>
            </w:tcBorders>
          </w:tcPr>
          <w:p w14:paraId="12E71461"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0.12</w:t>
            </w:r>
          </w:p>
        </w:tc>
        <w:tc>
          <w:tcPr>
            <w:tcW w:w="636" w:type="dxa"/>
            <w:tcBorders>
              <w:top w:val="single" w:sz="4" w:space="0" w:color="auto"/>
              <w:left w:val="nil"/>
              <w:bottom w:val="nil"/>
              <w:right w:val="nil"/>
            </w:tcBorders>
          </w:tcPr>
          <w:p w14:paraId="46058715"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0.07</w:t>
            </w:r>
          </w:p>
        </w:tc>
        <w:tc>
          <w:tcPr>
            <w:tcW w:w="636" w:type="dxa"/>
            <w:tcBorders>
              <w:top w:val="single" w:sz="4" w:space="0" w:color="auto"/>
              <w:left w:val="nil"/>
              <w:bottom w:val="nil"/>
              <w:right w:val="nil"/>
            </w:tcBorders>
          </w:tcPr>
          <w:p w14:paraId="5D1C1328"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0.07</w:t>
            </w:r>
          </w:p>
        </w:tc>
        <w:tc>
          <w:tcPr>
            <w:tcW w:w="636" w:type="dxa"/>
            <w:tcBorders>
              <w:top w:val="single" w:sz="4" w:space="0" w:color="auto"/>
              <w:left w:val="nil"/>
              <w:bottom w:val="nil"/>
              <w:right w:val="nil"/>
            </w:tcBorders>
          </w:tcPr>
          <w:p w14:paraId="1917E044"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0.04</w:t>
            </w:r>
          </w:p>
        </w:tc>
      </w:tr>
      <w:tr w:rsidR="00B301B0" w:rsidRPr="00B301B0" w14:paraId="6D97D2C4" w14:textId="77777777" w:rsidTr="00DB7B9A">
        <w:tc>
          <w:tcPr>
            <w:tcW w:w="2782" w:type="dxa"/>
            <w:tcBorders>
              <w:top w:val="nil"/>
              <w:left w:val="nil"/>
              <w:bottom w:val="nil"/>
              <w:right w:val="nil"/>
            </w:tcBorders>
          </w:tcPr>
          <w:p w14:paraId="4F638777"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Unique Coverage</w:t>
            </w:r>
          </w:p>
        </w:tc>
        <w:tc>
          <w:tcPr>
            <w:tcW w:w="636" w:type="dxa"/>
            <w:tcBorders>
              <w:top w:val="nil"/>
              <w:left w:val="nil"/>
              <w:bottom w:val="nil"/>
              <w:right w:val="nil"/>
            </w:tcBorders>
          </w:tcPr>
          <w:p w14:paraId="3850B979"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0.22</w:t>
            </w:r>
          </w:p>
        </w:tc>
        <w:tc>
          <w:tcPr>
            <w:tcW w:w="636" w:type="dxa"/>
            <w:tcBorders>
              <w:top w:val="nil"/>
              <w:left w:val="nil"/>
              <w:bottom w:val="nil"/>
              <w:right w:val="nil"/>
            </w:tcBorders>
          </w:tcPr>
          <w:p w14:paraId="0BE81740"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0.16</w:t>
            </w:r>
          </w:p>
        </w:tc>
        <w:tc>
          <w:tcPr>
            <w:tcW w:w="636" w:type="dxa"/>
            <w:tcBorders>
              <w:top w:val="nil"/>
              <w:left w:val="nil"/>
              <w:bottom w:val="nil"/>
              <w:right w:val="nil"/>
            </w:tcBorders>
          </w:tcPr>
          <w:p w14:paraId="61D09FE1"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0.11</w:t>
            </w:r>
          </w:p>
        </w:tc>
        <w:tc>
          <w:tcPr>
            <w:tcW w:w="636" w:type="dxa"/>
            <w:tcBorders>
              <w:top w:val="nil"/>
              <w:left w:val="nil"/>
              <w:bottom w:val="nil"/>
              <w:right w:val="nil"/>
            </w:tcBorders>
          </w:tcPr>
          <w:p w14:paraId="1B926C55"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0.03</w:t>
            </w:r>
          </w:p>
        </w:tc>
        <w:tc>
          <w:tcPr>
            <w:tcW w:w="636" w:type="dxa"/>
            <w:tcBorders>
              <w:top w:val="nil"/>
              <w:left w:val="nil"/>
              <w:bottom w:val="nil"/>
              <w:right w:val="nil"/>
            </w:tcBorders>
          </w:tcPr>
          <w:p w14:paraId="5B52BA71"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0.02</w:t>
            </w:r>
          </w:p>
        </w:tc>
        <w:tc>
          <w:tcPr>
            <w:tcW w:w="636" w:type="dxa"/>
            <w:tcBorders>
              <w:top w:val="nil"/>
              <w:left w:val="nil"/>
              <w:bottom w:val="nil"/>
              <w:right w:val="nil"/>
            </w:tcBorders>
          </w:tcPr>
          <w:p w14:paraId="0FC7586C"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0.03</w:t>
            </w:r>
          </w:p>
        </w:tc>
      </w:tr>
      <w:tr w:rsidR="00B301B0" w:rsidRPr="00B301B0" w14:paraId="4049FD4C" w14:textId="77777777" w:rsidTr="00DB7B9A">
        <w:tc>
          <w:tcPr>
            <w:tcW w:w="2782" w:type="dxa"/>
            <w:tcBorders>
              <w:top w:val="nil"/>
              <w:left w:val="nil"/>
              <w:bottom w:val="dashed" w:sz="4" w:space="0" w:color="auto"/>
              <w:right w:val="nil"/>
            </w:tcBorders>
          </w:tcPr>
          <w:p w14:paraId="747D977F"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Consistency</w:t>
            </w:r>
          </w:p>
        </w:tc>
        <w:tc>
          <w:tcPr>
            <w:tcW w:w="636" w:type="dxa"/>
            <w:tcBorders>
              <w:top w:val="nil"/>
              <w:left w:val="nil"/>
              <w:bottom w:val="dashed" w:sz="4" w:space="0" w:color="auto"/>
              <w:right w:val="nil"/>
            </w:tcBorders>
          </w:tcPr>
          <w:p w14:paraId="1129CB5D"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0.86</w:t>
            </w:r>
          </w:p>
        </w:tc>
        <w:tc>
          <w:tcPr>
            <w:tcW w:w="636" w:type="dxa"/>
            <w:tcBorders>
              <w:top w:val="nil"/>
              <w:left w:val="nil"/>
              <w:bottom w:val="dashed" w:sz="4" w:space="0" w:color="auto"/>
              <w:right w:val="nil"/>
            </w:tcBorders>
          </w:tcPr>
          <w:p w14:paraId="0B6B7BBD"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1.00</w:t>
            </w:r>
          </w:p>
        </w:tc>
        <w:tc>
          <w:tcPr>
            <w:tcW w:w="636" w:type="dxa"/>
            <w:tcBorders>
              <w:top w:val="nil"/>
              <w:left w:val="nil"/>
              <w:bottom w:val="dashed" w:sz="4" w:space="0" w:color="auto"/>
              <w:right w:val="nil"/>
            </w:tcBorders>
          </w:tcPr>
          <w:p w14:paraId="3576CA0B"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0.90</w:t>
            </w:r>
          </w:p>
        </w:tc>
        <w:tc>
          <w:tcPr>
            <w:tcW w:w="636" w:type="dxa"/>
            <w:tcBorders>
              <w:top w:val="nil"/>
              <w:left w:val="nil"/>
              <w:bottom w:val="dashed" w:sz="4" w:space="0" w:color="auto"/>
              <w:right w:val="nil"/>
            </w:tcBorders>
          </w:tcPr>
          <w:p w14:paraId="2931CD4E"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0.87</w:t>
            </w:r>
          </w:p>
        </w:tc>
        <w:tc>
          <w:tcPr>
            <w:tcW w:w="636" w:type="dxa"/>
            <w:tcBorders>
              <w:top w:val="nil"/>
              <w:left w:val="nil"/>
              <w:bottom w:val="dashed" w:sz="4" w:space="0" w:color="auto"/>
              <w:right w:val="nil"/>
            </w:tcBorders>
          </w:tcPr>
          <w:p w14:paraId="769E03D9"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0.90</w:t>
            </w:r>
          </w:p>
        </w:tc>
        <w:tc>
          <w:tcPr>
            <w:tcW w:w="636" w:type="dxa"/>
            <w:tcBorders>
              <w:top w:val="nil"/>
              <w:left w:val="nil"/>
              <w:bottom w:val="dashed" w:sz="4" w:space="0" w:color="auto"/>
              <w:right w:val="nil"/>
            </w:tcBorders>
          </w:tcPr>
          <w:p w14:paraId="270685DB"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0.95</w:t>
            </w:r>
          </w:p>
        </w:tc>
      </w:tr>
      <w:tr w:rsidR="00B301B0" w:rsidRPr="00B301B0" w14:paraId="5C749C19" w14:textId="77777777" w:rsidTr="00DB7B9A">
        <w:tc>
          <w:tcPr>
            <w:tcW w:w="2782" w:type="dxa"/>
            <w:tcBorders>
              <w:top w:val="dashed" w:sz="4" w:space="0" w:color="auto"/>
              <w:left w:val="nil"/>
              <w:bottom w:val="nil"/>
              <w:right w:val="nil"/>
            </w:tcBorders>
          </w:tcPr>
          <w:p w14:paraId="7187252C"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Solution Coverage</w:t>
            </w:r>
          </w:p>
        </w:tc>
        <w:tc>
          <w:tcPr>
            <w:tcW w:w="3816" w:type="dxa"/>
            <w:gridSpan w:val="6"/>
            <w:tcBorders>
              <w:top w:val="dashed" w:sz="4" w:space="0" w:color="auto"/>
              <w:left w:val="nil"/>
              <w:bottom w:val="nil"/>
              <w:right w:val="nil"/>
            </w:tcBorders>
          </w:tcPr>
          <w:p w14:paraId="68A9FDA5"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0.65</w:t>
            </w:r>
          </w:p>
        </w:tc>
      </w:tr>
      <w:tr w:rsidR="00B301B0" w:rsidRPr="00B301B0" w14:paraId="4162E044" w14:textId="77777777" w:rsidTr="00DB7B9A">
        <w:tc>
          <w:tcPr>
            <w:tcW w:w="2782" w:type="dxa"/>
            <w:tcBorders>
              <w:top w:val="nil"/>
              <w:left w:val="nil"/>
              <w:bottom w:val="single" w:sz="4" w:space="0" w:color="auto"/>
              <w:right w:val="nil"/>
            </w:tcBorders>
          </w:tcPr>
          <w:p w14:paraId="00956046" w14:textId="77777777" w:rsidR="00B301B0" w:rsidRPr="00B301B0" w:rsidRDefault="00B301B0" w:rsidP="00B301B0">
            <w:pPr>
              <w:widowControl/>
              <w:overflowPunct/>
              <w:autoSpaceDE/>
              <w:autoSpaceDN/>
              <w:adjustRightInd/>
              <w:rPr>
                <w:kern w:val="0"/>
                <w:sz w:val="24"/>
                <w:szCs w:val="24"/>
              </w:rPr>
            </w:pPr>
            <w:r w:rsidRPr="00B301B0">
              <w:rPr>
                <w:kern w:val="0"/>
                <w:sz w:val="24"/>
                <w:szCs w:val="24"/>
              </w:rPr>
              <w:t>Solution Consistency</w:t>
            </w:r>
          </w:p>
        </w:tc>
        <w:tc>
          <w:tcPr>
            <w:tcW w:w="3816" w:type="dxa"/>
            <w:gridSpan w:val="6"/>
            <w:tcBorders>
              <w:top w:val="nil"/>
              <w:left w:val="nil"/>
              <w:bottom w:val="single" w:sz="4" w:space="0" w:color="auto"/>
              <w:right w:val="nil"/>
            </w:tcBorders>
          </w:tcPr>
          <w:p w14:paraId="7D9B1433" w14:textId="77777777" w:rsidR="00B301B0" w:rsidRPr="00B301B0" w:rsidRDefault="00B301B0" w:rsidP="00B301B0">
            <w:pPr>
              <w:widowControl/>
              <w:overflowPunct/>
              <w:autoSpaceDE/>
              <w:autoSpaceDN/>
              <w:adjustRightInd/>
              <w:jc w:val="center"/>
              <w:rPr>
                <w:kern w:val="0"/>
                <w:sz w:val="24"/>
                <w:szCs w:val="24"/>
              </w:rPr>
            </w:pPr>
            <w:r w:rsidRPr="00B301B0">
              <w:rPr>
                <w:kern w:val="0"/>
                <w:sz w:val="24"/>
                <w:szCs w:val="24"/>
              </w:rPr>
              <w:t>0.90</w:t>
            </w:r>
          </w:p>
        </w:tc>
      </w:tr>
    </w:tbl>
    <w:p w14:paraId="094259C3" w14:textId="77777777" w:rsidR="00B301B0" w:rsidRPr="00B301B0" w:rsidRDefault="00B301B0" w:rsidP="00B301B0">
      <w:pPr>
        <w:widowControl/>
        <w:overflowPunct/>
        <w:autoSpaceDE/>
        <w:autoSpaceDN/>
        <w:adjustRightInd/>
        <w:ind w:left="720" w:right="2070"/>
        <w:jc w:val="both"/>
        <w:rPr>
          <w:kern w:val="0"/>
        </w:rPr>
      </w:pPr>
      <w:r w:rsidRPr="00B301B0">
        <w:rPr>
          <w:bCs/>
          <w:kern w:val="0"/>
        </w:rPr>
        <w:t>Notes: The</w:t>
      </w:r>
      <w:r w:rsidRPr="00B301B0">
        <w:rPr>
          <w:kern w:val="0"/>
        </w:rPr>
        <w:t xml:space="preserve"> use of a filled circle (“</w:t>
      </w:r>
      <w:r w:rsidRPr="00B301B0">
        <w:rPr>
          <w:color w:val="000000"/>
          <w:kern w:val="0"/>
        </w:rPr>
        <w:sym w:font="Symbol" w:char="F0B7"/>
      </w:r>
      <w:r w:rsidRPr="00B301B0">
        <w:rPr>
          <w:kern w:val="0"/>
        </w:rPr>
        <w:t>”) denotes the presence of a condition. A larger circle (“</w:t>
      </w:r>
      <w:r w:rsidRPr="00B301B0">
        <w:rPr>
          <w:color w:val="000000"/>
          <w:kern w:val="0"/>
          <w:sz w:val="40"/>
          <w:szCs w:val="40"/>
        </w:rPr>
        <w:sym w:font="Symbol" w:char="F0B7"/>
      </w:r>
      <w:r w:rsidRPr="00B301B0">
        <w:rPr>
          <w:kern w:val="0"/>
        </w:rPr>
        <w:t>”) represents a core condition, while a smaller circle (“</w:t>
      </w:r>
      <w:r w:rsidRPr="00B301B0">
        <w:rPr>
          <w:color w:val="000000"/>
          <w:kern w:val="0"/>
        </w:rPr>
        <w:sym w:font="Symbol" w:char="F0B7"/>
      </w:r>
      <w:r w:rsidRPr="00B301B0">
        <w:rPr>
          <w:kern w:val="0"/>
        </w:rPr>
        <w:t>”) a peripheral condition; a larger (“</w:t>
      </w:r>
      <w:r w:rsidRPr="00B301B0">
        <w:rPr>
          <w:kern w:val="0"/>
          <w:sz w:val="24"/>
          <w:szCs w:val="24"/>
        </w:rPr>
        <w:sym w:font="Symbol" w:char="F0C4"/>
      </w:r>
      <w:r w:rsidRPr="00B301B0">
        <w:rPr>
          <w:kern w:val="0"/>
        </w:rPr>
        <w:t>”) represents the absence of a core condition, while a smaller (“</w:t>
      </w:r>
      <w:r w:rsidRPr="00B301B0">
        <w:rPr>
          <w:kern w:val="0"/>
          <w:sz w:val="12"/>
          <w:szCs w:val="12"/>
        </w:rPr>
        <w:sym w:font="Symbol" w:char="F0C4"/>
      </w:r>
      <w:r w:rsidRPr="00B301B0">
        <w:rPr>
          <w:kern w:val="0"/>
        </w:rPr>
        <w:t xml:space="preserve">”) the absence of a peripheral condition. </w:t>
      </w:r>
    </w:p>
    <w:p w14:paraId="517A4523" w14:textId="77777777" w:rsidR="00B301B0" w:rsidRPr="00B301B0" w:rsidRDefault="00B301B0" w:rsidP="00B301B0">
      <w:pPr>
        <w:widowControl/>
        <w:overflowPunct/>
        <w:autoSpaceDE/>
        <w:autoSpaceDN/>
        <w:adjustRightInd/>
        <w:ind w:left="720" w:right="2790"/>
        <w:jc w:val="both"/>
        <w:rPr>
          <w:kern w:val="0"/>
        </w:rPr>
      </w:pPr>
    </w:p>
    <w:p w14:paraId="5ABB2B80" w14:textId="77777777" w:rsidR="00B301B0" w:rsidRPr="00B301B0" w:rsidRDefault="00B301B0" w:rsidP="00B301B0">
      <w:pPr>
        <w:widowControl/>
        <w:overflowPunct/>
        <w:autoSpaceDE/>
        <w:autoSpaceDN/>
        <w:adjustRightInd/>
        <w:ind w:left="720"/>
        <w:rPr>
          <w:kern w:val="0"/>
          <w:sz w:val="24"/>
          <w:szCs w:val="24"/>
        </w:rPr>
        <w:sectPr w:rsidR="00B301B0" w:rsidRPr="00B301B0" w:rsidSect="00DB7B9A">
          <w:footerReference w:type="even" r:id="rId14"/>
          <w:pgSz w:w="12240" w:h="15840"/>
          <w:pgMar w:top="1440" w:right="1440" w:bottom="1440" w:left="1440" w:header="720" w:footer="720" w:gutter="0"/>
          <w:cols w:space="720"/>
          <w:docGrid w:linePitch="360"/>
        </w:sectPr>
      </w:pPr>
    </w:p>
    <w:p w14:paraId="5980BAE5" w14:textId="585775EF" w:rsidR="00B301B0" w:rsidRPr="00B301B0" w:rsidRDefault="00DB7B9A" w:rsidP="00B301B0">
      <w:pPr>
        <w:widowControl/>
        <w:overflowPunct/>
        <w:autoSpaceDE/>
        <w:autoSpaceDN/>
        <w:adjustRightInd/>
        <w:spacing w:line="480" w:lineRule="auto"/>
        <w:ind w:left="720"/>
        <w:jc w:val="center"/>
        <w:rPr>
          <w:bCs/>
          <w:kern w:val="0"/>
          <w:sz w:val="24"/>
          <w:szCs w:val="24"/>
        </w:rPr>
      </w:pPr>
      <w:r>
        <w:rPr>
          <w:bCs/>
          <w:kern w:val="0"/>
          <w:sz w:val="24"/>
          <w:szCs w:val="24"/>
        </w:rPr>
        <w:t>IV</w:t>
      </w:r>
      <w:r w:rsidR="00B301B0" w:rsidRPr="00B301B0">
        <w:rPr>
          <w:bCs/>
          <w:kern w:val="0"/>
          <w:sz w:val="24"/>
          <w:szCs w:val="24"/>
        </w:rPr>
        <w:t xml:space="preserve">. </w:t>
      </w:r>
      <w:r w:rsidR="00B301B0" w:rsidRPr="00B301B0">
        <w:rPr>
          <w:bCs/>
          <w:kern w:val="0"/>
          <w:sz w:val="24"/>
          <w:szCs w:val="24"/>
        </w:rPr>
        <w:tab/>
        <w:t xml:space="preserve">HOW MUCH DOES THE </w:t>
      </w:r>
      <w:r w:rsidR="00B301B0" w:rsidRPr="00B301B0">
        <w:rPr>
          <w:bCs/>
          <w:caps/>
          <w:kern w:val="0"/>
          <w:sz w:val="24"/>
          <w:szCs w:val="24"/>
        </w:rPr>
        <w:t>Multinational enterprise</w:t>
      </w:r>
      <w:r w:rsidR="00B301B0" w:rsidRPr="00B301B0">
        <w:rPr>
          <w:bCs/>
          <w:kern w:val="0"/>
          <w:sz w:val="24"/>
          <w:szCs w:val="24"/>
        </w:rPr>
        <w:t xml:space="preserve"> MATTER TO FOREIGN SUBSIDIARY PERFORMANCE?</w:t>
      </w:r>
    </w:p>
    <w:p w14:paraId="3A8EC486" w14:textId="77777777" w:rsidR="00B301B0" w:rsidRPr="00B301B0" w:rsidRDefault="00B301B0" w:rsidP="00B301B0">
      <w:pPr>
        <w:widowControl/>
        <w:overflowPunct/>
        <w:autoSpaceDE/>
        <w:autoSpaceDN/>
        <w:adjustRightInd/>
        <w:spacing w:line="480" w:lineRule="auto"/>
        <w:rPr>
          <w:bCs/>
          <w:kern w:val="0"/>
          <w:sz w:val="24"/>
          <w:szCs w:val="24"/>
        </w:rPr>
      </w:pPr>
    </w:p>
    <w:p w14:paraId="121620A6" w14:textId="77777777" w:rsidR="00B301B0" w:rsidRPr="00B301B0" w:rsidRDefault="00B301B0" w:rsidP="00B301B0">
      <w:pPr>
        <w:widowControl/>
        <w:overflowPunct/>
        <w:autoSpaceDE/>
        <w:autoSpaceDN/>
        <w:adjustRightInd/>
        <w:spacing w:line="480" w:lineRule="auto"/>
        <w:ind w:left="720"/>
        <w:jc w:val="center"/>
        <w:rPr>
          <w:bCs/>
          <w:kern w:val="0"/>
          <w:sz w:val="24"/>
          <w:szCs w:val="24"/>
        </w:rPr>
      </w:pPr>
      <w:r w:rsidRPr="00B301B0">
        <w:rPr>
          <w:bCs/>
          <w:kern w:val="0"/>
          <w:sz w:val="24"/>
          <w:szCs w:val="24"/>
        </w:rPr>
        <w:t>INTRODUCTION</w:t>
      </w:r>
    </w:p>
    <w:p w14:paraId="75EF3D38"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Because the success of foreign subsidiaries directly affects the success of the multinational enterprise (MNE), understanding the drivers of subsidiary performance is a defining issue of international business (IB) research (Peng, 2004; Kostova, Marano &amp; Tallman, 2016; Meyer, Li &amp; Schotter, 2020). Early IB theory considered the MNE as a hierarchical organization whereby the headquarters, seeking to exploit non-location-bound firm-specific advantages, was the key determinant of subsidiary performance and thus MNE success in internationalization (Dunning, 1980; Rugman &amp; Verbeke, 2001). With increasing dynamism, local adaptation pressures, and complexity of multinational operations, however, MNEs began to shift towards decentralized networks of semiautonomous subsidiaries (Bartlett &amp; Ghoshal, 1989; Andersson, Forsgren &amp; Holm, 2002; Awate, Larsen &amp; Mudambi, 2015). The commensurate proliferation of subsidiary-focused research over the last two decades highlights these changes (Meyer et al., 2020), with much of the emphasis put on subsidiary-level factors in explaining subsidiary success (e.g., Birkinshaw, 1997; Andersson, Björkman &amp; Forsgren, 2005; Najafi-Tavani, Giroud &amp; Andersson, 2014; Beugelsdijk &amp; Jindra, 2018; Rabbiosi &amp; Santangelo, 2019). </w:t>
      </w:r>
    </w:p>
    <w:p w14:paraId="760C810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Although there are good theoretical and empirical reasons to expect that both the MNE and the subsidiary play a role in subsidiary performance, there is a non-trivial tension between the two streams of literature because each often implies lesser salience of the other (Menz, Kunisch &amp; Collis, 2015; Birkinshaw &amp; Hood, 2016). IB research provides ample theory and evidence for the importance of the MNE and the subsidiary itself in explaining subsidiary performance. Still, these are often done in separate investigations and, at times, in entirely different research streams. Few studies, notably in the variance decomposition literature, have probed home-country, host-country, subnational region, and industry effects on subsidiary performance (Christmann, Day &amp; Yip, 1999; Makino, Isobe &amp; Chan, 2004; Chan, Makino &amp; Isobe, 2010; Ma, Tong &amp; Fitza, 2013), giving only cursory attention to MNE and subsidiary effects. Consequently, the </w:t>
      </w:r>
      <w:r w:rsidRPr="00B301B0">
        <w:rPr>
          <w:i/>
          <w:iCs/>
          <w:kern w:val="0"/>
          <w:sz w:val="24"/>
          <w:szCs w:val="24"/>
        </w:rPr>
        <w:t>relative</w:t>
      </w:r>
      <w:r w:rsidRPr="00B301B0">
        <w:rPr>
          <w:kern w:val="0"/>
          <w:sz w:val="24"/>
          <w:szCs w:val="24"/>
        </w:rPr>
        <w:t xml:space="preserve"> importance of the MNE vis-à-vis the subsidiary to subsidiary performance remains unclear, but it is such understanding that can propel a more lucid theory of the drivers of subsidiary performance and, thus, the success of the MNE more broadly. </w:t>
      </w:r>
    </w:p>
    <w:p w14:paraId="58BEFB2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Accordingly, in this study, I examine the following research question: </w:t>
      </w:r>
      <w:r w:rsidRPr="00B301B0">
        <w:rPr>
          <w:i/>
          <w:iCs/>
          <w:kern w:val="0"/>
          <w:sz w:val="24"/>
          <w:szCs w:val="24"/>
        </w:rPr>
        <w:t>what is the relative importance of the</w:t>
      </w:r>
      <w:r w:rsidRPr="00B301B0">
        <w:rPr>
          <w:kern w:val="0"/>
          <w:sz w:val="24"/>
          <w:szCs w:val="24"/>
        </w:rPr>
        <w:t xml:space="preserve"> MNE vis-à-vis the subsidiary </w:t>
      </w:r>
      <w:r w:rsidRPr="00B301B0">
        <w:rPr>
          <w:i/>
          <w:iCs/>
          <w:kern w:val="0"/>
          <w:sz w:val="24"/>
          <w:szCs w:val="24"/>
        </w:rPr>
        <w:t xml:space="preserve">in </w:t>
      </w:r>
      <w:r w:rsidRPr="00B301B0">
        <w:rPr>
          <w:i/>
          <w:kern w:val="0"/>
          <w:sz w:val="24"/>
          <w:szCs w:val="24"/>
        </w:rPr>
        <w:t xml:space="preserve">explaining performance differences between </w:t>
      </w:r>
      <w:r w:rsidRPr="00B301B0">
        <w:rPr>
          <w:i/>
          <w:iCs/>
          <w:kern w:val="0"/>
          <w:sz w:val="24"/>
          <w:szCs w:val="24"/>
        </w:rPr>
        <w:t>foreign subsidiaries</w:t>
      </w:r>
      <w:r w:rsidRPr="00B301B0">
        <w:rPr>
          <w:kern w:val="0"/>
          <w:sz w:val="24"/>
          <w:szCs w:val="24"/>
        </w:rPr>
        <w:t xml:space="preserve">? To do so, I first draw on extant IB and corporate strategy research to explicate the mechanisms that may shape the extent to which variability in foreign subsidiary performance is explained by the parent MNE or the subsidiary itself. Such studies have traditionally relied on conventional econometric methods such as linear regression to investigate the impact of MNE-specific or subsidiary-specific features, which have helped to gain insights into the mechanisms by which both the MNE and the subsidiary can affect subsidiary performance. For example, on the one hand, the locus of decision-making control increasingly resides with subsidiaries, enabling local embeddedness, entrepreneurial behaviors, and the development of competitive advantages by the subsidiary (Rugman &amp; Verbeke, 2001; Cantwell &amp; Mudambi, 2005). On the other hand, the MNE may affect subsidiary performance through MNE firm- and home country-specific advantages as well as by coordinating a network of subsidiaries (Rugman, 2010; Nguyen &amp; Rugman, 2015). The MNE may also indirectly affect subsidiary performance through channels such as lateral collaboration (Noorderhaven &amp; Harzing, 2009; Schotter et al., 2017) and reputational signals (Fombrun &amp; Shanley, 1990; Newburry, Gardberg &amp; Sanchez, 2014). </w:t>
      </w:r>
    </w:p>
    <w:p w14:paraId="31B4F822"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However, while such studies are instrumental in understanding the underlying mechanisms, they do not allow for a direct comparison of the importance of the MNE vis-à-vis the subsidiary. Thus, to gain a better understanding of their relative effect sizes, I conduct a variance decomposition analysis on a global dataset containing 51,763 foreign subsidiaries of 6,122 MNEs. A growing number of scholars have used variance decomposition techniques in IB studies (e.g., McGahan &amp; Victer, 2010, Chan et al., 2010; Ma et al., 2013) and, more frequently, in strategic management research where it has been used to analyze the relative importance of classes of effects on firm performance (e.g., Fitza, 2014; Bamiatzi et al., 2016; Fitza &amp; Tihanyi, 2017; Krause et al., 2019). The method allows for an estimation of the percentage of variability in subsidiary performance that can be attributed to specific categories to which a subsidiary belongs (henceforth </w:t>
      </w:r>
      <w:r w:rsidRPr="00B301B0">
        <w:rPr>
          <w:i/>
          <w:iCs/>
          <w:kern w:val="0"/>
          <w:sz w:val="24"/>
          <w:szCs w:val="24"/>
        </w:rPr>
        <w:t>effect classes</w:t>
      </w:r>
      <w:r w:rsidRPr="00B301B0">
        <w:rPr>
          <w:kern w:val="0"/>
          <w:sz w:val="24"/>
          <w:szCs w:val="24"/>
        </w:rPr>
        <w:t xml:space="preserve">) such as its primary industry of operation or, in my case, the MNE by which the subsidiary is owned. Unlike traditional methods such as linear regression, which investigate the impact of individual characteristics of effect classes (e.g., host country institutional environments), variance decomposition is used to measure the </w:t>
      </w:r>
      <w:r w:rsidRPr="00B301B0">
        <w:rPr>
          <w:i/>
          <w:kern w:val="0"/>
          <w:sz w:val="24"/>
          <w:szCs w:val="24"/>
        </w:rPr>
        <w:t>overall impact</w:t>
      </w:r>
      <w:r w:rsidRPr="00B301B0">
        <w:rPr>
          <w:kern w:val="0"/>
          <w:sz w:val="24"/>
          <w:szCs w:val="24"/>
        </w:rPr>
        <w:t xml:space="preserve"> of all features of an effect class without specifying each feature separately. Variance decomposition is thereby well-suited to obtain a better understanding of the </w:t>
      </w:r>
      <w:r w:rsidRPr="00B301B0">
        <w:rPr>
          <w:i/>
          <w:kern w:val="0"/>
          <w:sz w:val="24"/>
          <w:szCs w:val="24"/>
        </w:rPr>
        <w:t xml:space="preserve">relative </w:t>
      </w:r>
      <w:r w:rsidRPr="00B301B0">
        <w:rPr>
          <w:kern w:val="0"/>
          <w:sz w:val="24"/>
          <w:szCs w:val="24"/>
        </w:rPr>
        <w:t xml:space="preserve">importance of the MNE and subsidiary effects. </w:t>
      </w:r>
    </w:p>
    <w:p w14:paraId="069FED5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At the aggregate, I find that the MNE effect in explaining foreign subsidiary performance is relatively less salient than the subsidiary effect. However, in a second step, I account for subsidiary heterogeneity (e.g., Boyd et al., 2012) and investigate theory-driven distinctions among types of subsidiaries that influence the relative sizes of the MNE effect and the subsidiary effect. I uncover more nuanced patterns whereby, for some types of subsidiaries, the relative importance of the subsidiary over the MNE is reversed: in these cases, the variance in subsidiary performance explained by the MNE effect is substantially more salient than that explained by the subsidiary effect.</w:t>
      </w:r>
    </w:p>
    <w:p w14:paraId="40611D43" w14:textId="77777777" w:rsidR="00B301B0" w:rsidRPr="00B301B0" w:rsidRDefault="00B301B0" w:rsidP="00B301B0">
      <w:pPr>
        <w:widowControl/>
        <w:overflowPunct/>
        <w:autoSpaceDE/>
        <w:autoSpaceDN/>
        <w:adjustRightInd/>
        <w:spacing w:line="480" w:lineRule="auto"/>
        <w:ind w:left="720" w:firstLine="720"/>
        <w:rPr>
          <w:b/>
          <w:bCs/>
          <w:kern w:val="0"/>
          <w:sz w:val="24"/>
          <w:szCs w:val="24"/>
        </w:rPr>
      </w:pPr>
      <w:r w:rsidRPr="00B301B0">
        <w:rPr>
          <w:kern w:val="0"/>
          <w:sz w:val="24"/>
          <w:szCs w:val="24"/>
        </w:rPr>
        <w:t xml:space="preserve">This study makes two contributions to the literature. First, I provide insights on classes of effects, rather than specific variables, on foreign subsidiary performance. While most prior research focuses on one level of analysis (i.e., the MNE or the subsidiary), my study complements these efforts by combining insights from two broad perspectives on foreign subsidiary performance. Thus, I am able to probe the relative importance of distinct classes of drivers of the success of foreign subsidiaries. Second, I differentiate among types of subsidiaries, which enables us to explicate that the relative effects on subsidiary performance are contingent upon subsidiary characteristics. Foreign subsidiaries have been treated as a relatively homogenous entity in prior studies of subsidiary performance, which has obfuscated the differential influence the MNE may have on the performance of its foreign subsidiaries (Nell, Kappen &amp; Laamanen, 2017). My study thus suggests possible boundary conditions to existing MNE- or subsidiary-focused theoretical frameworks that seek to explain foreign subsidiary performance. </w:t>
      </w:r>
    </w:p>
    <w:p w14:paraId="68AC7A70" w14:textId="77777777" w:rsidR="00B301B0" w:rsidRPr="00B301B0" w:rsidRDefault="00B301B0" w:rsidP="00B301B0">
      <w:pPr>
        <w:widowControl/>
        <w:overflowPunct/>
        <w:autoSpaceDE/>
        <w:autoSpaceDN/>
        <w:adjustRightInd/>
        <w:spacing w:line="480" w:lineRule="auto"/>
        <w:ind w:left="720"/>
        <w:jc w:val="center"/>
        <w:rPr>
          <w:b/>
          <w:bCs/>
          <w:kern w:val="0"/>
          <w:sz w:val="24"/>
          <w:szCs w:val="24"/>
        </w:rPr>
      </w:pPr>
    </w:p>
    <w:p w14:paraId="3BE2187E" w14:textId="77777777" w:rsidR="00B301B0" w:rsidRPr="00B301B0" w:rsidRDefault="00B301B0" w:rsidP="00B301B0">
      <w:pPr>
        <w:widowControl/>
        <w:overflowPunct/>
        <w:autoSpaceDE/>
        <w:autoSpaceDN/>
        <w:adjustRightInd/>
        <w:spacing w:line="480" w:lineRule="auto"/>
        <w:ind w:left="720"/>
        <w:jc w:val="center"/>
        <w:rPr>
          <w:b/>
          <w:bCs/>
          <w:kern w:val="0"/>
          <w:sz w:val="24"/>
          <w:szCs w:val="24"/>
        </w:rPr>
      </w:pPr>
    </w:p>
    <w:p w14:paraId="6BD272A3"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LITERATURE REVIEW</w:t>
      </w:r>
    </w:p>
    <w:p w14:paraId="0384C164"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In this study, I examine effect classes that explain performance differences of foreign subsidiaries, namely the MNE effect and the subsidiary effect.</w:t>
      </w:r>
      <w:r w:rsidRPr="00B301B0">
        <w:rPr>
          <w:kern w:val="0"/>
          <w:sz w:val="24"/>
          <w:szCs w:val="24"/>
          <w:vertAlign w:val="superscript"/>
        </w:rPr>
        <w:footnoteReference w:id="10"/>
      </w:r>
      <w:r w:rsidRPr="00B301B0">
        <w:rPr>
          <w:kern w:val="0"/>
          <w:sz w:val="24"/>
          <w:szCs w:val="24"/>
          <w:vertAlign w:val="superscript"/>
        </w:rPr>
        <w:t>1</w:t>
      </w:r>
      <w:r w:rsidRPr="00B301B0">
        <w:rPr>
          <w:kern w:val="0"/>
          <w:sz w:val="24"/>
          <w:szCs w:val="24"/>
        </w:rPr>
        <w:t xml:space="preserve"> I do not directly test the underlying mechanisms behind these effects; however, I believe it is useful to discuss the underlying theory and some of the potential mechanisms that underpin my effects of interest. Accordingly, I first review existing literature describing why and how both the MNE as well as the subsidiary itself are important in explaining performance differences between subsidiaries. </w:t>
      </w:r>
    </w:p>
    <w:p w14:paraId="16FBDBA4" w14:textId="77777777" w:rsidR="00B301B0" w:rsidRPr="00B301B0" w:rsidRDefault="00B301B0" w:rsidP="00B301B0">
      <w:pPr>
        <w:widowControl/>
        <w:overflowPunct/>
        <w:autoSpaceDE/>
        <w:autoSpaceDN/>
        <w:adjustRightInd/>
        <w:spacing w:line="480" w:lineRule="auto"/>
        <w:ind w:left="720"/>
        <w:rPr>
          <w:b/>
          <w:bCs/>
          <w:i/>
          <w:iCs/>
          <w:kern w:val="0"/>
          <w:sz w:val="24"/>
          <w:szCs w:val="24"/>
        </w:rPr>
      </w:pPr>
    </w:p>
    <w:p w14:paraId="5725F2E6" w14:textId="77777777" w:rsidR="00B301B0" w:rsidRPr="00B301B0" w:rsidRDefault="00B301B0" w:rsidP="00B301B0">
      <w:pPr>
        <w:widowControl/>
        <w:overflowPunct/>
        <w:autoSpaceDE/>
        <w:autoSpaceDN/>
        <w:adjustRightInd/>
        <w:spacing w:line="480" w:lineRule="auto"/>
        <w:ind w:left="720"/>
        <w:rPr>
          <w:i/>
          <w:iCs/>
          <w:kern w:val="0"/>
          <w:sz w:val="24"/>
          <w:szCs w:val="24"/>
        </w:rPr>
      </w:pPr>
      <w:r w:rsidRPr="00B301B0">
        <w:rPr>
          <w:i/>
          <w:iCs/>
          <w:kern w:val="0"/>
          <w:sz w:val="24"/>
          <w:szCs w:val="24"/>
        </w:rPr>
        <w:t xml:space="preserve">Foreign subsidiary performance: The dominance of subsidiary-focused research </w:t>
      </w:r>
    </w:p>
    <w:p w14:paraId="65E456F7"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Ghoshal and Bartlett (1990: 604) argued that the MNE is increasingly “dispersed in environmental settings that represent very different economic, social, and cultural milieus.” Because of such complex operating contexts, a central aspect of IB theory has focused on subsidiaries and how they take on more independent roles within the MNE to align with local conditions, build network linkages, and generate competitive advantages (Cuervo-Cazurra, Mudambi &amp; Pedersen, 2019; Geleilate, Andrews &amp; Fainshmidt, 2019). The internal differentiation of subsidiaries is a challenge to traditional, hierarchical MNE structures (Nohria &amp; Ghoshal, 1994) as it emphasizes the importance of subsidiaries developing, deploying, and revising their own resources and capabilities (Rugman &amp; Verbeke, 2001). Indeed, Kostova et al. (2016: 179) argue that “as the broader field moved toward a view of the MNE as a complex coordinated federation […] research attention shifted to foreign subsidiaries’ unique characteristics and their impact on […]</w:t>
      </w:r>
      <w:r w:rsidRPr="00B301B0" w:rsidDel="00243419">
        <w:rPr>
          <w:kern w:val="0"/>
          <w:sz w:val="24"/>
          <w:szCs w:val="24"/>
        </w:rPr>
        <w:t xml:space="preserve"> </w:t>
      </w:r>
      <w:r w:rsidRPr="00B301B0">
        <w:rPr>
          <w:kern w:val="0"/>
          <w:sz w:val="24"/>
          <w:szCs w:val="24"/>
        </w:rPr>
        <w:t>the overall success of the organization.”</w:t>
      </w:r>
    </w:p>
    <w:p w14:paraId="03E933C6"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Accordingly, prior work has sought to specify the subsidiary-level determinants of subsidiary performance, often adopting institutional and resource-based arguments (e.g., Luo, 2003; Ambos, Asakawa &amp; Ambos, 2011; Kawai &amp; Strange, 2014) and focusing on mechanisms such as local embeddedness and resource development. Table 1 summarizes select studies that inform this view. For instance, because of the global dispersion of MNE activities, it is often difficult for the parent MNE to effectively manage each subsidiary due to knowledge gaps related to host country environments (Kostova, 1999). MNEs may allocate decision-making autonomy as a means to cope with complex multinational operations, which helps subsidiaries to become more independent of their MNEs and attain legitimacy among their own stakeholders (Geleilate et al., 2019). Consequently, subsidiaries may have increased access to local knowledge to assume new R&amp;D functions and develop innovation-related competencies, thereby improving performance outcomes (Cantwell &amp; Mudambi, 2005; Ambos et al., 2011).</w:t>
      </w:r>
    </w:p>
    <w:p w14:paraId="2473F7F1"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0FFB9732"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w:t>
      </w:r>
      <w:r w:rsidRPr="00B301B0">
        <w:rPr>
          <w:i/>
          <w:iCs/>
          <w:kern w:val="0"/>
          <w:sz w:val="24"/>
          <w:szCs w:val="24"/>
        </w:rPr>
        <w:t>Insert Table 1 here</w:t>
      </w:r>
      <w:r w:rsidRPr="00B301B0">
        <w:rPr>
          <w:kern w:val="0"/>
          <w:sz w:val="24"/>
          <w:szCs w:val="24"/>
        </w:rPr>
        <w:t>---</w:t>
      </w:r>
    </w:p>
    <w:p w14:paraId="41E406F2"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63EB4B14"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Subsidiaries may also engage in entrepreneurial behaviors, proactively undertaking their own initiatives to pursue emerging opportunities, and develop resource-based advantages (Birkinshaw, 1997). Such subsidiary behaviors may “lead to innovations in the internal and/or external market, which potentially transform the competitive environment as well as the organization” and “are a way to increase the subsidiary’s as well as the MNC’s overall value” (Strutzenberger &amp; Ambos, 2014: 316). While such subsidiary driven initiatives may not be viewed with ambivalence by the headquarters (Birkinshaw &amp; Ridderstråle, 1999), subsidiaries may benefit from such initiatives in that they develop their own competitive advantages and markets (Birkinshaw, Hood &amp; Jonsson, 1998; Mudambi &amp; Navarra, 2004). </w:t>
      </w:r>
    </w:p>
    <w:p w14:paraId="54AC1DF3"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As this summary suggests, literature that focuses on the subsidiary as an explanation for performance difference examines how subsidiary characteristics affect the building of subsidiary-specific capabilities and advantages. Meanwhile, another research stream focuses on the MNE itself and how MNE characteristics will influence subsidiary performance. </w:t>
      </w:r>
    </w:p>
    <w:p w14:paraId="6A05CB64" w14:textId="77777777" w:rsidR="00B301B0" w:rsidRPr="00B301B0" w:rsidRDefault="00B301B0" w:rsidP="00B301B0">
      <w:pPr>
        <w:widowControl/>
        <w:overflowPunct/>
        <w:autoSpaceDE/>
        <w:autoSpaceDN/>
        <w:adjustRightInd/>
        <w:spacing w:line="480" w:lineRule="auto"/>
        <w:ind w:left="720"/>
        <w:jc w:val="both"/>
        <w:rPr>
          <w:b/>
          <w:bCs/>
          <w:i/>
          <w:iCs/>
          <w:kern w:val="0"/>
          <w:sz w:val="24"/>
          <w:szCs w:val="24"/>
        </w:rPr>
      </w:pPr>
    </w:p>
    <w:p w14:paraId="7B58AC8B"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r w:rsidRPr="00B301B0">
        <w:rPr>
          <w:i/>
          <w:iCs/>
          <w:kern w:val="0"/>
          <w:sz w:val="24"/>
          <w:szCs w:val="24"/>
        </w:rPr>
        <w:t xml:space="preserve">The role of the MNE </w:t>
      </w:r>
    </w:p>
    <w:p w14:paraId="13E03BF2"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Insights from the IB and global strategy literature highlight that, in addition to the subsidiary itself, the MNE as a whole can also affect subsidiary performance (e.g., Ciabuschi, Dellestrand &amp; Holm, 2012; Foss, Foss &amp; Nell, 2012; Nell &amp; Ambos, 2013; Ciabuschi, Dellestrand &amp; Martin, 2015; Decreton, Nell &amp; Stea, 2019). Here, I suggest that the MNE affects performance in at least two ways—through the actions of its headquarters as well as through means that are distributed across the MNE (Chandler, 1991; Menz et al., 2015; Kunisch, Menz &amp; Birkinshaw, 2019). </w:t>
      </w:r>
    </w:p>
    <w:p w14:paraId="1C6878AD"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Historically, the headquarters’ value was derived from its capability to minimize transaction costs by internalizing markets and hierarchically coordinating its subsidiaries. Subsidiary performance was dependent on the MNE’s ability to build firm-specific advantages that are non-location bound (Rugman &amp; Verbeke, 2001). Patterns of headquarters-subsidiary relationships later evolved, focusing on the coordination of subsidiaries across multiple host locations and the leveraging of local resources and capabilities (Kostova et al., 2016). As this literature accumulated, there was an increasing understanding that headquarters involvement may “lead to a level of performance in the subsidiary that is better than the subsidiary could have achieved as an independent, stand-alone entity” (Nell &amp; Ambos, 2013: 1087). </w:t>
      </w:r>
    </w:p>
    <w:p w14:paraId="6EEA3C7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There are two overarching mechanisms through which the MNE headquarters can affect subsidiary performance outcomes. First, headquarters create value when they prevent loss (Foss, 1997). While there is an implicit assumption that subsidiary managers are more knowledgeable than their headquarters about how to navigate their local market (Sengul &amp; Gimeno, 2013), oftentimes, subsidiary managers engage in activities that may result in significant economic costs (Keupp, Palmié &amp; Gassmann, 2011). Further, subsidiaries may not always operate as stewards of the MNE and its objectives (Kostova, Nell &amp; Hoenen, 2018). Mudambi and Navarra (2004: 386) note that “rent-seeking and rent-appropriating behavior are manifestations of opportunism that destroys value.” A headquarters can prevent losses by using its accumulated knowledge to mitigate both inefficient resource allocation and opportunistic behavior (Ciabuschi et al., 2015). </w:t>
      </w:r>
    </w:p>
    <w:p w14:paraId="2B1DB2B6"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Second, headquarters can affect subsidiary performance when it deploys and coordinates non-trivial resources across the MNE (Foss, 1997). Awate et al. (2015: 64) describe the contemporary headquarters as a “network orchestrator” and “integrator of organizational knowledge.” Headquarters are responsible for organizing resources and activities in a way that is conducive to strengthening subsidiary competitiveness (Decreton et al., 2019). Because the MNE headquarters is often a larger, more resource-rich entity, its ability to leverage valuable, diverse resources is usually more significant than that of a subsidiary. </w:t>
      </w:r>
    </w:p>
    <w:p w14:paraId="2D5DCD1B"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Although MNE headquarters play a significant role in directly shaping subsidiary performance, the MNE effect is broader. The MNE may also indirectly affect subsidiary performance. For instance, while the headquarters retains formal power, subsidiaries may hold informal power and operate independently of their headquarters (Mudambi &amp; Navarra, 2004; Cuervo-Cazurra et al. 2019). Birkinshaw et al. (2017: 426) argue that “[T]his tension is typically resolved through corporate HQ […] focusing on orchestrating resources and on enabling subsidiary units to develop their unique capabilities and to work effectively together.” By creating and nurturing linkages between subsidiaries, the MNE can enable lateral collaboration, which may enhance the agility of subsidiaries and their development of novel competitive advantages (Yamin &amp; Andersson, 2011; Schotter et al., 2017). While the headquarters may not be involved in the collaboration processes, it plays a role in establishing the connections and thus indirectly contributes to subsidiary performance outcomes. </w:t>
      </w:r>
    </w:p>
    <w:p w14:paraId="02924840"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The indirect effects of the MNE may not even be intentional. The parent MNE has ownership rights over a subsidiary, and thus the subsidiary cannot “separate itself” from its MNE (Cuervo-Cazurra et al., 2019). Even if the headquarters has no direct effect on subsidiary operations, the MNE can still indirectly affect subsidiary performance through, for instance, its reputation (Fombrun &amp; Shanley, 1990; Newburry et al., 2014). A subsidiary's performance might benefit or suffer simply due to the reputation of its MNE. Therefore, being part of one MNE versus another could be consequential, even if I assume the headquarters or other actors in the MNE are not involved in subsidiary operations, other than legally owning the subsidiary. In sum, there are good theoretical and empirical reasons to expect a non-trivial subsidiary and MNE effects on foreign subsidiary performance. </w:t>
      </w:r>
    </w:p>
    <w:p w14:paraId="40EA5EA5" w14:textId="77777777" w:rsidR="00B301B0" w:rsidRPr="00B301B0" w:rsidRDefault="00B301B0" w:rsidP="00B301B0">
      <w:pPr>
        <w:widowControl/>
        <w:overflowPunct/>
        <w:autoSpaceDE/>
        <w:autoSpaceDN/>
        <w:adjustRightInd/>
        <w:spacing w:line="480" w:lineRule="auto"/>
        <w:ind w:left="720"/>
        <w:rPr>
          <w:b/>
          <w:bCs/>
          <w:i/>
          <w:iCs/>
          <w:kern w:val="0"/>
          <w:sz w:val="24"/>
          <w:szCs w:val="24"/>
        </w:rPr>
      </w:pPr>
    </w:p>
    <w:p w14:paraId="7A3DBDE7" w14:textId="77777777" w:rsidR="00B301B0" w:rsidRPr="00B301B0" w:rsidRDefault="00B301B0" w:rsidP="00B301B0">
      <w:pPr>
        <w:widowControl/>
        <w:overflowPunct/>
        <w:autoSpaceDE/>
        <w:autoSpaceDN/>
        <w:adjustRightInd/>
        <w:spacing w:line="480" w:lineRule="auto"/>
        <w:ind w:left="720"/>
        <w:rPr>
          <w:i/>
          <w:iCs/>
          <w:kern w:val="0"/>
          <w:sz w:val="24"/>
          <w:szCs w:val="24"/>
        </w:rPr>
      </w:pPr>
      <w:r w:rsidRPr="00B301B0">
        <w:rPr>
          <w:i/>
          <w:iCs/>
          <w:kern w:val="0"/>
          <w:sz w:val="24"/>
          <w:szCs w:val="24"/>
        </w:rPr>
        <w:t xml:space="preserve">The relative importance of MNE and subsidiary effects </w:t>
      </w:r>
    </w:p>
    <w:p w14:paraId="2DAB2F38"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The preceding discussion and extant literature suggest that both the subsidiary and the MNE exert non-trivial effects on subsidiary performance, but their relative importance remains unclear. Partly, this lack of clarity stems from such effects often being analyzed in isolation of each other. As summarized above, research streams within the IB literature tend to focus on subsidiary-level explanations (e.g., Andersson et al., 2002; Ambos et al., 2011) or MNE-level explanations (e.g., Dellestrand &amp; Kappen, 2012; Nell &amp; Ambos, 2013). The former suggests that differentials in foreign subsidiary performance should be primarily explained by differences among the subsidiaries themselves. While the latter view, from the perspective of the MNE, suggests that differentials in foreign subsidiary performance should be primarily explained by differences among the MNEs that own subsidiaries, implying subsidiary-focused factors might be non-trivial but are less consequential. These prior studies have thus far helped to advance my understanding of what specific features and constructs may explain variance </w:t>
      </w:r>
      <w:r w:rsidRPr="00B301B0">
        <w:rPr>
          <w:i/>
          <w:kern w:val="0"/>
          <w:sz w:val="24"/>
          <w:szCs w:val="24"/>
        </w:rPr>
        <w:t>within</w:t>
      </w:r>
      <w:r w:rsidRPr="00B301B0">
        <w:rPr>
          <w:kern w:val="0"/>
          <w:sz w:val="24"/>
          <w:szCs w:val="24"/>
        </w:rPr>
        <w:t xml:space="preserve"> each of these effect classes (i.e., which MNE and subsidiary features affect performance). However, at a more fundamental level, determining the </w:t>
      </w:r>
      <w:r w:rsidRPr="00B301B0">
        <w:rPr>
          <w:i/>
          <w:kern w:val="0"/>
          <w:sz w:val="24"/>
          <w:szCs w:val="24"/>
        </w:rPr>
        <w:t>relative</w:t>
      </w:r>
      <w:r w:rsidRPr="00B301B0">
        <w:rPr>
          <w:kern w:val="0"/>
          <w:sz w:val="24"/>
          <w:szCs w:val="24"/>
        </w:rPr>
        <w:t xml:space="preserve"> importance of each </w:t>
      </w:r>
      <w:r w:rsidRPr="00B301B0">
        <w:rPr>
          <w:i/>
          <w:iCs/>
          <w:kern w:val="0"/>
          <w:sz w:val="24"/>
          <w:szCs w:val="24"/>
        </w:rPr>
        <w:t>effect class</w:t>
      </w:r>
      <w:r w:rsidRPr="00B301B0">
        <w:rPr>
          <w:kern w:val="0"/>
          <w:sz w:val="24"/>
          <w:szCs w:val="24"/>
        </w:rPr>
        <w:t xml:space="preserve"> can be valuable in driving the overall research agenda of a well-defined research area. </w:t>
      </w:r>
    </w:p>
    <w:p w14:paraId="1B3F4B3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Unfortunately, the usage of traditional empirical approaches, such as the inclusion of control variables or even fixed effects, does not provide a comprehensive, simultaneous estimation of the relative importance of classes of effects. Hence, in order to determine these relative influences, I conduct a variance decomposition analysis. Such an approach does not explain how exactly the MNE or the subsidiary affect performance; instead, it determines the </w:t>
      </w:r>
      <w:r w:rsidRPr="00B301B0">
        <w:rPr>
          <w:i/>
          <w:kern w:val="0"/>
          <w:sz w:val="24"/>
          <w:szCs w:val="24"/>
        </w:rPr>
        <w:t>relative</w:t>
      </w:r>
      <w:r w:rsidRPr="00B301B0">
        <w:rPr>
          <w:kern w:val="0"/>
          <w:sz w:val="24"/>
          <w:szCs w:val="24"/>
        </w:rPr>
        <w:t xml:space="preserve"> importance of the MNE and the subsidiary to foreign subsidiary performance. In a recent paper, Meyer-Doyle, Lee, and Helfat (2019: 1737) explained why such analyses are important parts of an overall research agenda. Specifically, they suggest that “such examinations enable scholars to build a better understanding” of the factors that shape a particular outcome of interest, in my case, subsidiary performance, which in turn “can guide future research and have practical implications.” If I want to understand differences in subsidiary performance, a variance decomposition analysis—measuring the relative sizes of the effect classes that influence this performance—can help us to determine where to focus my scholarly attention. A probe into the relative importance of the MNE and subsidiary effects can also uncover possible boundary conditions to existing MNE- or subsidiary-focused explanations of foreign subsidiary performance.</w:t>
      </w:r>
    </w:p>
    <w:p w14:paraId="66345417"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Prior variance decomposition research provides initial empirical evidence for subsidiary and MNE effects on foreign subsidiary performance. However, these studies were limited to very specific samples and study contexts and did not focus explicitly on either MNE or subsidiary effects on subsidiary performance. For example, Makino et al. (2004) examined host-country effects using a sample of Japanese subsidiaries, controlling for MNE and subsidiary effects. They found the subsidiary (28.2%) effect to be larger than the MNE effect (8.2%). Chan et al. (2010) examined subnational region effects in the US and China while controlling for MNE and subsidiary effects and found both to be of equal size, around 17%. In a similar study, Ma et al. (2013) examined foreign subsidiaries in subnational regions of China, controlling for the MNE and the subsidiary effect; they found a small effect for both the MNE (5.3%) and the subsidiary (8.9%). A related research stream focused on home country contexts decomposed overall MNE performance and found that a firm effect can explain a large portion of performance variance (e.g., Tong et al., 2008; McGahan &amp; Victer, 2010), but these studies did not capture the subsidiary effect. Table 2 summarizes these past studies and the samples they used. </w:t>
      </w:r>
    </w:p>
    <w:p w14:paraId="008AE687"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6BBA794B"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w:t>
      </w:r>
      <w:r w:rsidRPr="00B301B0">
        <w:rPr>
          <w:i/>
          <w:iCs/>
          <w:kern w:val="0"/>
          <w:sz w:val="24"/>
          <w:szCs w:val="24"/>
        </w:rPr>
        <w:t>Insert Table 2 here</w:t>
      </w:r>
      <w:r w:rsidRPr="00B301B0">
        <w:rPr>
          <w:kern w:val="0"/>
          <w:sz w:val="24"/>
          <w:szCs w:val="24"/>
        </w:rPr>
        <w:t>---</w:t>
      </w:r>
    </w:p>
    <w:p w14:paraId="6BCC318C"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1395C49E"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In sum, prior variance decomposition studies found mixed results, did not focus explicitly on the MNE/subsidiary effect comparison, and often used limited datasets. Hence, there is value in examining the MNE and the subsidiary effects in a more comprehensive study. In addition, these studies have assumed subsidiary homogeneity and, thus, any interpretation of the subsidiary or MNE effects may lead to erroneous conclusions (Fitza &amp; Tihanyi, 2017). These notions guide my empirical efforts in the next section, where I probe into different types of subsidiaries and apply variance decomposition analysis to examine how different subsidiary types influence the relative size of the MNE and the subsidiary effect.</w:t>
      </w:r>
    </w:p>
    <w:p w14:paraId="73A4A581" w14:textId="77777777" w:rsidR="00B301B0" w:rsidRPr="00B301B0" w:rsidRDefault="00B301B0" w:rsidP="00B301B0">
      <w:pPr>
        <w:widowControl/>
        <w:overflowPunct/>
        <w:autoSpaceDE/>
        <w:autoSpaceDN/>
        <w:adjustRightInd/>
        <w:spacing w:line="480" w:lineRule="auto"/>
        <w:ind w:left="720"/>
        <w:jc w:val="center"/>
        <w:rPr>
          <w:b/>
          <w:kern w:val="0"/>
          <w:sz w:val="24"/>
          <w:szCs w:val="24"/>
        </w:rPr>
      </w:pPr>
    </w:p>
    <w:p w14:paraId="0E6E4A57" w14:textId="77777777" w:rsidR="00B301B0" w:rsidRPr="00B301B0" w:rsidRDefault="00B301B0" w:rsidP="00B301B0">
      <w:pPr>
        <w:widowControl/>
        <w:overflowPunct/>
        <w:autoSpaceDE/>
        <w:autoSpaceDN/>
        <w:adjustRightInd/>
        <w:spacing w:line="480" w:lineRule="auto"/>
        <w:ind w:left="720"/>
        <w:jc w:val="center"/>
        <w:rPr>
          <w:bCs/>
          <w:kern w:val="0"/>
          <w:sz w:val="24"/>
          <w:szCs w:val="24"/>
        </w:rPr>
      </w:pPr>
      <w:r w:rsidRPr="00B301B0">
        <w:rPr>
          <w:bCs/>
          <w:kern w:val="0"/>
          <w:sz w:val="24"/>
          <w:szCs w:val="24"/>
        </w:rPr>
        <w:t>METHODOLOGY</w:t>
      </w:r>
    </w:p>
    <w:p w14:paraId="3826A47A" w14:textId="77777777" w:rsidR="00B301B0" w:rsidRPr="00B301B0" w:rsidRDefault="00B301B0" w:rsidP="00B301B0">
      <w:pPr>
        <w:widowControl/>
        <w:overflowPunct/>
        <w:autoSpaceDE/>
        <w:autoSpaceDN/>
        <w:adjustRightInd/>
        <w:spacing w:line="480" w:lineRule="auto"/>
        <w:ind w:left="720"/>
        <w:rPr>
          <w:bCs/>
          <w:i/>
          <w:iCs/>
          <w:kern w:val="0"/>
          <w:sz w:val="24"/>
          <w:szCs w:val="24"/>
        </w:rPr>
      </w:pPr>
      <w:r w:rsidRPr="00B301B0">
        <w:rPr>
          <w:bCs/>
          <w:i/>
          <w:iCs/>
          <w:kern w:val="0"/>
          <w:sz w:val="24"/>
          <w:szCs w:val="24"/>
        </w:rPr>
        <w:t>Data and sample</w:t>
      </w:r>
    </w:p>
    <w:p w14:paraId="3D80B0FD" w14:textId="77777777" w:rsidR="00B301B0" w:rsidRPr="00B301B0" w:rsidRDefault="00B301B0" w:rsidP="00B301B0">
      <w:pPr>
        <w:widowControl/>
        <w:overflowPunct/>
        <w:autoSpaceDE/>
        <w:autoSpaceDN/>
        <w:adjustRightInd/>
        <w:spacing w:line="480" w:lineRule="auto"/>
        <w:ind w:left="720"/>
        <w:rPr>
          <w:bCs/>
          <w:kern w:val="0"/>
          <w:sz w:val="24"/>
          <w:szCs w:val="24"/>
        </w:rPr>
      </w:pPr>
      <w:r w:rsidRPr="00B301B0">
        <w:rPr>
          <w:bCs/>
          <w:kern w:val="0"/>
          <w:sz w:val="24"/>
          <w:szCs w:val="24"/>
        </w:rPr>
        <w:t xml:space="preserve">Although it is often difficult to obtain large-scale data on ownership structures and the performance of subsidiaries in foreign locations, I follow prior studies (Chacar, Newburry &amp; Vissa, 2010; Belenzon, Hashai &amp; Patacconi, 2019; Pisani, Garcia-Bernardo &amp; Heemskerk, 2019) and use Orbis by Bureau van Dijk (BvD), a comprehensive database that provides the requisite financial and ownership data needed for my analyses. Specifically, Orbis is a commercial dataset with global reach. It relies on official country registrars and their chambers of commerce as well as BvDs network of over 160 different providers to source the data (Kalemli-Ozcan et al., 2015). While Orbis provides data for firms operating in all regions of the world, there are varying requirements for business registration and method of reporting and financial data collection in each country. For countries and regions such as the European Union, which require reporting by law, the coverage of firms will expectedly be higher. However, despite these shortcomings, Orbis is, to the best of my knowledge, the only global dataset which accounts for rich firm heterogeneity (e.g., size, location, sector), and thus it is wildly used in IB and management research (e.g., Chacar et al., 2010; Belenzon et al., 2019; Pisani et al., 2019). </w:t>
      </w:r>
    </w:p>
    <w:p w14:paraId="0D12BD7E"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bCs/>
          <w:kern w:val="0"/>
          <w:sz w:val="24"/>
          <w:szCs w:val="24"/>
        </w:rPr>
        <w:t xml:space="preserve">Following past literature, I implement an initial sampling screen that focuses on two excluding conditions: I exclude </w:t>
      </w:r>
      <w:r w:rsidRPr="00B301B0">
        <w:rPr>
          <w:kern w:val="0"/>
          <w:sz w:val="24"/>
          <w:szCs w:val="24"/>
        </w:rPr>
        <w:t>subsidiaries with less than 98% ownership by a single entity and subsidiaries that have the same country of domicile as its parent (Kalemli-Ozcan et al., 2015). This process restricts the sample to only foreign subsidiaries, which are wholly owned by one MNE.</w:t>
      </w:r>
      <w:r w:rsidRPr="00B301B0">
        <w:rPr>
          <w:kern w:val="0"/>
          <w:sz w:val="24"/>
          <w:szCs w:val="24"/>
          <w:vertAlign w:val="superscript"/>
        </w:rPr>
        <w:footnoteReference w:customMarkFollows="1" w:id="11"/>
        <w:t>2</w:t>
      </w:r>
      <w:r w:rsidRPr="00B301B0">
        <w:rPr>
          <w:kern w:val="0"/>
          <w:sz w:val="24"/>
          <w:szCs w:val="24"/>
        </w:rPr>
        <w:t xml:space="preserve"> This initial screening was satisfied by approximately 1.5 million foreign subsidiaries. </w:t>
      </w:r>
    </w:p>
    <w:p w14:paraId="22FC4D9D"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 then implement several additional screening criteria consistent with prior studies. First, I exclude subsidiaries with NAICS (4-digit) industry codes that pertain to administrative and waste services, public administration, and other unclassified industries (McGahan &amp; Victer, 2010). I also exclude those industries and host- and home-countries that only have one associated subsidiary, since, in these instances, classes of effects are not distinguishable from a subsidiary effect (Ma et al., 2013). Next, I exclude subsidiaries without financial performance information in the most recent fiscal year as well as those with less than three years of usable data across the sample timeframe (Fitza, 2014). “[T]his screen ensures that the results are not biased by short-lived entities that were created to shield resources or to account for unusual activities” (McGahan &amp; Victer, 2010: 150). In addition, I remove MNEs without at least three subsidiaries for which there are performance data, and similarly, industries and counties for which there are not at least three MNEs (Ma et al., 2013). I then remove small subsidiaries (</w:t>
      </w:r>
      <w:r w:rsidRPr="00B301B0">
        <w:rPr>
          <w:kern w:val="0"/>
          <w:sz w:val="24"/>
          <w:szCs w:val="24"/>
        </w:rPr>
        <w:sym w:font="Symbol" w:char="F0A3"/>
      </w:r>
      <w:r w:rsidRPr="00B301B0">
        <w:rPr>
          <w:kern w:val="0"/>
          <w:sz w:val="24"/>
          <w:szCs w:val="24"/>
        </w:rPr>
        <w:t xml:space="preserve"> </w:t>
      </w:r>
      <w:r w:rsidRPr="00B301B0">
        <w:rPr>
          <w:kern w:val="0"/>
          <w:sz w:val="23"/>
          <w:szCs w:val="23"/>
        </w:rPr>
        <w:t xml:space="preserve">30 employees) </w:t>
      </w:r>
      <w:r w:rsidRPr="00B301B0">
        <w:rPr>
          <w:kern w:val="0"/>
          <w:sz w:val="24"/>
          <w:szCs w:val="24"/>
        </w:rPr>
        <w:t>as well as those that are inactive or with no identifiable operating status for the entire period. While prior studies have used various criteria to classify subsidiaries based on their size (e.g., Beamish &amp; Inkpen, 1998; Chakravarty et al., 2017), my cutoff helps to ensure that the analyses are not distorted towards very small firms that otherwise do not represent normal economic activity.</w:t>
      </w:r>
      <w:r w:rsidRPr="00B301B0">
        <w:rPr>
          <w:kern w:val="0"/>
          <w:sz w:val="24"/>
          <w:szCs w:val="24"/>
          <w:vertAlign w:val="superscript"/>
        </w:rPr>
        <w:footnoteReference w:customMarkFollows="1" w:id="12"/>
        <w:t>3</w:t>
      </w:r>
      <w:r w:rsidRPr="00B301B0">
        <w:rPr>
          <w:kern w:val="0"/>
          <w:sz w:val="24"/>
          <w:szCs w:val="24"/>
        </w:rPr>
        <w:t xml:space="preserve"> Finally, I remove all home and host countries that are known tax havens (e.g., Cayman Islands) because such subsidiaries may result in bias in estimating some classes of effects such as the home country effect (Erkan, Fainshmidt &amp; Judge, 2016).</w:t>
      </w:r>
      <w:r w:rsidRPr="00B301B0">
        <w:rPr>
          <w:kern w:val="0"/>
          <w:sz w:val="23"/>
          <w:szCs w:val="23"/>
        </w:rPr>
        <w:t xml:space="preserve"> </w:t>
      </w:r>
    </w:p>
    <w:p w14:paraId="443A3469" w14:textId="77777777" w:rsidR="00B301B0" w:rsidRPr="00B301B0" w:rsidRDefault="00B301B0" w:rsidP="00B301B0">
      <w:pPr>
        <w:widowControl/>
        <w:overflowPunct/>
        <w:autoSpaceDE/>
        <w:autoSpaceDN/>
        <w:adjustRightInd/>
        <w:spacing w:line="480" w:lineRule="auto"/>
        <w:ind w:left="1440" w:hanging="720"/>
        <w:jc w:val="center"/>
        <w:rPr>
          <w:kern w:val="0"/>
          <w:sz w:val="24"/>
          <w:szCs w:val="24"/>
        </w:rPr>
      </w:pPr>
    </w:p>
    <w:p w14:paraId="07F978B7" w14:textId="77777777" w:rsidR="00B301B0" w:rsidRPr="00B301B0" w:rsidRDefault="00B301B0" w:rsidP="00B301B0">
      <w:pPr>
        <w:widowControl/>
        <w:overflowPunct/>
        <w:autoSpaceDE/>
        <w:autoSpaceDN/>
        <w:adjustRightInd/>
        <w:spacing w:line="480" w:lineRule="auto"/>
        <w:ind w:left="1440" w:hanging="720"/>
        <w:jc w:val="center"/>
        <w:rPr>
          <w:kern w:val="0"/>
          <w:sz w:val="24"/>
          <w:szCs w:val="24"/>
        </w:rPr>
      </w:pPr>
      <w:r w:rsidRPr="00B301B0">
        <w:rPr>
          <w:kern w:val="0"/>
          <w:sz w:val="24"/>
          <w:szCs w:val="24"/>
        </w:rPr>
        <w:t>---</w:t>
      </w:r>
      <w:r w:rsidRPr="00B301B0">
        <w:rPr>
          <w:i/>
          <w:iCs/>
          <w:kern w:val="0"/>
          <w:sz w:val="24"/>
          <w:szCs w:val="24"/>
        </w:rPr>
        <w:t>Insert Table 3 here</w:t>
      </w:r>
      <w:r w:rsidRPr="00B301B0">
        <w:rPr>
          <w:kern w:val="0"/>
          <w:sz w:val="24"/>
          <w:szCs w:val="24"/>
        </w:rPr>
        <w:t>---</w:t>
      </w:r>
    </w:p>
    <w:p w14:paraId="0898AC6C" w14:textId="77777777" w:rsidR="00B301B0" w:rsidRPr="00B301B0" w:rsidRDefault="00B301B0" w:rsidP="00B301B0">
      <w:pPr>
        <w:widowControl/>
        <w:overflowPunct/>
        <w:autoSpaceDE/>
        <w:autoSpaceDN/>
        <w:adjustRightInd/>
        <w:spacing w:line="480" w:lineRule="auto"/>
        <w:ind w:left="1440" w:hanging="720"/>
        <w:jc w:val="center"/>
        <w:rPr>
          <w:kern w:val="0"/>
          <w:sz w:val="24"/>
          <w:szCs w:val="24"/>
        </w:rPr>
      </w:pPr>
    </w:p>
    <w:p w14:paraId="641B5797" w14:textId="77777777" w:rsidR="00B301B0" w:rsidRPr="00B301B0" w:rsidRDefault="00B301B0" w:rsidP="00B301B0">
      <w:pPr>
        <w:widowControl/>
        <w:overflowPunct/>
        <w:autoSpaceDE/>
        <w:autoSpaceDN/>
        <w:adjustRightInd/>
        <w:spacing w:line="480" w:lineRule="auto"/>
        <w:ind w:left="720" w:firstLine="720"/>
        <w:rPr>
          <w:bCs/>
          <w:kern w:val="0"/>
          <w:sz w:val="24"/>
          <w:szCs w:val="24"/>
        </w:rPr>
      </w:pPr>
      <w:r w:rsidRPr="00B301B0">
        <w:rPr>
          <w:kern w:val="0"/>
          <w:sz w:val="24"/>
          <w:szCs w:val="24"/>
        </w:rPr>
        <w:t>The final sample consists of 403,567 subsidiary-year observations for the period 2010-2018, which includes 51,763 wholly owned foreign subsidiaries of 6,122 MNEs. Table 3 provides the characteristics of my full sample. The United Kingdom is the most common host country (8.16%), followed by France (6.52%) and Italy (5.58%). Of the 250 different industries, management services are the most common (7.81%), followed by industrial services (5.17%) and computer services (4.10%) (see Appendix C). The average number of subsidiaries per MNE is 8.46 (s.d. = 10.31), and the average subsidiary return on assets (ROA) is 4.12% (s.d. = 12.68). My dataset is</w:t>
      </w:r>
      <w:r w:rsidRPr="00B301B0">
        <w:rPr>
          <w:bCs/>
          <w:kern w:val="0"/>
          <w:sz w:val="24"/>
          <w:szCs w:val="24"/>
        </w:rPr>
        <w:t xml:space="preserve"> not restricted to a specific home- (Makino et al., 2004) or host-country (Chan et al., 2010; Ma et al., 2013) nor to certain industry sectors (Ma et al., 2013), thus allowing us to decompose foreign subsidiary performance more comprehensively and to ameliorate potential idiosyncrasies of decomposing variance within a particular context.</w:t>
      </w:r>
    </w:p>
    <w:p w14:paraId="07FC2A14"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To remain consistent with prior performance-based variance decomposition studies (e.g., McGahan &amp; Porter, 1997; McGahan &amp; Victer, 2010; Ma et al., 2013), I use </w:t>
      </w:r>
      <w:r w:rsidRPr="00B301B0">
        <w:rPr>
          <w:i/>
          <w:iCs/>
          <w:kern w:val="0"/>
          <w:sz w:val="24"/>
          <w:szCs w:val="24"/>
        </w:rPr>
        <w:t>ROA</w:t>
      </w:r>
      <w:r w:rsidRPr="00B301B0">
        <w:rPr>
          <w:kern w:val="0"/>
          <w:sz w:val="24"/>
          <w:szCs w:val="24"/>
        </w:rPr>
        <w:t xml:space="preserve"> as my outcome variable (DV) to measure foreign subsidiary performance. To assess the relative importance of the subsidiary and MNE, I include a </w:t>
      </w:r>
      <w:r w:rsidRPr="00B301B0">
        <w:rPr>
          <w:i/>
          <w:iCs/>
          <w:kern w:val="0"/>
          <w:sz w:val="24"/>
          <w:szCs w:val="24"/>
        </w:rPr>
        <w:t>subsidiary effect</w:t>
      </w:r>
      <w:r w:rsidRPr="00B301B0">
        <w:rPr>
          <w:kern w:val="0"/>
          <w:sz w:val="24"/>
          <w:szCs w:val="24"/>
        </w:rPr>
        <w:t xml:space="preserve"> and </w:t>
      </w:r>
      <w:r w:rsidRPr="00B301B0">
        <w:rPr>
          <w:i/>
          <w:iCs/>
          <w:kern w:val="0"/>
          <w:sz w:val="24"/>
          <w:szCs w:val="24"/>
        </w:rPr>
        <w:t xml:space="preserve">MNE effect </w:t>
      </w:r>
      <w:r w:rsidRPr="00B301B0">
        <w:rPr>
          <w:kern w:val="0"/>
          <w:sz w:val="24"/>
          <w:szCs w:val="24"/>
        </w:rPr>
        <w:t xml:space="preserve">on the right-hand side; I also include an </w:t>
      </w:r>
      <w:r w:rsidRPr="00B301B0">
        <w:rPr>
          <w:i/>
          <w:iCs/>
          <w:kern w:val="0"/>
          <w:sz w:val="24"/>
          <w:szCs w:val="24"/>
        </w:rPr>
        <w:t xml:space="preserve">industry </w:t>
      </w:r>
      <w:r w:rsidRPr="00B301B0">
        <w:rPr>
          <w:kern w:val="0"/>
          <w:sz w:val="24"/>
          <w:szCs w:val="24"/>
        </w:rPr>
        <w:t xml:space="preserve">(4-digit NAICS), </w:t>
      </w:r>
      <w:r w:rsidRPr="00B301B0">
        <w:rPr>
          <w:i/>
          <w:iCs/>
          <w:kern w:val="0"/>
          <w:sz w:val="24"/>
          <w:szCs w:val="24"/>
        </w:rPr>
        <w:t>home country,</w:t>
      </w:r>
      <w:r w:rsidRPr="00B301B0">
        <w:rPr>
          <w:kern w:val="0"/>
          <w:sz w:val="24"/>
          <w:szCs w:val="24"/>
        </w:rPr>
        <w:t xml:space="preserve"> </w:t>
      </w:r>
      <w:r w:rsidRPr="00B301B0">
        <w:rPr>
          <w:i/>
          <w:iCs/>
          <w:kern w:val="0"/>
          <w:sz w:val="24"/>
          <w:szCs w:val="24"/>
        </w:rPr>
        <w:t>host country</w:t>
      </w:r>
      <w:r w:rsidRPr="00B301B0">
        <w:rPr>
          <w:kern w:val="0"/>
          <w:sz w:val="24"/>
          <w:szCs w:val="24"/>
        </w:rPr>
        <w:t xml:space="preserve">, and </w:t>
      </w:r>
      <w:r w:rsidRPr="00B301B0">
        <w:rPr>
          <w:i/>
          <w:iCs/>
          <w:kern w:val="0"/>
          <w:sz w:val="24"/>
          <w:szCs w:val="24"/>
        </w:rPr>
        <w:t xml:space="preserve">year </w:t>
      </w:r>
      <w:r w:rsidRPr="00B301B0">
        <w:rPr>
          <w:kern w:val="0"/>
          <w:sz w:val="24"/>
          <w:szCs w:val="24"/>
        </w:rPr>
        <w:t xml:space="preserve">effects (2010-2018). </w:t>
      </w:r>
    </w:p>
    <w:p w14:paraId="6FE6FC28" w14:textId="77777777" w:rsidR="00B301B0" w:rsidRPr="00B301B0" w:rsidRDefault="00B301B0" w:rsidP="00B301B0">
      <w:pPr>
        <w:widowControl/>
        <w:overflowPunct/>
        <w:autoSpaceDE/>
        <w:autoSpaceDN/>
        <w:adjustRightInd/>
        <w:spacing w:line="480" w:lineRule="auto"/>
        <w:ind w:left="720"/>
        <w:rPr>
          <w:i/>
          <w:iCs/>
          <w:kern w:val="0"/>
          <w:sz w:val="24"/>
          <w:szCs w:val="24"/>
        </w:rPr>
      </w:pPr>
    </w:p>
    <w:p w14:paraId="0B6481E5" w14:textId="77777777" w:rsidR="00B301B0" w:rsidRPr="00B301B0" w:rsidRDefault="00B301B0" w:rsidP="00B301B0">
      <w:pPr>
        <w:widowControl/>
        <w:overflowPunct/>
        <w:autoSpaceDE/>
        <w:autoSpaceDN/>
        <w:adjustRightInd/>
        <w:spacing w:line="480" w:lineRule="auto"/>
        <w:ind w:left="720"/>
        <w:rPr>
          <w:i/>
          <w:iCs/>
          <w:kern w:val="0"/>
          <w:sz w:val="24"/>
          <w:szCs w:val="24"/>
        </w:rPr>
      </w:pPr>
      <w:r w:rsidRPr="00B301B0">
        <w:rPr>
          <w:i/>
          <w:iCs/>
          <w:kern w:val="0"/>
          <w:sz w:val="24"/>
          <w:szCs w:val="24"/>
        </w:rPr>
        <w:t xml:space="preserve">Analytical model </w:t>
      </w:r>
    </w:p>
    <w:p w14:paraId="29D7EF4E"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To empirically analyze the relative importance of the MNE and subsidiary effects, I employ variance decomposition techniques consistent with prior studies and use a simultaneous analysis of variance (ANOVA) method (McGahan &amp; Porter, 1997; Fitza et al., 2009; McGahan &amp; Victer, 2010; Vedula &amp; Fitza, 2019). A simultaneous ANOVA uses fixed-effect modeling allowing for effect covariance (McGahan &amp; Victer, 2010), which is appropriate in my case because prior literature suggests that there is covariance between effects (e.g., industry, host country) (e.g., McGahan &amp; Porter, 1997). </w:t>
      </w:r>
    </w:p>
    <w:p w14:paraId="5C04574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An alternative approach would be to use multilevel modeling (MLM) methods (Guo, 2017; Quigley &amp; Graffin, 2017; Krause et al., 2019; Meyer-Doyle et al., 2019), which take into account hierarchical relationships between effects. However, the classes of effects used in this study do not necessarily follow a clear hierarchical structure; there is not a clear hierarchical relationship between industries, host-countries, MNEs, and home-countries. For example, a subsidiary operates in a given industry, but that industry spans across multiple countries, and the industry and other lower-level effects are not nested within the higher-level effects such as the home country and the MNE itself. Sohl et al. (2018: 23) argue that “[I]n practice, both methods often result in similar effect sizes,” and that using a simultaneous ANOVA will control for effect covariance in the absence of a clear hierarchical structure.</w:t>
      </w:r>
      <w:r w:rsidRPr="00B301B0">
        <w:rPr>
          <w:kern w:val="0"/>
          <w:sz w:val="24"/>
          <w:szCs w:val="24"/>
          <w:vertAlign w:val="superscript"/>
        </w:rPr>
        <w:footnoteReference w:customMarkFollows="1" w:id="13"/>
        <w:t>4</w:t>
      </w:r>
    </w:p>
    <w:p w14:paraId="2D94433D"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 follow prior studies (e.g., Fitza et al., 2009; McGahan &amp; Victer, 2010; Ma et al., 2013; Fitza, 2014; Sohl et al., 2018) and estimate equation (Eq.) 1 as follows:</w:t>
      </w:r>
    </w:p>
    <w:p w14:paraId="2BE440D8" w14:textId="77777777" w:rsidR="00B301B0" w:rsidRPr="00B301B0" w:rsidRDefault="00B301B0" w:rsidP="00B301B0">
      <w:pPr>
        <w:widowControl/>
        <w:overflowPunct/>
        <w:autoSpaceDE/>
        <w:autoSpaceDN/>
        <w:adjustRightInd/>
        <w:spacing w:line="480" w:lineRule="auto"/>
        <w:ind w:left="720" w:firstLine="720"/>
        <w:rPr>
          <w:kern w:val="0"/>
          <w:sz w:val="24"/>
          <w:szCs w:val="24"/>
        </w:rPr>
      </w:pPr>
    </w:p>
    <w:p w14:paraId="6E987575" w14:textId="77777777" w:rsidR="00B301B0" w:rsidRPr="00B301B0" w:rsidRDefault="00B301B0" w:rsidP="00B301B0">
      <w:pPr>
        <w:widowControl/>
        <w:overflowPunct/>
        <w:autoSpaceDE/>
        <w:autoSpaceDN/>
        <w:adjustRightInd/>
        <w:spacing w:line="480" w:lineRule="auto"/>
        <w:ind w:left="720"/>
        <w:jc w:val="center"/>
        <w:rPr>
          <w:kern w:val="0"/>
          <w:sz w:val="24"/>
          <w:szCs w:val="24"/>
          <w:vertAlign w:val="subscript"/>
        </w:rPr>
      </w:pPr>
      <w:r w:rsidRPr="00B301B0">
        <w:rPr>
          <w:kern w:val="0"/>
          <w:sz w:val="24"/>
          <w:szCs w:val="24"/>
        </w:rPr>
        <w:t>(1)</w:t>
      </w:r>
      <w:r w:rsidRPr="00B301B0">
        <w:rPr>
          <w:kern w:val="0"/>
          <w:sz w:val="24"/>
          <w:szCs w:val="24"/>
        </w:rPr>
        <w:tab/>
        <w:t>ROA</w:t>
      </w:r>
      <w:r w:rsidRPr="00B301B0">
        <w:rPr>
          <w:kern w:val="0"/>
          <w:sz w:val="24"/>
          <w:szCs w:val="24"/>
          <w:vertAlign w:val="subscript"/>
        </w:rPr>
        <w:t xml:space="preserve">s,y </w:t>
      </w:r>
      <w:r w:rsidRPr="00B301B0">
        <w:rPr>
          <w:kern w:val="0"/>
          <w:sz w:val="24"/>
          <w:szCs w:val="24"/>
        </w:rPr>
        <w:t>= μ + α</w:t>
      </w:r>
      <w:r w:rsidRPr="00B301B0">
        <w:rPr>
          <w:kern w:val="0"/>
          <w:sz w:val="24"/>
          <w:szCs w:val="24"/>
          <w:vertAlign w:val="subscript"/>
        </w:rPr>
        <w:t>y</w:t>
      </w:r>
      <w:r w:rsidRPr="00B301B0">
        <w:rPr>
          <w:kern w:val="0"/>
          <w:sz w:val="24"/>
          <w:szCs w:val="24"/>
        </w:rPr>
        <w:t xml:space="preserve"> + β</w:t>
      </w:r>
      <w:r w:rsidRPr="00B301B0">
        <w:rPr>
          <w:kern w:val="0"/>
          <w:sz w:val="24"/>
          <w:szCs w:val="24"/>
          <w:vertAlign w:val="subscript"/>
        </w:rPr>
        <w:t>h</w:t>
      </w:r>
      <w:r w:rsidRPr="00B301B0">
        <w:rPr>
          <w:kern w:val="0"/>
          <w:sz w:val="24"/>
          <w:szCs w:val="24"/>
        </w:rPr>
        <w:t xml:space="preserve"> + γ</w:t>
      </w:r>
      <w:r w:rsidRPr="00B301B0">
        <w:rPr>
          <w:kern w:val="0"/>
          <w:sz w:val="24"/>
          <w:szCs w:val="24"/>
          <w:vertAlign w:val="subscript"/>
        </w:rPr>
        <w:t>k</w:t>
      </w:r>
      <w:r w:rsidRPr="00B301B0">
        <w:rPr>
          <w:kern w:val="0"/>
          <w:sz w:val="24"/>
          <w:szCs w:val="24"/>
        </w:rPr>
        <w:t xml:space="preserve"> + θ</w:t>
      </w:r>
      <w:r w:rsidRPr="00B301B0">
        <w:rPr>
          <w:kern w:val="0"/>
          <w:sz w:val="24"/>
          <w:szCs w:val="24"/>
          <w:vertAlign w:val="subscript"/>
        </w:rPr>
        <w:t>i</w:t>
      </w:r>
      <w:r w:rsidRPr="00B301B0">
        <w:rPr>
          <w:kern w:val="0"/>
          <w:sz w:val="24"/>
          <w:szCs w:val="24"/>
        </w:rPr>
        <w:t xml:space="preserve"> + δ</w:t>
      </w:r>
      <w:r w:rsidRPr="00B301B0">
        <w:rPr>
          <w:kern w:val="0"/>
          <w:sz w:val="24"/>
          <w:szCs w:val="24"/>
          <w:vertAlign w:val="subscript"/>
        </w:rPr>
        <w:t>m</w:t>
      </w:r>
      <w:r w:rsidRPr="00B301B0">
        <w:rPr>
          <w:kern w:val="0"/>
          <w:sz w:val="24"/>
          <w:szCs w:val="24"/>
        </w:rPr>
        <w:t xml:space="preserve">  + τ</w:t>
      </w:r>
      <w:r w:rsidRPr="00B301B0">
        <w:rPr>
          <w:kern w:val="0"/>
          <w:sz w:val="24"/>
          <w:szCs w:val="24"/>
          <w:vertAlign w:val="subscript"/>
        </w:rPr>
        <w:t xml:space="preserve">s </w:t>
      </w:r>
      <w:r w:rsidRPr="00B301B0">
        <w:rPr>
          <w:kern w:val="0"/>
          <w:sz w:val="24"/>
          <w:szCs w:val="24"/>
        </w:rPr>
        <w:t>+ ε</w:t>
      </w:r>
      <w:r w:rsidRPr="00B301B0">
        <w:rPr>
          <w:kern w:val="0"/>
          <w:sz w:val="24"/>
          <w:szCs w:val="24"/>
          <w:vertAlign w:val="subscript"/>
        </w:rPr>
        <w:t>s,y</w:t>
      </w:r>
    </w:p>
    <w:p w14:paraId="69DF0549"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2BDA9E0F"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In Eq. (1), ROA</w:t>
      </w:r>
      <w:r w:rsidRPr="00B301B0">
        <w:rPr>
          <w:kern w:val="0"/>
          <w:sz w:val="24"/>
          <w:szCs w:val="24"/>
          <w:vertAlign w:val="subscript"/>
        </w:rPr>
        <w:t xml:space="preserve">s,y </w:t>
      </w:r>
      <w:r w:rsidRPr="00B301B0">
        <w:rPr>
          <w:kern w:val="0"/>
          <w:sz w:val="24"/>
          <w:szCs w:val="24"/>
        </w:rPr>
        <w:t>represents the ROA of subsidiary ‘s’ in year ‘y.’ Subsidiary ‘s’ is then identified in year ‘y’ as operating in host country ‘h’ and industry ‘i’ with an MNE ‘m’ from home country ‘k.’ The term μ (constant) is equal to the estimated mean of ROA for the complete sample of subsidiaries. The residual (error) term ε</w:t>
      </w:r>
      <w:r w:rsidRPr="00B301B0">
        <w:rPr>
          <w:kern w:val="0"/>
          <w:sz w:val="24"/>
          <w:szCs w:val="24"/>
          <w:vertAlign w:val="subscript"/>
        </w:rPr>
        <w:t>s,y</w:t>
      </w:r>
      <w:r w:rsidRPr="00B301B0">
        <w:rPr>
          <w:kern w:val="0"/>
          <w:sz w:val="24"/>
          <w:szCs w:val="24"/>
        </w:rPr>
        <w:t xml:space="preserve"> is the excess return of subsidiary ‘s’ in year ‘y’ that is unexplained by the effects in the model. However, because the data are longitudinal, the residual term “may be serially correlated over time because of persistent shocks at any level with influence over successive years” (McGahan &amp; Victer, 2010: 155). If a ‘shock’ occurs in year one (y), it is likely to persist into year two (y+1), thus making the residual term in Eq. (1) serially correlated. I thus follow past studies and control for serial correlation (e.g., Fitza, Matuski &amp; Mosakowski, 2009; McGahan &amp; Victer, 2010; Ma et al., 2013). Accordingly, I introduce Eq. (2): </w:t>
      </w:r>
    </w:p>
    <w:p w14:paraId="7CEE656F" w14:textId="77777777" w:rsidR="00B301B0" w:rsidRPr="00B301B0" w:rsidRDefault="00B301B0" w:rsidP="00B301B0">
      <w:pPr>
        <w:widowControl/>
        <w:overflowPunct/>
        <w:autoSpaceDE/>
        <w:autoSpaceDN/>
        <w:adjustRightInd/>
        <w:spacing w:line="480" w:lineRule="auto"/>
        <w:ind w:left="720" w:firstLine="720"/>
        <w:rPr>
          <w:kern w:val="0"/>
          <w:sz w:val="24"/>
          <w:szCs w:val="24"/>
        </w:rPr>
      </w:pPr>
    </w:p>
    <w:p w14:paraId="60B6582C"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(2)</w:t>
      </w:r>
      <w:r w:rsidRPr="00B301B0">
        <w:rPr>
          <w:kern w:val="0"/>
          <w:sz w:val="24"/>
          <w:szCs w:val="24"/>
        </w:rPr>
        <w:tab/>
        <w:t>ε</w:t>
      </w:r>
      <w:r w:rsidRPr="00B301B0">
        <w:rPr>
          <w:kern w:val="0"/>
          <w:sz w:val="24"/>
          <w:szCs w:val="24"/>
          <w:vertAlign w:val="subscript"/>
        </w:rPr>
        <w:t xml:space="preserve">s,y </w:t>
      </w:r>
      <w:r w:rsidRPr="00B301B0">
        <w:rPr>
          <w:kern w:val="0"/>
          <w:sz w:val="24"/>
          <w:szCs w:val="24"/>
        </w:rPr>
        <w:t xml:space="preserve">= </w:t>
      </w:r>
      <w:r w:rsidRPr="00B301B0">
        <w:rPr>
          <w:rFonts w:ascii="Times New Roman Symbol" w:hAnsi="Times New Roman Symbol"/>
          <w:i/>
          <w:kern w:val="0"/>
          <w:sz w:val="24"/>
          <w:szCs w:val="24"/>
        </w:rPr>
        <w:t>r</w:t>
      </w:r>
      <w:r w:rsidRPr="00B301B0">
        <w:rPr>
          <w:kern w:val="0"/>
          <w:sz w:val="24"/>
          <w:szCs w:val="24"/>
        </w:rPr>
        <w:t>ε</w:t>
      </w:r>
      <w:r w:rsidRPr="00B301B0">
        <w:rPr>
          <w:kern w:val="0"/>
          <w:sz w:val="24"/>
          <w:szCs w:val="24"/>
          <w:vertAlign w:val="subscript"/>
        </w:rPr>
        <w:t xml:space="preserve">s,y-1 </w:t>
      </w:r>
      <w:r w:rsidRPr="00B301B0">
        <w:rPr>
          <w:kern w:val="0"/>
          <w:sz w:val="24"/>
          <w:szCs w:val="24"/>
        </w:rPr>
        <w:t>+ ω</w:t>
      </w:r>
      <w:r w:rsidRPr="00B301B0">
        <w:rPr>
          <w:kern w:val="0"/>
          <w:sz w:val="24"/>
          <w:szCs w:val="24"/>
          <w:vertAlign w:val="subscript"/>
        </w:rPr>
        <w:t>s,y</w:t>
      </w:r>
    </w:p>
    <w:p w14:paraId="4E616BC5"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r>
    </w:p>
    <w:p w14:paraId="0A7051F7"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In Eq. (2), ‘</w:t>
      </w:r>
      <w:r w:rsidRPr="00B301B0">
        <w:rPr>
          <w:rFonts w:ascii="Times New Roman Symbol" w:hAnsi="Times New Roman Symbol"/>
          <w:i/>
          <w:kern w:val="0"/>
          <w:sz w:val="24"/>
          <w:szCs w:val="24"/>
        </w:rPr>
        <w:t>r</w:t>
      </w:r>
      <w:r w:rsidRPr="00B301B0">
        <w:rPr>
          <w:iCs/>
          <w:kern w:val="0"/>
          <w:sz w:val="24"/>
          <w:szCs w:val="24"/>
        </w:rPr>
        <w:t>’</w:t>
      </w:r>
      <w:r w:rsidRPr="00B301B0">
        <w:rPr>
          <w:kern w:val="0"/>
          <w:sz w:val="24"/>
          <w:szCs w:val="24"/>
        </w:rPr>
        <w:t xml:space="preserve"> is the coefficient for the rate of persistence across the included effects, ‘ε</w:t>
      </w:r>
      <w:r w:rsidRPr="00B301B0">
        <w:rPr>
          <w:kern w:val="0"/>
          <w:sz w:val="24"/>
          <w:szCs w:val="24"/>
          <w:vertAlign w:val="subscript"/>
        </w:rPr>
        <w:t>s,y-1</w:t>
      </w:r>
      <w:r w:rsidRPr="00B301B0">
        <w:rPr>
          <w:kern w:val="0"/>
          <w:sz w:val="24"/>
          <w:szCs w:val="24"/>
        </w:rPr>
        <w:t>’</w:t>
      </w:r>
      <w:r w:rsidRPr="00B301B0">
        <w:rPr>
          <w:kern w:val="0"/>
          <w:sz w:val="24"/>
          <w:szCs w:val="24"/>
          <w:vertAlign w:val="subscript"/>
        </w:rPr>
        <w:t xml:space="preserve"> </w:t>
      </w:r>
      <w:r w:rsidRPr="00B301B0">
        <w:rPr>
          <w:kern w:val="0"/>
          <w:sz w:val="24"/>
          <w:szCs w:val="24"/>
        </w:rPr>
        <w:t xml:space="preserve"> is the previous residual term at year ‘y-1’, and ‘ω</w:t>
      </w:r>
      <w:r w:rsidRPr="00B301B0">
        <w:rPr>
          <w:kern w:val="0"/>
          <w:sz w:val="24"/>
          <w:szCs w:val="24"/>
          <w:vertAlign w:val="subscript"/>
        </w:rPr>
        <w:t>s,y</w:t>
      </w:r>
      <w:r w:rsidRPr="00B301B0">
        <w:rPr>
          <w:kern w:val="0"/>
          <w:sz w:val="24"/>
          <w:szCs w:val="24"/>
        </w:rPr>
        <w:t>’ is the new residual term that is the stripped of serial correlation. To then determine the portion of the effects that are not influenced by the rate of persistence ‘</w:t>
      </w:r>
      <w:r w:rsidRPr="00B301B0">
        <w:rPr>
          <w:rFonts w:ascii="Times New Roman Symbol" w:hAnsi="Times New Roman Symbol"/>
          <w:i/>
          <w:kern w:val="0"/>
          <w:sz w:val="24"/>
          <w:szCs w:val="24"/>
        </w:rPr>
        <w:t>r</w:t>
      </w:r>
      <w:r w:rsidRPr="00B301B0">
        <w:rPr>
          <w:iCs/>
          <w:kern w:val="0"/>
          <w:sz w:val="24"/>
          <w:szCs w:val="24"/>
        </w:rPr>
        <w:t>,’</w:t>
      </w:r>
      <w:r w:rsidRPr="00B301B0">
        <w:rPr>
          <w:i/>
          <w:kern w:val="0"/>
          <w:sz w:val="24"/>
          <w:szCs w:val="24"/>
        </w:rPr>
        <w:t xml:space="preserve"> </w:t>
      </w:r>
      <w:r w:rsidRPr="00B301B0">
        <w:rPr>
          <w:kern w:val="0"/>
          <w:sz w:val="24"/>
          <w:szCs w:val="24"/>
        </w:rPr>
        <w:t>I use algebraic substitution and introduce Eq. (3):</w:t>
      </w:r>
    </w:p>
    <w:p w14:paraId="12052BB4" w14:textId="77777777" w:rsidR="00B301B0" w:rsidRPr="00B301B0" w:rsidRDefault="00B301B0" w:rsidP="00B301B0">
      <w:pPr>
        <w:widowControl/>
        <w:overflowPunct/>
        <w:autoSpaceDE/>
        <w:autoSpaceDN/>
        <w:adjustRightInd/>
        <w:spacing w:line="480" w:lineRule="auto"/>
        <w:ind w:left="720" w:firstLine="720"/>
        <w:rPr>
          <w:kern w:val="0"/>
          <w:sz w:val="24"/>
          <w:szCs w:val="24"/>
        </w:rPr>
      </w:pPr>
    </w:p>
    <w:p w14:paraId="6B6A49FE"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(3)</w:t>
      </w:r>
      <w:r w:rsidRPr="00B301B0">
        <w:rPr>
          <w:kern w:val="0"/>
          <w:sz w:val="24"/>
          <w:szCs w:val="24"/>
        </w:rPr>
        <w:tab/>
        <w:t>ROA</w:t>
      </w:r>
      <w:r w:rsidRPr="00B301B0">
        <w:rPr>
          <w:kern w:val="0"/>
          <w:sz w:val="24"/>
          <w:szCs w:val="24"/>
          <w:vertAlign w:val="subscript"/>
        </w:rPr>
        <w:t xml:space="preserve">s,y </w:t>
      </w:r>
      <w:r w:rsidRPr="00B301B0">
        <w:rPr>
          <w:kern w:val="0"/>
          <w:sz w:val="24"/>
          <w:szCs w:val="24"/>
        </w:rPr>
        <w:t xml:space="preserve">= </w:t>
      </w:r>
      <w:r w:rsidRPr="00B301B0">
        <w:rPr>
          <w:rFonts w:ascii="Times New Roman Symbol" w:hAnsi="Times New Roman Symbol"/>
          <w:i/>
          <w:kern w:val="0"/>
          <w:sz w:val="24"/>
          <w:szCs w:val="24"/>
        </w:rPr>
        <w:t>r</w:t>
      </w:r>
      <w:r w:rsidRPr="00B301B0">
        <w:rPr>
          <w:kern w:val="0"/>
          <w:sz w:val="24"/>
          <w:szCs w:val="24"/>
        </w:rPr>
        <w:t>ROA</w:t>
      </w:r>
      <w:r w:rsidRPr="00B301B0">
        <w:rPr>
          <w:kern w:val="0"/>
          <w:sz w:val="24"/>
          <w:szCs w:val="24"/>
          <w:vertAlign w:val="subscript"/>
        </w:rPr>
        <w:t xml:space="preserve">s,y-1 </w:t>
      </w:r>
      <w:r w:rsidRPr="00B301B0">
        <w:rPr>
          <w:kern w:val="0"/>
          <w:sz w:val="24"/>
          <w:szCs w:val="24"/>
        </w:rPr>
        <w:t xml:space="preserve">+ (1 – </w:t>
      </w:r>
      <w:r w:rsidRPr="00B301B0">
        <w:rPr>
          <w:rFonts w:ascii="Times New Roman Symbol" w:hAnsi="Times New Roman Symbol"/>
          <w:i/>
          <w:kern w:val="0"/>
          <w:sz w:val="24"/>
          <w:szCs w:val="24"/>
        </w:rPr>
        <w:t>r</w:t>
      </w:r>
      <w:r w:rsidRPr="00B301B0">
        <w:rPr>
          <w:kern w:val="0"/>
          <w:sz w:val="24"/>
          <w:szCs w:val="24"/>
        </w:rPr>
        <w:t xml:space="preserve">)μ + (1 – </w:t>
      </w:r>
      <w:r w:rsidRPr="00B301B0">
        <w:rPr>
          <w:i/>
          <w:kern w:val="0"/>
          <w:sz w:val="24"/>
          <w:szCs w:val="24"/>
        </w:rPr>
        <w:t>p</w:t>
      </w:r>
      <w:r w:rsidRPr="00B301B0">
        <w:rPr>
          <w:kern w:val="0"/>
          <w:sz w:val="24"/>
          <w:szCs w:val="24"/>
        </w:rPr>
        <w:t>)α</w:t>
      </w:r>
      <w:r w:rsidRPr="00B301B0">
        <w:rPr>
          <w:kern w:val="0"/>
          <w:sz w:val="24"/>
          <w:szCs w:val="24"/>
          <w:vertAlign w:val="subscript"/>
        </w:rPr>
        <w:t>y</w:t>
      </w:r>
      <w:r w:rsidRPr="00B301B0">
        <w:rPr>
          <w:kern w:val="0"/>
          <w:sz w:val="24"/>
          <w:szCs w:val="24"/>
        </w:rPr>
        <w:t xml:space="preserve"> + (1 – </w:t>
      </w:r>
      <w:r w:rsidRPr="00B301B0">
        <w:rPr>
          <w:rFonts w:ascii="Times New Roman Symbol" w:hAnsi="Times New Roman Symbol"/>
          <w:i/>
          <w:kern w:val="0"/>
          <w:sz w:val="24"/>
          <w:szCs w:val="24"/>
        </w:rPr>
        <w:t>r</w:t>
      </w:r>
      <w:r w:rsidRPr="00B301B0">
        <w:rPr>
          <w:kern w:val="0"/>
          <w:sz w:val="24"/>
          <w:szCs w:val="24"/>
        </w:rPr>
        <w:t>)β</w:t>
      </w:r>
      <w:r w:rsidRPr="00B301B0">
        <w:rPr>
          <w:kern w:val="0"/>
          <w:sz w:val="24"/>
          <w:szCs w:val="24"/>
          <w:vertAlign w:val="subscript"/>
        </w:rPr>
        <w:t>h</w:t>
      </w:r>
      <w:r w:rsidRPr="00B301B0">
        <w:rPr>
          <w:kern w:val="0"/>
          <w:sz w:val="24"/>
          <w:szCs w:val="24"/>
        </w:rPr>
        <w:t xml:space="preserve"> + (1 – </w:t>
      </w:r>
      <w:r w:rsidRPr="00B301B0">
        <w:rPr>
          <w:rFonts w:ascii="Times New Roman Symbol" w:hAnsi="Times New Roman Symbol"/>
          <w:i/>
          <w:kern w:val="0"/>
          <w:sz w:val="24"/>
          <w:szCs w:val="24"/>
        </w:rPr>
        <w:t>r</w:t>
      </w:r>
      <w:r w:rsidRPr="00B301B0">
        <w:rPr>
          <w:kern w:val="0"/>
          <w:sz w:val="24"/>
          <w:szCs w:val="24"/>
        </w:rPr>
        <w:t>)γ</w:t>
      </w:r>
      <w:r w:rsidRPr="00B301B0">
        <w:rPr>
          <w:kern w:val="0"/>
          <w:sz w:val="24"/>
          <w:szCs w:val="24"/>
          <w:vertAlign w:val="subscript"/>
        </w:rPr>
        <w:t>k</w:t>
      </w:r>
      <w:r w:rsidRPr="00B301B0">
        <w:rPr>
          <w:kern w:val="0"/>
          <w:sz w:val="24"/>
          <w:szCs w:val="24"/>
        </w:rPr>
        <w:t xml:space="preserve"> + (1 – </w:t>
      </w:r>
      <w:r w:rsidRPr="00B301B0">
        <w:rPr>
          <w:rFonts w:ascii="Times New Roman Symbol" w:hAnsi="Times New Roman Symbol"/>
          <w:i/>
          <w:kern w:val="0"/>
          <w:sz w:val="24"/>
          <w:szCs w:val="24"/>
        </w:rPr>
        <w:t>r</w:t>
      </w:r>
      <w:r w:rsidRPr="00B301B0">
        <w:rPr>
          <w:kern w:val="0"/>
          <w:sz w:val="24"/>
          <w:szCs w:val="24"/>
        </w:rPr>
        <w:t>)θ</w:t>
      </w:r>
      <w:r w:rsidRPr="00B301B0">
        <w:rPr>
          <w:kern w:val="0"/>
          <w:sz w:val="24"/>
          <w:szCs w:val="24"/>
          <w:vertAlign w:val="subscript"/>
        </w:rPr>
        <w:t>i</w:t>
      </w:r>
      <w:r w:rsidRPr="00B301B0">
        <w:rPr>
          <w:kern w:val="0"/>
          <w:sz w:val="24"/>
          <w:szCs w:val="24"/>
        </w:rPr>
        <w:t xml:space="preserve"> + (1 – </w:t>
      </w:r>
      <w:r w:rsidRPr="00B301B0">
        <w:rPr>
          <w:rFonts w:ascii="Times New Roman Symbol" w:hAnsi="Times New Roman Symbol"/>
          <w:i/>
          <w:kern w:val="0"/>
          <w:sz w:val="24"/>
          <w:szCs w:val="24"/>
        </w:rPr>
        <w:t>r</w:t>
      </w:r>
      <w:r w:rsidRPr="00B301B0">
        <w:rPr>
          <w:kern w:val="0"/>
          <w:sz w:val="24"/>
          <w:szCs w:val="24"/>
        </w:rPr>
        <w:t>)δ</w:t>
      </w:r>
      <w:r w:rsidRPr="00B301B0">
        <w:rPr>
          <w:kern w:val="0"/>
          <w:sz w:val="24"/>
          <w:szCs w:val="24"/>
          <w:vertAlign w:val="subscript"/>
        </w:rPr>
        <w:t>m</w:t>
      </w:r>
      <w:r w:rsidRPr="00B301B0">
        <w:rPr>
          <w:kern w:val="0"/>
          <w:sz w:val="24"/>
          <w:szCs w:val="24"/>
        </w:rPr>
        <w:t xml:space="preserve">  + (1 – </w:t>
      </w:r>
      <w:r w:rsidRPr="00B301B0">
        <w:rPr>
          <w:rFonts w:ascii="Times New Roman Symbol" w:hAnsi="Times New Roman Symbol"/>
          <w:i/>
          <w:kern w:val="0"/>
          <w:sz w:val="24"/>
          <w:szCs w:val="24"/>
        </w:rPr>
        <w:t>r</w:t>
      </w:r>
      <w:r w:rsidRPr="00B301B0">
        <w:rPr>
          <w:kern w:val="0"/>
          <w:sz w:val="24"/>
          <w:szCs w:val="24"/>
        </w:rPr>
        <w:t>)τ</w:t>
      </w:r>
      <w:r w:rsidRPr="00B301B0">
        <w:rPr>
          <w:kern w:val="0"/>
          <w:sz w:val="24"/>
          <w:szCs w:val="24"/>
          <w:vertAlign w:val="subscript"/>
        </w:rPr>
        <w:t>s</w:t>
      </w:r>
      <w:r w:rsidRPr="00B301B0">
        <w:rPr>
          <w:kern w:val="0"/>
          <w:sz w:val="24"/>
          <w:szCs w:val="24"/>
        </w:rPr>
        <w:t xml:space="preserve"> + ε</w:t>
      </w:r>
      <w:r w:rsidRPr="00B301B0">
        <w:rPr>
          <w:kern w:val="0"/>
          <w:sz w:val="24"/>
          <w:szCs w:val="24"/>
          <w:vertAlign w:val="subscript"/>
        </w:rPr>
        <w:t>s,y</w:t>
      </w:r>
    </w:p>
    <w:p w14:paraId="67A5788D" w14:textId="77777777" w:rsidR="00B301B0" w:rsidRPr="00B301B0" w:rsidRDefault="00B301B0" w:rsidP="00B301B0">
      <w:pPr>
        <w:widowControl/>
        <w:overflowPunct/>
        <w:autoSpaceDE/>
        <w:autoSpaceDN/>
        <w:adjustRightInd/>
        <w:spacing w:line="480" w:lineRule="auto"/>
        <w:ind w:left="720" w:firstLine="720"/>
        <w:rPr>
          <w:kern w:val="0"/>
          <w:sz w:val="24"/>
          <w:szCs w:val="24"/>
        </w:rPr>
      </w:pPr>
    </w:p>
    <w:p w14:paraId="520EACFC"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In Eq. (3) I calculate a null model (McGahan &amp; Porter, 1997) where ROA for subsidiary ‘s’ in year ‘y’ is explained by ‘</w:t>
      </w:r>
      <w:r w:rsidRPr="00B301B0">
        <w:rPr>
          <w:i/>
          <w:kern w:val="0"/>
          <w:sz w:val="24"/>
          <w:szCs w:val="24"/>
        </w:rPr>
        <w:t>p</w:t>
      </w:r>
      <w:r w:rsidRPr="00B301B0">
        <w:rPr>
          <w:kern w:val="0"/>
          <w:sz w:val="24"/>
          <w:szCs w:val="24"/>
        </w:rPr>
        <w:t>ROA</w:t>
      </w:r>
      <w:r w:rsidRPr="00B301B0">
        <w:rPr>
          <w:kern w:val="0"/>
          <w:sz w:val="24"/>
          <w:szCs w:val="24"/>
          <w:vertAlign w:val="subscript"/>
        </w:rPr>
        <w:t>s,y-1</w:t>
      </w:r>
      <w:r w:rsidRPr="00B301B0">
        <w:rPr>
          <w:kern w:val="0"/>
          <w:sz w:val="24"/>
          <w:szCs w:val="24"/>
        </w:rPr>
        <w:t>’, which is the rate of persistence ‘</w:t>
      </w:r>
      <w:r w:rsidRPr="00B301B0">
        <w:rPr>
          <w:rFonts w:ascii="Times New Roman Symbol" w:hAnsi="Times New Roman Symbol"/>
          <w:i/>
          <w:kern w:val="0"/>
          <w:sz w:val="24"/>
          <w:szCs w:val="24"/>
        </w:rPr>
        <w:t>r</w:t>
      </w:r>
      <w:r w:rsidRPr="00B301B0">
        <w:rPr>
          <w:iCs/>
          <w:kern w:val="0"/>
          <w:sz w:val="24"/>
          <w:szCs w:val="24"/>
        </w:rPr>
        <w:t>’</w:t>
      </w:r>
      <w:r w:rsidRPr="00B301B0">
        <w:rPr>
          <w:kern w:val="0"/>
          <w:sz w:val="24"/>
          <w:szCs w:val="24"/>
        </w:rPr>
        <w:t xml:space="preserve"> multiplied by ROA for subsidiary ‘s’ in the previous year (y-1). I then algebraically restrict the rest of Eq. (3), turning all of the remaining effects to zero. This model assumes that the ROA for subsidiary ‘s’ in year ‘y’ is explained only by persistence ‘</w:t>
      </w:r>
      <w:r w:rsidRPr="00B301B0">
        <w:rPr>
          <w:rFonts w:ascii="Times New Roman Symbol" w:hAnsi="Times New Roman Symbol"/>
          <w:i/>
          <w:kern w:val="0"/>
          <w:sz w:val="24"/>
          <w:szCs w:val="24"/>
        </w:rPr>
        <w:t>r</w:t>
      </w:r>
      <w:r w:rsidRPr="00B301B0">
        <w:rPr>
          <w:kern w:val="0"/>
          <w:sz w:val="24"/>
          <w:szCs w:val="24"/>
        </w:rPr>
        <w:t>,’ the grand mean ROA, and some remaining error. I take the residual term ε</w:t>
      </w:r>
      <w:r w:rsidRPr="00B301B0">
        <w:rPr>
          <w:kern w:val="0"/>
          <w:sz w:val="24"/>
          <w:szCs w:val="24"/>
          <w:vertAlign w:val="subscript"/>
        </w:rPr>
        <w:t>s,y</w:t>
      </w:r>
      <w:r w:rsidRPr="00B301B0">
        <w:rPr>
          <w:kern w:val="0"/>
          <w:sz w:val="24"/>
          <w:szCs w:val="24"/>
        </w:rPr>
        <w:t xml:space="preserve"> and use it as the dependent variable of my final model. I then calculate the effect sizes based on the adjusted R</w:t>
      </w:r>
      <w:r w:rsidRPr="00B301B0">
        <w:rPr>
          <w:kern w:val="0"/>
          <w:sz w:val="24"/>
          <w:szCs w:val="24"/>
          <w:vertAlign w:val="superscript"/>
        </w:rPr>
        <w:t>2</w:t>
      </w:r>
      <w:r w:rsidRPr="00B301B0">
        <w:rPr>
          <w:kern w:val="0"/>
          <w:sz w:val="24"/>
          <w:szCs w:val="24"/>
        </w:rPr>
        <w:t xml:space="preserve"> using this as my final model </w:t>
      </w:r>
      <w:r w:rsidRPr="00B301B0">
        <w:rPr>
          <w:kern w:val="0"/>
          <w:sz w:val="24"/>
          <w:szCs w:val="24"/>
        </w:rPr>
        <w:fldChar w:fldCharType="begin"/>
      </w:r>
      <w:r w:rsidRPr="00B301B0">
        <w:rPr>
          <w:kern w:val="0"/>
          <w:sz w:val="24"/>
          <w:szCs w:val="24"/>
        </w:rPr>
        <w:instrText xml:space="preserve"> ADDIN ZOTERO_ITEM CSL_CITATION {"citationID":"ATZYqo6Q","properties":{"formattedCitation":"(Fitza, 2017; Quigley &amp; Graffin, 2017)","plainCitation":"(Fitza, 2017; Quigley &amp; Graffin, 2017)","noteIndex":0},"citationItems":[{"id":8167,"uris":["http://zotero.org/users/1380856/items/9ILBJD6H"],"uri":["http://zotero.org/users/1380856/items/9ILBJD6H"],"itemData":{"id":8167,"type":"article-journal","container-title":"Strategic Management Journal","issue":"3","page":"802–811","source":"Google Scholar","title":"How much do CEOs really matter? Reaffirming that the CEO effect is mostly due to chance","title-short":"How much do CEOs really matter?","volume":"38","author":[{"family":"Fitza","given":"Markus A."}],"issued":{"date-parts":[["2017"]]}}},{"id":8164,"uris":["http://zotero.org/users/1380856/items/IRKDP5EP"],"uri":["http://zotero.org/users/1380856/items/IRKDP5EP"],"itemData":{"id":8164,"type":"article-journal","container-title":"Strategic Management Journal","issue":"3","page":"793–801","source":"Google Scholar","title":"Reaffirming the CEO effect is significant and much larger than chance: A comment on F itza (2014)","title-short":"Reaffirming the CEO effect is significant and much larger than chance","volume":"38","author":[{"family":"Quigley","given":"Timothy J."},{"family":"Graffin","given":"Scott D."}],"issued":{"date-parts":[["2017"]]}}}],"schema":"https://github.com/citation-style-language/schema/raw/master/csl-citation.json"} </w:instrText>
      </w:r>
      <w:r w:rsidRPr="00B301B0">
        <w:rPr>
          <w:kern w:val="0"/>
          <w:sz w:val="24"/>
          <w:szCs w:val="24"/>
        </w:rPr>
        <w:fldChar w:fldCharType="separate"/>
      </w:r>
      <w:r w:rsidRPr="00B301B0">
        <w:rPr>
          <w:kern w:val="0"/>
          <w:sz w:val="24"/>
          <w:szCs w:val="24"/>
        </w:rPr>
        <w:t>(Fitza, 2017; Quigley &amp; Graffin, 2017)</w:t>
      </w:r>
      <w:r w:rsidRPr="00B301B0">
        <w:rPr>
          <w:kern w:val="0"/>
          <w:sz w:val="24"/>
          <w:szCs w:val="24"/>
        </w:rPr>
        <w:fldChar w:fldCharType="end"/>
      </w:r>
      <w:r w:rsidRPr="00B301B0">
        <w:rPr>
          <w:kern w:val="0"/>
          <w:sz w:val="24"/>
          <w:szCs w:val="24"/>
        </w:rPr>
        <w:t xml:space="preserve">. Finally, I follow Meyer-Doyle et al. (2019) and derive a relative MNE effect by dividing the resultant MNE effect by the subsidiary effect. </w:t>
      </w:r>
    </w:p>
    <w:p w14:paraId="180F31BE"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Due to computational limitations, I am unable to run the entire model at once. Running a matrix of approximately 400,000 observations is demanding, and most computer software is unable to conduct a variance decomposition analysis on such a large dataset.</w:t>
      </w:r>
      <w:r w:rsidRPr="00B301B0">
        <w:rPr>
          <w:kern w:val="0"/>
          <w:sz w:val="24"/>
          <w:szCs w:val="24"/>
          <w:vertAlign w:val="superscript"/>
        </w:rPr>
        <w:footnoteReference w:customMarkFollows="1" w:id="14"/>
        <w:t>5</w:t>
      </w:r>
      <w:r w:rsidRPr="00B301B0">
        <w:rPr>
          <w:kern w:val="0"/>
          <w:sz w:val="24"/>
          <w:szCs w:val="24"/>
        </w:rPr>
        <w:t xml:space="preserve"> I thus follow prior studies (Fitza, 2014; Fitza &amp; Tihanyi, 2017) and employ a random sampling procedure, where I create 20 random subsamples, each containing 5% of my dataset (approximately 25,000 observations each). I run the analysis on each subsample and aggregate the results. However, for some post-hoc subgroup analyses below, I did not use this random sample approach as some of the subgroups were small enough; in these subsamples, I were able to use the majority or all (75-100%) of each subgroup for my analyses. </w:t>
      </w:r>
    </w:p>
    <w:p w14:paraId="19F3F29C" w14:textId="77777777" w:rsidR="00B301B0" w:rsidRPr="00B301B0" w:rsidRDefault="00B301B0" w:rsidP="00B301B0">
      <w:pPr>
        <w:widowControl/>
        <w:overflowPunct/>
        <w:autoSpaceDE/>
        <w:autoSpaceDN/>
        <w:adjustRightInd/>
        <w:spacing w:line="480" w:lineRule="auto"/>
        <w:ind w:left="720"/>
        <w:jc w:val="center"/>
        <w:rPr>
          <w:b/>
          <w:bCs/>
          <w:kern w:val="0"/>
          <w:sz w:val="24"/>
          <w:szCs w:val="24"/>
        </w:rPr>
      </w:pPr>
    </w:p>
    <w:p w14:paraId="3EAF0112"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RESULTS</w:t>
      </w:r>
    </w:p>
    <w:p w14:paraId="5AC8E46E"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The main results are presented in Table 4. The table includes two models, namely a base model and a model accounting for serial correlation in the dependent variable (</w:t>
      </w:r>
      <w:r w:rsidRPr="00B301B0">
        <w:rPr>
          <w:rFonts w:ascii="Times New Roman Symbol" w:hAnsi="Times New Roman Symbol"/>
          <w:i/>
          <w:kern w:val="0"/>
          <w:sz w:val="24"/>
          <w:szCs w:val="24"/>
        </w:rPr>
        <w:t>r</w:t>
      </w:r>
      <w:r w:rsidRPr="00B301B0">
        <w:rPr>
          <w:i/>
          <w:kern w:val="0"/>
          <w:sz w:val="24"/>
          <w:szCs w:val="24"/>
        </w:rPr>
        <w:t>,</w:t>
      </w:r>
      <w:r w:rsidRPr="00B301B0">
        <w:rPr>
          <w:kern w:val="0"/>
          <w:sz w:val="24"/>
          <w:szCs w:val="24"/>
        </w:rPr>
        <w:t xml:space="preserve"> the coefficient for the rate of persistence is 0.19). I first note that both the MNE and subsidiary effects are statistically different from zero (p </w:t>
      </w:r>
      <w:r w:rsidRPr="00B301B0">
        <w:rPr>
          <w:kern w:val="0"/>
          <w:sz w:val="24"/>
          <w:szCs w:val="24"/>
        </w:rPr>
        <w:sym w:font="Symbol" w:char="F0A3"/>
      </w:r>
      <w:r w:rsidRPr="00B301B0">
        <w:rPr>
          <w:kern w:val="0"/>
          <w:sz w:val="24"/>
          <w:szCs w:val="24"/>
        </w:rPr>
        <w:t xml:space="preserve"> 0.001) across all models, consistent with expectations. In Model 2, I find that the </w:t>
      </w:r>
      <w:r w:rsidRPr="00B301B0">
        <w:rPr>
          <w:i/>
          <w:iCs/>
          <w:kern w:val="0"/>
          <w:sz w:val="24"/>
          <w:szCs w:val="24"/>
        </w:rPr>
        <w:t>subsidiary effect</w:t>
      </w:r>
      <w:r w:rsidRPr="00B301B0">
        <w:rPr>
          <w:kern w:val="0"/>
          <w:sz w:val="24"/>
          <w:szCs w:val="24"/>
        </w:rPr>
        <w:t> explains 36.47% of foreign subsidiary performance variance, while the </w:t>
      </w:r>
      <w:r w:rsidRPr="00B301B0">
        <w:rPr>
          <w:i/>
          <w:iCs/>
          <w:kern w:val="0"/>
          <w:sz w:val="24"/>
          <w:szCs w:val="24"/>
        </w:rPr>
        <w:t>MNE effect </w:t>
      </w:r>
      <w:r w:rsidRPr="00B301B0">
        <w:rPr>
          <w:kern w:val="0"/>
          <w:sz w:val="24"/>
          <w:szCs w:val="24"/>
        </w:rPr>
        <w:t xml:space="preserve">explains only 6.07%, suggesting a relative MNE effect of 0.17. I also find significant industry (3.42%), host country (0.96%) and home country (0.84%) effects, while the year effect (0.18%) is statistically insignificant at conventional levels. Hence, while both the MNE and subsidiary effects are important, being the most salient drivers, the subsidiary effect is substantially more salient in explaining subsidiary performance variability. </w:t>
      </w:r>
    </w:p>
    <w:p w14:paraId="67F04872"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08181A41"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w:t>
      </w:r>
      <w:r w:rsidRPr="00B301B0">
        <w:rPr>
          <w:i/>
          <w:iCs/>
          <w:kern w:val="0"/>
          <w:sz w:val="24"/>
          <w:szCs w:val="24"/>
        </w:rPr>
        <w:t>Insert Table 4 here</w:t>
      </w:r>
      <w:r w:rsidRPr="00B301B0">
        <w:rPr>
          <w:kern w:val="0"/>
          <w:sz w:val="24"/>
          <w:szCs w:val="24"/>
        </w:rPr>
        <w:t>---</w:t>
      </w:r>
    </w:p>
    <w:p w14:paraId="1FB3E51D" w14:textId="77777777" w:rsidR="00B301B0" w:rsidRPr="00B301B0" w:rsidRDefault="00B301B0" w:rsidP="00B301B0">
      <w:pPr>
        <w:widowControl/>
        <w:overflowPunct/>
        <w:autoSpaceDE/>
        <w:autoSpaceDN/>
        <w:adjustRightInd/>
        <w:spacing w:line="480" w:lineRule="auto"/>
        <w:ind w:left="720"/>
        <w:jc w:val="center"/>
        <w:rPr>
          <w:kern w:val="0"/>
          <w:sz w:val="24"/>
          <w:szCs w:val="24"/>
        </w:rPr>
      </w:pPr>
    </w:p>
    <w:p w14:paraId="53695789" w14:textId="77777777" w:rsidR="00B301B0" w:rsidRPr="00B301B0" w:rsidRDefault="00B301B0" w:rsidP="00B301B0">
      <w:pPr>
        <w:widowControl/>
        <w:overflowPunct/>
        <w:autoSpaceDE/>
        <w:autoSpaceDN/>
        <w:adjustRightInd/>
        <w:spacing w:line="480" w:lineRule="auto"/>
        <w:ind w:left="720"/>
        <w:jc w:val="both"/>
        <w:rPr>
          <w:bCs/>
          <w:i/>
          <w:iCs/>
          <w:kern w:val="0"/>
          <w:sz w:val="24"/>
          <w:szCs w:val="24"/>
        </w:rPr>
      </w:pPr>
      <w:r w:rsidRPr="00B301B0">
        <w:rPr>
          <w:bCs/>
          <w:i/>
          <w:iCs/>
          <w:kern w:val="0"/>
          <w:sz w:val="24"/>
          <w:szCs w:val="24"/>
        </w:rPr>
        <w:t>Post-hoc analyses</w:t>
      </w:r>
    </w:p>
    <w:p w14:paraId="0B4FFFFC"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Following my earlier emphasis on the potential role of subsidiary characteristics in altering the relative importance of effect sizes, I go a step further and examine potential theory-based contingencies. That is, using IB literature as my guide, I conducted a series of additional analyses to examine how the subsidiary and MNE effects may vary across subsamples of subsidiaries. </w:t>
      </w:r>
    </w:p>
    <w:p w14:paraId="171C1887"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First, prior literature suggests that the MNE effect may be contingent upon initial founding conditions of the foreign subsidiary (e.g., Martinez &amp; Jarillo, 1989; Birkinshaw &amp; Hood, 1998). In particular, Slangen and Hennart (2008) argue that each subsidiary’s entry mode will be associated with distinct sets of activities, firm behaviors, and trajectories. For instance, an MNE may be more involved in greenfield subsidiary operations due to the natural relationship between the two (Harzing, 2002), and it may create more pronounced imprints on such subsidiaries relative to acquired subsidiaries (Marquis &amp; Tilcsik, 2013). On the other hand, the MNE effect may be more considerable in an acquired subsidiary because MNEs may often attempt to “fix-up-and-keep” the subsidiary (Allred, Boal &amp; Holstein, 2005). To examine the potential implications of the establishment mode, I split subsidiaries into two groups: greenfield and acquired subsidiaries. The results are presented in Table 5. In Model 3, I find that for acquired subsidiaries, the </w:t>
      </w:r>
      <w:r w:rsidRPr="00B301B0">
        <w:rPr>
          <w:iCs/>
          <w:kern w:val="0"/>
          <w:sz w:val="24"/>
          <w:szCs w:val="24"/>
        </w:rPr>
        <w:t>subsidiary</w:t>
      </w:r>
      <w:r w:rsidRPr="00B301B0">
        <w:rPr>
          <w:kern w:val="0"/>
          <w:sz w:val="24"/>
          <w:szCs w:val="24"/>
        </w:rPr>
        <w:t> effect (17.29%) is considerably less salient than the </w:t>
      </w:r>
      <w:r w:rsidRPr="00B301B0">
        <w:rPr>
          <w:iCs/>
          <w:kern w:val="0"/>
          <w:sz w:val="24"/>
          <w:szCs w:val="24"/>
        </w:rPr>
        <w:t>MNE</w:t>
      </w:r>
      <w:r w:rsidRPr="00B301B0">
        <w:rPr>
          <w:kern w:val="0"/>
          <w:sz w:val="24"/>
          <w:szCs w:val="24"/>
        </w:rPr>
        <w:t> effect (29.34%). Meanwhile, the </w:t>
      </w:r>
      <w:r w:rsidRPr="00B301B0">
        <w:rPr>
          <w:iCs/>
          <w:kern w:val="0"/>
          <w:sz w:val="24"/>
          <w:szCs w:val="24"/>
        </w:rPr>
        <w:t>subsidiary effect</w:t>
      </w:r>
      <w:r w:rsidRPr="00B301B0">
        <w:rPr>
          <w:kern w:val="0"/>
          <w:sz w:val="24"/>
          <w:szCs w:val="24"/>
        </w:rPr>
        <w:t> for greenfield subsidiaries is 38.12%, while the </w:t>
      </w:r>
      <w:r w:rsidRPr="00B301B0">
        <w:rPr>
          <w:iCs/>
          <w:kern w:val="0"/>
          <w:sz w:val="24"/>
          <w:szCs w:val="24"/>
        </w:rPr>
        <w:t>MNE effect</w:t>
      </w:r>
      <w:r w:rsidRPr="00B301B0">
        <w:rPr>
          <w:kern w:val="0"/>
          <w:sz w:val="24"/>
          <w:szCs w:val="24"/>
        </w:rPr>
        <w:t> is 7.17%, suggesting a 0.19 relative effect. Thus, the establishment mode of the foreign subsidiary plays a considerable role in determining the relative importance of the two effects, with the MNE effect being substantially more important for acquired subsidiaries.</w:t>
      </w:r>
      <w:r w:rsidRPr="00B301B0">
        <w:rPr>
          <w:kern w:val="0"/>
          <w:sz w:val="24"/>
          <w:szCs w:val="24"/>
          <w:vertAlign w:val="superscript"/>
        </w:rPr>
        <w:footnoteReference w:customMarkFollows="1" w:id="15"/>
        <w:t>6</w:t>
      </w:r>
      <w:r w:rsidRPr="00B301B0">
        <w:rPr>
          <w:kern w:val="0"/>
          <w:sz w:val="24"/>
          <w:szCs w:val="24"/>
        </w:rPr>
        <w:t xml:space="preserve"> This nuance cannot be seen in the main results because the vast majority of subsidiaries are greenfield subsidiaries, thus masking the different effects for acquired subsidiaries in average MNE effect size.  </w:t>
      </w:r>
    </w:p>
    <w:p w14:paraId="2BE5AC71"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p>
    <w:p w14:paraId="251523C6"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r w:rsidRPr="00B301B0">
        <w:rPr>
          <w:i/>
          <w:kern w:val="0"/>
          <w:sz w:val="24"/>
          <w:szCs w:val="24"/>
        </w:rPr>
        <w:t>---</w:t>
      </w:r>
      <w:r w:rsidRPr="00B301B0">
        <w:rPr>
          <w:i/>
          <w:iCs/>
          <w:kern w:val="0"/>
          <w:sz w:val="24"/>
          <w:szCs w:val="24"/>
        </w:rPr>
        <w:t>Insert Table 5 here</w:t>
      </w:r>
      <w:r w:rsidRPr="00B301B0">
        <w:rPr>
          <w:i/>
          <w:kern w:val="0"/>
          <w:sz w:val="24"/>
          <w:szCs w:val="24"/>
        </w:rPr>
        <w:t>---</w:t>
      </w:r>
    </w:p>
    <w:p w14:paraId="370A29AA"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p>
    <w:p w14:paraId="1BED2438"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ab/>
        <w:t xml:space="preserve">Second, prior literature suggests that subsidiaries evolve over time; as they develop their own resources, capabilities, and competitive advantages, they may reduce their dependence on the MNE (Ghoshal &amp; Bartlett, 1990; Birkinshaw, Hood &amp; Young, 2005). Intuitively, this suggests that the performance of older subsidiaries may be less affected by the MNE (Nell &amp; Ambos, 2013). Accordingly, I probed the role of subsidiary age. In Model 5, I sample subsidiaries that are younger than five years and find, again, that the subsidiary effect (36.94%) is more salient than the MNE effect (19.87%), but because of the larger MNE effect, the relative MNE effect is 0.54 compared to 0.16 in the main results (model 2). However, it may be that this age threshold of five years is too low, especially for more traditional, slow-growth industries; therefore, I ran two additional tests. First, for subsidiaries aged between five and ten years (Model 6), the MNE effect (18.58%) is relatively less salient than the subsidiary effect (39.79%), with the relative effect size being 0.47. In Model 7, I sample those subsidiaries ten years and older and find the MNE effect is 8.78%, and the subsidiary effect is 37.64%. Accordingly, there is a clear pattern associated with the subsidiary age groupings, and the MNE appears to be relatively more important during the first five to ten years of a subsidiary. Regarding industry differences, I examined subsamples of manufacturing and service subsidiaries and observed no discernible differences in the MNE and subsidiary effects. </w:t>
      </w:r>
    </w:p>
    <w:p w14:paraId="73933A6D"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Third, as previously mentioned, there may also be explanations at the MNE-subsidiary interface that could explain foreign subsidiary performance variability. In particular, as the MNE expands its network of foreign subsidiaries across geographic markets, the scope and diversity of the network may affect the allocation of headquarters attention and speed in decision-making processes, suggesting lesser relative importance of the MNE (Rugman &amp; Verbeke, 2001; Bouquet &amp; Birkinshaw, 2008). Conversely, smaller MNEs may have a greater opportunity to be involved in local operations, implying a relatively larger MNE effect on foreign subsidiary performance.  Accordingly, I create four subsamples (quartiles) of subsidiaries based on their MNE network size.</w:t>
      </w:r>
      <w:r w:rsidRPr="00B301B0">
        <w:rPr>
          <w:kern w:val="0"/>
          <w:sz w:val="24"/>
          <w:szCs w:val="24"/>
          <w:vertAlign w:val="superscript"/>
        </w:rPr>
        <w:footnoteReference w:customMarkFollows="1" w:id="16"/>
        <w:t>7</w:t>
      </w:r>
      <w:r w:rsidRPr="00B301B0">
        <w:rPr>
          <w:kern w:val="0"/>
          <w:sz w:val="24"/>
          <w:szCs w:val="24"/>
        </w:rPr>
        <w:t xml:space="preserve"> Going sequentially from Model 8 to Model 11 (Table 4), I see that the MNE effect decreases from 11.82% to 4.19%, while the subsidiary effect increases from 32.17% to 40.15%. This pattern suggests that the MNE effect becomes less important as the MNE network size gets larger.</w:t>
      </w:r>
    </w:p>
    <w:p w14:paraId="72356FBD" w14:textId="77777777" w:rsidR="00B301B0" w:rsidRPr="00B301B0" w:rsidRDefault="00B301B0" w:rsidP="00B301B0">
      <w:pPr>
        <w:widowControl/>
        <w:overflowPunct/>
        <w:autoSpaceDE/>
        <w:autoSpaceDN/>
        <w:adjustRightInd/>
        <w:spacing w:line="480" w:lineRule="auto"/>
        <w:ind w:left="720"/>
        <w:jc w:val="both"/>
        <w:rPr>
          <w:b/>
          <w:i/>
          <w:iCs/>
          <w:kern w:val="0"/>
          <w:sz w:val="24"/>
          <w:szCs w:val="24"/>
        </w:rPr>
      </w:pPr>
    </w:p>
    <w:p w14:paraId="070CA784" w14:textId="77777777" w:rsidR="00B301B0" w:rsidRPr="00B301B0" w:rsidRDefault="00B301B0" w:rsidP="00B301B0">
      <w:pPr>
        <w:widowControl/>
        <w:overflowPunct/>
        <w:autoSpaceDE/>
        <w:autoSpaceDN/>
        <w:adjustRightInd/>
        <w:spacing w:line="480" w:lineRule="auto"/>
        <w:ind w:left="720"/>
        <w:jc w:val="both"/>
        <w:rPr>
          <w:bCs/>
          <w:i/>
          <w:iCs/>
          <w:kern w:val="0"/>
          <w:sz w:val="24"/>
          <w:szCs w:val="24"/>
        </w:rPr>
      </w:pPr>
      <w:r w:rsidRPr="00B301B0">
        <w:rPr>
          <w:bCs/>
          <w:i/>
          <w:iCs/>
          <w:kern w:val="0"/>
          <w:sz w:val="24"/>
          <w:szCs w:val="24"/>
        </w:rPr>
        <w:t>Sensitivity analyses</w:t>
      </w:r>
    </w:p>
    <w:p w14:paraId="0B831E3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In addition to the subsample analyses, I also conducted a variety of sensitivity analyses. In Table 6, I summarize these additional tests. As previously mentioned, several recent variance decomposition analyses have used MLM (e.g., Krause et al., 2019; Meyer-Doyle et al., 2019); however, these studies had a clear, hierarchical structure to their datasets. My data is not well-suited for the use of MLM, but I ran MLM with my full sample, where I introduce the year, industry, host and home country, MNE, and subsidiary effects at the same level (Sohl et al., 2018). I found that the </w:t>
      </w:r>
      <w:r w:rsidRPr="00B301B0">
        <w:rPr>
          <w:iCs/>
          <w:kern w:val="0"/>
          <w:sz w:val="24"/>
          <w:szCs w:val="24"/>
        </w:rPr>
        <w:t>MNE</w:t>
      </w:r>
      <w:r w:rsidRPr="00B301B0">
        <w:rPr>
          <w:kern w:val="0"/>
          <w:sz w:val="24"/>
          <w:szCs w:val="24"/>
        </w:rPr>
        <w:t xml:space="preserve"> effect and the </w:t>
      </w:r>
      <w:r w:rsidRPr="00B301B0">
        <w:rPr>
          <w:iCs/>
          <w:kern w:val="0"/>
          <w:sz w:val="24"/>
          <w:szCs w:val="24"/>
        </w:rPr>
        <w:t>subsidiary effects</w:t>
      </w:r>
      <w:r w:rsidRPr="00B301B0">
        <w:rPr>
          <w:kern w:val="0"/>
          <w:sz w:val="24"/>
          <w:szCs w:val="24"/>
        </w:rPr>
        <w:t xml:space="preserve"> using MLM were 5.26% and 35.48%, respectively, which is comparable to my main analysis. Thus, my analyses are not sensitive to my analytical technique. </w:t>
      </w:r>
    </w:p>
    <w:p w14:paraId="4029E9DC"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p>
    <w:p w14:paraId="22FD6F45" w14:textId="77777777" w:rsidR="00B301B0" w:rsidRPr="00B301B0" w:rsidRDefault="00B301B0" w:rsidP="00B301B0">
      <w:pPr>
        <w:widowControl/>
        <w:overflowPunct/>
        <w:autoSpaceDE/>
        <w:autoSpaceDN/>
        <w:adjustRightInd/>
        <w:spacing w:line="480" w:lineRule="auto"/>
        <w:ind w:left="720"/>
        <w:jc w:val="center"/>
        <w:rPr>
          <w:i/>
          <w:kern w:val="0"/>
          <w:sz w:val="24"/>
          <w:szCs w:val="24"/>
        </w:rPr>
      </w:pPr>
      <w:r w:rsidRPr="00B301B0">
        <w:rPr>
          <w:i/>
          <w:kern w:val="0"/>
          <w:sz w:val="24"/>
          <w:szCs w:val="24"/>
        </w:rPr>
        <w:t>---</w:t>
      </w:r>
      <w:r w:rsidRPr="00B301B0">
        <w:rPr>
          <w:i/>
          <w:iCs/>
          <w:kern w:val="0"/>
          <w:sz w:val="24"/>
          <w:szCs w:val="24"/>
        </w:rPr>
        <w:t>Insert Table 6 here</w:t>
      </w:r>
      <w:r w:rsidRPr="00B301B0">
        <w:rPr>
          <w:i/>
          <w:kern w:val="0"/>
          <w:sz w:val="24"/>
          <w:szCs w:val="24"/>
        </w:rPr>
        <w:t>---</w:t>
      </w:r>
    </w:p>
    <w:p w14:paraId="6FA27571"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ab/>
      </w:r>
    </w:p>
    <w:p w14:paraId="468065EA"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Next, in order to assess if outliers drive my results, I followed past variance decomposition studies (e.g., Quigley &amp; Graffin, 2017) and deleted observations below the 1</w:t>
      </w:r>
      <w:r w:rsidRPr="00B301B0">
        <w:rPr>
          <w:kern w:val="0"/>
          <w:sz w:val="24"/>
          <w:szCs w:val="24"/>
          <w:vertAlign w:val="superscript"/>
        </w:rPr>
        <w:t>st</w:t>
      </w:r>
      <w:r w:rsidRPr="00B301B0">
        <w:rPr>
          <w:kern w:val="0"/>
          <w:sz w:val="24"/>
          <w:szCs w:val="24"/>
        </w:rPr>
        <w:t xml:space="preserve"> and above the 99</w:t>
      </w:r>
      <w:r w:rsidRPr="00B301B0">
        <w:rPr>
          <w:kern w:val="0"/>
          <w:sz w:val="24"/>
          <w:szCs w:val="24"/>
          <w:vertAlign w:val="superscript"/>
        </w:rPr>
        <w:t>th</w:t>
      </w:r>
      <w:r w:rsidRPr="00B301B0">
        <w:rPr>
          <w:kern w:val="0"/>
          <w:sz w:val="24"/>
          <w:szCs w:val="24"/>
        </w:rPr>
        <w:t xml:space="preserve"> percentiles of my dependent variable (ROA). Doing so yields similar results to my main analysis.</w:t>
      </w:r>
      <w:r w:rsidRPr="00B301B0" w:rsidDel="001B47C5">
        <w:rPr>
          <w:kern w:val="0"/>
          <w:sz w:val="24"/>
          <w:szCs w:val="24"/>
          <w:vertAlign w:val="superscript"/>
        </w:rPr>
        <w:t xml:space="preserve"> </w:t>
      </w:r>
      <w:r w:rsidRPr="00B301B0">
        <w:rPr>
          <w:kern w:val="0"/>
          <w:sz w:val="24"/>
          <w:szCs w:val="24"/>
          <w:vertAlign w:val="superscript"/>
        </w:rPr>
        <w:footnoteReference w:customMarkFollows="1" w:id="17"/>
        <w:t>8</w:t>
      </w:r>
      <w:r w:rsidRPr="00B301B0">
        <w:rPr>
          <w:kern w:val="0"/>
          <w:sz w:val="24"/>
          <w:szCs w:val="24"/>
        </w:rPr>
        <w:t xml:space="preserve"> Finally, while ROA is the most commonly used measure to assess the performance of a firm or foreign subsidiary (e.g., Ma et al., 2013), I used the full sample and decomposed foreign subsidiary performance using alternative dependent variables: return on equity (ROE) and return on capital employed (ROCE) (Sohl et al., 2018). ROE captures how effectively a subsidiary is in using its owners’ equity to create profits or the extent to which it is unable to offset what it owes, and ROCE captures a subsidiary’s profitability and efficiency in the use of capital. As Table 5 indicates, the use of these different dependent variables does not substantively change the results, including when I remove outliers similar to my procedure for ROA described above. </w:t>
      </w:r>
    </w:p>
    <w:p w14:paraId="46D29135" w14:textId="77777777" w:rsidR="00B301B0" w:rsidRPr="00B301B0" w:rsidRDefault="00B301B0" w:rsidP="00B301B0">
      <w:pPr>
        <w:widowControl/>
        <w:overflowPunct/>
        <w:autoSpaceDE/>
        <w:autoSpaceDN/>
        <w:adjustRightInd/>
        <w:spacing w:line="480" w:lineRule="auto"/>
        <w:ind w:left="720"/>
        <w:jc w:val="center"/>
        <w:rPr>
          <w:b/>
          <w:bCs/>
          <w:kern w:val="0"/>
          <w:sz w:val="24"/>
          <w:szCs w:val="24"/>
        </w:rPr>
      </w:pPr>
    </w:p>
    <w:p w14:paraId="171977DF"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DISCUSSION</w:t>
      </w:r>
    </w:p>
    <w:p w14:paraId="471862C7"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In their variance decomposition study, Ma et al. (2013: 68) noted that “The question of what explains the heterogeneity of foreign subsidiary performance is related to one of the big questions for the international business field ‘What determines the international success and failure of firms?’ In my study, I probed a key aspect of said heterogeneity, namely the relative importance of the MNE and the subsidiary to foreign subsidiary performance. I leveraged a comprehensive dataset of over 51,000 wholly owned foreign subsidiaries of 6,122 MNEs during the period 2010-2018, to decompose foreign subsidiary performance into classes of effects. At the aggregate, and while controlling for a multitude of effects known from past variance decomposition studies to explain variability in subsidiary performance, I find that both the MNE and the subsidiary effects are non-trivial, consistent with theoretical expectations. However, more importantly, the subsidiary effect is substantially more salient than the MNE effect in relative terms. I further uncover contingencies to this pattern, such that the opposite is the case in certain contexts. My findings have several implications for IB research and theory. </w:t>
      </w:r>
    </w:p>
    <w:p w14:paraId="0D92520D" w14:textId="77777777" w:rsidR="00B301B0" w:rsidRPr="00B301B0" w:rsidRDefault="00B301B0" w:rsidP="00B301B0">
      <w:pPr>
        <w:widowControl/>
        <w:overflowPunct/>
        <w:autoSpaceDE/>
        <w:autoSpaceDN/>
        <w:adjustRightInd/>
        <w:spacing w:line="480" w:lineRule="auto"/>
        <w:ind w:left="720"/>
        <w:jc w:val="both"/>
        <w:rPr>
          <w:b/>
          <w:bCs/>
          <w:i/>
          <w:iCs/>
          <w:kern w:val="0"/>
          <w:sz w:val="24"/>
          <w:szCs w:val="24"/>
        </w:rPr>
      </w:pPr>
    </w:p>
    <w:p w14:paraId="41626376" w14:textId="77777777" w:rsidR="00B301B0" w:rsidRPr="00B301B0" w:rsidRDefault="00B301B0" w:rsidP="00B301B0">
      <w:pPr>
        <w:widowControl/>
        <w:overflowPunct/>
        <w:autoSpaceDE/>
        <w:autoSpaceDN/>
        <w:adjustRightInd/>
        <w:spacing w:line="480" w:lineRule="auto"/>
        <w:ind w:left="720"/>
        <w:jc w:val="both"/>
        <w:rPr>
          <w:i/>
          <w:iCs/>
          <w:kern w:val="0"/>
          <w:sz w:val="24"/>
          <w:szCs w:val="24"/>
        </w:rPr>
      </w:pPr>
      <w:r w:rsidRPr="00B301B0">
        <w:rPr>
          <w:i/>
          <w:iCs/>
          <w:kern w:val="0"/>
          <w:sz w:val="24"/>
          <w:szCs w:val="24"/>
        </w:rPr>
        <w:t>Implications for research</w:t>
      </w:r>
    </w:p>
    <w:p w14:paraId="768E7C2E"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Existing research provides theoretical and empirical insights into the importance of either the MNE or the subsidiary in explaining subsidiary performance. However, these studies probed specific features of the MNE or the subsidiary (see Table 1) and, thus, did not compare the overall effect classes, or they focused on location effects (see Table 2). While some of these studies did include MNE or subsidiary effects, they used very specific samples, limited, for example, to China or the US as the host/home county (e.g., Chan et al., 2010), or focusing on only a handful of MNEs (e.g., Christmann et al., 1999). My study complements these studies by explicitly focusing on the MNE and subsidiary effects in a more globally comprehensive dataset. Theoretically, I combine insights from two central perspectives in IB theory in order to focus on the relative size of the MNE and subsidiary effects. Empirically, I use a large representative sample that crosses multiple host and home countries, thereby providing robust evidence for the salience of the respective research streams. </w:t>
      </w:r>
    </w:p>
    <w:p w14:paraId="533EFA81"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Menz et al. (2015: 640) argue that “both streams study the same elephant, but rely on different approaches to look at different aspects of the phenomenon”. For example, traditional internalization theory suggests that the MNE possesses ownership advantages and can deploy them in foreign locations by internalizing foreign markets (Dunning, 1980). At the same time, the contemporary MNE operates in multiple geographic markets, making it difficult to internalize all activities in foreign locations. Hence, the semi-autonomous subsidiary may take on an increasingly important role in developing resources, capabilities, and competitive advantages (Geleilate et al., 2019). My study indicates that the latter view is relatively more salient to explaining subsidiary performance variability, such that subsidiary-specific differences account for more variance than MNE-specific differences.</w:t>
      </w:r>
    </w:p>
    <w:p w14:paraId="321D0234"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           However, I differentiate among types of subsidiaries and show that the MNE may have differential effects in explaining subsidiary performance variability (Martinez &amp; Jarillo, 1989; Birkinshaw &amp; Hood, 1998). Specifically, I introduce several key founding and contextual conditions that may shape subsidiary and MNE effects, namely subsidiary establishment mode, subsidiary age, and its MNE network size. I see the introduction of such contingencies to be an important probe into the salience of various theoretical perspectives, particularly given the level of analysis at which they are applied. For example, I find that the relative MNE effect for acquired subsidiaries is the largest across all my analyses. From an agency theory perspective, which concerns the alignment of subsidiaries to MNE goals, acquired subsidiaries have different founding characteristics (Marquis &amp; Tilcsik, 2013), making the MNE’s task to integrate and align subsidiary operations more difficult. In comparison, greenfield subsidiaries are a part of an MNE from inception, and thus key differences in the MNE’s acquisition integration capabilities and experience will be less pertinent. Nevertheless, IB research has mostly overlooked such MNE-specific characteristics, instead focusing on country-specific (Yiu &amp; Makino, 2002) and subsidiary features (Slangen &amp; Hennart, 2008). Thus, a broader implication of this study is that examining MNE-level differences, rather than differences in acquired firms and their contexts, might be more fruitful when examining the long-term success of subsidiaries originating in cross-border acquisitions. </w:t>
      </w:r>
    </w:p>
    <w:p w14:paraId="1DEA487A" w14:textId="77777777" w:rsidR="00B301B0" w:rsidRPr="00B301B0" w:rsidRDefault="00B301B0" w:rsidP="00B301B0">
      <w:pPr>
        <w:widowControl/>
        <w:overflowPunct/>
        <w:autoSpaceDE/>
        <w:autoSpaceDN/>
        <w:adjustRightInd/>
        <w:spacing w:line="480" w:lineRule="auto"/>
        <w:ind w:left="720"/>
        <w:rPr>
          <w:kern w:val="0"/>
          <w:sz w:val="24"/>
          <w:szCs w:val="24"/>
        </w:rPr>
      </w:pPr>
      <w:r w:rsidRPr="00B301B0">
        <w:rPr>
          <w:kern w:val="0"/>
          <w:sz w:val="24"/>
          <w:szCs w:val="24"/>
        </w:rPr>
        <w:t xml:space="preserve">          Similarly, I also find patterns associated with subsidiary age whereby the MNE is relatively more salient during the first five to ten years of a subsidiary’s lifecycle. Younger subsidiaries often reflect a nascent accumulation of resources and capabilities and thus may suffer from liability of newness in their local markets (Rabbiosi &amp; Santangelo, 2013), which requires them to rely on their parent MNE for initial support. Comparatively, older subsidiaries often have more accumulated resources and can more easily navigate their environments independent of their MNE. Accordingly, my study suggests boundary conditions to existing resource-based theories and internalization arguments (e.g., Rugman &amp; Verbeke, 2001), which may be most salient during the initial start-up years of a subsidiary. In essence, as the subsidiary matures, it increasingly takes “complete control of its own destiny” (Birkinshaw &amp; Hood, 1998: 778), thereby making subsidiary-level explanations such as a subsidiary’s engagement with its local institutional environment more salient.</w:t>
      </w:r>
    </w:p>
    <w:p w14:paraId="3FEB4404" w14:textId="277F75E9"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Results pertaining to a subsidiary’s MNE network size also provide an important glimpse into the relative importance of the MNE to subsidiary performance, with the MNE effect being less salient for large MNE networks than that of small MNEs. Considering prior research, this finding might reflect the importance of theories such as the attention-based view from the perspective of the MNE, and resource dependence at the subsidiary-level to explaining subsidiary performance. For instance, MNE attention is a scarce and critical resource, especially for large, geographically dispersed MNEs (Bouquet &amp; Birkinshaw, 2008). With increasing MNE size and thus operations in multiple geographic and product markets, it becomes difficult for MNEs to allocate attention effectively. In contrast, smaller MNEs may be more easily able to allocate attention and thus influence local subsidiary operations, which may be reflected in a subsidiary’s strategy. Relatedly, the MNE has a greater opportunity to hold key resources and thus control subsidiary operations, which limits a subsidiary’s decision-making latitude and increases dependence on its parent MNE. Hence, my study suggests that the explanatory power of both MNE- and subsidiary-focused theories may depend on the size of the MNE, </w:t>
      </w:r>
      <w:r w:rsidR="001854FB">
        <w:rPr>
          <w:kern w:val="0"/>
          <w:sz w:val="24"/>
          <w:szCs w:val="24"/>
        </w:rPr>
        <w:t>whereby</w:t>
      </w:r>
      <w:r w:rsidRPr="00B301B0">
        <w:rPr>
          <w:kern w:val="0"/>
          <w:sz w:val="24"/>
          <w:szCs w:val="24"/>
        </w:rPr>
        <w:t xml:space="preserve"> MNE-focused explanation </w:t>
      </w:r>
      <w:r w:rsidR="001854FB">
        <w:rPr>
          <w:kern w:val="0"/>
          <w:sz w:val="24"/>
          <w:szCs w:val="24"/>
        </w:rPr>
        <w:t>of</w:t>
      </w:r>
      <w:r w:rsidRPr="00B301B0">
        <w:rPr>
          <w:kern w:val="0"/>
          <w:sz w:val="24"/>
          <w:szCs w:val="24"/>
        </w:rPr>
        <w:t xml:space="preserve"> subsidiary performance, such as attention and dependence mechanisms, appear relatively more salient. </w:t>
      </w:r>
    </w:p>
    <w:p w14:paraId="3F9D232C"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 xml:space="preserve">Using such contingencies helps to shed light on the different levels of influence the MNE may have on foreign subsidiary performance. These contingencies suggest that different theoretical explanations of subsidiary performance may apply to different types of subsidiaries. Hence, and in returning to the non-trivial tension between the MNE and subsidiary perspectives I explicated in the beginning of this paper, a potential resolution to such tension may be in more seriously considering subsidiary heterogeneity in many of the theories I apply to explain subsidiary performance or, more broadly, MNE success in foreign locations. While, at first glance, the two views imply lesser importance of the other, the results of this study suggest this does not have to be the case. Indeed, both views can co-exist, but not for the same type of subsidiary. Delineating which specific theoretical perspectives are suited for distinct types of subsidiaries at the MNE or subsidiary level of analysis is a promising avenue for future research on subsidiary performance and management.   </w:t>
      </w:r>
    </w:p>
    <w:p w14:paraId="0A5B2109" w14:textId="77777777" w:rsidR="00B301B0" w:rsidRPr="00B301B0" w:rsidRDefault="00B301B0" w:rsidP="00B301B0">
      <w:pPr>
        <w:widowControl/>
        <w:overflowPunct/>
        <w:autoSpaceDE/>
        <w:autoSpaceDN/>
        <w:adjustRightInd/>
        <w:spacing w:line="480" w:lineRule="auto"/>
        <w:ind w:left="720"/>
        <w:rPr>
          <w:b/>
          <w:bCs/>
          <w:i/>
          <w:iCs/>
          <w:kern w:val="0"/>
          <w:sz w:val="24"/>
          <w:szCs w:val="24"/>
        </w:rPr>
      </w:pPr>
    </w:p>
    <w:p w14:paraId="650F05C6" w14:textId="77777777" w:rsidR="00B301B0" w:rsidRPr="00B301B0" w:rsidRDefault="00B301B0" w:rsidP="00B301B0">
      <w:pPr>
        <w:widowControl/>
        <w:overflowPunct/>
        <w:autoSpaceDE/>
        <w:autoSpaceDN/>
        <w:adjustRightInd/>
        <w:spacing w:line="480" w:lineRule="auto"/>
        <w:ind w:left="720"/>
        <w:rPr>
          <w:i/>
          <w:iCs/>
          <w:kern w:val="0"/>
          <w:sz w:val="24"/>
          <w:szCs w:val="24"/>
        </w:rPr>
      </w:pPr>
      <w:r w:rsidRPr="00B301B0">
        <w:rPr>
          <w:i/>
          <w:iCs/>
          <w:kern w:val="0"/>
          <w:sz w:val="24"/>
          <w:szCs w:val="24"/>
        </w:rPr>
        <w:t>Implications for practice</w:t>
      </w:r>
    </w:p>
    <w:p w14:paraId="0C5D5CEB"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My study carries several important implications for managers. First, I provide MNE managers with insights into those channels most salient to determining the performance of their subsidiaries in foreign locations—put differently, I show under what conditions can MNEs affect their subsidiaries the most. Notably, I show that the MNE plays a significant role in determining its acquired subsidiary’s performance when the subsidiary is in its first five to ten years of its lifecycle. In comparison, while greenfield and older subsidiaries may benefit from its MNE, their performance variability is less affected by the MNE. Hence, decisions at the MNE-level may have more pronounced effects for certain subsidiary types, and thus MNE managers should be cognizant of their differential impacts. Second, I also suggest that the MNE effect for subsidiaries in large MNE networks is trivial in comparison to the subsidiary effect. While the MNE may provide advantages to its subsidiaries in foreign locations, it is subsidiary-specific differences that drive performance variability. To the extent that the MNE depends on the performance of its foreign subsidiaries, MNE managers may wish to focus on subsidiary characteristics and activities as opposed to those of the MNE, more broadly.</w:t>
      </w:r>
    </w:p>
    <w:p w14:paraId="74C24AA1" w14:textId="77777777" w:rsidR="00B301B0" w:rsidRPr="00B301B0" w:rsidRDefault="00B301B0" w:rsidP="00B301B0">
      <w:pPr>
        <w:widowControl/>
        <w:overflowPunct/>
        <w:autoSpaceDE/>
        <w:autoSpaceDN/>
        <w:adjustRightInd/>
        <w:spacing w:line="480" w:lineRule="auto"/>
        <w:ind w:left="720"/>
        <w:rPr>
          <w:b/>
          <w:bCs/>
          <w:i/>
          <w:iCs/>
          <w:kern w:val="0"/>
          <w:sz w:val="24"/>
          <w:szCs w:val="24"/>
        </w:rPr>
      </w:pPr>
    </w:p>
    <w:p w14:paraId="5CB60995" w14:textId="77777777" w:rsidR="00B301B0" w:rsidRPr="00B301B0" w:rsidRDefault="00B301B0" w:rsidP="00B301B0">
      <w:pPr>
        <w:widowControl/>
        <w:overflowPunct/>
        <w:autoSpaceDE/>
        <w:autoSpaceDN/>
        <w:adjustRightInd/>
        <w:spacing w:line="480" w:lineRule="auto"/>
        <w:ind w:left="720"/>
        <w:rPr>
          <w:i/>
          <w:iCs/>
          <w:kern w:val="0"/>
          <w:sz w:val="24"/>
          <w:szCs w:val="24"/>
        </w:rPr>
      </w:pPr>
      <w:r w:rsidRPr="00B301B0">
        <w:rPr>
          <w:i/>
          <w:iCs/>
          <w:kern w:val="0"/>
          <w:sz w:val="24"/>
          <w:szCs w:val="24"/>
        </w:rPr>
        <w:t>Limitations and future research</w:t>
      </w:r>
    </w:p>
    <w:p w14:paraId="4E9A8626" w14:textId="77777777" w:rsidR="00B301B0" w:rsidRPr="00B301B0" w:rsidRDefault="00B301B0" w:rsidP="00B301B0">
      <w:pPr>
        <w:widowControl/>
        <w:overflowPunct/>
        <w:autoSpaceDE/>
        <w:autoSpaceDN/>
        <w:adjustRightInd/>
        <w:spacing w:line="480" w:lineRule="auto"/>
        <w:ind w:left="720" w:firstLine="720"/>
        <w:rPr>
          <w:b/>
          <w:bCs/>
          <w:kern w:val="0"/>
          <w:sz w:val="24"/>
          <w:szCs w:val="24"/>
        </w:rPr>
      </w:pPr>
      <w:r w:rsidRPr="00B301B0">
        <w:rPr>
          <w:kern w:val="0"/>
          <w:sz w:val="24"/>
          <w:szCs w:val="24"/>
        </w:rPr>
        <w:t xml:space="preserve">Finally, this study is not without limitations. First, my analyses enabled us to assess the relative importance of the MNE and subsidiary effects to performance variability; yet, </w:t>
      </w:r>
      <w:r w:rsidRPr="00B301B0">
        <w:rPr>
          <w:bCs/>
          <w:kern w:val="0"/>
          <w:sz w:val="24"/>
          <w:szCs w:val="24"/>
        </w:rPr>
        <w:t xml:space="preserve">as with all variance decomposition studies, </w:t>
      </w:r>
      <w:r w:rsidRPr="00B301B0">
        <w:rPr>
          <w:kern w:val="0"/>
          <w:sz w:val="24"/>
          <w:szCs w:val="24"/>
        </w:rPr>
        <w:t>my study does not examine why the effect classes are of particular size—the analysis does not allow for the isolation of specific sources of variance within each effect. For example, I theorize that differences in MNE attention may yield varying levels of variance explained by an MNE effect (Bouquet &amp; Birkinshaw, 2008), but I do not capture such explanations explicitly.</w:t>
      </w:r>
      <w:r w:rsidRPr="00B301B0">
        <w:rPr>
          <w:bCs/>
          <w:kern w:val="0"/>
          <w:sz w:val="24"/>
          <w:szCs w:val="24"/>
        </w:rPr>
        <w:t xml:space="preserve"> Instead, variance decomposition studies can emphasize relative effect sizes, which, as described above, enhances my general understanding but can also be an important input into directing future research (</w:t>
      </w:r>
      <w:r w:rsidRPr="00B301B0">
        <w:rPr>
          <w:kern w:val="0"/>
          <w:sz w:val="24"/>
          <w:szCs w:val="24"/>
        </w:rPr>
        <w:t>Meyer-Doyle et al. 2019)</w:t>
      </w:r>
      <w:r w:rsidRPr="00B301B0">
        <w:rPr>
          <w:bCs/>
          <w:kern w:val="0"/>
          <w:sz w:val="24"/>
          <w:szCs w:val="24"/>
        </w:rPr>
        <w:t xml:space="preserve">. </w:t>
      </w:r>
      <w:r w:rsidRPr="00B301B0">
        <w:rPr>
          <w:kern w:val="0"/>
          <w:sz w:val="24"/>
          <w:szCs w:val="24"/>
        </w:rPr>
        <w:t xml:space="preserve">Therefore, future research can use more nuanced subsamples to understand the interplay between the MNE and subsidiary effect. The main thrust of such inquiry would extend my findings and contribute to the ongoing subsidiary management discussions. </w:t>
      </w:r>
    </w:p>
    <w:p w14:paraId="191944A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Second, although I account for serial correlation in my empirical models, subsidiary performance may be subject to environmental shocks that cannot be systematically measured. This concern is evident in the large portion of unexplained variance in the results. Keeping in line with prior variance decomposition analyses (e.g., McGahan &amp; Victer, 2010), I see an opportunity for future research to supplement my findings with more nuanced work on interactions and contextual characteristics both internal and external to the firm. As I demonstrate, subgroup analyses help to probe into the unexplained portion of subsidiary performance variability, and thus subsequent studies may again benefit from such techniques.</w:t>
      </w:r>
    </w:p>
    <w:p w14:paraId="796BCD99"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Third, there is an emergent stream of research that focuses on the use of MNE regional headquarters (e.g., Ambos &amp; Mahnke, 2010). Regional headquarters act as an arm of the global headquarters and are an additional channel by which the MNE can affect subsidiary performance differences. However, a regional headquarters performs similar tasks to the MNE headquarters, albeit with a specific geographic focus and, thus, the effect of the regional headquarters may be subsumed in the MNE effect. Nevertheless, I see a fruitful opportunity for future variance decomposition research to assess the relative importance of a regional headquarters effect.</w:t>
      </w:r>
    </w:p>
    <w:p w14:paraId="37BB6E5A" w14:textId="77777777" w:rsidR="00B301B0" w:rsidRPr="00B301B0" w:rsidRDefault="00B301B0" w:rsidP="00B301B0">
      <w:pPr>
        <w:widowControl/>
        <w:overflowPunct/>
        <w:autoSpaceDE/>
        <w:autoSpaceDN/>
        <w:adjustRightInd/>
        <w:spacing w:line="480" w:lineRule="auto"/>
        <w:ind w:left="720" w:firstLine="720"/>
        <w:rPr>
          <w:kern w:val="0"/>
          <w:sz w:val="24"/>
          <w:szCs w:val="24"/>
        </w:rPr>
      </w:pPr>
      <w:r w:rsidRPr="00B301B0">
        <w:rPr>
          <w:kern w:val="0"/>
          <w:sz w:val="24"/>
          <w:szCs w:val="24"/>
        </w:rPr>
        <w:t>Finally, while the scope of my data offers a considerable improvement over prior studies (e.g., Makino et al., 2004; Chan et al., 2010; Ma et al., 2013), it still has some shortcomings. The BvD data has a global scope but, due to differing reporting requirements, more data is available within Europe and the United States than for some other countries and regions (e.g., Africa). Thus, while it is conceivable that my dataset is quite representative of MNEs and their foreign subsidiaries, some countries are still underrepresented.  In addition, my large dataset might be subject to increased possibilities for statistical noise as I do not restrict my sample to specific operating contexts to control for potential heterogeneity. While I engaged in several, detailed cleaning steps, I acknowledge that my data may still have certain characteristics that can affect my findings. For example, a subsidiary may have recently changed its industry classification, and thus focusing on only one industry per subsidiary may result in effect over/underestimation (Guo, 2017). Future research that wishes to probe into the relative importance of an MNE and subsidiary effect may wish to control for such issues by further refining the sampling processes.</w:t>
      </w:r>
    </w:p>
    <w:p w14:paraId="11996CA6" w14:textId="46986226" w:rsidR="00B301B0" w:rsidRPr="00B301B0" w:rsidRDefault="00B301B0" w:rsidP="001854FB">
      <w:pPr>
        <w:widowControl/>
        <w:overflowPunct/>
        <w:autoSpaceDE/>
        <w:autoSpaceDN/>
        <w:adjustRightInd/>
        <w:spacing w:line="480" w:lineRule="auto"/>
        <w:ind w:left="720" w:firstLine="720"/>
        <w:rPr>
          <w:kern w:val="0"/>
          <w:sz w:val="24"/>
          <w:szCs w:val="24"/>
        </w:rPr>
      </w:pPr>
      <w:r w:rsidRPr="00B301B0">
        <w:rPr>
          <w:kern w:val="0"/>
          <w:sz w:val="24"/>
          <w:szCs w:val="24"/>
        </w:rPr>
        <w:t xml:space="preserve">Despite these limitations, my study advances understanding of how much and under what conditions the MNE matters vis-à-vis the subsidiary to foreign subsidiary performance. I provide insights into the relative effect of the MNE, demonstrating that it varies across a selected set of subsidiary characteristics. Doing so sheds light on the relevance and limits of MNE-focused and subsidiary-focused explanations of subsidiary performance. In sum, I hope that my study will propel future scholarly work </w:t>
      </w:r>
      <w:r w:rsidR="001854FB">
        <w:rPr>
          <w:kern w:val="0"/>
          <w:sz w:val="24"/>
          <w:szCs w:val="24"/>
        </w:rPr>
        <w:t>in this area.</w:t>
      </w:r>
    </w:p>
    <w:p w14:paraId="45E9EA01" w14:textId="77777777" w:rsidR="00B301B0" w:rsidRPr="00B301B0" w:rsidRDefault="00B301B0" w:rsidP="00B301B0">
      <w:pPr>
        <w:widowControl/>
        <w:overflowPunct/>
        <w:autoSpaceDE/>
        <w:autoSpaceDN/>
        <w:adjustRightInd/>
        <w:spacing w:line="480" w:lineRule="auto"/>
        <w:ind w:left="720"/>
        <w:jc w:val="center"/>
        <w:rPr>
          <w:kern w:val="0"/>
          <w:sz w:val="24"/>
          <w:szCs w:val="24"/>
        </w:rPr>
      </w:pPr>
      <w:r w:rsidRPr="00B301B0">
        <w:rPr>
          <w:kern w:val="0"/>
          <w:sz w:val="24"/>
          <w:szCs w:val="24"/>
        </w:rPr>
        <w:t xml:space="preserve">REFERENCES </w:t>
      </w:r>
      <w:r w:rsidRPr="00B301B0">
        <w:rPr>
          <w:kern w:val="0"/>
          <w:sz w:val="24"/>
          <w:szCs w:val="24"/>
          <w:vertAlign w:val="superscript"/>
        </w:rPr>
        <w:footnoteReference w:customMarkFollows="1" w:id="18"/>
        <w:t>9</w:t>
      </w:r>
    </w:p>
    <w:p w14:paraId="39C31011"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Adner, R., &amp; Helfat, C. E. (2003). Corporate effects and dynamic managerial capabilities.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24</w:t>
      </w:r>
      <w:r w:rsidRPr="00B301B0">
        <w:rPr>
          <w:color w:val="222222"/>
          <w:kern w:val="0"/>
          <w:sz w:val="24"/>
          <w:szCs w:val="24"/>
        </w:rPr>
        <w:t>(10), 1011-1025.</w:t>
      </w:r>
    </w:p>
    <w:p w14:paraId="0B4C1EA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Allred, B. B., Boal, K. B., &amp; Holstein, W. K. (2005). Corporations as stepfamilies: A new metaphor for explaining the fate of merged and acquired companies. </w:t>
      </w:r>
      <w:r w:rsidRPr="00FF4DE9">
        <w:rPr>
          <w:i/>
          <w:iCs/>
          <w:color w:val="222222"/>
          <w:kern w:val="0"/>
          <w:sz w:val="24"/>
          <w:szCs w:val="24"/>
        </w:rPr>
        <w:t>Academy of Management Perspectives</w:t>
      </w:r>
      <w:r w:rsidRPr="00B301B0">
        <w:rPr>
          <w:color w:val="222222"/>
          <w:kern w:val="0"/>
          <w:sz w:val="24"/>
          <w:szCs w:val="24"/>
        </w:rPr>
        <w:t>, </w:t>
      </w:r>
      <w:r w:rsidRPr="00FF4DE9">
        <w:rPr>
          <w:color w:val="222222"/>
          <w:kern w:val="0"/>
          <w:sz w:val="24"/>
          <w:szCs w:val="24"/>
        </w:rPr>
        <w:t>19</w:t>
      </w:r>
      <w:r w:rsidRPr="00B301B0">
        <w:rPr>
          <w:color w:val="222222"/>
          <w:kern w:val="0"/>
          <w:sz w:val="24"/>
          <w:szCs w:val="24"/>
        </w:rPr>
        <w:t>(3), 23-37.</w:t>
      </w:r>
    </w:p>
    <w:p w14:paraId="0240317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B., &amp; Mahnke, V. (2010). How do MNC headquarters add value?. </w:t>
      </w:r>
      <w:r w:rsidRPr="00FF4DE9">
        <w:rPr>
          <w:i/>
          <w:iCs/>
          <w:color w:val="222222"/>
          <w:kern w:val="0"/>
          <w:sz w:val="24"/>
          <w:szCs w:val="24"/>
        </w:rPr>
        <w:t>Management International Review</w:t>
      </w:r>
      <w:r w:rsidRPr="00B301B0">
        <w:rPr>
          <w:color w:val="222222"/>
          <w:kern w:val="0"/>
          <w:sz w:val="24"/>
          <w:szCs w:val="24"/>
        </w:rPr>
        <w:t>, </w:t>
      </w:r>
      <w:r w:rsidRPr="00FF4DE9">
        <w:rPr>
          <w:color w:val="222222"/>
          <w:kern w:val="0"/>
          <w:sz w:val="24"/>
          <w:szCs w:val="24"/>
        </w:rPr>
        <w:t>50</w:t>
      </w:r>
      <w:r w:rsidRPr="00B301B0">
        <w:rPr>
          <w:color w:val="222222"/>
          <w:kern w:val="0"/>
          <w:sz w:val="24"/>
          <w:szCs w:val="24"/>
        </w:rPr>
        <w:t>(4), 403-412.</w:t>
      </w:r>
    </w:p>
    <w:p w14:paraId="73B6DC20"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Ambos, B., Asakawa, K., &amp; Ambos, T. C. (2011). A dynamic perspective on subsidiary autonomy. </w:t>
      </w:r>
      <w:r w:rsidRPr="00FF4DE9">
        <w:rPr>
          <w:i/>
          <w:iCs/>
          <w:color w:val="222222"/>
          <w:kern w:val="0"/>
          <w:sz w:val="24"/>
          <w:szCs w:val="24"/>
        </w:rPr>
        <w:t>Global Strategy Journal</w:t>
      </w:r>
      <w:r w:rsidRPr="00B301B0">
        <w:rPr>
          <w:color w:val="222222"/>
          <w:kern w:val="0"/>
          <w:sz w:val="24"/>
          <w:szCs w:val="24"/>
        </w:rPr>
        <w:t>, </w:t>
      </w:r>
      <w:r w:rsidRPr="00FF4DE9">
        <w:rPr>
          <w:color w:val="222222"/>
          <w:kern w:val="0"/>
          <w:sz w:val="24"/>
          <w:szCs w:val="24"/>
        </w:rPr>
        <w:t>1</w:t>
      </w:r>
      <w:r w:rsidRPr="00B301B0">
        <w:rPr>
          <w:color w:val="222222"/>
          <w:kern w:val="0"/>
          <w:sz w:val="24"/>
          <w:szCs w:val="24"/>
        </w:rPr>
        <w:t>(3‐4), 301-316.</w:t>
      </w:r>
    </w:p>
    <w:p w14:paraId="4927AA6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Andersson, U., Björkman, I., &amp; Forsgren, M. (2005). Managing subsidiary knowledge creation: The effect of control mechanisms on subsidiary local embeddedness. </w:t>
      </w:r>
      <w:r w:rsidRPr="00FF4DE9">
        <w:rPr>
          <w:i/>
          <w:iCs/>
          <w:color w:val="222222"/>
          <w:kern w:val="0"/>
          <w:sz w:val="24"/>
          <w:szCs w:val="24"/>
        </w:rPr>
        <w:t>International Business Review</w:t>
      </w:r>
      <w:r w:rsidRPr="00B301B0">
        <w:rPr>
          <w:color w:val="222222"/>
          <w:kern w:val="0"/>
          <w:sz w:val="24"/>
          <w:szCs w:val="24"/>
        </w:rPr>
        <w:t>, </w:t>
      </w:r>
      <w:r w:rsidRPr="00FF4DE9">
        <w:rPr>
          <w:color w:val="222222"/>
          <w:kern w:val="0"/>
          <w:sz w:val="24"/>
          <w:szCs w:val="24"/>
        </w:rPr>
        <w:t>14</w:t>
      </w:r>
      <w:r w:rsidRPr="00B301B0">
        <w:rPr>
          <w:color w:val="222222"/>
          <w:kern w:val="0"/>
          <w:sz w:val="24"/>
          <w:szCs w:val="24"/>
        </w:rPr>
        <w:t>(5), 521-538.</w:t>
      </w:r>
    </w:p>
    <w:p w14:paraId="11C19FE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Andersson, U., Forsgren, M., &amp; Holm, U. (2002). The strategic impact of external networks: subsidiary performance and competence development in the multinational corporation.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23</w:t>
      </w:r>
      <w:r w:rsidRPr="00B301B0">
        <w:rPr>
          <w:color w:val="222222"/>
          <w:kern w:val="0"/>
          <w:sz w:val="24"/>
          <w:szCs w:val="24"/>
        </w:rPr>
        <w:t>(11), 979-996.</w:t>
      </w:r>
    </w:p>
    <w:p w14:paraId="4C20B411"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Awate, S., Larsen, M. M., &amp; Mudambi, R. (2015). Accessing vs sourcing knowledge: A comparative study of R&amp;D internationalization between emerging and advanced economy firms.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46</w:t>
      </w:r>
      <w:r w:rsidRPr="00B301B0">
        <w:rPr>
          <w:color w:val="222222"/>
          <w:kern w:val="0"/>
          <w:sz w:val="24"/>
          <w:szCs w:val="24"/>
        </w:rPr>
        <w:t>(1), 63-86.</w:t>
      </w:r>
    </w:p>
    <w:p w14:paraId="1DA8C4C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Bamiatzi, V., Bozos, K., Cavusgil, S. T., &amp; Hult, G. T. M. (2016). Revisiting the firm, industry, and country effects on profitability under recessionary and expansion periods: A multilevel analysis.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37</w:t>
      </w:r>
      <w:r w:rsidRPr="00B301B0">
        <w:rPr>
          <w:color w:val="222222"/>
          <w:kern w:val="0"/>
          <w:sz w:val="24"/>
          <w:szCs w:val="24"/>
        </w:rPr>
        <w:t>(7), 1448-1471.</w:t>
      </w:r>
    </w:p>
    <w:p w14:paraId="6E91962D"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Bartlett, C. A., &amp; Ghoshal, S. (1989). The transnational solution. </w:t>
      </w:r>
      <w:r w:rsidRPr="00FF4DE9">
        <w:rPr>
          <w:color w:val="222222"/>
          <w:kern w:val="0"/>
          <w:sz w:val="24"/>
          <w:szCs w:val="24"/>
        </w:rPr>
        <w:t>Boston: Harvard Business School</w:t>
      </w:r>
      <w:r w:rsidRPr="00B301B0">
        <w:rPr>
          <w:color w:val="222222"/>
          <w:kern w:val="0"/>
          <w:sz w:val="24"/>
          <w:szCs w:val="24"/>
        </w:rPr>
        <w:t>.</w:t>
      </w:r>
    </w:p>
    <w:p w14:paraId="623B29A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Beamish, P. W., &amp; Inkpen, A. C. (1998). Japanese firms and the decline of the Japanese expatriate. </w:t>
      </w:r>
      <w:r w:rsidRPr="00FF4DE9">
        <w:rPr>
          <w:i/>
          <w:iCs/>
          <w:color w:val="222222"/>
          <w:kern w:val="0"/>
          <w:sz w:val="24"/>
          <w:szCs w:val="24"/>
        </w:rPr>
        <w:t>Journal of World Business</w:t>
      </w:r>
      <w:r w:rsidRPr="00B301B0">
        <w:rPr>
          <w:color w:val="222222"/>
          <w:kern w:val="0"/>
          <w:sz w:val="24"/>
          <w:szCs w:val="24"/>
        </w:rPr>
        <w:t>, </w:t>
      </w:r>
      <w:r w:rsidRPr="00FF4DE9">
        <w:rPr>
          <w:color w:val="222222"/>
          <w:kern w:val="0"/>
          <w:sz w:val="24"/>
          <w:szCs w:val="24"/>
        </w:rPr>
        <w:t>33</w:t>
      </w:r>
      <w:r w:rsidRPr="00B301B0">
        <w:rPr>
          <w:color w:val="222222"/>
          <w:kern w:val="0"/>
          <w:sz w:val="24"/>
          <w:szCs w:val="24"/>
        </w:rPr>
        <w:t>(1), 35-50.</w:t>
      </w:r>
    </w:p>
    <w:p w14:paraId="12BA5F90"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Belenzon, S., Hashai, N., &amp; Patacconi, A. (2019). The architecture of attention: Group structure and subsidiary autonomy.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40</w:t>
      </w:r>
      <w:r w:rsidRPr="00B301B0">
        <w:rPr>
          <w:color w:val="222222"/>
          <w:kern w:val="0"/>
          <w:sz w:val="24"/>
          <w:szCs w:val="24"/>
        </w:rPr>
        <w:t>(10), 1610-1643.</w:t>
      </w:r>
    </w:p>
    <w:p w14:paraId="12F0D40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Beugelsdijk, S., &amp; Jindra, B. (2018). Product innovation and decision-making autonomy in subsidiaries of multinational companies. </w:t>
      </w:r>
      <w:r w:rsidRPr="00FF4DE9">
        <w:rPr>
          <w:i/>
          <w:iCs/>
          <w:color w:val="222222"/>
          <w:kern w:val="0"/>
          <w:sz w:val="24"/>
          <w:szCs w:val="24"/>
        </w:rPr>
        <w:t>Journal of World Business</w:t>
      </w:r>
      <w:r w:rsidRPr="00B301B0">
        <w:rPr>
          <w:color w:val="222222"/>
          <w:kern w:val="0"/>
          <w:sz w:val="24"/>
          <w:szCs w:val="24"/>
        </w:rPr>
        <w:t>, </w:t>
      </w:r>
      <w:r w:rsidRPr="00FF4DE9">
        <w:rPr>
          <w:color w:val="222222"/>
          <w:kern w:val="0"/>
          <w:sz w:val="24"/>
          <w:szCs w:val="24"/>
        </w:rPr>
        <w:t>53</w:t>
      </w:r>
      <w:r w:rsidRPr="00B301B0">
        <w:rPr>
          <w:color w:val="222222"/>
          <w:kern w:val="0"/>
          <w:sz w:val="24"/>
          <w:szCs w:val="24"/>
        </w:rPr>
        <w:t>(4), 529-539.</w:t>
      </w:r>
    </w:p>
    <w:p w14:paraId="3C02092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(1997). Entrepreneurship in multinational corporations: The characteristics of subsidiary initiatives.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18</w:t>
      </w:r>
      <w:r w:rsidRPr="00B301B0">
        <w:rPr>
          <w:color w:val="222222"/>
          <w:kern w:val="0"/>
          <w:sz w:val="24"/>
          <w:szCs w:val="24"/>
        </w:rPr>
        <w:t>(3), 207-229.</w:t>
      </w:r>
    </w:p>
    <w:p w14:paraId="3525C80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&amp; Hood, N. (2016). </w:t>
      </w:r>
      <w:r w:rsidRPr="00FF4DE9">
        <w:rPr>
          <w:color w:val="222222"/>
          <w:kern w:val="0"/>
          <w:sz w:val="24"/>
          <w:szCs w:val="24"/>
        </w:rPr>
        <w:t>Multinational corporate evolution and subsidiary development</w:t>
      </w:r>
      <w:r w:rsidRPr="00B301B0">
        <w:rPr>
          <w:color w:val="222222"/>
          <w:kern w:val="0"/>
          <w:sz w:val="24"/>
          <w:szCs w:val="24"/>
        </w:rPr>
        <w:t>. Springer.</w:t>
      </w:r>
    </w:p>
    <w:p w14:paraId="05778A7D"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&amp; Ridderstråle, J. (1999). Fighting the corporate immune system: A process study of subsidiary initiatives in multinational corporations. </w:t>
      </w:r>
      <w:r w:rsidRPr="00FF4DE9">
        <w:rPr>
          <w:i/>
          <w:iCs/>
          <w:color w:val="222222"/>
          <w:kern w:val="0"/>
          <w:sz w:val="24"/>
          <w:szCs w:val="24"/>
        </w:rPr>
        <w:t>International Business Review</w:t>
      </w:r>
      <w:r w:rsidRPr="00B301B0">
        <w:rPr>
          <w:color w:val="222222"/>
          <w:kern w:val="0"/>
          <w:sz w:val="24"/>
          <w:szCs w:val="24"/>
        </w:rPr>
        <w:t>, </w:t>
      </w:r>
      <w:r w:rsidRPr="00FF4DE9">
        <w:rPr>
          <w:color w:val="222222"/>
          <w:kern w:val="0"/>
          <w:sz w:val="24"/>
          <w:szCs w:val="24"/>
        </w:rPr>
        <w:t>8</w:t>
      </w:r>
      <w:r w:rsidRPr="00B301B0">
        <w:rPr>
          <w:color w:val="222222"/>
          <w:kern w:val="0"/>
          <w:sz w:val="24"/>
          <w:szCs w:val="24"/>
        </w:rPr>
        <w:t>(2), 149-180.</w:t>
      </w:r>
    </w:p>
    <w:p w14:paraId="56089DFF"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Ambos, T. C., &amp; Bouquet, C. (2017). Boundary spanning activities of corporate HQ executives insights from a longitudinal study. </w:t>
      </w:r>
      <w:r w:rsidRPr="00FF4DE9">
        <w:rPr>
          <w:i/>
          <w:iCs/>
          <w:color w:val="222222"/>
          <w:kern w:val="0"/>
          <w:sz w:val="24"/>
          <w:szCs w:val="24"/>
        </w:rPr>
        <w:t>Journal of Management Studies</w:t>
      </w:r>
      <w:r w:rsidRPr="00B301B0">
        <w:rPr>
          <w:color w:val="222222"/>
          <w:kern w:val="0"/>
          <w:sz w:val="24"/>
          <w:szCs w:val="24"/>
        </w:rPr>
        <w:t>, </w:t>
      </w:r>
      <w:r w:rsidRPr="00FF4DE9">
        <w:rPr>
          <w:color w:val="222222"/>
          <w:kern w:val="0"/>
          <w:sz w:val="24"/>
          <w:szCs w:val="24"/>
        </w:rPr>
        <w:t>54</w:t>
      </w:r>
      <w:r w:rsidRPr="00B301B0">
        <w:rPr>
          <w:color w:val="222222"/>
          <w:kern w:val="0"/>
          <w:sz w:val="24"/>
          <w:szCs w:val="24"/>
        </w:rPr>
        <w:t>(4), 422-454.</w:t>
      </w:r>
    </w:p>
    <w:p w14:paraId="23A22F8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Hood, N., &amp; Jonsson, S. (1998). Building firm‐specific advantages in multinational corporations: the role of subsidiary initiative.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19</w:t>
      </w:r>
      <w:r w:rsidRPr="00B301B0">
        <w:rPr>
          <w:color w:val="222222"/>
          <w:kern w:val="0"/>
          <w:sz w:val="24"/>
          <w:szCs w:val="24"/>
        </w:rPr>
        <w:t>(3), 221-242.</w:t>
      </w:r>
    </w:p>
    <w:p w14:paraId="200548F9" w14:textId="54ED4C99"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Birkinshaw, J., Hood, N., &amp; Young, S. (2005). Subsidiary entrepreneurship, internal and external competitive forces, and subsidiary performance. </w:t>
      </w:r>
      <w:r w:rsidRPr="00FF4DE9">
        <w:rPr>
          <w:i/>
          <w:iCs/>
          <w:color w:val="222222"/>
          <w:kern w:val="0"/>
          <w:sz w:val="24"/>
          <w:szCs w:val="24"/>
        </w:rPr>
        <w:t xml:space="preserve">International business </w:t>
      </w:r>
      <w:r w:rsidR="00FF4DE9">
        <w:rPr>
          <w:i/>
          <w:iCs/>
          <w:color w:val="222222"/>
          <w:kern w:val="0"/>
          <w:sz w:val="24"/>
          <w:szCs w:val="24"/>
        </w:rPr>
        <w:t>R</w:t>
      </w:r>
      <w:r w:rsidRPr="00FF4DE9">
        <w:rPr>
          <w:i/>
          <w:iCs/>
          <w:color w:val="222222"/>
          <w:kern w:val="0"/>
          <w:sz w:val="24"/>
          <w:szCs w:val="24"/>
        </w:rPr>
        <w:t>eview</w:t>
      </w:r>
      <w:r w:rsidRPr="00B301B0">
        <w:rPr>
          <w:color w:val="222222"/>
          <w:kern w:val="0"/>
          <w:sz w:val="24"/>
          <w:szCs w:val="24"/>
        </w:rPr>
        <w:t>, </w:t>
      </w:r>
      <w:r w:rsidRPr="00FF4DE9">
        <w:rPr>
          <w:color w:val="222222"/>
          <w:kern w:val="0"/>
          <w:sz w:val="24"/>
          <w:szCs w:val="24"/>
        </w:rPr>
        <w:t>14</w:t>
      </w:r>
      <w:r w:rsidRPr="00B301B0">
        <w:rPr>
          <w:color w:val="222222"/>
          <w:kern w:val="0"/>
          <w:sz w:val="24"/>
          <w:szCs w:val="24"/>
        </w:rPr>
        <w:t>(2), 227-248.</w:t>
      </w:r>
    </w:p>
    <w:p w14:paraId="05CD3B8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Boyd, B. K., Takacs Haynes, K., Hitt, M. A., Bergh, D. D., &amp; Ketchen Jr, D. J. (2012). Contingency hypotheses in strategic management research: Use, disuse, or misuse?. </w:t>
      </w:r>
      <w:r w:rsidRPr="00FF4DE9">
        <w:rPr>
          <w:i/>
          <w:iCs/>
          <w:color w:val="222222"/>
          <w:kern w:val="0"/>
          <w:sz w:val="24"/>
          <w:szCs w:val="24"/>
        </w:rPr>
        <w:t>Journal of Management</w:t>
      </w:r>
      <w:r w:rsidRPr="00B301B0">
        <w:rPr>
          <w:color w:val="222222"/>
          <w:kern w:val="0"/>
          <w:sz w:val="24"/>
          <w:szCs w:val="24"/>
        </w:rPr>
        <w:t>, </w:t>
      </w:r>
      <w:r w:rsidRPr="00FF4DE9">
        <w:rPr>
          <w:color w:val="222222"/>
          <w:kern w:val="0"/>
          <w:sz w:val="24"/>
          <w:szCs w:val="24"/>
        </w:rPr>
        <w:t>38</w:t>
      </w:r>
      <w:r w:rsidRPr="00B301B0">
        <w:rPr>
          <w:color w:val="222222"/>
          <w:kern w:val="0"/>
          <w:sz w:val="24"/>
          <w:szCs w:val="24"/>
        </w:rPr>
        <w:t>(1), 278-313.</w:t>
      </w:r>
    </w:p>
    <w:p w14:paraId="2D712699"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Cantwell, J., &amp; Mudambi, R. (2005). MNE competence‐creating subsidiary mandates.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26</w:t>
      </w:r>
      <w:r w:rsidRPr="00B301B0">
        <w:rPr>
          <w:color w:val="222222"/>
          <w:kern w:val="0"/>
          <w:sz w:val="24"/>
          <w:szCs w:val="24"/>
        </w:rPr>
        <w:t>(12), 1109-1128.</w:t>
      </w:r>
    </w:p>
    <w:p w14:paraId="68E287C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Chacar, A. S., Newburry, W., &amp; Vissa, B. (2010). Bringing institutions into performance persistence research: Exploring the impact of product, financial, and labor market institutions.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41</w:t>
      </w:r>
      <w:r w:rsidRPr="00B301B0">
        <w:rPr>
          <w:color w:val="222222"/>
          <w:kern w:val="0"/>
          <w:sz w:val="24"/>
          <w:szCs w:val="24"/>
        </w:rPr>
        <w:t>(7), 1119-1140.</w:t>
      </w:r>
    </w:p>
    <w:p w14:paraId="557FF971"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Chakravarty, D., Hsieh, Y. Y., Schotter, A. P., &amp; Beamish, P. W. (2017). Multinational enterprise regional management centres: Characteristics and performance. </w:t>
      </w:r>
      <w:r w:rsidRPr="00FF4DE9">
        <w:rPr>
          <w:i/>
          <w:iCs/>
          <w:color w:val="222222"/>
          <w:kern w:val="0"/>
          <w:sz w:val="24"/>
          <w:szCs w:val="24"/>
        </w:rPr>
        <w:t>Journal of World Business</w:t>
      </w:r>
      <w:r w:rsidRPr="00B301B0">
        <w:rPr>
          <w:color w:val="222222"/>
          <w:kern w:val="0"/>
          <w:sz w:val="24"/>
          <w:szCs w:val="24"/>
        </w:rPr>
        <w:t>, </w:t>
      </w:r>
      <w:r w:rsidRPr="00FF4DE9">
        <w:rPr>
          <w:color w:val="222222"/>
          <w:kern w:val="0"/>
          <w:sz w:val="24"/>
          <w:szCs w:val="24"/>
        </w:rPr>
        <w:t>52</w:t>
      </w:r>
      <w:r w:rsidRPr="00B301B0">
        <w:rPr>
          <w:color w:val="222222"/>
          <w:kern w:val="0"/>
          <w:sz w:val="24"/>
          <w:szCs w:val="24"/>
        </w:rPr>
        <w:t>(2), 296-311.</w:t>
      </w:r>
    </w:p>
    <w:p w14:paraId="2991529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Chan, C. M., Makino, S., &amp; Isobe, T. (2010). Does subnational region matter? Foreign affiliate performance in the United States and China.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31</w:t>
      </w:r>
      <w:r w:rsidRPr="00B301B0">
        <w:rPr>
          <w:color w:val="222222"/>
          <w:kern w:val="0"/>
          <w:sz w:val="24"/>
          <w:szCs w:val="24"/>
        </w:rPr>
        <w:t>(11), 1226-1243.</w:t>
      </w:r>
    </w:p>
    <w:p w14:paraId="471981CE"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Chandler, A. D. (1991). The functions of the HQ unit in the multibusiness firm.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12</w:t>
      </w:r>
      <w:r w:rsidRPr="00B301B0">
        <w:rPr>
          <w:color w:val="222222"/>
          <w:kern w:val="0"/>
          <w:sz w:val="24"/>
          <w:szCs w:val="24"/>
        </w:rPr>
        <w:t>(S2), 31-50.</w:t>
      </w:r>
    </w:p>
    <w:p w14:paraId="3895A2B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Chang, S. J., &amp; Hong, J. (2002). How much does the business group matter in Korea?.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23</w:t>
      </w:r>
      <w:r w:rsidRPr="00B301B0">
        <w:rPr>
          <w:color w:val="222222"/>
          <w:kern w:val="0"/>
          <w:sz w:val="24"/>
          <w:szCs w:val="24"/>
        </w:rPr>
        <w:t>(3), 265-274.</w:t>
      </w:r>
    </w:p>
    <w:p w14:paraId="5F90090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Christmann, P., Day, D., &amp; Yip, G. S. (1999). The relative influence of country conditions, industry structure, and business strategy on multinational corporation subsidiary performance. </w:t>
      </w:r>
      <w:r w:rsidRPr="00FF4DE9">
        <w:rPr>
          <w:i/>
          <w:iCs/>
          <w:color w:val="222222"/>
          <w:kern w:val="0"/>
          <w:sz w:val="24"/>
          <w:szCs w:val="24"/>
        </w:rPr>
        <w:t>Journal of International Management</w:t>
      </w:r>
      <w:r w:rsidRPr="00B301B0">
        <w:rPr>
          <w:color w:val="222222"/>
          <w:kern w:val="0"/>
          <w:sz w:val="24"/>
          <w:szCs w:val="24"/>
        </w:rPr>
        <w:t>, </w:t>
      </w:r>
      <w:r w:rsidRPr="00FF4DE9">
        <w:rPr>
          <w:color w:val="222222"/>
          <w:kern w:val="0"/>
          <w:sz w:val="24"/>
          <w:szCs w:val="24"/>
        </w:rPr>
        <w:t>5</w:t>
      </w:r>
      <w:r w:rsidRPr="00B301B0">
        <w:rPr>
          <w:color w:val="222222"/>
          <w:kern w:val="0"/>
          <w:sz w:val="24"/>
          <w:szCs w:val="24"/>
        </w:rPr>
        <w:t>(4), 241-265.</w:t>
      </w:r>
    </w:p>
    <w:p w14:paraId="33B6C3AF"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Ciabuschi, F., Dellestrand, H., &amp; Holm, U. (2012). The role of headquarters in the contemporary MNC. </w:t>
      </w:r>
      <w:r w:rsidRPr="00FF4DE9">
        <w:rPr>
          <w:i/>
          <w:iCs/>
          <w:color w:val="222222"/>
          <w:kern w:val="0"/>
          <w:sz w:val="24"/>
          <w:szCs w:val="24"/>
        </w:rPr>
        <w:t>Journal of International Management</w:t>
      </w:r>
      <w:r w:rsidRPr="00B301B0">
        <w:rPr>
          <w:color w:val="222222"/>
          <w:kern w:val="0"/>
          <w:sz w:val="24"/>
          <w:szCs w:val="24"/>
        </w:rPr>
        <w:t>, </w:t>
      </w:r>
      <w:r w:rsidRPr="00FF4DE9">
        <w:rPr>
          <w:color w:val="222222"/>
          <w:kern w:val="0"/>
          <w:sz w:val="24"/>
          <w:szCs w:val="24"/>
        </w:rPr>
        <w:t>18</w:t>
      </w:r>
      <w:r w:rsidRPr="00B301B0">
        <w:rPr>
          <w:color w:val="222222"/>
          <w:kern w:val="0"/>
          <w:sz w:val="24"/>
          <w:szCs w:val="24"/>
        </w:rPr>
        <w:t>(3), 213-223.</w:t>
      </w:r>
    </w:p>
    <w:p w14:paraId="057DD34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Ciabuschi, F., Dellestrand, H., &amp; Martín, O. M. (2015). Internal embeddedness, headquarters involvement, and innovation importance in multinational enterprises. In </w:t>
      </w:r>
      <w:r w:rsidRPr="00FF4DE9">
        <w:rPr>
          <w:color w:val="222222"/>
          <w:kern w:val="0"/>
          <w:sz w:val="24"/>
          <w:szCs w:val="24"/>
        </w:rPr>
        <w:t>Knowledge, Networks and Power</w:t>
      </w:r>
      <w:r w:rsidRPr="00B301B0">
        <w:rPr>
          <w:color w:val="222222"/>
          <w:kern w:val="0"/>
          <w:sz w:val="24"/>
          <w:szCs w:val="24"/>
        </w:rPr>
        <w:t> (pp. 284-317). Palgrave Macmillan, London.</w:t>
      </w:r>
    </w:p>
    <w:p w14:paraId="471E7E2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Cuervo‐Cazurra, A., Mudambi, R., &amp; Pedersen, T. (2019). Subsidiary power: Loaned or owned? The lenses of agency theory and resource dependence theory. </w:t>
      </w:r>
      <w:r w:rsidRPr="00FF4DE9">
        <w:rPr>
          <w:i/>
          <w:iCs/>
          <w:color w:val="222222"/>
          <w:kern w:val="0"/>
          <w:sz w:val="24"/>
          <w:szCs w:val="24"/>
        </w:rPr>
        <w:t>Global Strategy Journal</w:t>
      </w:r>
      <w:r w:rsidRPr="00B301B0">
        <w:rPr>
          <w:color w:val="222222"/>
          <w:kern w:val="0"/>
          <w:sz w:val="24"/>
          <w:szCs w:val="24"/>
        </w:rPr>
        <w:t>, </w:t>
      </w:r>
      <w:r w:rsidRPr="00FF4DE9">
        <w:rPr>
          <w:color w:val="222222"/>
          <w:kern w:val="0"/>
          <w:sz w:val="24"/>
          <w:szCs w:val="24"/>
        </w:rPr>
        <w:t>9</w:t>
      </w:r>
      <w:r w:rsidRPr="00B301B0">
        <w:rPr>
          <w:color w:val="222222"/>
          <w:kern w:val="0"/>
          <w:sz w:val="24"/>
          <w:szCs w:val="24"/>
        </w:rPr>
        <w:t>(4), 491-501.</w:t>
      </w:r>
    </w:p>
    <w:p w14:paraId="77DA0BE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Decreton, B., Nell, P. C., &amp; Stea, D. (2019). Headquarters involvement, socialization, and entrepreneurial behaviors in MNC subsidiaries. </w:t>
      </w:r>
      <w:r w:rsidRPr="00FF4DE9">
        <w:rPr>
          <w:i/>
          <w:iCs/>
          <w:color w:val="222222"/>
          <w:kern w:val="0"/>
          <w:sz w:val="24"/>
          <w:szCs w:val="24"/>
        </w:rPr>
        <w:t>Long Range Planning</w:t>
      </w:r>
      <w:r w:rsidRPr="00B301B0">
        <w:rPr>
          <w:color w:val="222222"/>
          <w:kern w:val="0"/>
          <w:sz w:val="24"/>
          <w:szCs w:val="24"/>
        </w:rPr>
        <w:t>, doi.org/10.1016/j.lrp.2018.05.005.</w:t>
      </w:r>
    </w:p>
    <w:p w14:paraId="0306D105"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Dellestrand, H., &amp; Kappen, P. (2012). The effects of spatial and contextual factors on headquarters resource allocation to MNE subsidiaries.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43</w:t>
      </w:r>
      <w:r w:rsidRPr="00B301B0">
        <w:rPr>
          <w:color w:val="222222"/>
          <w:kern w:val="0"/>
          <w:sz w:val="24"/>
          <w:szCs w:val="24"/>
        </w:rPr>
        <w:t>(3), 219-243.</w:t>
      </w:r>
    </w:p>
    <w:p w14:paraId="378D604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Dunning, J. H. (1980). Toward an eclectic theory of international production: Some empirical tests.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11</w:t>
      </w:r>
      <w:r w:rsidRPr="00B301B0">
        <w:rPr>
          <w:color w:val="222222"/>
          <w:kern w:val="0"/>
          <w:sz w:val="24"/>
          <w:szCs w:val="24"/>
        </w:rPr>
        <w:t>(1), 9-31.</w:t>
      </w:r>
    </w:p>
    <w:p w14:paraId="45B3EEEC"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Erkan, A., Fainshmidt, S., &amp; Judge, W. Q. (2016). Variance decomposition of the country, industry, firm, and firm-year effects on dividend policy. </w:t>
      </w:r>
      <w:r w:rsidRPr="00FF4DE9">
        <w:rPr>
          <w:i/>
          <w:iCs/>
          <w:color w:val="222222"/>
          <w:kern w:val="0"/>
          <w:sz w:val="24"/>
          <w:szCs w:val="24"/>
        </w:rPr>
        <w:t>International Business Review</w:t>
      </w:r>
      <w:r w:rsidRPr="00B301B0">
        <w:rPr>
          <w:color w:val="222222"/>
          <w:kern w:val="0"/>
          <w:sz w:val="24"/>
          <w:szCs w:val="24"/>
        </w:rPr>
        <w:t>, </w:t>
      </w:r>
      <w:r w:rsidRPr="00FF4DE9">
        <w:rPr>
          <w:color w:val="222222"/>
          <w:kern w:val="0"/>
          <w:sz w:val="24"/>
          <w:szCs w:val="24"/>
        </w:rPr>
        <w:t>25</w:t>
      </w:r>
      <w:r w:rsidRPr="00B301B0">
        <w:rPr>
          <w:color w:val="222222"/>
          <w:kern w:val="0"/>
          <w:sz w:val="24"/>
          <w:szCs w:val="24"/>
        </w:rPr>
        <w:t>(6), 1309-1320.</w:t>
      </w:r>
    </w:p>
    <w:p w14:paraId="22E19DC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Fitza, M. (2014). The use of variance decomposition in the investigation of CEO effects: How large must the CEO effect be to rule out chance?.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35</w:t>
      </w:r>
      <w:r w:rsidRPr="00B301B0">
        <w:rPr>
          <w:color w:val="222222"/>
          <w:kern w:val="0"/>
          <w:sz w:val="24"/>
          <w:szCs w:val="24"/>
        </w:rPr>
        <w:t>(12), 1839-1852.</w:t>
      </w:r>
    </w:p>
    <w:p w14:paraId="446E2D5D"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Fitza, M., &amp; Tihanyi, L. (2017). How much does ownership form matter?.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38</w:t>
      </w:r>
      <w:r w:rsidRPr="00B301B0">
        <w:rPr>
          <w:color w:val="222222"/>
          <w:kern w:val="0"/>
          <w:sz w:val="24"/>
          <w:szCs w:val="24"/>
        </w:rPr>
        <w:t>(13), 2726-2743.</w:t>
      </w:r>
    </w:p>
    <w:p w14:paraId="51CF155C"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Fitza, M., Matusik, S. F., &amp; Mosakowski, E. (2009). Do VCs matter? The importance of owners on performance variance in start‐up firms.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30</w:t>
      </w:r>
      <w:r w:rsidRPr="00B301B0">
        <w:rPr>
          <w:color w:val="222222"/>
          <w:kern w:val="0"/>
          <w:sz w:val="24"/>
          <w:szCs w:val="24"/>
        </w:rPr>
        <w:t>(4), 387-404.</w:t>
      </w:r>
    </w:p>
    <w:p w14:paraId="10735CB1"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Fombrun, C., &amp; Shanley, M. (1990). What's in a name? Reputation building and corporate strategy. </w:t>
      </w:r>
      <w:r w:rsidRPr="00FF4DE9">
        <w:rPr>
          <w:i/>
          <w:iCs/>
          <w:color w:val="222222"/>
          <w:kern w:val="0"/>
          <w:sz w:val="24"/>
          <w:szCs w:val="24"/>
        </w:rPr>
        <w:t>Academy of Management Journal</w:t>
      </w:r>
      <w:r w:rsidRPr="00B301B0">
        <w:rPr>
          <w:color w:val="222222"/>
          <w:kern w:val="0"/>
          <w:sz w:val="24"/>
          <w:szCs w:val="24"/>
        </w:rPr>
        <w:t>, </w:t>
      </w:r>
      <w:r w:rsidRPr="00FF4DE9">
        <w:rPr>
          <w:color w:val="222222"/>
          <w:kern w:val="0"/>
          <w:sz w:val="24"/>
          <w:szCs w:val="24"/>
        </w:rPr>
        <w:t>33</w:t>
      </w:r>
      <w:r w:rsidRPr="00B301B0">
        <w:rPr>
          <w:color w:val="222222"/>
          <w:kern w:val="0"/>
          <w:sz w:val="24"/>
          <w:szCs w:val="24"/>
        </w:rPr>
        <w:t>(2), 233-258.</w:t>
      </w:r>
    </w:p>
    <w:p w14:paraId="34B7A5DA"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Foss, K., Foss, N. J., &amp; Nell, P. C. (2012). MNC organizational form and subsidiary motivation problems: Controlling intervention hazards in the network MNC. </w:t>
      </w:r>
      <w:r w:rsidRPr="00FF4DE9">
        <w:rPr>
          <w:i/>
          <w:iCs/>
          <w:color w:val="222222"/>
          <w:kern w:val="0"/>
          <w:sz w:val="24"/>
          <w:szCs w:val="24"/>
        </w:rPr>
        <w:t>Journal of International Management</w:t>
      </w:r>
      <w:r w:rsidRPr="00B301B0">
        <w:rPr>
          <w:color w:val="222222"/>
          <w:kern w:val="0"/>
          <w:sz w:val="24"/>
          <w:szCs w:val="24"/>
        </w:rPr>
        <w:t>, </w:t>
      </w:r>
      <w:r w:rsidRPr="00FF4DE9">
        <w:rPr>
          <w:color w:val="222222"/>
          <w:kern w:val="0"/>
          <w:sz w:val="24"/>
          <w:szCs w:val="24"/>
        </w:rPr>
        <w:t>18</w:t>
      </w:r>
      <w:r w:rsidRPr="00B301B0">
        <w:rPr>
          <w:color w:val="222222"/>
          <w:kern w:val="0"/>
          <w:sz w:val="24"/>
          <w:szCs w:val="24"/>
        </w:rPr>
        <w:t>(3), 247-259.</w:t>
      </w:r>
    </w:p>
    <w:p w14:paraId="046274D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Foss, N. J. (Ed.). (1997). </w:t>
      </w:r>
      <w:r w:rsidRPr="00FF4DE9">
        <w:rPr>
          <w:color w:val="222222"/>
          <w:kern w:val="0"/>
          <w:sz w:val="24"/>
          <w:szCs w:val="24"/>
        </w:rPr>
        <w:t>Resources, firms, and strategies: a reader in the resource-based perspective</w:t>
      </w:r>
      <w:r w:rsidRPr="00B301B0">
        <w:rPr>
          <w:color w:val="222222"/>
          <w:kern w:val="0"/>
          <w:sz w:val="24"/>
          <w:szCs w:val="24"/>
        </w:rPr>
        <w:t>. Oxford University Press.</w:t>
      </w:r>
    </w:p>
    <w:p w14:paraId="50290B03"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Geleilate, J. M. G., Andrews, D. S., &amp; Fainshmidt, S. (2019). Subsidiary autonomy and subsidiary performance: A meta-analysis. </w:t>
      </w:r>
      <w:r w:rsidRPr="00FF4DE9">
        <w:rPr>
          <w:i/>
          <w:iCs/>
          <w:color w:val="222222"/>
          <w:kern w:val="0"/>
          <w:sz w:val="24"/>
          <w:szCs w:val="24"/>
        </w:rPr>
        <w:t>Journal of World Business</w:t>
      </w:r>
      <w:r w:rsidRPr="00B301B0">
        <w:rPr>
          <w:color w:val="222222"/>
          <w:kern w:val="0"/>
          <w:sz w:val="24"/>
          <w:szCs w:val="24"/>
        </w:rPr>
        <w:t>, doi.org/10.1016/j.jwb.2019.101049.</w:t>
      </w:r>
    </w:p>
    <w:p w14:paraId="519840B0"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Ghoshal, S., &amp; Bartlett, C. A. (1990). The multinational corporation as an interorganizational network. </w:t>
      </w:r>
      <w:r w:rsidRPr="00FF4DE9">
        <w:rPr>
          <w:i/>
          <w:iCs/>
          <w:color w:val="222222"/>
          <w:kern w:val="0"/>
          <w:sz w:val="24"/>
          <w:szCs w:val="24"/>
        </w:rPr>
        <w:t>Academy of Management Review</w:t>
      </w:r>
      <w:r w:rsidRPr="00B301B0">
        <w:rPr>
          <w:color w:val="222222"/>
          <w:kern w:val="0"/>
          <w:sz w:val="24"/>
          <w:szCs w:val="24"/>
        </w:rPr>
        <w:t>, </w:t>
      </w:r>
      <w:r w:rsidRPr="00FF4DE9">
        <w:rPr>
          <w:color w:val="222222"/>
          <w:kern w:val="0"/>
          <w:sz w:val="24"/>
          <w:szCs w:val="24"/>
        </w:rPr>
        <w:t>15</w:t>
      </w:r>
      <w:r w:rsidRPr="00B301B0">
        <w:rPr>
          <w:color w:val="222222"/>
          <w:kern w:val="0"/>
          <w:sz w:val="24"/>
          <w:szCs w:val="24"/>
        </w:rPr>
        <w:t>(4), 603-626.</w:t>
      </w:r>
    </w:p>
    <w:p w14:paraId="58F68E8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Guo, G. (2017). Demystifying variance in performance: A longitudinal multilevel perspective.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38</w:t>
      </w:r>
      <w:r w:rsidRPr="00B301B0">
        <w:rPr>
          <w:color w:val="222222"/>
          <w:kern w:val="0"/>
          <w:sz w:val="24"/>
          <w:szCs w:val="24"/>
        </w:rPr>
        <w:t>(6), 1327-1342.</w:t>
      </w:r>
    </w:p>
    <w:p w14:paraId="05C6D525"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Harzing, A. W. (2002). Acquisitions versus greenfield investments: International strategy and management of entry modes.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23</w:t>
      </w:r>
      <w:r w:rsidRPr="00B301B0">
        <w:rPr>
          <w:color w:val="222222"/>
          <w:kern w:val="0"/>
          <w:sz w:val="24"/>
          <w:szCs w:val="24"/>
        </w:rPr>
        <w:t>(3), 211-227.</w:t>
      </w:r>
    </w:p>
    <w:p w14:paraId="37EBA8D6"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Kalemli-Ozcan, S., Sorensen, B., Villegas-Sanchez, C., Volosovych, V., &amp; Yesiltas, S. (2015). </w:t>
      </w:r>
      <w:r w:rsidRPr="00FF4DE9">
        <w:rPr>
          <w:color w:val="222222"/>
          <w:kern w:val="0"/>
          <w:sz w:val="24"/>
          <w:szCs w:val="24"/>
        </w:rPr>
        <w:t>How to Construct Nationally Representative Firm Level Data from the Orbis Global Database: New Facts and Aggregate Implications</w:t>
      </w:r>
      <w:r w:rsidRPr="00B301B0">
        <w:rPr>
          <w:color w:val="222222"/>
          <w:kern w:val="0"/>
          <w:sz w:val="24"/>
          <w:szCs w:val="24"/>
        </w:rPr>
        <w:t> (No. w21558). National Bureau of Economic Research.</w:t>
      </w:r>
    </w:p>
    <w:p w14:paraId="66B8DCA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Kawai, N., &amp; Strange, R. (2014). Subsidiary autonomy and performance in Japanese multinationals in Europe. </w:t>
      </w:r>
      <w:r w:rsidRPr="00FF4DE9">
        <w:rPr>
          <w:i/>
          <w:iCs/>
          <w:color w:val="222222"/>
          <w:kern w:val="0"/>
          <w:sz w:val="24"/>
          <w:szCs w:val="24"/>
        </w:rPr>
        <w:t>International Business Review</w:t>
      </w:r>
      <w:r w:rsidRPr="00B301B0">
        <w:rPr>
          <w:color w:val="222222"/>
          <w:kern w:val="0"/>
          <w:sz w:val="24"/>
          <w:szCs w:val="24"/>
        </w:rPr>
        <w:t>, </w:t>
      </w:r>
      <w:r w:rsidRPr="00FF4DE9">
        <w:rPr>
          <w:color w:val="222222"/>
          <w:kern w:val="0"/>
          <w:sz w:val="24"/>
          <w:szCs w:val="24"/>
        </w:rPr>
        <w:t>23</w:t>
      </w:r>
      <w:r w:rsidRPr="00B301B0">
        <w:rPr>
          <w:color w:val="222222"/>
          <w:kern w:val="0"/>
          <w:sz w:val="24"/>
          <w:szCs w:val="24"/>
        </w:rPr>
        <w:t>(3), 504-515.</w:t>
      </w:r>
    </w:p>
    <w:p w14:paraId="5CF5D45F"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Kostova, T. (1999). Transnational transfer of strategic organizational practices: A contextual perspective. </w:t>
      </w:r>
      <w:r w:rsidRPr="00FF4DE9">
        <w:rPr>
          <w:i/>
          <w:iCs/>
          <w:color w:val="222222"/>
          <w:kern w:val="0"/>
          <w:sz w:val="24"/>
          <w:szCs w:val="24"/>
        </w:rPr>
        <w:t>Academy of Management Review</w:t>
      </w:r>
      <w:r w:rsidRPr="00B301B0">
        <w:rPr>
          <w:color w:val="222222"/>
          <w:kern w:val="0"/>
          <w:sz w:val="24"/>
          <w:szCs w:val="24"/>
        </w:rPr>
        <w:t>, </w:t>
      </w:r>
      <w:r w:rsidRPr="00FF4DE9">
        <w:rPr>
          <w:color w:val="222222"/>
          <w:kern w:val="0"/>
          <w:sz w:val="24"/>
          <w:szCs w:val="24"/>
        </w:rPr>
        <w:t>24</w:t>
      </w:r>
      <w:r w:rsidRPr="00B301B0">
        <w:rPr>
          <w:color w:val="222222"/>
          <w:kern w:val="0"/>
          <w:sz w:val="24"/>
          <w:szCs w:val="24"/>
        </w:rPr>
        <w:t>(2), 308-324.</w:t>
      </w:r>
    </w:p>
    <w:p w14:paraId="5DE13B51"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Kostova, T., Marano, V., &amp; Tallman, S. (2016). Headquarters–subsidiary relationships in MNCs: Fifty years of evolving research. </w:t>
      </w:r>
      <w:r w:rsidRPr="00FF4DE9">
        <w:rPr>
          <w:i/>
          <w:iCs/>
          <w:color w:val="222222"/>
          <w:kern w:val="0"/>
          <w:sz w:val="24"/>
          <w:szCs w:val="24"/>
        </w:rPr>
        <w:t>Journal of World Business</w:t>
      </w:r>
      <w:r w:rsidRPr="00B301B0">
        <w:rPr>
          <w:color w:val="222222"/>
          <w:kern w:val="0"/>
          <w:sz w:val="24"/>
          <w:szCs w:val="24"/>
        </w:rPr>
        <w:t>, </w:t>
      </w:r>
      <w:r w:rsidRPr="00FF4DE9">
        <w:rPr>
          <w:color w:val="222222"/>
          <w:kern w:val="0"/>
          <w:sz w:val="24"/>
          <w:szCs w:val="24"/>
        </w:rPr>
        <w:t>51</w:t>
      </w:r>
      <w:r w:rsidRPr="00B301B0">
        <w:rPr>
          <w:color w:val="222222"/>
          <w:kern w:val="0"/>
          <w:sz w:val="24"/>
          <w:szCs w:val="24"/>
        </w:rPr>
        <w:t>(1), 176-184.</w:t>
      </w:r>
    </w:p>
    <w:p w14:paraId="24AD877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Kostova, T., Nell, P. C., &amp; Hoenen, A. K. (2018). Understanding agency problems in headquarters-subsidiary relationships in multinational corporations: A contextualized model. </w:t>
      </w:r>
      <w:r w:rsidRPr="00FF4DE9">
        <w:rPr>
          <w:i/>
          <w:iCs/>
          <w:color w:val="222222"/>
          <w:kern w:val="0"/>
          <w:sz w:val="24"/>
          <w:szCs w:val="24"/>
        </w:rPr>
        <w:t>Journal of Management</w:t>
      </w:r>
      <w:r w:rsidRPr="00B301B0">
        <w:rPr>
          <w:color w:val="222222"/>
          <w:kern w:val="0"/>
          <w:sz w:val="24"/>
          <w:szCs w:val="24"/>
        </w:rPr>
        <w:t>, </w:t>
      </w:r>
      <w:r w:rsidRPr="00FF4DE9">
        <w:rPr>
          <w:color w:val="222222"/>
          <w:kern w:val="0"/>
          <w:sz w:val="24"/>
          <w:szCs w:val="24"/>
        </w:rPr>
        <w:t>44</w:t>
      </w:r>
      <w:r w:rsidRPr="00B301B0">
        <w:rPr>
          <w:color w:val="222222"/>
          <w:kern w:val="0"/>
          <w:sz w:val="24"/>
          <w:szCs w:val="24"/>
        </w:rPr>
        <w:t>(7), 2611-2637.</w:t>
      </w:r>
    </w:p>
    <w:p w14:paraId="3032AF6E"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Krause, R., Li, W., Ma, X., &amp; Bruton, G. D. (2019). The board chair effect across countries: An institutional view.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40</w:t>
      </w:r>
      <w:r w:rsidRPr="00B301B0">
        <w:rPr>
          <w:color w:val="222222"/>
          <w:kern w:val="0"/>
          <w:sz w:val="24"/>
          <w:szCs w:val="24"/>
        </w:rPr>
        <w:t>(10), 1570-1592.</w:t>
      </w:r>
    </w:p>
    <w:p w14:paraId="2380E89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Kunisch, S., Menz, M., &amp; Birkinshaw, J. (2019). Spatially dispersed corporate headquarters: a historical analysis of their prevalence, antecedents, and consequences. </w:t>
      </w:r>
      <w:r w:rsidRPr="00FF4DE9">
        <w:rPr>
          <w:i/>
          <w:iCs/>
          <w:color w:val="222222"/>
          <w:kern w:val="0"/>
          <w:sz w:val="24"/>
          <w:szCs w:val="24"/>
        </w:rPr>
        <w:t>International Business Review</w:t>
      </w:r>
      <w:r w:rsidRPr="00B301B0">
        <w:rPr>
          <w:color w:val="222222"/>
          <w:kern w:val="0"/>
          <w:sz w:val="24"/>
          <w:szCs w:val="24"/>
        </w:rPr>
        <w:t>, </w:t>
      </w:r>
      <w:r w:rsidRPr="00FF4DE9">
        <w:rPr>
          <w:color w:val="222222"/>
          <w:kern w:val="0"/>
          <w:sz w:val="24"/>
          <w:szCs w:val="24"/>
        </w:rPr>
        <w:t>28</w:t>
      </w:r>
      <w:r w:rsidRPr="00B301B0">
        <w:rPr>
          <w:color w:val="222222"/>
          <w:kern w:val="0"/>
          <w:sz w:val="24"/>
          <w:szCs w:val="24"/>
        </w:rPr>
        <w:t>(1), 148-161.</w:t>
      </w:r>
    </w:p>
    <w:p w14:paraId="23673289"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Luo, Y. (2003). Market-seeking MNEs in an emerging market: How parent–subsidiary links shape overseas success.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34</w:t>
      </w:r>
      <w:r w:rsidRPr="00B301B0">
        <w:rPr>
          <w:color w:val="222222"/>
          <w:kern w:val="0"/>
          <w:sz w:val="24"/>
          <w:szCs w:val="24"/>
        </w:rPr>
        <w:t>(3), 290-309.</w:t>
      </w:r>
    </w:p>
    <w:p w14:paraId="490A7129"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Ma, X., Tong, T. W., &amp; Fitza, M. (2013). How much does subnational region matter to foreign subsidiary performance? Evidence from Fortune Global 500 Corporations’ investment in China. </w:t>
      </w:r>
      <w:r w:rsidRPr="00FF4DE9">
        <w:rPr>
          <w:i/>
          <w:iCs/>
          <w:color w:val="222222"/>
          <w:kern w:val="0"/>
          <w:sz w:val="24"/>
          <w:szCs w:val="24"/>
        </w:rPr>
        <w:t>Journal of International Business</w:t>
      </w:r>
      <w:r w:rsidRPr="00FF4DE9">
        <w:rPr>
          <w:color w:val="222222"/>
          <w:kern w:val="0"/>
          <w:sz w:val="24"/>
          <w:szCs w:val="24"/>
        </w:rPr>
        <w:t xml:space="preserve"> Studies</w:t>
      </w:r>
      <w:r w:rsidRPr="00B301B0">
        <w:rPr>
          <w:color w:val="222222"/>
          <w:kern w:val="0"/>
          <w:sz w:val="24"/>
          <w:szCs w:val="24"/>
        </w:rPr>
        <w:t>, </w:t>
      </w:r>
      <w:r w:rsidRPr="00FF4DE9">
        <w:rPr>
          <w:color w:val="222222"/>
          <w:kern w:val="0"/>
          <w:sz w:val="24"/>
          <w:szCs w:val="24"/>
        </w:rPr>
        <w:t>44</w:t>
      </w:r>
      <w:r w:rsidRPr="00B301B0">
        <w:rPr>
          <w:color w:val="222222"/>
          <w:kern w:val="0"/>
          <w:sz w:val="24"/>
          <w:szCs w:val="24"/>
        </w:rPr>
        <w:t>(1), 66-87.</w:t>
      </w:r>
    </w:p>
    <w:p w14:paraId="30A3FEFF"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Makino, S., Isobe, T., &amp; Chan, C. M. (2004). Does country matter?.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25</w:t>
      </w:r>
      <w:r w:rsidRPr="00B301B0">
        <w:rPr>
          <w:color w:val="222222"/>
          <w:kern w:val="0"/>
          <w:sz w:val="24"/>
          <w:szCs w:val="24"/>
        </w:rPr>
        <w:t>(10), 1027-1043.</w:t>
      </w:r>
    </w:p>
    <w:p w14:paraId="1E7A52F5"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Marquis, C., &amp; Tilcsik, A. (2013). Imprinting: Toward a multilevel theory. </w:t>
      </w:r>
      <w:r w:rsidRPr="00FF4DE9">
        <w:rPr>
          <w:i/>
          <w:iCs/>
          <w:color w:val="222222"/>
          <w:kern w:val="0"/>
          <w:sz w:val="24"/>
          <w:szCs w:val="24"/>
        </w:rPr>
        <w:t>Academy of Management Annals</w:t>
      </w:r>
      <w:r w:rsidRPr="00B301B0">
        <w:rPr>
          <w:color w:val="222222"/>
          <w:kern w:val="0"/>
          <w:sz w:val="24"/>
          <w:szCs w:val="24"/>
        </w:rPr>
        <w:t>, </w:t>
      </w:r>
      <w:r w:rsidRPr="00FF4DE9">
        <w:rPr>
          <w:color w:val="222222"/>
          <w:kern w:val="0"/>
          <w:sz w:val="24"/>
          <w:szCs w:val="24"/>
        </w:rPr>
        <w:t>7</w:t>
      </w:r>
      <w:r w:rsidRPr="00B301B0">
        <w:rPr>
          <w:color w:val="222222"/>
          <w:kern w:val="0"/>
          <w:sz w:val="24"/>
          <w:szCs w:val="24"/>
        </w:rPr>
        <w:t>(1), 195-245.</w:t>
      </w:r>
    </w:p>
    <w:p w14:paraId="55CD3E1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Martinez, J. I., &amp; Jarillo, J. C. (1989). The evolution of research on coordination mechanisms in multinational corporations.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20</w:t>
      </w:r>
      <w:r w:rsidRPr="00B301B0">
        <w:rPr>
          <w:color w:val="222222"/>
          <w:kern w:val="0"/>
          <w:sz w:val="24"/>
          <w:szCs w:val="24"/>
        </w:rPr>
        <w:t>(3), 489-514.</w:t>
      </w:r>
    </w:p>
    <w:p w14:paraId="3DD313CD"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McGahan, A. M., &amp; Porter, M. E. (1997). How much does industry matter, really?.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18</w:t>
      </w:r>
      <w:r w:rsidRPr="00B301B0">
        <w:rPr>
          <w:color w:val="222222"/>
          <w:kern w:val="0"/>
          <w:sz w:val="24"/>
          <w:szCs w:val="24"/>
        </w:rPr>
        <w:t>(S1), 15-30.</w:t>
      </w:r>
    </w:p>
    <w:p w14:paraId="65AB8273"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McGahan, A. M., &amp; Porter, M. E. (2002). What do we know about variance in accounting profitability?. </w:t>
      </w:r>
      <w:r w:rsidRPr="00FF4DE9">
        <w:rPr>
          <w:i/>
          <w:iCs/>
          <w:color w:val="222222"/>
          <w:kern w:val="0"/>
          <w:sz w:val="24"/>
          <w:szCs w:val="24"/>
        </w:rPr>
        <w:t>Management Scien</w:t>
      </w:r>
      <w:r w:rsidRPr="00FF4DE9">
        <w:rPr>
          <w:color w:val="222222"/>
          <w:kern w:val="0"/>
          <w:sz w:val="24"/>
          <w:szCs w:val="24"/>
        </w:rPr>
        <w:t>ce</w:t>
      </w:r>
      <w:r w:rsidRPr="00B301B0">
        <w:rPr>
          <w:color w:val="222222"/>
          <w:kern w:val="0"/>
          <w:sz w:val="24"/>
          <w:szCs w:val="24"/>
        </w:rPr>
        <w:t>, </w:t>
      </w:r>
      <w:r w:rsidRPr="00FF4DE9">
        <w:rPr>
          <w:color w:val="222222"/>
          <w:kern w:val="0"/>
          <w:sz w:val="24"/>
          <w:szCs w:val="24"/>
        </w:rPr>
        <w:t>48</w:t>
      </w:r>
      <w:r w:rsidRPr="00B301B0">
        <w:rPr>
          <w:color w:val="222222"/>
          <w:kern w:val="0"/>
          <w:sz w:val="24"/>
          <w:szCs w:val="24"/>
        </w:rPr>
        <w:t>(7), 834-851.</w:t>
      </w:r>
    </w:p>
    <w:p w14:paraId="7FB873F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McGahan, A. M., &amp; Victer, R. (2010). How much does home country matter to corporate profitability?.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41</w:t>
      </w:r>
      <w:r w:rsidRPr="00B301B0">
        <w:rPr>
          <w:color w:val="222222"/>
          <w:kern w:val="0"/>
          <w:sz w:val="24"/>
          <w:szCs w:val="24"/>
        </w:rPr>
        <w:t>(1), 142-165.</w:t>
      </w:r>
    </w:p>
    <w:p w14:paraId="6245535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Menz, M., Kunisch, S., &amp; Collis, D. J. (2015). The corporate headquarters in the contemporary corporation: Advancing a multimarket firm perspective. </w:t>
      </w:r>
      <w:r w:rsidRPr="00FF4DE9">
        <w:rPr>
          <w:i/>
          <w:iCs/>
          <w:color w:val="222222"/>
          <w:kern w:val="0"/>
          <w:sz w:val="24"/>
          <w:szCs w:val="24"/>
        </w:rPr>
        <w:t>Academy of Management Annals</w:t>
      </w:r>
      <w:r w:rsidRPr="00B301B0">
        <w:rPr>
          <w:color w:val="222222"/>
          <w:kern w:val="0"/>
          <w:sz w:val="24"/>
          <w:szCs w:val="24"/>
        </w:rPr>
        <w:t>, </w:t>
      </w:r>
      <w:r w:rsidRPr="00FF4DE9">
        <w:rPr>
          <w:color w:val="222222"/>
          <w:kern w:val="0"/>
          <w:sz w:val="24"/>
          <w:szCs w:val="24"/>
        </w:rPr>
        <w:t>9</w:t>
      </w:r>
      <w:r w:rsidRPr="00B301B0">
        <w:rPr>
          <w:color w:val="222222"/>
          <w:kern w:val="0"/>
          <w:sz w:val="24"/>
          <w:szCs w:val="24"/>
        </w:rPr>
        <w:t>(1), 633-714.</w:t>
      </w:r>
    </w:p>
    <w:p w14:paraId="189B52FA"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Meyer‐Doyle, P., Lee, S., &amp; Helfat, C. E. (2019). Disentangling the microfoundations of acquisition behavior and performance.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40</w:t>
      </w:r>
      <w:r w:rsidRPr="00B301B0">
        <w:rPr>
          <w:color w:val="222222"/>
          <w:kern w:val="0"/>
          <w:sz w:val="24"/>
          <w:szCs w:val="24"/>
        </w:rPr>
        <w:t>(11), 1733-1756.</w:t>
      </w:r>
    </w:p>
    <w:p w14:paraId="19CB0BE7"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Meyer, K. E., Li, C., &amp; Schotter, A. P. (2020). Managing the MNE subsidiary: Advancing a multi-level and dynamic research agenda. </w:t>
      </w:r>
      <w:r w:rsidRPr="00FF4DE9">
        <w:rPr>
          <w:i/>
          <w:iCs/>
          <w:color w:val="222222"/>
          <w:kern w:val="0"/>
          <w:sz w:val="24"/>
          <w:szCs w:val="24"/>
        </w:rPr>
        <w:t>Journal of International Business Studies</w:t>
      </w:r>
      <w:r w:rsidRPr="00B301B0">
        <w:rPr>
          <w:color w:val="222222"/>
          <w:kern w:val="0"/>
          <w:sz w:val="24"/>
          <w:szCs w:val="24"/>
        </w:rPr>
        <w:t>, doi.org/10.1057/s41267-020-00318-w.</w:t>
      </w:r>
    </w:p>
    <w:p w14:paraId="1D94508C"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Mudambi, R., &amp; Navarra, P. (2004). Divisional power, intra-firm bargaining and rent-seeking behavior in multidivisional corporations. </w:t>
      </w:r>
      <w:r w:rsidRPr="00FF4DE9">
        <w:rPr>
          <w:i/>
          <w:iCs/>
          <w:color w:val="222222"/>
          <w:kern w:val="0"/>
          <w:sz w:val="24"/>
          <w:szCs w:val="24"/>
        </w:rPr>
        <w:t>Economics Bulletin</w:t>
      </w:r>
      <w:r w:rsidRPr="00B301B0">
        <w:rPr>
          <w:color w:val="222222"/>
          <w:kern w:val="0"/>
          <w:sz w:val="24"/>
          <w:szCs w:val="24"/>
        </w:rPr>
        <w:t>, </w:t>
      </w:r>
      <w:r w:rsidRPr="00FF4DE9">
        <w:rPr>
          <w:color w:val="222222"/>
          <w:kern w:val="0"/>
          <w:sz w:val="24"/>
          <w:szCs w:val="24"/>
        </w:rPr>
        <w:t>4</w:t>
      </w:r>
      <w:r w:rsidRPr="00B301B0">
        <w:rPr>
          <w:color w:val="222222"/>
          <w:kern w:val="0"/>
          <w:sz w:val="24"/>
          <w:szCs w:val="24"/>
        </w:rPr>
        <w:t>(13), 1-10.</w:t>
      </w:r>
    </w:p>
    <w:p w14:paraId="5DE2C41A"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Najafi-Tavani, Z., Giroud, A., &amp; Andersson, U. (2014). The interplay of networking activities and internal knowledge actions for subsidiary influence within MNCs. </w:t>
      </w:r>
      <w:r w:rsidRPr="00FF4DE9">
        <w:rPr>
          <w:i/>
          <w:iCs/>
          <w:color w:val="222222"/>
          <w:kern w:val="0"/>
          <w:sz w:val="24"/>
          <w:szCs w:val="24"/>
        </w:rPr>
        <w:t>Journal of World Business</w:t>
      </w:r>
      <w:r w:rsidRPr="00B301B0">
        <w:rPr>
          <w:color w:val="222222"/>
          <w:kern w:val="0"/>
          <w:sz w:val="24"/>
          <w:szCs w:val="24"/>
        </w:rPr>
        <w:t>, </w:t>
      </w:r>
      <w:r w:rsidRPr="00FF4DE9">
        <w:rPr>
          <w:color w:val="222222"/>
          <w:kern w:val="0"/>
          <w:sz w:val="24"/>
          <w:szCs w:val="24"/>
        </w:rPr>
        <w:t>49</w:t>
      </w:r>
      <w:r w:rsidRPr="00B301B0">
        <w:rPr>
          <w:color w:val="222222"/>
          <w:kern w:val="0"/>
          <w:sz w:val="24"/>
          <w:szCs w:val="24"/>
        </w:rPr>
        <w:t>(1), 122-131.</w:t>
      </w:r>
    </w:p>
    <w:p w14:paraId="5F8A10F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Nell, P. C., &amp; Ambos, B. (2013). Parenting advantage in the MNC: An embeddedness perspective on the value added by headquarters.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34</w:t>
      </w:r>
      <w:r w:rsidRPr="00B301B0">
        <w:rPr>
          <w:color w:val="222222"/>
          <w:kern w:val="0"/>
          <w:sz w:val="24"/>
          <w:szCs w:val="24"/>
        </w:rPr>
        <w:t>(9), 1086-1103.</w:t>
      </w:r>
    </w:p>
    <w:p w14:paraId="4EB955FA"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Nell, P. C., Kappen, P., &amp; Laamanen, T. (2017). Reconceptualising hierarchies: the disaggregation and dispersion of headquarters in multinational corporations. </w:t>
      </w:r>
      <w:r w:rsidRPr="00FF4DE9">
        <w:rPr>
          <w:i/>
          <w:iCs/>
          <w:color w:val="222222"/>
          <w:kern w:val="0"/>
          <w:sz w:val="24"/>
          <w:szCs w:val="24"/>
        </w:rPr>
        <w:t>Journal of Management Studies</w:t>
      </w:r>
      <w:r w:rsidRPr="00B301B0">
        <w:rPr>
          <w:color w:val="222222"/>
          <w:kern w:val="0"/>
          <w:sz w:val="24"/>
          <w:szCs w:val="24"/>
        </w:rPr>
        <w:t>, </w:t>
      </w:r>
      <w:r w:rsidRPr="00FF4DE9">
        <w:rPr>
          <w:color w:val="222222"/>
          <w:kern w:val="0"/>
          <w:sz w:val="24"/>
          <w:szCs w:val="24"/>
        </w:rPr>
        <w:t>54</w:t>
      </w:r>
      <w:r w:rsidRPr="00B301B0">
        <w:rPr>
          <w:color w:val="222222"/>
          <w:kern w:val="0"/>
          <w:sz w:val="24"/>
          <w:szCs w:val="24"/>
        </w:rPr>
        <w:t>(8), 1121-1143.</w:t>
      </w:r>
    </w:p>
    <w:p w14:paraId="372442E5"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Newburry, W., Gardberg, N. A., &amp; Sanchez, J. I. (2014). Employer attractiveness in Latin America: The association among foreignness, internationalization and talent recruitment. </w:t>
      </w:r>
      <w:r w:rsidRPr="00FF4DE9">
        <w:rPr>
          <w:i/>
          <w:iCs/>
          <w:color w:val="222222"/>
          <w:kern w:val="0"/>
          <w:sz w:val="24"/>
          <w:szCs w:val="24"/>
        </w:rPr>
        <w:t>Journal of International Management</w:t>
      </w:r>
      <w:r w:rsidRPr="00B301B0">
        <w:rPr>
          <w:color w:val="222222"/>
          <w:kern w:val="0"/>
          <w:sz w:val="24"/>
          <w:szCs w:val="24"/>
        </w:rPr>
        <w:t>, </w:t>
      </w:r>
      <w:r w:rsidRPr="00FF4DE9">
        <w:rPr>
          <w:color w:val="222222"/>
          <w:kern w:val="0"/>
          <w:sz w:val="24"/>
          <w:szCs w:val="24"/>
        </w:rPr>
        <w:t>20</w:t>
      </w:r>
      <w:r w:rsidRPr="00B301B0">
        <w:rPr>
          <w:color w:val="222222"/>
          <w:kern w:val="0"/>
          <w:sz w:val="24"/>
          <w:szCs w:val="24"/>
        </w:rPr>
        <w:t>(3), 327-344.</w:t>
      </w:r>
    </w:p>
    <w:p w14:paraId="05271453"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Nguyen, Q. T., &amp; Rugman, A. M. (2015). Internal equity financing and the performance of multinational subsidiaries in emerging economies.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46</w:t>
      </w:r>
      <w:r w:rsidRPr="00B301B0">
        <w:rPr>
          <w:color w:val="222222"/>
          <w:kern w:val="0"/>
          <w:sz w:val="24"/>
          <w:szCs w:val="24"/>
        </w:rPr>
        <w:t>(4), 468-490.</w:t>
      </w:r>
    </w:p>
    <w:p w14:paraId="4743726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Nohria, N., &amp; Ghoshal, S. (1994). Differentiated fit and shared values: Alternatives for managing headquarters‐subsidiary relations.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15</w:t>
      </w:r>
      <w:r w:rsidRPr="00B301B0">
        <w:rPr>
          <w:color w:val="222222"/>
          <w:kern w:val="0"/>
          <w:sz w:val="24"/>
          <w:szCs w:val="24"/>
        </w:rPr>
        <w:t>(6), 491-502.</w:t>
      </w:r>
    </w:p>
    <w:p w14:paraId="01894A8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Noorderhaven, N., &amp; Harzing, A. W. (2009). Knowledge-sharing and social interaction within MNEs.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40</w:t>
      </w:r>
      <w:r w:rsidRPr="00B301B0">
        <w:rPr>
          <w:color w:val="222222"/>
          <w:kern w:val="0"/>
          <w:sz w:val="24"/>
          <w:szCs w:val="24"/>
        </w:rPr>
        <w:t>(5), 719-741.</w:t>
      </w:r>
    </w:p>
    <w:p w14:paraId="0AFD578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Peng, M. W. (2004). Identifying the big question in international business research.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35</w:t>
      </w:r>
      <w:r w:rsidRPr="00B301B0">
        <w:rPr>
          <w:color w:val="222222"/>
          <w:kern w:val="0"/>
          <w:sz w:val="24"/>
          <w:szCs w:val="24"/>
        </w:rPr>
        <w:t>(2), 99-108.</w:t>
      </w:r>
    </w:p>
    <w:p w14:paraId="341426F2"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Pisani, N., Garcia‐Bernardo, J., &amp; Heemskerk, E. (2020). Does it pay to be a multinational? A large‐sample, cross‐national replication assessing the multinationality–performance relationship.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41</w:t>
      </w:r>
      <w:r w:rsidRPr="00B301B0">
        <w:rPr>
          <w:color w:val="222222"/>
          <w:kern w:val="0"/>
          <w:sz w:val="24"/>
          <w:szCs w:val="24"/>
        </w:rPr>
        <w:t>(1), 152-172.</w:t>
      </w:r>
    </w:p>
    <w:p w14:paraId="0426E0C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Quigley, T. J., &amp; Graffin, S. D. (2017). Reaffirming the CEO effect is significant and much larger than chance: A comment on F itza (2014).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38</w:t>
      </w:r>
      <w:r w:rsidRPr="00B301B0">
        <w:rPr>
          <w:color w:val="222222"/>
          <w:kern w:val="0"/>
          <w:sz w:val="24"/>
          <w:szCs w:val="24"/>
        </w:rPr>
        <w:t>(3), 793-801.</w:t>
      </w:r>
    </w:p>
    <w:p w14:paraId="6289FFB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Rabbiosi, L., &amp; Santangelo, G. D. (2013). Parent company benefits from reverse knowledge transfer: The role of the liability of newness in MNEs. </w:t>
      </w:r>
      <w:r w:rsidRPr="00FF4DE9">
        <w:rPr>
          <w:i/>
          <w:iCs/>
          <w:color w:val="222222"/>
          <w:kern w:val="0"/>
          <w:sz w:val="24"/>
          <w:szCs w:val="24"/>
        </w:rPr>
        <w:t>Journal of World Business</w:t>
      </w:r>
      <w:r w:rsidRPr="00B301B0">
        <w:rPr>
          <w:color w:val="222222"/>
          <w:kern w:val="0"/>
          <w:sz w:val="24"/>
          <w:szCs w:val="24"/>
        </w:rPr>
        <w:t>, </w:t>
      </w:r>
      <w:r w:rsidRPr="00FF4DE9">
        <w:rPr>
          <w:color w:val="222222"/>
          <w:kern w:val="0"/>
          <w:sz w:val="24"/>
          <w:szCs w:val="24"/>
        </w:rPr>
        <w:t>48</w:t>
      </w:r>
      <w:r w:rsidRPr="00B301B0">
        <w:rPr>
          <w:color w:val="222222"/>
          <w:kern w:val="0"/>
          <w:sz w:val="24"/>
          <w:szCs w:val="24"/>
        </w:rPr>
        <w:t>(1), 160-170.</w:t>
      </w:r>
    </w:p>
    <w:p w14:paraId="63248B6D"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Rabbiosi, L., &amp; Santangelo, G. D. (2019). Host country corruption and the organization of HQ–subsidiary relationships.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50</w:t>
      </w:r>
      <w:r w:rsidRPr="00B301B0">
        <w:rPr>
          <w:color w:val="222222"/>
          <w:kern w:val="0"/>
          <w:sz w:val="24"/>
          <w:szCs w:val="24"/>
        </w:rPr>
        <w:t>(1), 111-124.</w:t>
      </w:r>
    </w:p>
    <w:p w14:paraId="0C05B8B5"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Rugman, A. M. (2010). Reconciling internalization theory and the eclectic paradigm. </w:t>
      </w:r>
      <w:r w:rsidRPr="00FF4DE9">
        <w:rPr>
          <w:i/>
          <w:iCs/>
          <w:color w:val="222222"/>
          <w:kern w:val="0"/>
          <w:sz w:val="24"/>
          <w:szCs w:val="24"/>
        </w:rPr>
        <w:t>Multinational Business Review</w:t>
      </w:r>
      <w:r w:rsidRPr="00B301B0">
        <w:rPr>
          <w:color w:val="222222"/>
          <w:kern w:val="0"/>
          <w:sz w:val="24"/>
          <w:szCs w:val="24"/>
        </w:rPr>
        <w:t>, </w:t>
      </w:r>
      <w:r w:rsidRPr="00FF4DE9">
        <w:rPr>
          <w:color w:val="222222"/>
          <w:kern w:val="0"/>
          <w:sz w:val="24"/>
          <w:szCs w:val="24"/>
        </w:rPr>
        <w:t>18</w:t>
      </w:r>
      <w:r w:rsidRPr="00B301B0">
        <w:rPr>
          <w:color w:val="222222"/>
          <w:kern w:val="0"/>
          <w:sz w:val="24"/>
          <w:szCs w:val="24"/>
        </w:rPr>
        <w:t>(2), 1-12.</w:t>
      </w:r>
    </w:p>
    <w:p w14:paraId="528B9EA4"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Rugman, A. M., &amp; Verbeke, A. (2001). Subsidiary‐specific advantages in multinational enterprises. </w:t>
      </w:r>
      <w:r w:rsidRPr="00FF4DE9">
        <w:rPr>
          <w:i/>
          <w:iCs/>
          <w:color w:val="222222"/>
          <w:kern w:val="0"/>
          <w:sz w:val="24"/>
          <w:szCs w:val="24"/>
        </w:rPr>
        <w:t>Strategic Management Journal</w:t>
      </w:r>
      <w:r w:rsidRPr="00B301B0">
        <w:rPr>
          <w:color w:val="222222"/>
          <w:kern w:val="0"/>
          <w:sz w:val="24"/>
          <w:szCs w:val="24"/>
        </w:rPr>
        <w:t>, </w:t>
      </w:r>
      <w:r w:rsidRPr="00FF4DE9">
        <w:rPr>
          <w:color w:val="222222"/>
          <w:kern w:val="0"/>
          <w:sz w:val="24"/>
          <w:szCs w:val="24"/>
        </w:rPr>
        <w:t>22</w:t>
      </w:r>
      <w:r w:rsidRPr="00B301B0">
        <w:rPr>
          <w:color w:val="222222"/>
          <w:kern w:val="0"/>
          <w:sz w:val="24"/>
          <w:szCs w:val="24"/>
        </w:rPr>
        <w:t>(3), 237-250.</w:t>
      </w:r>
    </w:p>
    <w:p w14:paraId="5151DDD5"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Schotter, A. P., Mudambi, R., Doz, Y. L., &amp; Gaur, A. (2017). Boundary spanning in global organizations. </w:t>
      </w:r>
      <w:r w:rsidRPr="00FF4DE9">
        <w:rPr>
          <w:i/>
          <w:iCs/>
          <w:color w:val="222222"/>
          <w:kern w:val="0"/>
          <w:sz w:val="24"/>
          <w:szCs w:val="24"/>
        </w:rPr>
        <w:t>Journal of Management Studies</w:t>
      </w:r>
      <w:r w:rsidRPr="00B301B0">
        <w:rPr>
          <w:color w:val="222222"/>
          <w:kern w:val="0"/>
          <w:sz w:val="24"/>
          <w:szCs w:val="24"/>
        </w:rPr>
        <w:t>, </w:t>
      </w:r>
      <w:r w:rsidRPr="00FF4DE9">
        <w:rPr>
          <w:color w:val="222222"/>
          <w:kern w:val="0"/>
          <w:sz w:val="24"/>
          <w:szCs w:val="24"/>
        </w:rPr>
        <w:t>54</w:t>
      </w:r>
      <w:r w:rsidRPr="00B301B0">
        <w:rPr>
          <w:color w:val="222222"/>
          <w:kern w:val="0"/>
          <w:sz w:val="24"/>
          <w:szCs w:val="24"/>
        </w:rPr>
        <w:t>(4), 403-421.</w:t>
      </w:r>
    </w:p>
    <w:p w14:paraId="4CB80F91"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Sengul, M., &amp; Gimeno, J. (2013). Constrained delegation: Limiting subsidiaries’ decision rights and resources in firms that compete across multiple industries. </w:t>
      </w:r>
      <w:r w:rsidRPr="00FF4DE9">
        <w:rPr>
          <w:i/>
          <w:iCs/>
          <w:color w:val="222222"/>
          <w:kern w:val="0"/>
          <w:sz w:val="24"/>
          <w:szCs w:val="24"/>
        </w:rPr>
        <w:t>Administrative Science Quarterly</w:t>
      </w:r>
      <w:r w:rsidRPr="00B301B0">
        <w:rPr>
          <w:color w:val="222222"/>
          <w:kern w:val="0"/>
          <w:sz w:val="24"/>
          <w:szCs w:val="24"/>
        </w:rPr>
        <w:t>, </w:t>
      </w:r>
      <w:r w:rsidRPr="00FF4DE9">
        <w:rPr>
          <w:color w:val="222222"/>
          <w:kern w:val="0"/>
          <w:sz w:val="24"/>
          <w:szCs w:val="24"/>
        </w:rPr>
        <w:t>58</w:t>
      </w:r>
      <w:r w:rsidRPr="00B301B0">
        <w:rPr>
          <w:color w:val="222222"/>
          <w:kern w:val="0"/>
          <w:sz w:val="24"/>
          <w:szCs w:val="24"/>
        </w:rPr>
        <w:t>(3), 420-471.</w:t>
      </w:r>
    </w:p>
    <w:p w14:paraId="4C3A09B0"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Slangen, A. H., &amp; Hennart, J. F. (2008). Do foreign greenfields outperform foreign acquisitions or vice versa? An institutional perspective. </w:t>
      </w:r>
      <w:r w:rsidRPr="00FF4DE9">
        <w:rPr>
          <w:i/>
          <w:iCs/>
          <w:color w:val="222222"/>
          <w:kern w:val="0"/>
          <w:sz w:val="24"/>
          <w:szCs w:val="24"/>
        </w:rPr>
        <w:t>Journal of Management Studies</w:t>
      </w:r>
      <w:r w:rsidRPr="00B301B0">
        <w:rPr>
          <w:color w:val="222222"/>
          <w:kern w:val="0"/>
          <w:sz w:val="24"/>
          <w:szCs w:val="24"/>
        </w:rPr>
        <w:t>, </w:t>
      </w:r>
      <w:r w:rsidRPr="00FF4DE9">
        <w:rPr>
          <w:color w:val="222222"/>
          <w:kern w:val="0"/>
          <w:sz w:val="24"/>
          <w:szCs w:val="24"/>
        </w:rPr>
        <w:t>45</w:t>
      </w:r>
      <w:r w:rsidRPr="00B301B0">
        <w:rPr>
          <w:color w:val="222222"/>
          <w:kern w:val="0"/>
          <w:sz w:val="24"/>
          <w:szCs w:val="24"/>
        </w:rPr>
        <w:t>(7), 1301-1328.</w:t>
      </w:r>
    </w:p>
    <w:p w14:paraId="699280DF"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Sohl, T., Vroom, G., &amp; Fitza, M. A. (2020). How much does business model matter for firm performance? A variance decomposition analysis. </w:t>
      </w:r>
      <w:r w:rsidRPr="00FF4DE9">
        <w:rPr>
          <w:i/>
          <w:iCs/>
          <w:color w:val="222222"/>
          <w:kern w:val="0"/>
          <w:sz w:val="24"/>
          <w:szCs w:val="24"/>
        </w:rPr>
        <w:t>Academy of Management Discoveries</w:t>
      </w:r>
      <w:r w:rsidRPr="00B301B0">
        <w:rPr>
          <w:color w:val="222222"/>
          <w:kern w:val="0"/>
          <w:sz w:val="24"/>
          <w:szCs w:val="24"/>
        </w:rPr>
        <w:t>, </w:t>
      </w:r>
      <w:r w:rsidRPr="00FF4DE9">
        <w:rPr>
          <w:color w:val="222222"/>
          <w:kern w:val="0"/>
          <w:sz w:val="24"/>
          <w:szCs w:val="24"/>
        </w:rPr>
        <w:t>6</w:t>
      </w:r>
      <w:r w:rsidRPr="00B301B0">
        <w:rPr>
          <w:color w:val="222222"/>
          <w:kern w:val="0"/>
          <w:sz w:val="24"/>
          <w:szCs w:val="24"/>
        </w:rPr>
        <w:t>(1), 61-80.</w:t>
      </w:r>
    </w:p>
    <w:p w14:paraId="3466E658"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Strutzenberger, A., &amp; Ambos, T. C. (2014). Unravelling the subsidiary initiative process: A multilevel approach. </w:t>
      </w:r>
      <w:r w:rsidRPr="00FF4DE9">
        <w:rPr>
          <w:i/>
          <w:iCs/>
          <w:color w:val="222222"/>
          <w:kern w:val="0"/>
          <w:sz w:val="24"/>
          <w:szCs w:val="24"/>
        </w:rPr>
        <w:t>International Journal of Management Reviews</w:t>
      </w:r>
      <w:r w:rsidRPr="00B301B0">
        <w:rPr>
          <w:color w:val="222222"/>
          <w:kern w:val="0"/>
          <w:sz w:val="24"/>
          <w:szCs w:val="24"/>
        </w:rPr>
        <w:t>, </w:t>
      </w:r>
      <w:r w:rsidRPr="00FF4DE9">
        <w:rPr>
          <w:color w:val="222222"/>
          <w:kern w:val="0"/>
          <w:sz w:val="24"/>
          <w:szCs w:val="24"/>
        </w:rPr>
        <w:t>16</w:t>
      </w:r>
      <w:r w:rsidRPr="00B301B0">
        <w:rPr>
          <w:color w:val="222222"/>
          <w:kern w:val="0"/>
          <w:sz w:val="24"/>
          <w:szCs w:val="24"/>
        </w:rPr>
        <w:t>(3), 314-339.</w:t>
      </w:r>
    </w:p>
    <w:p w14:paraId="6A9F970E"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Tong, T. W., Alessandri, T. M., Reuer, J. J., &amp; Chintakananda, A. (2008). How much does country matter? An analysis of firms’ growth options. </w:t>
      </w:r>
      <w:r w:rsidRPr="00FF4DE9">
        <w:rPr>
          <w:i/>
          <w:iCs/>
          <w:color w:val="222222"/>
          <w:kern w:val="0"/>
          <w:sz w:val="24"/>
          <w:szCs w:val="24"/>
        </w:rPr>
        <w:t>Journal of International Business Studies</w:t>
      </w:r>
      <w:r w:rsidRPr="00B301B0">
        <w:rPr>
          <w:color w:val="222222"/>
          <w:kern w:val="0"/>
          <w:sz w:val="24"/>
          <w:szCs w:val="24"/>
        </w:rPr>
        <w:t>, </w:t>
      </w:r>
      <w:r w:rsidRPr="00FF4DE9">
        <w:rPr>
          <w:color w:val="222222"/>
          <w:kern w:val="0"/>
          <w:sz w:val="24"/>
          <w:szCs w:val="24"/>
        </w:rPr>
        <w:t>39</w:t>
      </w:r>
      <w:r w:rsidRPr="00B301B0">
        <w:rPr>
          <w:color w:val="222222"/>
          <w:kern w:val="0"/>
          <w:sz w:val="24"/>
          <w:szCs w:val="24"/>
        </w:rPr>
        <w:t>(3), 387-405.</w:t>
      </w:r>
    </w:p>
    <w:p w14:paraId="0772F32B"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Vedula, S., &amp; Fitza, M. (2019). Regional recipes: a configurational analysis of the regional entrepreneurial ecosystem for US venture capital-backed startups. </w:t>
      </w:r>
      <w:r w:rsidRPr="00FF4DE9">
        <w:rPr>
          <w:i/>
          <w:iCs/>
          <w:color w:val="222222"/>
          <w:kern w:val="0"/>
          <w:sz w:val="24"/>
          <w:szCs w:val="24"/>
        </w:rPr>
        <w:t>Strategy Science</w:t>
      </w:r>
      <w:r w:rsidRPr="00B301B0">
        <w:rPr>
          <w:color w:val="222222"/>
          <w:kern w:val="0"/>
          <w:sz w:val="24"/>
          <w:szCs w:val="24"/>
        </w:rPr>
        <w:t>, </w:t>
      </w:r>
      <w:r w:rsidRPr="00FF4DE9">
        <w:rPr>
          <w:color w:val="222222"/>
          <w:kern w:val="0"/>
          <w:sz w:val="24"/>
          <w:szCs w:val="24"/>
        </w:rPr>
        <w:t>4</w:t>
      </w:r>
      <w:r w:rsidRPr="00B301B0">
        <w:rPr>
          <w:color w:val="222222"/>
          <w:kern w:val="0"/>
          <w:sz w:val="24"/>
          <w:szCs w:val="24"/>
        </w:rPr>
        <w:t>(1), 4-24.</w:t>
      </w:r>
    </w:p>
    <w:p w14:paraId="5FE76E7E"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Yamin, M., &amp; Andersson, U. (2011). Subsidiary importance in the MNC: What role does internal embeddedness play?. </w:t>
      </w:r>
      <w:r w:rsidRPr="00FF4DE9">
        <w:rPr>
          <w:i/>
          <w:iCs/>
          <w:color w:val="222222"/>
          <w:kern w:val="0"/>
          <w:sz w:val="24"/>
          <w:szCs w:val="24"/>
        </w:rPr>
        <w:t>International Business Review</w:t>
      </w:r>
      <w:r w:rsidRPr="00B301B0">
        <w:rPr>
          <w:color w:val="222222"/>
          <w:kern w:val="0"/>
          <w:sz w:val="24"/>
          <w:szCs w:val="24"/>
        </w:rPr>
        <w:t>, </w:t>
      </w:r>
      <w:r w:rsidRPr="00FF4DE9">
        <w:rPr>
          <w:color w:val="222222"/>
          <w:kern w:val="0"/>
          <w:sz w:val="24"/>
          <w:szCs w:val="24"/>
        </w:rPr>
        <w:t>20</w:t>
      </w:r>
      <w:r w:rsidRPr="00B301B0">
        <w:rPr>
          <w:color w:val="222222"/>
          <w:kern w:val="0"/>
          <w:sz w:val="24"/>
          <w:szCs w:val="24"/>
        </w:rPr>
        <w:t>(2), 151-162.</w:t>
      </w:r>
    </w:p>
    <w:p w14:paraId="4C86C89D" w14:textId="77777777" w:rsidR="00B301B0" w:rsidRPr="00B301B0" w:rsidRDefault="00B301B0" w:rsidP="00FF4DE9">
      <w:pPr>
        <w:widowControl/>
        <w:overflowPunct/>
        <w:autoSpaceDE/>
        <w:autoSpaceDN/>
        <w:adjustRightInd/>
        <w:spacing w:after="200"/>
        <w:ind w:left="1440" w:hanging="720"/>
        <w:rPr>
          <w:color w:val="222222"/>
          <w:kern w:val="0"/>
          <w:sz w:val="24"/>
          <w:szCs w:val="24"/>
        </w:rPr>
      </w:pPr>
      <w:r w:rsidRPr="00B301B0">
        <w:rPr>
          <w:color w:val="222222"/>
          <w:kern w:val="0"/>
          <w:sz w:val="24"/>
          <w:szCs w:val="24"/>
        </w:rPr>
        <w:t>Yiu, D., &amp; Makino, S. (2002). The choice between joint venture and wholly owned subsidiary: An institutional perspective. </w:t>
      </w:r>
      <w:r w:rsidRPr="00FF4DE9">
        <w:rPr>
          <w:i/>
          <w:iCs/>
          <w:color w:val="222222"/>
          <w:kern w:val="0"/>
          <w:sz w:val="24"/>
          <w:szCs w:val="24"/>
        </w:rPr>
        <w:t>Organization Science</w:t>
      </w:r>
      <w:r w:rsidRPr="00B301B0">
        <w:rPr>
          <w:color w:val="222222"/>
          <w:kern w:val="0"/>
          <w:sz w:val="24"/>
          <w:szCs w:val="24"/>
        </w:rPr>
        <w:t>, </w:t>
      </w:r>
      <w:r w:rsidRPr="00FF4DE9">
        <w:rPr>
          <w:color w:val="222222"/>
          <w:kern w:val="0"/>
          <w:sz w:val="24"/>
          <w:szCs w:val="24"/>
        </w:rPr>
        <w:t>13</w:t>
      </w:r>
      <w:r w:rsidRPr="00B301B0">
        <w:rPr>
          <w:color w:val="222222"/>
          <w:kern w:val="0"/>
          <w:sz w:val="24"/>
          <w:szCs w:val="24"/>
        </w:rPr>
        <w:t>(6), 667-683.</w:t>
      </w:r>
    </w:p>
    <w:p w14:paraId="69CB1E00" w14:textId="77777777" w:rsidR="00B301B0" w:rsidRPr="00B301B0" w:rsidRDefault="00B301B0" w:rsidP="00B301B0">
      <w:pPr>
        <w:widowControl/>
        <w:overflowPunct/>
        <w:autoSpaceDE/>
        <w:autoSpaceDN/>
        <w:adjustRightInd/>
        <w:ind w:left="720" w:hanging="720"/>
        <w:rPr>
          <w:color w:val="000000" w:themeColor="text1"/>
          <w:kern w:val="0"/>
          <w:sz w:val="24"/>
          <w:szCs w:val="24"/>
        </w:rPr>
      </w:pPr>
    </w:p>
    <w:p w14:paraId="304AE694" w14:textId="77777777" w:rsidR="00B301B0" w:rsidRPr="00B301B0" w:rsidRDefault="00B301B0" w:rsidP="00B301B0">
      <w:pPr>
        <w:widowControl/>
        <w:overflowPunct/>
        <w:autoSpaceDE/>
        <w:autoSpaceDN/>
        <w:adjustRightInd/>
        <w:spacing w:line="480" w:lineRule="auto"/>
        <w:ind w:left="720"/>
        <w:jc w:val="both"/>
        <w:rPr>
          <w:kern w:val="0"/>
          <w:sz w:val="24"/>
          <w:szCs w:val="24"/>
        </w:rPr>
      </w:pPr>
      <w:r w:rsidRPr="00B301B0">
        <w:rPr>
          <w:kern w:val="0"/>
          <w:sz w:val="24"/>
          <w:szCs w:val="24"/>
        </w:rPr>
        <w:t xml:space="preserve"> </w:t>
      </w:r>
    </w:p>
    <w:p w14:paraId="447C89EA" w14:textId="77777777" w:rsidR="00B301B0" w:rsidRPr="00B301B0" w:rsidRDefault="00B301B0" w:rsidP="00B301B0">
      <w:pPr>
        <w:widowControl/>
        <w:overflowPunct/>
        <w:autoSpaceDE/>
        <w:autoSpaceDN/>
        <w:adjustRightInd/>
        <w:ind w:left="720"/>
        <w:rPr>
          <w:rFonts w:eastAsiaTheme="minorHAnsi"/>
          <w:kern w:val="0"/>
          <w:sz w:val="24"/>
          <w:szCs w:val="24"/>
        </w:rPr>
        <w:sectPr w:rsidR="00B301B0" w:rsidRPr="00B301B0" w:rsidSect="00DB7B9A">
          <w:footerReference w:type="even" r:id="rId15"/>
          <w:pgSz w:w="12240" w:h="15840"/>
          <w:pgMar w:top="1440" w:right="1440" w:bottom="1440" w:left="1440" w:header="720" w:footer="720" w:gutter="0"/>
          <w:cols w:space="720"/>
          <w:docGrid w:linePitch="360"/>
        </w:sectPr>
      </w:pPr>
    </w:p>
    <w:p w14:paraId="78C3C127" w14:textId="77777777" w:rsidR="00B301B0" w:rsidRPr="00B301B0" w:rsidRDefault="00B301B0" w:rsidP="00B301B0">
      <w:pPr>
        <w:widowControl/>
        <w:overflowPunct/>
        <w:autoSpaceDE/>
        <w:autoSpaceDN/>
        <w:adjustRightInd/>
        <w:ind w:left="720"/>
        <w:rPr>
          <w:kern w:val="0"/>
          <w:sz w:val="24"/>
          <w:szCs w:val="24"/>
        </w:rPr>
      </w:pPr>
      <w:r w:rsidRPr="00B301B0">
        <w:rPr>
          <w:kern w:val="0"/>
          <w:sz w:val="24"/>
          <w:szCs w:val="24"/>
        </w:rPr>
        <w:t>Table 1. Subsidiary and headquarters effect on subsidiary performance</w:t>
      </w:r>
    </w:p>
    <w:p w14:paraId="08D5EBA2" w14:textId="77777777" w:rsidR="00B301B0" w:rsidRPr="00B301B0" w:rsidRDefault="00B301B0" w:rsidP="00B301B0">
      <w:pPr>
        <w:widowControl/>
        <w:overflowPunct/>
        <w:autoSpaceDE/>
        <w:autoSpaceDN/>
        <w:adjustRightInd/>
        <w:rPr>
          <w:kern w:val="0"/>
          <w:sz w:val="24"/>
          <w:szCs w:val="24"/>
        </w:rPr>
      </w:pPr>
    </w:p>
    <w:tbl>
      <w:tblPr>
        <w:tblStyle w:val="TableGrid"/>
        <w:tblW w:w="4607" w:type="pct"/>
        <w:tblInd w:w="752" w:type="dxa"/>
        <w:tblLook w:val="04A0" w:firstRow="1" w:lastRow="0" w:firstColumn="1" w:lastColumn="0" w:noHBand="0" w:noVBand="1"/>
      </w:tblPr>
      <w:tblGrid>
        <w:gridCol w:w="2010"/>
        <w:gridCol w:w="2224"/>
        <w:gridCol w:w="1515"/>
        <w:gridCol w:w="3396"/>
        <w:gridCol w:w="2787"/>
      </w:tblGrid>
      <w:tr w:rsidR="00B301B0" w:rsidRPr="00B301B0" w14:paraId="564CDD59" w14:textId="77777777" w:rsidTr="00DB7B9A">
        <w:trPr>
          <w:trHeight w:val="20"/>
        </w:trPr>
        <w:tc>
          <w:tcPr>
            <w:tcW w:w="842" w:type="pct"/>
            <w:shd w:val="clear" w:color="auto" w:fill="F2F2F2" w:themeFill="background1" w:themeFillShade="F2"/>
          </w:tcPr>
          <w:p w14:paraId="11BD6013" w14:textId="77777777" w:rsidR="00B301B0" w:rsidRPr="00B301B0" w:rsidRDefault="00B301B0" w:rsidP="00B301B0">
            <w:pPr>
              <w:widowControl/>
              <w:overflowPunct/>
              <w:autoSpaceDE/>
              <w:autoSpaceDN/>
              <w:adjustRightInd/>
              <w:ind w:right="-49"/>
              <w:rPr>
                <w:kern w:val="0"/>
              </w:rPr>
            </w:pPr>
            <w:r w:rsidRPr="00B301B0">
              <w:rPr>
                <w:kern w:val="0"/>
              </w:rPr>
              <w:t>Research Stream</w:t>
            </w:r>
          </w:p>
        </w:tc>
        <w:tc>
          <w:tcPr>
            <w:tcW w:w="932" w:type="pct"/>
            <w:shd w:val="clear" w:color="auto" w:fill="F2F2F2" w:themeFill="background1" w:themeFillShade="F2"/>
            <w:noWrap/>
            <w:hideMark/>
          </w:tcPr>
          <w:p w14:paraId="291B718D" w14:textId="77777777" w:rsidR="00B301B0" w:rsidRPr="00B301B0" w:rsidRDefault="00B301B0" w:rsidP="00B301B0">
            <w:pPr>
              <w:widowControl/>
              <w:overflowPunct/>
              <w:autoSpaceDE/>
              <w:autoSpaceDN/>
              <w:adjustRightInd/>
              <w:rPr>
                <w:kern w:val="0"/>
              </w:rPr>
            </w:pPr>
            <w:r w:rsidRPr="00B301B0">
              <w:rPr>
                <w:kern w:val="0"/>
              </w:rPr>
              <w:t>Select Theories</w:t>
            </w:r>
          </w:p>
        </w:tc>
        <w:tc>
          <w:tcPr>
            <w:tcW w:w="635" w:type="pct"/>
            <w:shd w:val="clear" w:color="auto" w:fill="F2F2F2" w:themeFill="background1" w:themeFillShade="F2"/>
            <w:hideMark/>
          </w:tcPr>
          <w:p w14:paraId="1CDFEDFD" w14:textId="77777777" w:rsidR="00B301B0" w:rsidRPr="00B301B0" w:rsidRDefault="00B301B0" w:rsidP="00B301B0">
            <w:pPr>
              <w:widowControl/>
              <w:overflowPunct/>
              <w:autoSpaceDE/>
              <w:autoSpaceDN/>
              <w:adjustRightInd/>
              <w:rPr>
                <w:kern w:val="0"/>
              </w:rPr>
            </w:pPr>
            <w:r w:rsidRPr="00B301B0">
              <w:rPr>
                <w:kern w:val="0"/>
              </w:rPr>
              <w:t>Mechanisms</w:t>
            </w:r>
          </w:p>
        </w:tc>
        <w:tc>
          <w:tcPr>
            <w:tcW w:w="1423" w:type="pct"/>
            <w:shd w:val="clear" w:color="auto" w:fill="F2F2F2" w:themeFill="background1" w:themeFillShade="F2"/>
            <w:hideMark/>
          </w:tcPr>
          <w:p w14:paraId="55B9CC7D" w14:textId="77777777" w:rsidR="00B301B0" w:rsidRPr="00B301B0" w:rsidRDefault="00B301B0" w:rsidP="00B301B0">
            <w:pPr>
              <w:widowControl/>
              <w:overflowPunct/>
              <w:autoSpaceDE/>
              <w:autoSpaceDN/>
              <w:adjustRightInd/>
              <w:rPr>
                <w:kern w:val="0"/>
              </w:rPr>
            </w:pPr>
            <w:r w:rsidRPr="00B301B0">
              <w:rPr>
                <w:kern w:val="0"/>
              </w:rPr>
              <w:t>Key Insights</w:t>
            </w:r>
          </w:p>
        </w:tc>
        <w:tc>
          <w:tcPr>
            <w:tcW w:w="1168" w:type="pct"/>
            <w:shd w:val="clear" w:color="auto" w:fill="F2F2F2" w:themeFill="background1" w:themeFillShade="F2"/>
            <w:hideMark/>
          </w:tcPr>
          <w:p w14:paraId="53E6BF7C" w14:textId="77777777" w:rsidR="00B301B0" w:rsidRPr="00B301B0" w:rsidRDefault="00B301B0" w:rsidP="00B301B0">
            <w:pPr>
              <w:widowControl/>
              <w:overflowPunct/>
              <w:autoSpaceDE/>
              <w:autoSpaceDN/>
              <w:adjustRightInd/>
              <w:rPr>
                <w:kern w:val="0"/>
              </w:rPr>
            </w:pPr>
            <w:r w:rsidRPr="00B301B0">
              <w:rPr>
                <w:kern w:val="0"/>
              </w:rPr>
              <w:t>Select Citations</w:t>
            </w:r>
          </w:p>
        </w:tc>
      </w:tr>
      <w:tr w:rsidR="00B301B0" w:rsidRPr="00B301B0" w14:paraId="4BE0CB43" w14:textId="77777777" w:rsidTr="00DB7B9A">
        <w:trPr>
          <w:trHeight w:val="20"/>
        </w:trPr>
        <w:tc>
          <w:tcPr>
            <w:tcW w:w="842" w:type="pct"/>
            <w:vMerge w:val="restart"/>
            <w:vAlign w:val="center"/>
          </w:tcPr>
          <w:p w14:paraId="5DD48F59" w14:textId="77777777" w:rsidR="00B301B0" w:rsidRPr="00B301B0" w:rsidRDefault="00B301B0" w:rsidP="00B301B0">
            <w:pPr>
              <w:widowControl/>
              <w:overflowPunct/>
              <w:autoSpaceDE/>
              <w:autoSpaceDN/>
              <w:adjustRightInd/>
              <w:rPr>
                <w:kern w:val="0"/>
              </w:rPr>
            </w:pPr>
            <w:r w:rsidRPr="00B301B0">
              <w:rPr>
                <w:kern w:val="0"/>
              </w:rPr>
              <w:t>Subsidiary Focused</w:t>
            </w:r>
          </w:p>
        </w:tc>
        <w:tc>
          <w:tcPr>
            <w:tcW w:w="932" w:type="pct"/>
            <w:noWrap/>
            <w:vAlign w:val="center"/>
            <w:hideMark/>
          </w:tcPr>
          <w:p w14:paraId="3E8C3860" w14:textId="77777777" w:rsidR="00B301B0" w:rsidRPr="00B301B0" w:rsidRDefault="00B301B0" w:rsidP="00B301B0">
            <w:pPr>
              <w:widowControl/>
              <w:overflowPunct/>
              <w:autoSpaceDE/>
              <w:autoSpaceDN/>
              <w:adjustRightInd/>
              <w:rPr>
                <w:kern w:val="0"/>
              </w:rPr>
            </w:pPr>
            <w:r w:rsidRPr="00B301B0">
              <w:rPr>
                <w:kern w:val="0"/>
              </w:rPr>
              <w:t>Institutional theory</w:t>
            </w:r>
          </w:p>
        </w:tc>
        <w:tc>
          <w:tcPr>
            <w:tcW w:w="635" w:type="pct"/>
            <w:vAlign w:val="center"/>
            <w:hideMark/>
          </w:tcPr>
          <w:p w14:paraId="245B9C0F" w14:textId="77777777" w:rsidR="00B301B0" w:rsidRPr="00B301B0" w:rsidRDefault="00B301B0" w:rsidP="00B301B0">
            <w:pPr>
              <w:widowControl/>
              <w:overflowPunct/>
              <w:autoSpaceDE/>
              <w:autoSpaceDN/>
              <w:adjustRightInd/>
              <w:rPr>
                <w:kern w:val="0"/>
              </w:rPr>
            </w:pPr>
            <w:r w:rsidRPr="00B301B0">
              <w:rPr>
                <w:kern w:val="0"/>
              </w:rPr>
              <w:t>Embeddedness</w:t>
            </w:r>
          </w:p>
          <w:p w14:paraId="697EB57A" w14:textId="77777777" w:rsidR="00B301B0" w:rsidRPr="00B301B0" w:rsidRDefault="00B301B0" w:rsidP="00B301B0">
            <w:pPr>
              <w:widowControl/>
              <w:overflowPunct/>
              <w:autoSpaceDE/>
              <w:autoSpaceDN/>
              <w:adjustRightInd/>
              <w:rPr>
                <w:kern w:val="0"/>
              </w:rPr>
            </w:pPr>
            <w:r w:rsidRPr="00B301B0">
              <w:rPr>
                <w:kern w:val="0"/>
              </w:rPr>
              <w:t>Legitimacy</w:t>
            </w:r>
          </w:p>
        </w:tc>
        <w:tc>
          <w:tcPr>
            <w:tcW w:w="1423" w:type="pct"/>
            <w:vAlign w:val="center"/>
            <w:hideMark/>
          </w:tcPr>
          <w:p w14:paraId="3D04F4D8" w14:textId="77777777" w:rsidR="00B301B0" w:rsidRPr="00B301B0" w:rsidRDefault="00B301B0" w:rsidP="00B301B0">
            <w:pPr>
              <w:widowControl/>
              <w:overflowPunct/>
              <w:autoSpaceDE/>
              <w:autoSpaceDN/>
              <w:adjustRightInd/>
              <w:rPr>
                <w:kern w:val="0"/>
              </w:rPr>
            </w:pPr>
            <w:r w:rsidRPr="00B301B0">
              <w:rPr>
                <w:kern w:val="0"/>
              </w:rPr>
              <w:t>Subsidiary local embeddedness and legitimacy in foreign markets exert a positive effect on performance outcomes.</w:t>
            </w:r>
          </w:p>
        </w:tc>
        <w:tc>
          <w:tcPr>
            <w:tcW w:w="1168" w:type="pct"/>
            <w:vAlign w:val="center"/>
            <w:hideMark/>
          </w:tcPr>
          <w:p w14:paraId="0231CF0D" w14:textId="77777777" w:rsidR="00B301B0" w:rsidRPr="00B301B0" w:rsidRDefault="00B301B0" w:rsidP="00B301B0">
            <w:pPr>
              <w:widowControl/>
              <w:overflowPunct/>
              <w:autoSpaceDE/>
              <w:autoSpaceDN/>
              <w:adjustRightInd/>
              <w:rPr>
                <w:kern w:val="0"/>
              </w:rPr>
            </w:pPr>
            <w:r w:rsidRPr="00B301B0">
              <w:rPr>
                <w:kern w:val="0"/>
              </w:rPr>
              <w:t>Luo (2003); Birkinshaw et al. (2005); Slangen &amp; Hennart (2008); Kawai &amp; Strange (2014)</w:t>
            </w:r>
          </w:p>
        </w:tc>
      </w:tr>
      <w:tr w:rsidR="00B301B0" w:rsidRPr="00B301B0" w14:paraId="0799CC78" w14:textId="77777777" w:rsidTr="00DB7B9A">
        <w:trPr>
          <w:trHeight w:val="20"/>
        </w:trPr>
        <w:tc>
          <w:tcPr>
            <w:tcW w:w="842" w:type="pct"/>
            <w:vMerge/>
          </w:tcPr>
          <w:p w14:paraId="09E2A342" w14:textId="77777777" w:rsidR="00B301B0" w:rsidRPr="00B301B0" w:rsidRDefault="00B301B0" w:rsidP="00B301B0">
            <w:pPr>
              <w:widowControl/>
              <w:overflowPunct/>
              <w:autoSpaceDE/>
              <w:autoSpaceDN/>
              <w:adjustRightInd/>
              <w:rPr>
                <w:kern w:val="0"/>
              </w:rPr>
            </w:pPr>
          </w:p>
        </w:tc>
        <w:tc>
          <w:tcPr>
            <w:tcW w:w="932" w:type="pct"/>
            <w:noWrap/>
            <w:vAlign w:val="center"/>
            <w:hideMark/>
          </w:tcPr>
          <w:p w14:paraId="569DE441" w14:textId="77777777" w:rsidR="00B301B0" w:rsidRPr="00B301B0" w:rsidRDefault="00B301B0" w:rsidP="00B301B0">
            <w:pPr>
              <w:widowControl/>
              <w:overflowPunct/>
              <w:autoSpaceDE/>
              <w:autoSpaceDN/>
              <w:adjustRightInd/>
              <w:rPr>
                <w:kern w:val="0"/>
              </w:rPr>
            </w:pPr>
            <w:r w:rsidRPr="00B301B0">
              <w:rPr>
                <w:kern w:val="0"/>
              </w:rPr>
              <w:t>Contingency theory</w:t>
            </w:r>
          </w:p>
        </w:tc>
        <w:tc>
          <w:tcPr>
            <w:tcW w:w="635" w:type="pct"/>
            <w:vAlign w:val="center"/>
            <w:hideMark/>
          </w:tcPr>
          <w:p w14:paraId="024A842F" w14:textId="77777777" w:rsidR="00B301B0" w:rsidRPr="00B301B0" w:rsidRDefault="00B301B0" w:rsidP="00B301B0">
            <w:pPr>
              <w:widowControl/>
              <w:overflowPunct/>
              <w:autoSpaceDE/>
              <w:autoSpaceDN/>
              <w:adjustRightInd/>
              <w:rPr>
                <w:kern w:val="0"/>
              </w:rPr>
            </w:pPr>
            <w:r w:rsidRPr="00B301B0">
              <w:rPr>
                <w:kern w:val="0"/>
              </w:rPr>
              <w:t>Differentiation</w:t>
            </w:r>
          </w:p>
          <w:p w14:paraId="7FBDA822" w14:textId="77777777" w:rsidR="00B301B0" w:rsidRPr="00B301B0" w:rsidRDefault="00B301B0" w:rsidP="00B301B0">
            <w:pPr>
              <w:widowControl/>
              <w:overflowPunct/>
              <w:autoSpaceDE/>
              <w:autoSpaceDN/>
              <w:adjustRightInd/>
              <w:rPr>
                <w:kern w:val="0"/>
              </w:rPr>
            </w:pPr>
            <w:r w:rsidRPr="00B301B0">
              <w:rPr>
                <w:kern w:val="0"/>
              </w:rPr>
              <w:t>Alignment</w:t>
            </w:r>
          </w:p>
        </w:tc>
        <w:tc>
          <w:tcPr>
            <w:tcW w:w="1423" w:type="pct"/>
            <w:vAlign w:val="center"/>
            <w:hideMark/>
          </w:tcPr>
          <w:p w14:paraId="29E80EE0" w14:textId="77777777" w:rsidR="00B301B0" w:rsidRPr="00B301B0" w:rsidRDefault="00B301B0" w:rsidP="00B301B0">
            <w:pPr>
              <w:widowControl/>
              <w:overflowPunct/>
              <w:autoSpaceDE/>
              <w:autoSpaceDN/>
              <w:adjustRightInd/>
              <w:rPr>
                <w:kern w:val="0"/>
              </w:rPr>
            </w:pPr>
            <w:r w:rsidRPr="00B301B0">
              <w:rPr>
                <w:kern w:val="0"/>
              </w:rPr>
              <w:t>Subsidiary differentiation enables the formulation and implementation of context specific strategies which improves performance.</w:t>
            </w:r>
          </w:p>
        </w:tc>
        <w:tc>
          <w:tcPr>
            <w:tcW w:w="1168" w:type="pct"/>
            <w:vAlign w:val="center"/>
            <w:hideMark/>
          </w:tcPr>
          <w:p w14:paraId="468F6EC8" w14:textId="77777777" w:rsidR="00B301B0" w:rsidRPr="00B301B0" w:rsidRDefault="00B301B0" w:rsidP="00B301B0">
            <w:pPr>
              <w:widowControl/>
              <w:overflowPunct/>
              <w:autoSpaceDE/>
              <w:autoSpaceDN/>
              <w:adjustRightInd/>
              <w:rPr>
                <w:kern w:val="0"/>
              </w:rPr>
            </w:pPr>
            <w:r w:rsidRPr="00B301B0">
              <w:rPr>
                <w:kern w:val="0"/>
              </w:rPr>
              <w:t>Delios &amp; Beamish (2001); Hewett et al. (2003); Newburry et al. (2003); Najafi-Tavani et al. (2018)</w:t>
            </w:r>
          </w:p>
        </w:tc>
      </w:tr>
      <w:tr w:rsidR="00B301B0" w:rsidRPr="00B301B0" w14:paraId="0F2B9DC0" w14:textId="77777777" w:rsidTr="00DB7B9A">
        <w:trPr>
          <w:trHeight w:val="20"/>
        </w:trPr>
        <w:tc>
          <w:tcPr>
            <w:tcW w:w="842" w:type="pct"/>
            <w:vMerge/>
          </w:tcPr>
          <w:p w14:paraId="3245DAF5" w14:textId="77777777" w:rsidR="00B301B0" w:rsidRPr="00B301B0" w:rsidRDefault="00B301B0" w:rsidP="00B301B0">
            <w:pPr>
              <w:widowControl/>
              <w:overflowPunct/>
              <w:autoSpaceDE/>
              <w:autoSpaceDN/>
              <w:adjustRightInd/>
              <w:rPr>
                <w:kern w:val="0"/>
              </w:rPr>
            </w:pPr>
          </w:p>
        </w:tc>
        <w:tc>
          <w:tcPr>
            <w:tcW w:w="932" w:type="pct"/>
            <w:noWrap/>
            <w:vAlign w:val="center"/>
            <w:hideMark/>
          </w:tcPr>
          <w:p w14:paraId="3CEDA7CB" w14:textId="77777777" w:rsidR="00B301B0" w:rsidRPr="00B301B0" w:rsidRDefault="00B301B0" w:rsidP="00B301B0">
            <w:pPr>
              <w:widowControl/>
              <w:overflowPunct/>
              <w:autoSpaceDE/>
              <w:autoSpaceDN/>
              <w:adjustRightInd/>
              <w:rPr>
                <w:kern w:val="0"/>
              </w:rPr>
            </w:pPr>
            <w:r w:rsidRPr="00B301B0">
              <w:rPr>
                <w:kern w:val="0"/>
              </w:rPr>
              <w:t>Resource dependency</w:t>
            </w:r>
          </w:p>
        </w:tc>
        <w:tc>
          <w:tcPr>
            <w:tcW w:w="635" w:type="pct"/>
            <w:vAlign w:val="center"/>
            <w:hideMark/>
          </w:tcPr>
          <w:p w14:paraId="044AF8D5" w14:textId="77777777" w:rsidR="00B301B0" w:rsidRPr="00B301B0" w:rsidRDefault="00B301B0" w:rsidP="00B301B0">
            <w:pPr>
              <w:widowControl/>
              <w:overflowPunct/>
              <w:autoSpaceDE/>
              <w:autoSpaceDN/>
              <w:adjustRightInd/>
              <w:rPr>
                <w:kern w:val="0"/>
              </w:rPr>
            </w:pPr>
            <w:r w:rsidRPr="00B301B0">
              <w:rPr>
                <w:kern w:val="0"/>
              </w:rPr>
              <w:t>Power</w:t>
            </w:r>
          </w:p>
          <w:p w14:paraId="4B38ADF0" w14:textId="77777777" w:rsidR="00B301B0" w:rsidRPr="00B301B0" w:rsidRDefault="00B301B0" w:rsidP="00B301B0">
            <w:pPr>
              <w:widowControl/>
              <w:overflowPunct/>
              <w:autoSpaceDE/>
              <w:autoSpaceDN/>
              <w:adjustRightInd/>
              <w:rPr>
                <w:kern w:val="0"/>
              </w:rPr>
            </w:pPr>
            <w:r w:rsidRPr="00B301B0">
              <w:rPr>
                <w:kern w:val="0"/>
              </w:rPr>
              <w:t>Control</w:t>
            </w:r>
          </w:p>
        </w:tc>
        <w:tc>
          <w:tcPr>
            <w:tcW w:w="1423" w:type="pct"/>
            <w:vAlign w:val="center"/>
            <w:hideMark/>
          </w:tcPr>
          <w:p w14:paraId="5875B09E" w14:textId="77777777" w:rsidR="00B301B0" w:rsidRPr="00B301B0" w:rsidRDefault="00B301B0" w:rsidP="00B301B0">
            <w:pPr>
              <w:widowControl/>
              <w:overflowPunct/>
              <w:autoSpaceDE/>
              <w:autoSpaceDN/>
              <w:adjustRightInd/>
              <w:rPr>
                <w:kern w:val="0"/>
              </w:rPr>
            </w:pPr>
            <w:r w:rsidRPr="00B301B0">
              <w:rPr>
                <w:kern w:val="0"/>
              </w:rPr>
              <w:t>Subsidiary power can enhance performance as it provides an ability to autonomously make decisions.</w:t>
            </w:r>
          </w:p>
        </w:tc>
        <w:tc>
          <w:tcPr>
            <w:tcW w:w="1168" w:type="pct"/>
            <w:vAlign w:val="center"/>
            <w:hideMark/>
          </w:tcPr>
          <w:p w14:paraId="360594D6" w14:textId="77777777" w:rsidR="00B301B0" w:rsidRPr="00B301B0" w:rsidRDefault="00B301B0" w:rsidP="00B301B0">
            <w:pPr>
              <w:widowControl/>
              <w:overflowPunct/>
              <w:autoSpaceDE/>
              <w:autoSpaceDN/>
              <w:adjustRightInd/>
              <w:rPr>
                <w:kern w:val="0"/>
              </w:rPr>
            </w:pPr>
            <w:r w:rsidRPr="00B301B0">
              <w:rPr>
                <w:kern w:val="0"/>
              </w:rPr>
              <w:t>Johnston &amp; Menuc (2007); Ambos et al. (2011); Liu et al. (2016)</w:t>
            </w:r>
          </w:p>
        </w:tc>
      </w:tr>
      <w:tr w:rsidR="00B301B0" w:rsidRPr="00B301B0" w14:paraId="72A1CBED" w14:textId="77777777" w:rsidTr="00DB7B9A">
        <w:trPr>
          <w:trHeight w:val="20"/>
        </w:trPr>
        <w:tc>
          <w:tcPr>
            <w:tcW w:w="842" w:type="pct"/>
            <w:vMerge/>
          </w:tcPr>
          <w:p w14:paraId="174F9795" w14:textId="77777777" w:rsidR="00B301B0" w:rsidRPr="00B301B0" w:rsidRDefault="00B301B0" w:rsidP="00B301B0">
            <w:pPr>
              <w:widowControl/>
              <w:overflowPunct/>
              <w:autoSpaceDE/>
              <w:autoSpaceDN/>
              <w:adjustRightInd/>
              <w:rPr>
                <w:kern w:val="0"/>
              </w:rPr>
            </w:pPr>
          </w:p>
        </w:tc>
        <w:tc>
          <w:tcPr>
            <w:tcW w:w="932" w:type="pct"/>
            <w:noWrap/>
            <w:vAlign w:val="center"/>
            <w:hideMark/>
          </w:tcPr>
          <w:p w14:paraId="6376F7E2" w14:textId="77777777" w:rsidR="00B301B0" w:rsidRPr="00B301B0" w:rsidRDefault="00B301B0" w:rsidP="00B301B0">
            <w:pPr>
              <w:widowControl/>
              <w:overflowPunct/>
              <w:autoSpaceDE/>
              <w:autoSpaceDN/>
              <w:adjustRightInd/>
              <w:rPr>
                <w:kern w:val="0"/>
              </w:rPr>
            </w:pPr>
            <w:r w:rsidRPr="00B301B0">
              <w:rPr>
                <w:kern w:val="0"/>
              </w:rPr>
              <w:t>Network theory</w:t>
            </w:r>
          </w:p>
        </w:tc>
        <w:tc>
          <w:tcPr>
            <w:tcW w:w="635" w:type="pct"/>
            <w:vAlign w:val="center"/>
            <w:hideMark/>
          </w:tcPr>
          <w:p w14:paraId="66108140" w14:textId="77777777" w:rsidR="00B301B0" w:rsidRPr="00B301B0" w:rsidRDefault="00B301B0" w:rsidP="00B301B0">
            <w:pPr>
              <w:widowControl/>
              <w:overflowPunct/>
              <w:autoSpaceDE/>
              <w:autoSpaceDN/>
              <w:adjustRightInd/>
              <w:rPr>
                <w:kern w:val="0"/>
              </w:rPr>
            </w:pPr>
            <w:r w:rsidRPr="00B301B0">
              <w:rPr>
                <w:kern w:val="0"/>
              </w:rPr>
              <w:t>Collaboration</w:t>
            </w:r>
          </w:p>
          <w:p w14:paraId="223B6086" w14:textId="77777777" w:rsidR="00B301B0" w:rsidRPr="00B301B0" w:rsidRDefault="00B301B0" w:rsidP="00B301B0">
            <w:pPr>
              <w:widowControl/>
              <w:overflowPunct/>
              <w:autoSpaceDE/>
              <w:autoSpaceDN/>
              <w:adjustRightInd/>
              <w:rPr>
                <w:kern w:val="0"/>
              </w:rPr>
            </w:pPr>
            <w:r w:rsidRPr="00B301B0">
              <w:rPr>
                <w:kern w:val="0"/>
              </w:rPr>
              <w:t>Power</w:t>
            </w:r>
          </w:p>
        </w:tc>
        <w:tc>
          <w:tcPr>
            <w:tcW w:w="1423" w:type="pct"/>
            <w:vAlign w:val="center"/>
            <w:hideMark/>
          </w:tcPr>
          <w:p w14:paraId="5AF2BA36" w14:textId="77777777" w:rsidR="00B301B0" w:rsidRPr="00B301B0" w:rsidRDefault="00B301B0" w:rsidP="00B301B0">
            <w:pPr>
              <w:widowControl/>
              <w:overflowPunct/>
              <w:autoSpaceDE/>
              <w:autoSpaceDN/>
              <w:adjustRightInd/>
              <w:rPr>
                <w:kern w:val="0"/>
              </w:rPr>
            </w:pPr>
            <w:r w:rsidRPr="00B301B0">
              <w:rPr>
                <w:kern w:val="0"/>
              </w:rPr>
              <w:t>Subsidiary collaboration and use of organizational networks have a positive influence on performance.</w:t>
            </w:r>
          </w:p>
        </w:tc>
        <w:tc>
          <w:tcPr>
            <w:tcW w:w="1168" w:type="pct"/>
            <w:vAlign w:val="center"/>
            <w:hideMark/>
          </w:tcPr>
          <w:p w14:paraId="2CDE9909" w14:textId="77777777" w:rsidR="00B301B0" w:rsidRPr="00B301B0" w:rsidRDefault="00B301B0" w:rsidP="00B301B0">
            <w:pPr>
              <w:widowControl/>
              <w:overflowPunct/>
              <w:autoSpaceDE/>
              <w:autoSpaceDN/>
              <w:adjustRightInd/>
              <w:rPr>
                <w:kern w:val="0"/>
              </w:rPr>
            </w:pPr>
            <w:r w:rsidRPr="00B301B0">
              <w:rPr>
                <w:kern w:val="0"/>
                <w:lang w:val="de-DE"/>
              </w:rPr>
              <w:t xml:space="preserve">Andersson et al. (2002); </w:t>
            </w:r>
            <w:r w:rsidRPr="00B301B0">
              <w:rPr>
                <w:kern w:val="0"/>
              </w:rPr>
              <w:t>Brouthers et al. (2009); Gammelgaard et al. (2012)</w:t>
            </w:r>
          </w:p>
        </w:tc>
      </w:tr>
      <w:tr w:rsidR="00B301B0" w:rsidRPr="00B301B0" w14:paraId="51F3C5E0" w14:textId="77777777" w:rsidTr="00DB7B9A">
        <w:trPr>
          <w:trHeight w:val="920"/>
        </w:trPr>
        <w:tc>
          <w:tcPr>
            <w:tcW w:w="842" w:type="pct"/>
            <w:vMerge w:val="restart"/>
            <w:vAlign w:val="center"/>
          </w:tcPr>
          <w:p w14:paraId="44194540" w14:textId="77777777" w:rsidR="00B301B0" w:rsidRPr="00B301B0" w:rsidRDefault="00B301B0" w:rsidP="00B301B0">
            <w:pPr>
              <w:widowControl/>
              <w:overflowPunct/>
              <w:autoSpaceDE/>
              <w:autoSpaceDN/>
              <w:adjustRightInd/>
              <w:rPr>
                <w:kern w:val="0"/>
              </w:rPr>
            </w:pPr>
            <w:r w:rsidRPr="00B301B0">
              <w:rPr>
                <w:kern w:val="0"/>
              </w:rPr>
              <w:t>Headquarters Focused</w:t>
            </w:r>
          </w:p>
        </w:tc>
        <w:tc>
          <w:tcPr>
            <w:tcW w:w="932" w:type="pct"/>
            <w:noWrap/>
            <w:vAlign w:val="center"/>
          </w:tcPr>
          <w:p w14:paraId="18826F5C" w14:textId="77777777" w:rsidR="00B301B0" w:rsidRPr="00B301B0" w:rsidRDefault="00B301B0" w:rsidP="00B301B0">
            <w:pPr>
              <w:widowControl/>
              <w:overflowPunct/>
              <w:autoSpaceDE/>
              <w:autoSpaceDN/>
              <w:adjustRightInd/>
              <w:rPr>
                <w:kern w:val="0"/>
              </w:rPr>
            </w:pPr>
            <w:r w:rsidRPr="00B301B0">
              <w:rPr>
                <w:kern w:val="0"/>
              </w:rPr>
              <w:t>OLI paradigm</w:t>
            </w:r>
          </w:p>
          <w:p w14:paraId="5EF6DE5B" w14:textId="77777777" w:rsidR="00B301B0" w:rsidRPr="00B301B0" w:rsidRDefault="00B301B0" w:rsidP="00B301B0">
            <w:pPr>
              <w:widowControl/>
              <w:overflowPunct/>
              <w:autoSpaceDE/>
              <w:autoSpaceDN/>
              <w:adjustRightInd/>
              <w:rPr>
                <w:kern w:val="0"/>
              </w:rPr>
            </w:pPr>
            <w:r w:rsidRPr="00B301B0">
              <w:rPr>
                <w:kern w:val="0"/>
              </w:rPr>
              <w:t xml:space="preserve">(Internalization theory) </w:t>
            </w:r>
            <w:r w:rsidRPr="00B301B0">
              <w:rPr>
                <w:kern w:val="0"/>
                <w:vertAlign w:val="superscript"/>
              </w:rPr>
              <w:t>A</w:t>
            </w:r>
          </w:p>
        </w:tc>
        <w:tc>
          <w:tcPr>
            <w:tcW w:w="635" w:type="pct"/>
            <w:vAlign w:val="center"/>
          </w:tcPr>
          <w:p w14:paraId="3FBD4344" w14:textId="77777777" w:rsidR="00B301B0" w:rsidRPr="00B301B0" w:rsidRDefault="00B301B0" w:rsidP="00B301B0">
            <w:pPr>
              <w:widowControl/>
              <w:overflowPunct/>
              <w:autoSpaceDE/>
              <w:autoSpaceDN/>
              <w:adjustRightInd/>
              <w:rPr>
                <w:kern w:val="0"/>
              </w:rPr>
            </w:pPr>
            <w:r w:rsidRPr="00B301B0">
              <w:rPr>
                <w:kern w:val="0"/>
              </w:rPr>
              <w:t>Exploitation</w:t>
            </w:r>
          </w:p>
          <w:p w14:paraId="5ACA6B5B" w14:textId="77777777" w:rsidR="00B301B0" w:rsidRPr="00B301B0" w:rsidRDefault="00B301B0" w:rsidP="00B301B0">
            <w:pPr>
              <w:widowControl/>
              <w:overflowPunct/>
              <w:autoSpaceDE/>
              <w:autoSpaceDN/>
              <w:adjustRightInd/>
              <w:rPr>
                <w:kern w:val="0"/>
              </w:rPr>
            </w:pPr>
            <w:r w:rsidRPr="00B301B0">
              <w:rPr>
                <w:kern w:val="0"/>
              </w:rPr>
              <w:t xml:space="preserve">Mobility </w:t>
            </w:r>
          </w:p>
        </w:tc>
        <w:tc>
          <w:tcPr>
            <w:tcW w:w="1423" w:type="pct"/>
            <w:vAlign w:val="center"/>
          </w:tcPr>
          <w:p w14:paraId="2285723A" w14:textId="77777777" w:rsidR="00B301B0" w:rsidRPr="00B301B0" w:rsidRDefault="00B301B0" w:rsidP="00B301B0">
            <w:pPr>
              <w:widowControl/>
              <w:overflowPunct/>
              <w:autoSpaceDE/>
              <w:autoSpaceDN/>
              <w:adjustRightInd/>
              <w:rPr>
                <w:kern w:val="0"/>
              </w:rPr>
            </w:pPr>
            <w:r w:rsidRPr="00B301B0">
              <w:rPr>
                <w:kern w:val="0"/>
              </w:rPr>
              <w:t>The mobility and exploitation of firm-specific advantages is an important determinant of performance in internalized foreign markets.</w:t>
            </w:r>
          </w:p>
        </w:tc>
        <w:tc>
          <w:tcPr>
            <w:tcW w:w="1168" w:type="pct"/>
            <w:vAlign w:val="center"/>
          </w:tcPr>
          <w:p w14:paraId="747BF1AF" w14:textId="77777777" w:rsidR="00B301B0" w:rsidRPr="00B301B0" w:rsidRDefault="00B301B0" w:rsidP="00B301B0">
            <w:pPr>
              <w:widowControl/>
              <w:overflowPunct/>
              <w:autoSpaceDE/>
              <w:autoSpaceDN/>
              <w:adjustRightInd/>
              <w:rPr>
                <w:kern w:val="0"/>
              </w:rPr>
            </w:pPr>
            <w:r w:rsidRPr="00B301B0">
              <w:rPr>
                <w:kern w:val="0"/>
              </w:rPr>
              <w:t>Rugman &amp; Verbeke (2001); Brouthers et al. (2009); Nguyen &amp; Rugman (2015); Gaur et al. (2019)</w:t>
            </w:r>
          </w:p>
        </w:tc>
      </w:tr>
      <w:tr w:rsidR="00B301B0" w:rsidRPr="00B301B0" w14:paraId="061F89D0" w14:textId="77777777" w:rsidTr="00DB7B9A">
        <w:trPr>
          <w:trHeight w:val="20"/>
        </w:trPr>
        <w:tc>
          <w:tcPr>
            <w:tcW w:w="842" w:type="pct"/>
            <w:vMerge/>
          </w:tcPr>
          <w:p w14:paraId="0FFB1398" w14:textId="77777777" w:rsidR="00B301B0" w:rsidRPr="00B301B0" w:rsidRDefault="00B301B0" w:rsidP="00B301B0">
            <w:pPr>
              <w:widowControl/>
              <w:overflowPunct/>
              <w:autoSpaceDE/>
              <w:autoSpaceDN/>
              <w:adjustRightInd/>
              <w:rPr>
                <w:kern w:val="0"/>
              </w:rPr>
            </w:pPr>
          </w:p>
        </w:tc>
        <w:tc>
          <w:tcPr>
            <w:tcW w:w="932" w:type="pct"/>
            <w:noWrap/>
            <w:vAlign w:val="center"/>
            <w:hideMark/>
          </w:tcPr>
          <w:p w14:paraId="2E2B734E" w14:textId="77777777" w:rsidR="00B301B0" w:rsidRPr="00B301B0" w:rsidRDefault="00B301B0" w:rsidP="00B301B0">
            <w:pPr>
              <w:widowControl/>
              <w:overflowPunct/>
              <w:autoSpaceDE/>
              <w:autoSpaceDN/>
              <w:adjustRightInd/>
              <w:rPr>
                <w:kern w:val="0"/>
              </w:rPr>
            </w:pPr>
            <w:r w:rsidRPr="00B301B0">
              <w:rPr>
                <w:kern w:val="0"/>
              </w:rPr>
              <w:t>Attention-based view</w:t>
            </w:r>
          </w:p>
        </w:tc>
        <w:tc>
          <w:tcPr>
            <w:tcW w:w="635" w:type="pct"/>
            <w:vAlign w:val="center"/>
            <w:hideMark/>
          </w:tcPr>
          <w:p w14:paraId="53F33CF2" w14:textId="77777777" w:rsidR="00B301B0" w:rsidRPr="00B301B0" w:rsidRDefault="00B301B0" w:rsidP="00B301B0">
            <w:pPr>
              <w:widowControl/>
              <w:overflowPunct/>
              <w:autoSpaceDE/>
              <w:autoSpaceDN/>
              <w:adjustRightInd/>
              <w:rPr>
                <w:kern w:val="0"/>
              </w:rPr>
            </w:pPr>
            <w:r w:rsidRPr="00B301B0">
              <w:rPr>
                <w:kern w:val="0"/>
              </w:rPr>
              <w:t>Influence</w:t>
            </w:r>
          </w:p>
          <w:p w14:paraId="3575DFF0" w14:textId="77777777" w:rsidR="00B301B0" w:rsidRPr="00B301B0" w:rsidRDefault="00B301B0" w:rsidP="00B301B0">
            <w:pPr>
              <w:widowControl/>
              <w:overflowPunct/>
              <w:autoSpaceDE/>
              <w:autoSpaceDN/>
              <w:adjustRightInd/>
              <w:rPr>
                <w:kern w:val="0"/>
              </w:rPr>
            </w:pPr>
            <w:r w:rsidRPr="00B301B0">
              <w:rPr>
                <w:kern w:val="0"/>
              </w:rPr>
              <w:t>Coordination</w:t>
            </w:r>
          </w:p>
        </w:tc>
        <w:tc>
          <w:tcPr>
            <w:tcW w:w="1423" w:type="pct"/>
            <w:vAlign w:val="center"/>
            <w:hideMark/>
          </w:tcPr>
          <w:p w14:paraId="061CD3BB" w14:textId="77777777" w:rsidR="00B301B0" w:rsidRPr="00B301B0" w:rsidRDefault="00B301B0" w:rsidP="00B301B0">
            <w:pPr>
              <w:widowControl/>
              <w:overflowPunct/>
              <w:autoSpaceDE/>
              <w:autoSpaceDN/>
              <w:adjustRightInd/>
              <w:rPr>
                <w:kern w:val="0"/>
              </w:rPr>
            </w:pPr>
            <w:r w:rsidRPr="00B301B0">
              <w:rPr>
                <w:kern w:val="0"/>
              </w:rPr>
              <w:t>Headquarters attention is a valuable resource for subsidiaries and those who receive attention often perform better.</w:t>
            </w:r>
          </w:p>
        </w:tc>
        <w:tc>
          <w:tcPr>
            <w:tcW w:w="1168" w:type="pct"/>
            <w:vAlign w:val="center"/>
            <w:hideMark/>
          </w:tcPr>
          <w:p w14:paraId="1AF362BC" w14:textId="77777777" w:rsidR="00B301B0" w:rsidRPr="00B301B0" w:rsidRDefault="00B301B0" w:rsidP="00B301B0">
            <w:pPr>
              <w:widowControl/>
              <w:overflowPunct/>
              <w:autoSpaceDE/>
              <w:autoSpaceDN/>
              <w:adjustRightInd/>
              <w:rPr>
                <w:kern w:val="0"/>
              </w:rPr>
            </w:pPr>
            <w:r w:rsidRPr="00B301B0">
              <w:rPr>
                <w:kern w:val="0"/>
              </w:rPr>
              <w:t>Bouquet &amp; Birkinshaw (2008); Ambos &amp; Birkinshaw (2010); Ambos et al. (2010); Mahnke et al. (2012)</w:t>
            </w:r>
          </w:p>
        </w:tc>
      </w:tr>
      <w:tr w:rsidR="00B301B0" w:rsidRPr="00B301B0" w14:paraId="5DB80ED3" w14:textId="77777777" w:rsidTr="00DB7B9A">
        <w:trPr>
          <w:trHeight w:val="20"/>
        </w:trPr>
        <w:tc>
          <w:tcPr>
            <w:tcW w:w="842" w:type="pct"/>
            <w:vMerge/>
          </w:tcPr>
          <w:p w14:paraId="02F696EE" w14:textId="77777777" w:rsidR="00B301B0" w:rsidRPr="00B301B0" w:rsidRDefault="00B301B0" w:rsidP="00B301B0">
            <w:pPr>
              <w:widowControl/>
              <w:overflowPunct/>
              <w:autoSpaceDE/>
              <w:autoSpaceDN/>
              <w:adjustRightInd/>
              <w:rPr>
                <w:kern w:val="0"/>
              </w:rPr>
            </w:pPr>
          </w:p>
        </w:tc>
        <w:tc>
          <w:tcPr>
            <w:tcW w:w="932" w:type="pct"/>
            <w:noWrap/>
            <w:vAlign w:val="center"/>
            <w:hideMark/>
          </w:tcPr>
          <w:p w14:paraId="4908DBF0" w14:textId="77777777" w:rsidR="00B301B0" w:rsidRPr="00B301B0" w:rsidRDefault="00B301B0" w:rsidP="00B301B0">
            <w:pPr>
              <w:widowControl/>
              <w:overflowPunct/>
              <w:autoSpaceDE/>
              <w:autoSpaceDN/>
              <w:adjustRightInd/>
              <w:rPr>
                <w:kern w:val="0"/>
              </w:rPr>
            </w:pPr>
            <w:r w:rsidRPr="00B301B0">
              <w:rPr>
                <w:kern w:val="0"/>
              </w:rPr>
              <w:t>Resource-based view</w:t>
            </w:r>
          </w:p>
        </w:tc>
        <w:tc>
          <w:tcPr>
            <w:tcW w:w="635" w:type="pct"/>
            <w:vAlign w:val="center"/>
            <w:hideMark/>
          </w:tcPr>
          <w:p w14:paraId="73EA57DC" w14:textId="77777777" w:rsidR="00B301B0" w:rsidRPr="00B301B0" w:rsidRDefault="00B301B0" w:rsidP="00B301B0">
            <w:pPr>
              <w:widowControl/>
              <w:overflowPunct/>
              <w:autoSpaceDE/>
              <w:autoSpaceDN/>
              <w:adjustRightInd/>
              <w:rPr>
                <w:kern w:val="0"/>
              </w:rPr>
            </w:pPr>
            <w:r w:rsidRPr="00B301B0">
              <w:rPr>
                <w:kern w:val="0"/>
              </w:rPr>
              <w:t>Efficiency</w:t>
            </w:r>
          </w:p>
          <w:p w14:paraId="00398352" w14:textId="77777777" w:rsidR="00B301B0" w:rsidRPr="00B301B0" w:rsidRDefault="00B301B0" w:rsidP="00B301B0">
            <w:pPr>
              <w:widowControl/>
              <w:overflowPunct/>
              <w:autoSpaceDE/>
              <w:autoSpaceDN/>
              <w:adjustRightInd/>
              <w:rPr>
                <w:kern w:val="0"/>
              </w:rPr>
            </w:pPr>
            <w:r w:rsidRPr="00B301B0">
              <w:rPr>
                <w:kern w:val="0"/>
              </w:rPr>
              <w:t>Effectiveness</w:t>
            </w:r>
          </w:p>
        </w:tc>
        <w:tc>
          <w:tcPr>
            <w:tcW w:w="1423" w:type="pct"/>
            <w:vAlign w:val="center"/>
            <w:hideMark/>
          </w:tcPr>
          <w:p w14:paraId="396F7F96" w14:textId="77777777" w:rsidR="00B301B0" w:rsidRPr="00B301B0" w:rsidRDefault="00B301B0" w:rsidP="00B301B0">
            <w:pPr>
              <w:widowControl/>
              <w:overflowPunct/>
              <w:autoSpaceDE/>
              <w:autoSpaceDN/>
              <w:adjustRightInd/>
              <w:rPr>
                <w:kern w:val="0"/>
              </w:rPr>
            </w:pPr>
            <w:r w:rsidRPr="00B301B0">
              <w:rPr>
                <w:kern w:val="0"/>
              </w:rPr>
              <w:t>Headquarters resource contributions influence the efficiency and effectiveness of subsidiary outcomes.</w:t>
            </w:r>
          </w:p>
        </w:tc>
        <w:tc>
          <w:tcPr>
            <w:tcW w:w="1168" w:type="pct"/>
            <w:vAlign w:val="center"/>
            <w:hideMark/>
          </w:tcPr>
          <w:p w14:paraId="057E6A13" w14:textId="77777777" w:rsidR="00B301B0" w:rsidRPr="00B301B0" w:rsidRDefault="00B301B0" w:rsidP="00B301B0">
            <w:pPr>
              <w:widowControl/>
              <w:overflowPunct/>
              <w:autoSpaceDE/>
              <w:autoSpaceDN/>
              <w:adjustRightInd/>
              <w:rPr>
                <w:kern w:val="0"/>
              </w:rPr>
            </w:pPr>
            <w:r w:rsidRPr="00B301B0">
              <w:rPr>
                <w:kern w:val="0"/>
                <w:lang w:val="de-DE"/>
              </w:rPr>
              <w:t xml:space="preserve">Chen et al. (2009); Ciabuschi et al. </w:t>
            </w:r>
            <w:r w:rsidRPr="00B301B0">
              <w:rPr>
                <w:kern w:val="0"/>
              </w:rPr>
              <w:t>(2010); Dellestrand &amp; Kappen (2012); Nell &amp; Ambos (2013)</w:t>
            </w:r>
          </w:p>
        </w:tc>
      </w:tr>
      <w:tr w:rsidR="00B301B0" w:rsidRPr="00B301B0" w14:paraId="05B27578" w14:textId="77777777" w:rsidTr="00DB7B9A">
        <w:trPr>
          <w:trHeight w:val="20"/>
        </w:trPr>
        <w:tc>
          <w:tcPr>
            <w:tcW w:w="842" w:type="pct"/>
            <w:vMerge/>
          </w:tcPr>
          <w:p w14:paraId="791DB022" w14:textId="77777777" w:rsidR="00B301B0" w:rsidRPr="00B301B0" w:rsidRDefault="00B301B0" w:rsidP="00B301B0">
            <w:pPr>
              <w:widowControl/>
              <w:overflowPunct/>
              <w:autoSpaceDE/>
              <w:autoSpaceDN/>
              <w:adjustRightInd/>
              <w:rPr>
                <w:kern w:val="0"/>
              </w:rPr>
            </w:pPr>
          </w:p>
        </w:tc>
        <w:tc>
          <w:tcPr>
            <w:tcW w:w="932" w:type="pct"/>
            <w:noWrap/>
            <w:vAlign w:val="center"/>
            <w:hideMark/>
          </w:tcPr>
          <w:p w14:paraId="02FAEF62" w14:textId="77777777" w:rsidR="00B301B0" w:rsidRPr="00B301B0" w:rsidRDefault="00B301B0" w:rsidP="00B301B0">
            <w:pPr>
              <w:widowControl/>
              <w:overflowPunct/>
              <w:autoSpaceDE/>
              <w:autoSpaceDN/>
              <w:adjustRightInd/>
              <w:rPr>
                <w:kern w:val="0"/>
              </w:rPr>
            </w:pPr>
            <w:r w:rsidRPr="00B301B0">
              <w:rPr>
                <w:kern w:val="0"/>
              </w:rPr>
              <w:t>Network theory</w:t>
            </w:r>
          </w:p>
        </w:tc>
        <w:tc>
          <w:tcPr>
            <w:tcW w:w="635" w:type="pct"/>
            <w:vAlign w:val="center"/>
            <w:hideMark/>
          </w:tcPr>
          <w:p w14:paraId="6FBE2CC9" w14:textId="77777777" w:rsidR="00B301B0" w:rsidRPr="00B301B0" w:rsidRDefault="00B301B0" w:rsidP="00B301B0">
            <w:pPr>
              <w:widowControl/>
              <w:overflowPunct/>
              <w:autoSpaceDE/>
              <w:autoSpaceDN/>
              <w:adjustRightInd/>
              <w:rPr>
                <w:kern w:val="0"/>
              </w:rPr>
            </w:pPr>
            <w:r w:rsidRPr="00B301B0">
              <w:rPr>
                <w:kern w:val="0"/>
              </w:rPr>
              <w:t>Socialization</w:t>
            </w:r>
          </w:p>
          <w:p w14:paraId="6DC8FEF9" w14:textId="77777777" w:rsidR="00B301B0" w:rsidRPr="00B301B0" w:rsidRDefault="00B301B0" w:rsidP="00B301B0">
            <w:pPr>
              <w:widowControl/>
              <w:overflowPunct/>
              <w:autoSpaceDE/>
              <w:autoSpaceDN/>
              <w:adjustRightInd/>
              <w:rPr>
                <w:kern w:val="0"/>
              </w:rPr>
            </w:pPr>
            <w:r w:rsidRPr="00B301B0">
              <w:rPr>
                <w:kern w:val="0"/>
              </w:rPr>
              <w:t>Collaboration</w:t>
            </w:r>
          </w:p>
        </w:tc>
        <w:tc>
          <w:tcPr>
            <w:tcW w:w="1423" w:type="pct"/>
            <w:vAlign w:val="center"/>
            <w:hideMark/>
          </w:tcPr>
          <w:p w14:paraId="52EA9336" w14:textId="77777777" w:rsidR="00B301B0" w:rsidRPr="00B301B0" w:rsidRDefault="00B301B0" w:rsidP="00B301B0">
            <w:pPr>
              <w:widowControl/>
              <w:overflowPunct/>
              <w:autoSpaceDE/>
              <w:autoSpaceDN/>
              <w:adjustRightInd/>
              <w:rPr>
                <w:kern w:val="0"/>
              </w:rPr>
            </w:pPr>
            <w:r w:rsidRPr="00B301B0">
              <w:rPr>
                <w:kern w:val="0"/>
              </w:rPr>
              <w:t>Headquarters can connect subsidiaries to improve collaboration and performance outcomes across geographic and product markets.</w:t>
            </w:r>
          </w:p>
        </w:tc>
        <w:tc>
          <w:tcPr>
            <w:tcW w:w="1168" w:type="pct"/>
            <w:vAlign w:val="center"/>
            <w:hideMark/>
          </w:tcPr>
          <w:p w14:paraId="0C1E6918" w14:textId="77777777" w:rsidR="00B301B0" w:rsidRPr="00B301B0" w:rsidRDefault="00B301B0" w:rsidP="00B301B0">
            <w:pPr>
              <w:widowControl/>
              <w:overflowPunct/>
              <w:autoSpaceDE/>
              <w:autoSpaceDN/>
              <w:adjustRightInd/>
              <w:rPr>
                <w:kern w:val="0"/>
              </w:rPr>
            </w:pPr>
            <w:r w:rsidRPr="00B301B0">
              <w:rPr>
                <w:kern w:val="0"/>
              </w:rPr>
              <w:t>Yamin &amp; Holm (2011); Ciabuschi et al. (2015); Scott-Kennel &amp; Giroud (2015); Asakawa et al. (2018)</w:t>
            </w:r>
          </w:p>
        </w:tc>
      </w:tr>
      <w:tr w:rsidR="00B301B0" w:rsidRPr="00B301B0" w14:paraId="34024512" w14:textId="77777777" w:rsidTr="00DB7B9A">
        <w:trPr>
          <w:trHeight w:val="20"/>
        </w:trPr>
        <w:tc>
          <w:tcPr>
            <w:tcW w:w="842" w:type="pct"/>
            <w:vMerge/>
          </w:tcPr>
          <w:p w14:paraId="2A513577" w14:textId="77777777" w:rsidR="00B301B0" w:rsidRPr="00B301B0" w:rsidRDefault="00B301B0" w:rsidP="00B301B0">
            <w:pPr>
              <w:widowControl/>
              <w:overflowPunct/>
              <w:autoSpaceDE/>
              <w:autoSpaceDN/>
              <w:adjustRightInd/>
              <w:rPr>
                <w:kern w:val="0"/>
              </w:rPr>
            </w:pPr>
          </w:p>
        </w:tc>
        <w:tc>
          <w:tcPr>
            <w:tcW w:w="932" w:type="pct"/>
            <w:noWrap/>
            <w:vAlign w:val="center"/>
            <w:hideMark/>
          </w:tcPr>
          <w:p w14:paraId="087CEAE7" w14:textId="77777777" w:rsidR="00B301B0" w:rsidRPr="00B301B0" w:rsidRDefault="00B301B0" w:rsidP="00B301B0">
            <w:pPr>
              <w:widowControl/>
              <w:overflowPunct/>
              <w:autoSpaceDE/>
              <w:autoSpaceDN/>
              <w:adjustRightInd/>
              <w:rPr>
                <w:kern w:val="0"/>
              </w:rPr>
            </w:pPr>
            <w:r w:rsidRPr="00B301B0">
              <w:rPr>
                <w:kern w:val="0"/>
              </w:rPr>
              <w:t>Agency theory</w:t>
            </w:r>
          </w:p>
        </w:tc>
        <w:tc>
          <w:tcPr>
            <w:tcW w:w="635" w:type="pct"/>
            <w:vAlign w:val="center"/>
            <w:hideMark/>
          </w:tcPr>
          <w:p w14:paraId="3B4C5D23" w14:textId="77777777" w:rsidR="00B301B0" w:rsidRPr="00B301B0" w:rsidRDefault="00B301B0" w:rsidP="00B301B0">
            <w:pPr>
              <w:widowControl/>
              <w:overflowPunct/>
              <w:autoSpaceDE/>
              <w:autoSpaceDN/>
              <w:adjustRightInd/>
              <w:rPr>
                <w:kern w:val="0"/>
              </w:rPr>
            </w:pPr>
            <w:r w:rsidRPr="00B301B0">
              <w:rPr>
                <w:kern w:val="0"/>
              </w:rPr>
              <w:t>Control</w:t>
            </w:r>
          </w:p>
          <w:p w14:paraId="7B9DCA8C" w14:textId="77777777" w:rsidR="00B301B0" w:rsidRPr="00B301B0" w:rsidRDefault="00B301B0" w:rsidP="00B301B0">
            <w:pPr>
              <w:widowControl/>
              <w:overflowPunct/>
              <w:autoSpaceDE/>
              <w:autoSpaceDN/>
              <w:adjustRightInd/>
              <w:rPr>
                <w:kern w:val="0"/>
              </w:rPr>
            </w:pPr>
            <w:r w:rsidRPr="00B301B0">
              <w:rPr>
                <w:kern w:val="0"/>
              </w:rPr>
              <w:t>Integration</w:t>
            </w:r>
          </w:p>
        </w:tc>
        <w:tc>
          <w:tcPr>
            <w:tcW w:w="1423" w:type="pct"/>
            <w:vAlign w:val="center"/>
            <w:hideMark/>
          </w:tcPr>
          <w:p w14:paraId="6F705DF5" w14:textId="77777777" w:rsidR="00B301B0" w:rsidRPr="00B301B0" w:rsidRDefault="00B301B0" w:rsidP="00B301B0">
            <w:pPr>
              <w:widowControl/>
              <w:overflowPunct/>
              <w:autoSpaceDE/>
              <w:autoSpaceDN/>
              <w:adjustRightInd/>
              <w:rPr>
                <w:kern w:val="0"/>
              </w:rPr>
            </w:pPr>
            <w:r w:rsidRPr="00B301B0">
              <w:rPr>
                <w:kern w:val="0"/>
              </w:rPr>
              <w:t>Headquarters control positively impacts performance when it prevents (limits) opportunistic behavior and subsidiary isolation.</w:t>
            </w:r>
          </w:p>
        </w:tc>
        <w:tc>
          <w:tcPr>
            <w:tcW w:w="1168" w:type="pct"/>
            <w:vAlign w:val="center"/>
            <w:hideMark/>
          </w:tcPr>
          <w:p w14:paraId="44D17F02" w14:textId="77777777" w:rsidR="00B301B0" w:rsidRPr="00B301B0" w:rsidRDefault="00B301B0" w:rsidP="00B301B0">
            <w:pPr>
              <w:widowControl/>
              <w:overflowPunct/>
              <w:autoSpaceDE/>
              <w:autoSpaceDN/>
              <w:adjustRightInd/>
              <w:rPr>
                <w:kern w:val="0"/>
              </w:rPr>
            </w:pPr>
            <w:r w:rsidRPr="00B301B0">
              <w:rPr>
                <w:kern w:val="0"/>
                <w:lang w:val="de-DE"/>
              </w:rPr>
              <w:t xml:space="preserve">O'Donnell (2000); Björkman et al. (2004); Brock et al. </w:t>
            </w:r>
            <w:r w:rsidRPr="00B301B0">
              <w:rPr>
                <w:kern w:val="0"/>
              </w:rPr>
              <w:t xml:space="preserve">(2008) Alfoldi et al. (2012) </w:t>
            </w:r>
          </w:p>
        </w:tc>
      </w:tr>
    </w:tbl>
    <w:p w14:paraId="5620991B" w14:textId="77777777" w:rsidR="00B301B0" w:rsidRPr="00B301B0" w:rsidRDefault="00B301B0" w:rsidP="00B301B0">
      <w:pPr>
        <w:widowControl/>
        <w:overflowPunct/>
        <w:autoSpaceDE/>
        <w:autoSpaceDN/>
        <w:adjustRightInd/>
        <w:ind w:left="720"/>
        <w:rPr>
          <w:kern w:val="0"/>
        </w:rPr>
      </w:pPr>
      <w:r w:rsidRPr="00B301B0">
        <w:rPr>
          <w:kern w:val="0"/>
        </w:rPr>
        <w:t>Notes:</w:t>
      </w:r>
      <w:r w:rsidRPr="00B301B0">
        <w:rPr>
          <w:kern w:val="0"/>
          <w:sz w:val="24"/>
          <w:szCs w:val="24"/>
        </w:rPr>
        <w:t xml:space="preserve"> </w:t>
      </w:r>
      <w:r w:rsidRPr="00B301B0">
        <w:rPr>
          <w:kern w:val="0"/>
        </w:rPr>
        <w:t>A = Relevant to both the subsidiary and headquarters-focused research streams; OLI paradigm and internalization theory are combined for the purposes of concision (see Rugman, 2010 for an extensive discussion).</w:t>
      </w:r>
      <w:r w:rsidRPr="00B301B0">
        <w:rPr>
          <w:b/>
          <w:bCs/>
          <w:kern w:val="0"/>
          <w:sz w:val="24"/>
          <w:szCs w:val="24"/>
        </w:rPr>
        <w:br w:type="page"/>
      </w:r>
    </w:p>
    <w:p w14:paraId="3B9E8B48" w14:textId="77777777" w:rsidR="00B301B0" w:rsidRPr="00B301B0" w:rsidRDefault="00B301B0" w:rsidP="00B301B0">
      <w:pPr>
        <w:widowControl/>
        <w:overflowPunct/>
        <w:autoSpaceDE/>
        <w:autoSpaceDN/>
        <w:adjustRightInd/>
        <w:ind w:left="720"/>
        <w:rPr>
          <w:kern w:val="0"/>
          <w:sz w:val="24"/>
          <w:szCs w:val="24"/>
        </w:rPr>
      </w:pPr>
      <w:r w:rsidRPr="00B301B0">
        <w:rPr>
          <w:kern w:val="0"/>
          <w:sz w:val="24"/>
          <w:szCs w:val="24"/>
        </w:rPr>
        <w:t>Table 2. Variance decomposition studies on subsidiary performance</w:t>
      </w:r>
    </w:p>
    <w:p w14:paraId="4C522744" w14:textId="77777777" w:rsidR="00B301B0" w:rsidRPr="00B301B0" w:rsidRDefault="00B301B0" w:rsidP="00B301B0">
      <w:pPr>
        <w:widowControl/>
        <w:overflowPunct/>
        <w:autoSpaceDE/>
        <w:autoSpaceDN/>
        <w:adjustRightInd/>
        <w:rPr>
          <w:kern w:val="0"/>
          <w:sz w:val="24"/>
          <w:szCs w:val="24"/>
        </w:rPr>
      </w:pPr>
    </w:p>
    <w:tbl>
      <w:tblPr>
        <w:tblStyle w:val="TableGrid"/>
        <w:tblW w:w="11947" w:type="dxa"/>
        <w:tblInd w:w="715" w:type="dxa"/>
        <w:tblLook w:val="04A0" w:firstRow="1" w:lastRow="0" w:firstColumn="1" w:lastColumn="0" w:noHBand="0" w:noVBand="1"/>
      </w:tblPr>
      <w:tblGrid>
        <w:gridCol w:w="1923"/>
        <w:gridCol w:w="2374"/>
        <w:gridCol w:w="1611"/>
        <w:gridCol w:w="1539"/>
        <w:gridCol w:w="1710"/>
        <w:gridCol w:w="2790"/>
      </w:tblGrid>
      <w:tr w:rsidR="00B301B0" w:rsidRPr="00B301B0" w14:paraId="02773E18" w14:textId="77777777" w:rsidTr="00DB7B9A">
        <w:trPr>
          <w:trHeight w:val="20"/>
        </w:trPr>
        <w:tc>
          <w:tcPr>
            <w:tcW w:w="1923" w:type="dxa"/>
            <w:shd w:val="clear" w:color="auto" w:fill="F2F2F2" w:themeFill="background1" w:themeFillShade="F2"/>
            <w:vAlign w:val="center"/>
          </w:tcPr>
          <w:p w14:paraId="06B93AF1" w14:textId="77777777" w:rsidR="00B301B0" w:rsidRPr="00B301B0" w:rsidRDefault="00B301B0" w:rsidP="00B301B0">
            <w:pPr>
              <w:widowControl/>
              <w:overflowPunct/>
              <w:autoSpaceDE/>
              <w:autoSpaceDN/>
              <w:adjustRightInd/>
              <w:rPr>
                <w:kern w:val="0"/>
              </w:rPr>
            </w:pPr>
            <w:r w:rsidRPr="00B301B0">
              <w:rPr>
                <w:kern w:val="0"/>
              </w:rPr>
              <w:t>Research Stream</w:t>
            </w:r>
          </w:p>
        </w:tc>
        <w:tc>
          <w:tcPr>
            <w:tcW w:w="2374" w:type="dxa"/>
            <w:shd w:val="clear" w:color="auto" w:fill="F2F2F2" w:themeFill="background1" w:themeFillShade="F2"/>
            <w:vAlign w:val="center"/>
          </w:tcPr>
          <w:p w14:paraId="0B16DDDC" w14:textId="77777777" w:rsidR="00B301B0" w:rsidRPr="00B301B0" w:rsidRDefault="00B301B0" w:rsidP="00B301B0">
            <w:pPr>
              <w:widowControl/>
              <w:overflowPunct/>
              <w:autoSpaceDE/>
              <w:autoSpaceDN/>
              <w:adjustRightInd/>
              <w:rPr>
                <w:kern w:val="0"/>
              </w:rPr>
            </w:pPr>
            <w:r w:rsidRPr="00B301B0">
              <w:rPr>
                <w:kern w:val="0"/>
              </w:rPr>
              <w:t>Authors (Year)</w:t>
            </w:r>
          </w:p>
        </w:tc>
        <w:tc>
          <w:tcPr>
            <w:tcW w:w="1611" w:type="dxa"/>
            <w:shd w:val="clear" w:color="auto" w:fill="F2F2F2" w:themeFill="background1" w:themeFillShade="F2"/>
            <w:vAlign w:val="center"/>
          </w:tcPr>
          <w:p w14:paraId="0749FE24" w14:textId="77777777" w:rsidR="00B301B0" w:rsidRPr="00B301B0" w:rsidRDefault="00B301B0" w:rsidP="00B301B0">
            <w:pPr>
              <w:widowControl/>
              <w:overflowPunct/>
              <w:autoSpaceDE/>
              <w:autoSpaceDN/>
              <w:adjustRightInd/>
              <w:rPr>
                <w:kern w:val="0"/>
              </w:rPr>
            </w:pPr>
            <w:r w:rsidRPr="00B301B0">
              <w:rPr>
                <w:kern w:val="0"/>
              </w:rPr>
              <w:t xml:space="preserve">Home countries  </w:t>
            </w:r>
          </w:p>
        </w:tc>
        <w:tc>
          <w:tcPr>
            <w:tcW w:w="1539" w:type="dxa"/>
            <w:shd w:val="clear" w:color="auto" w:fill="F2F2F2" w:themeFill="background1" w:themeFillShade="F2"/>
            <w:vAlign w:val="center"/>
          </w:tcPr>
          <w:p w14:paraId="3CA76DEA" w14:textId="77777777" w:rsidR="00B301B0" w:rsidRPr="00B301B0" w:rsidRDefault="00B301B0" w:rsidP="00B301B0">
            <w:pPr>
              <w:widowControl/>
              <w:overflowPunct/>
              <w:autoSpaceDE/>
              <w:autoSpaceDN/>
              <w:adjustRightInd/>
              <w:rPr>
                <w:kern w:val="0"/>
              </w:rPr>
            </w:pPr>
            <w:r w:rsidRPr="00B301B0">
              <w:rPr>
                <w:kern w:val="0"/>
              </w:rPr>
              <w:t xml:space="preserve">Host countries </w:t>
            </w:r>
          </w:p>
        </w:tc>
        <w:tc>
          <w:tcPr>
            <w:tcW w:w="1710" w:type="dxa"/>
            <w:shd w:val="clear" w:color="auto" w:fill="F2F2F2" w:themeFill="background1" w:themeFillShade="F2"/>
            <w:vAlign w:val="center"/>
          </w:tcPr>
          <w:p w14:paraId="7E3084BE" w14:textId="77777777" w:rsidR="00B301B0" w:rsidRPr="00B301B0" w:rsidRDefault="00B301B0" w:rsidP="00B301B0">
            <w:pPr>
              <w:widowControl/>
              <w:overflowPunct/>
              <w:autoSpaceDE/>
              <w:autoSpaceDN/>
              <w:adjustRightInd/>
              <w:rPr>
                <w:kern w:val="0"/>
              </w:rPr>
            </w:pPr>
            <w:r w:rsidRPr="00B301B0">
              <w:rPr>
                <w:kern w:val="0"/>
              </w:rPr>
              <w:t xml:space="preserve"># of observations </w:t>
            </w:r>
          </w:p>
        </w:tc>
        <w:tc>
          <w:tcPr>
            <w:tcW w:w="2790" w:type="dxa"/>
            <w:shd w:val="clear" w:color="auto" w:fill="F2F2F2" w:themeFill="background1" w:themeFillShade="F2"/>
            <w:vAlign w:val="center"/>
          </w:tcPr>
          <w:p w14:paraId="26616BF4" w14:textId="77777777" w:rsidR="00B301B0" w:rsidRPr="00B301B0" w:rsidRDefault="00B301B0" w:rsidP="00B301B0">
            <w:pPr>
              <w:widowControl/>
              <w:overflowPunct/>
              <w:autoSpaceDE/>
              <w:autoSpaceDN/>
              <w:adjustRightInd/>
              <w:rPr>
                <w:kern w:val="0"/>
              </w:rPr>
            </w:pPr>
            <w:r w:rsidRPr="00B301B0">
              <w:rPr>
                <w:kern w:val="0"/>
              </w:rPr>
              <w:t>Findings</w:t>
            </w:r>
          </w:p>
        </w:tc>
      </w:tr>
      <w:tr w:rsidR="00B301B0" w:rsidRPr="00B301B0" w14:paraId="3A29F3A1" w14:textId="77777777" w:rsidTr="00DB7B9A">
        <w:trPr>
          <w:trHeight w:val="533"/>
        </w:trPr>
        <w:tc>
          <w:tcPr>
            <w:tcW w:w="1923" w:type="dxa"/>
            <w:vMerge w:val="restart"/>
            <w:vAlign w:val="center"/>
          </w:tcPr>
          <w:p w14:paraId="3395D904" w14:textId="77777777" w:rsidR="00B301B0" w:rsidRPr="00B301B0" w:rsidRDefault="00B301B0" w:rsidP="00B301B0">
            <w:pPr>
              <w:widowControl/>
              <w:overflowPunct/>
              <w:autoSpaceDE/>
              <w:autoSpaceDN/>
              <w:adjustRightInd/>
              <w:jc w:val="center"/>
              <w:rPr>
                <w:kern w:val="0"/>
              </w:rPr>
            </w:pPr>
            <w:r w:rsidRPr="00B301B0">
              <w:rPr>
                <w:kern w:val="0"/>
              </w:rPr>
              <w:t>Subnational Region Effect or</w:t>
            </w:r>
          </w:p>
          <w:p w14:paraId="16B32E13" w14:textId="77777777" w:rsidR="00B301B0" w:rsidRPr="00B301B0" w:rsidRDefault="00B301B0" w:rsidP="00B301B0">
            <w:pPr>
              <w:widowControl/>
              <w:overflowPunct/>
              <w:autoSpaceDE/>
              <w:autoSpaceDN/>
              <w:adjustRightInd/>
              <w:jc w:val="center"/>
              <w:rPr>
                <w:kern w:val="0"/>
              </w:rPr>
            </w:pPr>
            <w:r w:rsidRPr="00B301B0">
              <w:rPr>
                <w:kern w:val="0"/>
              </w:rPr>
              <w:t>Country Effect</w:t>
            </w:r>
          </w:p>
        </w:tc>
        <w:tc>
          <w:tcPr>
            <w:tcW w:w="2374" w:type="dxa"/>
            <w:vAlign w:val="center"/>
          </w:tcPr>
          <w:p w14:paraId="72FB3B2F" w14:textId="77777777" w:rsidR="00B301B0" w:rsidRPr="00B301B0" w:rsidRDefault="00B301B0" w:rsidP="00B301B0">
            <w:pPr>
              <w:widowControl/>
              <w:overflowPunct/>
              <w:autoSpaceDE/>
              <w:autoSpaceDN/>
              <w:adjustRightInd/>
              <w:rPr>
                <w:kern w:val="0"/>
              </w:rPr>
            </w:pPr>
            <w:r w:rsidRPr="00B301B0">
              <w:rPr>
                <w:kern w:val="0"/>
              </w:rPr>
              <w:t xml:space="preserve">Christmann et al. (1999) </w:t>
            </w:r>
            <w:r w:rsidRPr="00B301B0">
              <w:rPr>
                <w:kern w:val="0"/>
                <w:vertAlign w:val="superscript"/>
              </w:rPr>
              <w:t>A</w:t>
            </w:r>
          </w:p>
        </w:tc>
        <w:tc>
          <w:tcPr>
            <w:tcW w:w="1611" w:type="dxa"/>
            <w:vAlign w:val="center"/>
          </w:tcPr>
          <w:p w14:paraId="2B1A6154" w14:textId="77777777" w:rsidR="00B301B0" w:rsidRPr="00B301B0" w:rsidRDefault="00B301B0" w:rsidP="00B301B0">
            <w:pPr>
              <w:widowControl/>
              <w:overflowPunct/>
              <w:autoSpaceDE/>
              <w:autoSpaceDN/>
              <w:adjustRightInd/>
              <w:rPr>
                <w:kern w:val="0"/>
              </w:rPr>
            </w:pPr>
            <w:r w:rsidRPr="00B301B0">
              <w:rPr>
                <w:kern w:val="0"/>
              </w:rPr>
              <w:t>3</w:t>
            </w:r>
          </w:p>
        </w:tc>
        <w:tc>
          <w:tcPr>
            <w:tcW w:w="1539" w:type="dxa"/>
            <w:vAlign w:val="center"/>
          </w:tcPr>
          <w:p w14:paraId="2E1492AE" w14:textId="77777777" w:rsidR="00B301B0" w:rsidRPr="00B301B0" w:rsidRDefault="00B301B0" w:rsidP="00B301B0">
            <w:pPr>
              <w:widowControl/>
              <w:overflowPunct/>
              <w:autoSpaceDE/>
              <w:autoSpaceDN/>
              <w:adjustRightInd/>
              <w:rPr>
                <w:kern w:val="0"/>
              </w:rPr>
            </w:pPr>
            <w:r w:rsidRPr="00B301B0">
              <w:rPr>
                <w:kern w:val="0"/>
              </w:rPr>
              <w:t>37</w:t>
            </w:r>
          </w:p>
        </w:tc>
        <w:tc>
          <w:tcPr>
            <w:tcW w:w="1710" w:type="dxa"/>
            <w:vAlign w:val="center"/>
          </w:tcPr>
          <w:p w14:paraId="664BFBC5" w14:textId="77777777" w:rsidR="00B301B0" w:rsidRPr="00B301B0" w:rsidRDefault="00B301B0" w:rsidP="00B301B0">
            <w:pPr>
              <w:widowControl/>
              <w:overflowPunct/>
              <w:autoSpaceDE/>
              <w:autoSpaceDN/>
              <w:adjustRightInd/>
              <w:rPr>
                <w:kern w:val="0"/>
              </w:rPr>
            </w:pPr>
            <w:r w:rsidRPr="00B301B0">
              <w:rPr>
                <w:kern w:val="0"/>
              </w:rPr>
              <w:t>99</w:t>
            </w:r>
          </w:p>
        </w:tc>
        <w:tc>
          <w:tcPr>
            <w:tcW w:w="2790" w:type="dxa"/>
            <w:vAlign w:val="center"/>
          </w:tcPr>
          <w:p w14:paraId="0C069740" w14:textId="77777777" w:rsidR="00B301B0" w:rsidRPr="00B301B0" w:rsidRDefault="00B301B0" w:rsidP="00B301B0">
            <w:pPr>
              <w:widowControl/>
              <w:overflowPunct/>
              <w:autoSpaceDE/>
              <w:autoSpaceDN/>
              <w:adjustRightInd/>
              <w:rPr>
                <w:kern w:val="0"/>
              </w:rPr>
            </w:pPr>
            <w:r w:rsidRPr="00B301B0">
              <w:rPr>
                <w:kern w:val="0"/>
              </w:rPr>
              <w:t>MNE effect: 14.0%,</w:t>
            </w:r>
          </w:p>
          <w:p w14:paraId="73E52E31" w14:textId="77777777" w:rsidR="00B301B0" w:rsidRPr="00B301B0" w:rsidRDefault="00B301B0" w:rsidP="00B301B0">
            <w:pPr>
              <w:widowControl/>
              <w:overflowPunct/>
              <w:autoSpaceDE/>
              <w:autoSpaceDN/>
              <w:adjustRightInd/>
              <w:rPr>
                <w:kern w:val="0"/>
              </w:rPr>
            </w:pPr>
            <w:r w:rsidRPr="00B301B0">
              <w:rPr>
                <w:kern w:val="0"/>
              </w:rPr>
              <w:t>Subsidiary effect: 18.0%</w:t>
            </w:r>
          </w:p>
        </w:tc>
      </w:tr>
      <w:tr w:rsidR="00B301B0" w:rsidRPr="00B301B0" w14:paraId="57C7A4F4" w14:textId="77777777" w:rsidTr="00DB7B9A">
        <w:trPr>
          <w:trHeight w:val="533"/>
        </w:trPr>
        <w:tc>
          <w:tcPr>
            <w:tcW w:w="1923" w:type="dxa"/>
            <w:vMerge/>
          </w:tcPr>
          <w:p w14:paraId="76743BA1" w14:textId="77777777" w:rsidR="00B301B0" w:rsidRPr="00B301B0" w:rsidRDefault="00B301B0" w:rsidP="00B301B0">
            <w:pPr>
              <w:widowControl/>
              <w:overflowPunct/>
              <w:autoSpaceDE/>
              <w:autoSpaceDN/>
              <w:adjustRightInd/>
              <w:rPr>
                <w:kern w:val="0"/>
              </w:rPr>
            </w:pPr>
          </w:p>
        </w:tc>
        <w:tc>
          <w:tcPr>
            <w:tcW w:w="2374" w:type="dxa"/>
            <w:vAlign w:val="center"/>
          </w:tcPr>
          <w:p w14:paraId="64208F04" w14:textId="77777777" w:rsidR="00B301B0" w:rsidRPr="00B301B0" w:rsidRDefault="00B301B0" w:rsidP="00B301B0">
            <w:pPr>
              <w:widowControl/>
              <w:overflowPunct/>
              <w:autoSpaceDE/>
              <w:autoSpaceDN/>
              <w:adjustRightInd/>
              <w:rPr>
                <w:kern w:val="0"/>
                <w:vertAlign w:val="superscript"/>
              </w:rPr>
            </w:pPr>
            <w:r w:rsidRPr="00B301B0">
              <w:rPr>
                <w:kern w:val="0"/>
              </w:rPr>
              <w:t xml:space="preserve">Makino et al. (2004) </w:t>
            </w:r>
            <w:r w:rsidRPr="00B301B0">
              <w:rPr>
                <w:kern w:val="0"/>
                <w:vertAlign w:val="superscript"/>
              </w:rPr>
              <w:t>B</w:t>
            </w:r>
          </w:p>
        </w:tc>
        <w:tc>
          <w:tcPr>
            <w:tcW w:w="1611" w:type="dxa"/>
            <w:vAlign w:val="center"/>
          </w:tcPr>
          <w:p w14:paraId="501B6C49" w14:textId="77777777" w:rsidR="00B301B0" w:rsidRPr="00B301B0" w:rsidRDefault="00B301B0" w:rsidP="00B301B0">
            <w:pPr>
              <w:widowControl/>
              <w:overflowPunct/>
              <w:autoSpaceDE/>
              <w:autoSpaceDN/>
              <w:adjustRightInd/>
              <w:rPr>
                <w:kern w:val="0"/>
              </w:rPr>
            </w:pPr>
            <w:r w:rsidRPr="00B301B0">
              <w:rPr>
                <w:kern w:val="0"/>
              </w:rPr>
              <w:t>Japan</w:t>
            </w:r>
          </w:p>
        </w:tc>
        <w:tc>
          <w:tcPr>
            <w:tcW w:w="1539" w:type="dxa"/>
            <w:vAlign w:val="center"/>
          </w:tcPr>
          <w:p w14:paraId="47161292" w14:textId="77777777" w:rsidR="00B301B0" w:rsidRPr="00B301B0" w:rsidRDefault="00B301B0" w:rsidP="00B301B0">
            <w:pPr>
              <w:widowControl/>
              <w:overflowPunct/>
              <w:autoSpaceDE/>
              <w:autoSpaceDN/>
              <w:adjustRightInd/>
              <w:rPr>
                <w:kern w:val="0"/>
              </w:rPr>
            </w:pPr>
            <w:r w:rsidRPr="00B301B0">
              <w:rPr>
                <w:kern w:val="0"/>
              </w:rPr>
              <w:t>79</w:t>
            </w:r>
          </w:p>
        </w:tc>
        <w:tc>
          <w:tcPr>
            <w:tcW w:w="1710" w:type="dxa"/>
            <w:vAlign w:val="center"/>
          </w:tcPr>
          <w:p w14:paraId="34D35404" w14:textId="77777777" w:rsidR="00B301B0" w:rsidRPr="00B301B0" w:rsidRDefault="00B301B0" w:rsidP="00B301B0">
            <w:pPr>
              <w:widowControl/>
              <w:overflowPunct/>
              <w:autoSpaceDE/>
              <w:autoSpaceDN/>
              <w:adjustRightInd/>
              <w:rPr>
                <w:kern w:val="0"/>
              </w:rPr>
            </w:pPr>
            <w:r w:rsidRPr="00B301B0">
              <w:rPr>
                <w:kern w:val="0"/>
              </w:rPr>
              <w:t>28,809</w:t>
            </w:r>
          </w:p>
        </w:tc>
        <w:tc>
          <w:tcPr>
            <w:tcW w:w="2790" w:type="dxa"/>
            <w:vAlign w:val="center"/>
          </w:tcPr>
          <w:p w14:paraId="2A4AE34A" w14:textId="77777777" w:rsidR="00B301B0" w:rsidRPr="00B301B0" w:rsidRDefault="00B301B0" w:rsidP="00B301B0">
            <w:pPr>
              <w:widowControl/>
              <w:overflowPunct/>
              <w:autoSpaceDE/>
              <w:autoSpaceDN/>
              <w:adjustRightInd/>
              <w:rPr>
                <w:kern w:val="0"/>
              </w:rPr>
            </w:pPr>
            <w:r w:rsidRPr="00B301B0">
              <w:rPr>
                <w:kern w:val="0"/>
              </w:rPr>
              <w:t>MNE effect: 8.2%,</w:t>
            </w:r>
          </w:p>
          <w:p w14:paraId="15FE4C73" w14:textId="77777777" w:rsidR="00B301B0" w:rsidRPr="00B301B0" w:rsidRDefault="00B301B0" w:rsidP="00B301B0">
            <w:pPr>
              <w:widowControl/>
              <w:overflowPunct/>
              <w:autoSpaceDE/>
              <w:autoSpaceDN/>
              <w:adjustRightInd/>
              <w:rPr>
                <w:kern w:val="0"/>
              </w:rPr>
            </w:pPr>
            <w:r w:rsidRPr="00B301B0">
              <w:rPr>
                <w:kern w:val="0"/>
              </w:rPr>
              <w:t xml:space="preserve">Subsidiary effect: 28.2% </w:t>
            </w:r>
          </w:p>
        </w:tc>
      </w:tr>
      <w:tr w:rsidR="00B301B0" w:rsidRPr="00B301B0" w14:paraId="7718D73B" w14:textId="77777777" w:rsidTr="00DB7B9A">
        <w:trPr>
          <w:trHeight w:val="432"/>
        </w:trPr>
        <w:tc>
          <w:tcPr>
            <w:tcW w:w="1923" w:type="dxa"/>
            <w:vMerge/>
          </w:tcPr>
          <w:p w14:paraId="211001EE" w14:textId="77777777" w:rsidR="00B301B0" w:rsidRPr="00B301B0" w:rsidRDefault="00B301B0" w:rsidP="00B301B0">
            <w:pPr>
              <w:widowControl/>
              <w:overflowPunct/>
              <w:autoSpaceDE/>
              <w:autoSpaceDN/>
              <w:adjustRightInd/>
              <w:rPr>
                <w:kern w:val="0"/>
              </w:rPr>
            </w:pPr>
          </w:p>
        </w:tc>
        <w:tc>
          <w:tcPr>
            <w:tcW w:w="2374" w:type="dxa"/>
            <w:vAlign w:val="center"/>
          </w:tcPr>
          <w:p w14:paraId="7E26C067" w14:textId="77777777" w:rsidR="00B301B0" w:rsidRPr="00B301B0" w:rsidRDefault="00B301B0" w:rsidP="00B301B0">
            <w:pPr>
              <w:widowControl/>
              <w:overflowPunct/>
              <w:autoSpaceDE/>
              <w:autoSpaceDN/>
              <w:adjustRightInd/>
              <w:rPr>
                <w:kern w:val="0"/>
              </w:rPr>
            </w:pPr>
            <w:r w:rsidRPr="00B301B0">
              <w:rPr>
                <w:kern w:val="0"/>
              </w:rPr>
              <w:t xml:space="preserve">Chan et al. (2010) </w:t>
            </w:r>
            <w:r w:rsidRPr="00B301B0">
              <w:rPr>
                <w:kern w:val="0"/>
                <w:vertAlign w:val="superscript"/>
              </w:rPr>
              <w:t>C</w:t>
            </w:r>
          </w:p>
        </w:tc>
        <w:tc>
          <w:tcPr>
            <w:tcW w:w="1611" w:type="dxa"/>
            <w:vAlign w:val="center"/>
          </w:tcPr>
          <w:p w14:paraId="2FB0316B" w14:textId="77777777" w:rsidR="00B301B0" w:rsidRPr="00B301B0" w:rsidRDefault="00B301B0" w:rsidP="00B301B0">
            <w:pPr>
              <w:widowControl/>
              <w:overflowPunct/>
              <w:autoSpaceDE/>
              <w:autoSpaceDN/>
              <w:adjustRightInd/>
              <w:rPr>
                <w:kern w:val="0"/>
              </w:rPr>
            </w:pPr>
            <w:r w:rsidRPr="00B301B0">
              <w:rPr>
                <w:kern w:val="0"/>
              </w:rPr>
              <w:t>USA</w:t>
            </w:r>
          </w:p>
          <w:p w14:paraId="1564B568" w14:textId="77777777" w:rsidR="00B301B0" w:rsidRPr="00B301B0" w:rsidRDefault="00B301B0" w:rsidP="00B301B0">
            <w:pPr>
              <w:widowControl/>
              <w:overflowPunct/>
              <w:autoSpaceDE/>
              <w:autoSpaceDN/>
              <w:adjustRightInd/>
              <w:rPr>
                <w:kern w:val="0"/>
              </w:rPr>
            </w:pPr>
            <w:r w:rsidRPr="00B301B0">
              <w:rPr>
                <w:kern w:val="0"/>
              </w:rPr>
              <w:t>China</w:t>
            </w:r>
          </w:p>
        </w:tc>
        <w:tc>
          <w:tcPr>
            <w:tcW w:w="1539" w:type="dxa"/>
            <w:vAlign w:val="center"/>
          </w:tcPr>
          <w:p w14:paraId="539020F6" w14:textId="77777777" w:rsidR="00B301B0" w:rsidRPr="00B301B0" w:rsidRDefault="00B301B0" w:rsidP="00B301B0">
            <w:pPr>
              <w:widowControl/>
              <w:overflowPunct/>
              <w:autoSpaceDE/>
              <w:autoSpaceDN/>
              <w:adjustRightInd/>
              <w:rPr>
                <w:kern w:val="0"/>
              </w:rPr>
            </w:pPr>
            <w:r w:rsidRPr="00B301B0">
              <w:rPr>
                <w:kern w:val="0"/>
              </w:rPr>
              <w:t xml:space="preserve">USA </w:t>
            </w:r>
          </w:p>
          <w:p w14:paraId="5B4D5076" w14:textId="77777777" w:rsidR="00B301B0" w:rsidRPr="00B301B0" w:rsidRDefault="00B301B0" w:rsidP="00B301B0">
            <w:pPr>
              <w:widowControl/>
              <w:overflowPunct/>
              <w:autoSpaceDE/>
              <w:autoSpaceDN/>
              <w:adjustRightInd/>
              <w:rPr>
                <w:kern w:val="0"/>
              </w:rPr>
            </w:pPr>
            <w:r w:rsidRPr="00B301B0">
              <w:rPr>
                <w:kern w:val="0"/>
              </w:rPr>
              <w:t>China</w:t>
            </w:r>
          </w:p>
        </w:tc>
        <w:tc>
          <w:tcPr>
            <w:tcW w:w="1710" w:type="dxa"/>
            <w:vAlign w:val="center"/>
          </w:tcPr>
          <w:p w14:paraId="4014A991" w14:textId="77777777" w:rsidR="00B301B0" w:rsidRPr="00B301B0" w:rsidRDefault="00B301B0" w:rsidP="00B301B0">
            <w:pPr>
              <w:widowControl/>
              <w:overflowPunct/>
              <w:autoSpaceDE/>
              <w:autoSpaceDN/>
              <w:adjustRightInd/>
              <w:rPr>
                <w:kern w:val="0"/>
              </w:rPr>
            </w:pPr>
            <w:r w:rsidRPr="00B301B0">
              <w:rPr>
                <w:kern w:val="0"/>
              </w:rPr>
              <w:t>16,227 – USA</w:t>
            </w:r>
          </w:p>
          <w:p w14:paraId="73B9EC53" w14:textId="77777777" w:rsidR="00B301B0" w:rsidRPr="00B301B0" w:rsidRDefault="00B301B0" w:rsidP="00B301B0">
            <w:pPr>
              <w:widowControl/>
              <w:overflowPunct/>
              <w:autoSpaceDE/>
              <w:autoSpaceDN/>
              <w:adjustRightInd/>
              <w:rPr>
                <w:kern w:val="0"/>
              </w:rPr>
            </w:pPr>
            <w:r w:rsidRPr="00B301B0">
              <w:rPr>
                <w:kern w:val="0"/>
              </w:rPr>
              <w:t>13,051 – China</w:t>
            </w:r>
          </w:p>
        </w:tc>
        <w:tc>
          <w:tcPr>
            <w:tcW w:w="2790" w:type="dxa"/>
            <w:vAlign w:val="center"/>
          </w:tcPr>
          <w:p w14:paraId="3EAC2563" w14:textId="77777777" w:rsidR="00B301B0" w:rsidRPr="00B301B0" w:rsidRDefault="00B301B0" w:rsidP="00B301B0">
            <w:pPr>
              <w:widowControl/>
              <w:overflowPunct/>
              <w:autoSpaceDE/>
              <w:autoSpaceDN/>
              <w:adjustRightInd/>
              <w:rPr>
                <w:kern w:val="0"/>
              </w:rPr>
            </w:pPr>
            <w:r w:rsidRPr="00B301B0">
              <w:rPr>
                <w:kern w:val="0"/>
              </w:rPr>
              <w:t xml:space="preserve">MNE effect:19.2% </w:t>
            </w:r>
          </w:p>
          <w:p w14:paraId="6D231CE8" w14:textId="77777777" w:rsidR="00B301B0" w:rsidRPr="00B301B0" w:rsidRDefault="00B301B0" w:rsidP="00B301B0">
            <w:pPr>
              <w:widowControl/>
              <w:overflowPunct/>
              <w:autoSpaceDE/>
              <w:autoSpaceDN/>
              <w:adjustRightInd/>
              <w:rPr>
                <w:kern w:val="0"/>
              </w:rPr>
            </w:pPr>
            <w:r w:rsidRPr="00B301B0">
              <w:rPr>
                <w:kern w:val="0"/>
              </w:rPr>
              <w:t xml:space="preserve">Subsidiary effect: 15.6% </w:t>
            </w:r>
          </w:p>
        </w:tc>
      </w:tr>
      <w:tr w:rsidR="00B301B0" w:rsidRPr="00B301B0" w14:paraId="0AE9E948" w14:textId="77777777" w:rsidTr="00DB7B9A">
        <w:trPr>
          <w:trHeight w:val="432"/>
        </w:trPr>
        <w:tc>
          <w:tcPr>
            <w:tcW w:w="1923" w:type="dxa"/>
            <w:vMerge/>
          </w:tcPr>
          <w:p w14:paraId="0F05E274" w14:textId="77777777" w:rsidR="00B301B0" w:rsidRPr="00B301B0" w:rsidRDefault="00B301B0" w:rsidP="00B301B0">
            <w:pPr>
              <w:widowControl/>
              <w:overflowPunct/>
              <w:autoSpaceDE/>
              <w:autoSpaceDN/>
              <w:adjustRightInd/>
              <w:rPr>
                <w:kern w:val="0"/>
              </w:rPr>
            </w:pPr>
          </w:p>
        </w:tc>
        <w:tc>
          <w:tcPr>
            <w:tcW w:w="2374" w:type="dxa"/>
            <w:vAlign w:val="center"/>
          </w:tcPr>
          <w:p w14:paraId="6FCD44E5" w14:textId="77777777" w:rsidR="00B301B0" w:rsidRPr="00B301B0" w:rsidRDefault="00B301B0" w:rsidP="00B301B0">
            <w:pPr>
              <w:widowControl/>
              <w:overflowPunct/>
              <w:autoSpaceDE/>
              <w:autoSpaceDN/>
              <w:adjustRightInd/>
              <w:rPr>
                <w:kern w:val="0"/>
              </w:rPr>
            </w:pPr>
            <w:r w:rsidRPr="00B301B0">
              <w:rPr>
                <w:kern w:val="0"/>
              </w:rPr>
              <w:t xml:space="preserve">Ma et al. (2013) </w:t>
            </w:r>
            <w:r w:rsidRPr="00B301B0">
              <w:rPr>
                <w:kern w:val="0"/>
                <w:vertAlign w:val="superscript"/>
              </w:rPr>
              <w:t>D</w:t>
            </w:r>
          </w:p>
        </w:tc>
        <w:tc>
          <w:tcPr>
            <w:tcW w:w="1611" w:type="dxa"/>
            <w:vAlign w:val="center"/>
          </w:tcPr>
          <w:p w14:paraId="30D8ED58" w14:textId="77777777" w:rsidR="00B301B0" w:rsidRPr="00B301B0" w:rsidRDefault="00B301B0" w:rsidP="00B301B0">
            <w:pPr>
              <w:widowControl/>
              <w:overflowPunct/>
              <w:autoSpaceDE/>
              <w:autoSpaceDN/>
              <w:adjustRightInd/>
              <w:rPr>
                <w:kern w:val="0"/>
              </w:rPr>
            </w:pPr>
            <w:r w:rsidRPr="00B301B0">
              <w:rPr>
                <w:kern w:val="0"/>
              </w:rPr>
              <w:t>19</w:t>
            </w:r>
          </w:p>
        </w:tc>
        <w:tc>
          <w:tcPr>
            <w:tcW w:w="1539" w:type="dxa"/>
            <w:vAlign w:val="center"/>
          </w:tcPr>
          <w:p w14:paraId="0D160F08" w14:textId="77777777" w:rsidR="00B301B0" w:rsidRPr="00B301B0" w:rsidRDefault="00B301B0" w:rsidP="00B301B0">
            <w:pPr>
              <w:widowControl/>
              <w:overflowPunct/>
              <w:autoSpaceDE/>
              <w:autoSpaceDN/>
              <w:adjustRightInd/>
              <w:rPr>
                <w:kern w:val="0"/>
              </w:rPr>
            </w:pPr>
            <w:r w:rsidRPr="00B301B0">
              <w:rPr>
                <w:kern w:val="0"/>
              </w:rPr>
              <w:t>China</w:t>
            </w:r>
          </w:p>
        </w:tc>
        <w:tc>
          <w:tcPr>
            <w:tcW w:w="1710" w:type="dxa"/>
            <w:vAlign w:val="center"/>
          </w:tcPr>
          <w:p w14:paraId="224B5304" w14:textId="77777777" w:rsidR="00B301B0" w:rsidRPr="00B301B0" w:rsidRDefault="00B301B0" w:rsidP="00B301B0">
            <w:pPr>
              <w:widowControl/>
              <w:overflowPunct/>
              <w:autoSpaceDE/>
              <w:autoSpaceDN/>
              <w:adjustRightInd/>
              <w:rPr>
                <w:kern w:val="0"/>
              </w:rPr>
            </w:pPr>
            <w:r w:rsidRPr="00B301B0">
              <w:rPr>
                <w:kern w:val="0"/>
              </w:rPr>
              <w:t>8,043</w:t>
            </w:r>
          </w:p>
        </w:tc>
        <w:tc>
          <w:tcPr>
            <w:tcW w:w="2790" w:type="dxa"/>
            <w:vAlign w:val="center"/>
          </w:tcPr>
          <w:p w14:paraId="3EBC8144" w14:textId="77777777" w:rsidR="00B301B0" w:rsidRPr="00B301B0" w:rsidRDefault="00B301B0" w:rsidP="00B301B0">
            <w:pPr>
              <w:widowControl/>
              <w:overflowPunct/>
              <w:autoSpaceDE/>
              <w:autoSpaceDN/>
              <w:adjustRightInd/>
              <w:rPr>
                <w:kern w:val="0"/>
              </w:rPr>
            </w:pPr>
            <w:r w:rsidRPr="00B301B0">
              <w:rPr>
                <w:kern w:val="0"/>
              </w:rPr>
              <w:t xml:space="preserve">MNE effect: 5.3% </w:t>
            </w:r>
          </w:p>
          <w:p w14:paraId="60B7EC1C" w14:textId="77777777" w:rsidR="00B301B0" w:rsidRPr="00B301B0" w:rsidRDefault="00B301B0" w:rsidP="00B301B0">
            <w:pPr>
              <w:widowControl/>
              <w:overflowPunct/>
              <w:autoSpaceDE/>
              <w:autoSpaceDN/>
              <w:adjustRightInd/>
              <w:rPr>
                <w:kern w:val="0"/>
              </w:rPr>
            </w:pPr>
            <w:r w:rsidRPr="00B301B0">
              <w:rPr>
                <w:kern w:val="0"/>
              </w:rPr>
              <w:t xml:space="preserve">Subsidiary effect: 8.9% </w:t>
            </w:r>
          </w:p>
        </w:tc>
      </w:tr>
    </w:tbl>
    <w:p w14:paraId="4AA73357" w14:textId="77777777" w:rsidR="00B301B0" w:rsidRPr="00B301B0" w:rsidRDefault="00B301B0" w:rsidP="00B301B0">
      <w:pPr>
        <w:widowControl/>
        <w:overflowPunct/>
        <w:autoSpaceDE/>
        <w:autoSpaceDN/>
        <w:adjustRightInd/>
        <w:ind w:left="720" w:right="270"/>
        <w:rPr>
          <w:kern w:val="0"/>
        </w:rPr>
      </w:pPr>
      <w:r w:rsidRPr="00B301B0">
        <w:rPr>
          <w:kern w:val="0"/>
        </w:rPr>
        <w:t>Notes: Variance explained by each effect in percent;</w:t>
      </w:r>
      <w:r w:rsidRPr="00B301B0">
        <w:rPr>
          <w:kern w:val="0"/>
          <w:vertAlign w:val="superscript"/>
        </w:rPr>
        <w:t xml:space="preserve"> </w:t>
      </w:r>
      <w:r w:rsidRPr="00B301B0">
        <w:rPr>
          <w:kern w:val="0"/>
        </w:rPr>
        <w:t xml:space="preserve"> A = Results reported in Table 3 (data may include domestic subunits);  B = Results reported in Table 2 (Model 3); C = Results reported in Table 1 (Model 3 &amp; Model 4); Results are an average of both models; D = Results reported in Table 3; E</w:t>
      </w:r>
      <w:r w:rsidRPr="00B301B0">
        <w:rPr>
          <w:kern w:val="0"/>
          <w:vertAlign w:val="superscript"/>
        </w:rPr>
        <w:t xml:space="preserve"> </w:t>
      </w:r>
      <w:r w:rsidRPr="00B301B0">
        <w:rPr>
          <w:kern w:val="0"/>
        </w:rPr>
        <w:t>= Results reported in Table 7, Model 1 (all firms, ROA as the dependent variable); F</w:t>
      </w:r>
      <w:r w:rsidRPr="00B301B0">
        <w:rPr>
          <w:kern w:val="0"/>
          <w:vertAlign w:val="superscript"/>
        </w:rPr>
        <w:t xml:space="preserve"> </w:t>
      </w:r>
      <w:r w:rsidRPr="00B301B0">
        <w:rPr>
          <w:kern w:val="0"/>
        </w:rPr>
        <w:t>= Results reported in Table 2, Model 4.</w:t>
      </w:r>
    </w:p>
    <w:p w14:paraId="43D175CC" w14:textId="77777777" w:rsidR="00D8613D" w:rsidRDefault="00D8613D" w:rsidP="00B301B0">
      <w:pPr>
        <w:widowControl/>
        <w:overflowPunct/>
        <w:autoSpaceDE/>
        <w:autoSpaceDN/>
        <w:adjustRightInd/>
        <w:ind w:left="720"/>
        <w:rPr>
          <w:kern w:val="0"/>
          <w:sz w:val="24"/>
          <w:szCs w:val="24"/>
        </w:rPr>
      </w:pPr>
    </w:p>
    <w:p w14:paraId="19643B50" w14:textId="77777777" w:rsidR="00D8613D" w:rsidRDefault="00D8613D" w:rsidP="00D8613D">
      <w:pPr>
        <w:widowControl/>
        <w:overflowPunct/>
        <w:autoSpaceDE/>
        <w:autoSpaceDN/>
        <w:adjustRightInd/>
        <w:rPr>
          <w:kern w:val="0"/>
          <w:sz w:val="24"/>
          <w:szCs w:val="24"/>
        </w:rPr>
      </w:pPr>
    </w:p>
    <w:p w14:paraId="67D495AF" w14:textId="55A0EB00" w:rsidR="00B301B0" w:rsidRPr="00B301B0" w:rsidRDefault="00B301B0" w:rsidP="00B301B0">
      <w:pPr>
        <w:widowControl/>
        <w:overflowPunct/>
        <w:autoSpaceDE/>
        <w:autoSpaceDN/>
        <w:adjustRightInd/>
        <w:ind w:left="720"/>
        <w:rPr>
          <w:kern w:val="0"/>
          <w:sz w:val="24"/>
          <w:szCs w:val="24"/>
        </w:rPr>
      </w:pPr>
      <w:r w:rsidRPr="00B301B0">
        <w:rPr>
          <w:kern w:val="0"/>
          <w:sz w:val="24"/>
          <w:szCs w:val="24"/>
        </w:rPr>
        <w:t>Table 3. Full sample characteristics</w:t>
      </w:r>
    </w:p>
    <w:p w14:paraId="617F55FB" w14:textId="77777777" w:rsidR="00B301B0" w:rsidRPr="00B301B0" w:rsidRDefault="00B301B0" w:rsidP="00B301B0">
      <w:pPr>
        <w:widowControl/>
        <w:overflowPunct/>
        <w:autoSpaceDE/>
        <w:autoSpaceDN/>
        <w:adjustRightInd/>
        <w:rPr>
          <w:kern w:val="0"/>
          <w:sz w:val="24"/>
          <w:szCs w:val="24"/>
        </w:rPr>
      </w:pPr>
    </w:p>
    <w:tbl>
      <w:tblPr>
        <w:tblStyle w:val="TableGrid"/>
        <w:tblW w:w="0" w:type="auto"/>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304"/>
      </w:tblGrid>
      <w:tr w:rsidR="00B301B0" w:rsidRPr="00B301B0" w14:paraId="0F866C97" w14:textId="77777777" w:rsidTr="00DB7B9A">
        <w:trPr>
          <w:trHeight w:val="360"/>
        </w:trPr>
        <w:tc>
          <w:tcPr>
            <w:tcW w:w="5040" w:type="dxa"/>
            <w:tcBorders>
              <w:top w:val="single" w:sz="4" w:space="0" w:color="auto"/>
            </w:tcBorders>
            <w:vAlign w:val="center"/>
          </w:tcPr>
          <w:p w14:paraId="6D125E3D" w14:textId="77777777" w:rsidR="00B301B0" w:rsidRPr="00B301B0" w:rsidRDefault="00B301B0" w:rsidP="00B301B0">
            <w:pPr>
              <w:widowControl/>
              <w:overflowPunct/>
              <w:autoSpaceDE/>
              <w:autoSpaceDN/>
              <w:adjustRightInd/>
              <w:rPr>
                <w:kern w:val="0"/>
              </w:rPr>
            </w:pPr>
            <w:r w:rsidRPr="00B301B0">
              <w:rPr>
                <w:kern w:val="0"/>
              </w:rPr>
              <w:t>Subsidiaries</w:t>
            </w:r>
          </w:p>
        </w:tc>
        <w:tc>
          <w:tcPr>
            <w:tcW w:w="2304" w:type="dxa"/>
            <w:tcBorders>
              <w:top w:val="single" w:sz="4" w:space="0" w:color="auto"/>
              <w:left w:val="dashed" w:sz="4" w:space="0" w:color="auto"/>
            </w:tcBorders>
            <w:vAlign w:val="center"/>
          </w:tcPr>
          <w:p w14:paraId="74B6451D" w14:textId="77777777" w:rsidR="00B301B0" w:rsidRPr="00B301B0" w:rsidRDefault="00B301B0" w:rsidP="00B301B0">
            <w:pPr>
              <w:widowControl/>
              <w:overflowPunct/>
              <w:autoSpaceDE/>
              <w:autoSpaceDN/>
              <w:adjustRightInd/>
              <w:rPr>
                <w:kern w:val="0"/>
              </w:rPr>
            </w:pPr>
            <w:r w:rsidRPr="00B301B0">
              <w:rPr>
                <w:kern w:val="0"/>
              </w:rPr>
              <w:t>51,763</w:t>
            </w:r>
          </w:p>
        </w:tc>
      </w:tr>
      <w:tr w:rsidR="00B301B0" w:rsidRPr="00B301B0" w14:paraId="14CA45E4" w14:textId="77777777" w:rsidTr="00DB7B9A">
        <w:trPr>
          <w:trHeight w:val="360"/>
        </w:trPr>
        <w:tc>
          <w:tcPr>
            <w:tcW w:w="5040" w:type="dxa"/>
            <w:vAlign w:val="center"/>
          </w:tcPr>
          <w:p w14:paraId="3300847E" w14:textId="77777777" w:rsidR="00B301B0" w:rsidRPr="00B301B0" w:rsidRDefault="00B301B0" w:rsidP="00B301B0">
            <w:pPr>
              <w:widowControl/>
              <w:overflowPunct/>
              <w:autoSpaceDE/>
              <w:autoSpaceDN/>
              <w:adjustRightInd/>
              <w:rPr>
                <w:kern w:val="0"/>
              </w:rPr>
            </w:pPr>
            <w:r w:rsidRPr="00B301B0">
              <w:rPr>
                <w:kern w:val="0"/>
              </w:rPr>
              <w:t>MNEs</w:t>
            </w:r>
          </w:p>
        </w:tc>
        <w:tc>
          <w:tcPr>
            <w:tcW w:w="2304" w:type="dxa"/>
            <w:tcBorders>
              <w:left w:val="dashed" w:sz="4" w:space="0" w:color="auto"/>
            </w:tcBorders>
            <w:vAlign w:val="center"/>
          </w:tcPr>
          <w:p w14:paraId="35E7B2FC" w14:textId="77777777" w:rsidR="00B301B0" w:rsidRPr="00B301B0" w:rsidRDefault="00B301B0" w:rsidP="00B301B0">
            <w:pPr>
              <w:widowControl/>
              <w:overflowPunct/>
              <w:autoSpaceDE/>
              <w:autoSpaceDN/>
              <w:adjustRightInd/>
              <w:rPr>
                <w:kern w:val="0"/>
              </w:rPr>
            </w:pPr>
            <w:r w:rsidRPr="00B301B0">
              <w:rPr>
                <w:kern w:val="0"/>
              </w:rPr>
              <w:t>6,122</w:t>
            </w:r>
          </w:p>
        </w:tc>
      </w:tr>
      <w:tr w:rsidR="00B301B0" w:rsidRPr="00B301B0" w14:paraId="7E88B47A" w14:textId="77777777" w:rsidTr="00DB7B9A">
        <w:trPr>
          <w:trHeight w:val="360"/>
        </w:trPr>
        <w:tc>
          <w:tcPr>
            <w:tcW w:w="5040" w:type="dxa"/>
            <w:vAlign w:val="center"/>
          </w:tcPr>
          <w:p w14:paraId="2EE7F539" w14:textId="77777777" w:rsidR="00B301B0" w:rsidRPr="00B301B0" w:rsidRDefault="00B301B0" w:rsidP="00B301B0">
            <w:pPr>
              <w:widowControl/>
              <w:overflowPunct/>
              <w:autoSpaceDE/>
              <w:autoSpaceDN/>
              <w:adjustRightInd/>
              <w:rPr>
                <w:kern w:val="0"/>
              </w:rPr>
            </w:pPr>
            <w:r w:rsidRPr="00B301B0">
              <w:rPr>
                <w:kern w:val="0"/>
              </w:rPr>
              <w:t>Ownership degree</w:t>
            </w:r>
          </w:p>
        </w:tc>
        <w:tc>
          <w:tcPr>
            <w:tcW w:w="2304" w:type="dxa"/>
            <w:tcBorders>
              <w:left w:val="dashed" w:sz="4" w:space="0" w:color="auto"/>
            </w:tcBorders>
            <w:vAlign w:val="center"/>
          </w:tcPr>
          <w:p w14:paraId="13B76ACB" w14:textId="77777777" w:rsidR="00B301B0" w:rsidRPr="00B301B0" w:rsidRDefault="00B301B0" w:rsidP="00B301B0">
            <w:pPr>
              <w:widowControl/>
              <w:overflowPunct/>
              <w:autoSpaceDE/>
              <w:autoSpaceDN/>
              <w:adjustRightInd/>
              <w:rPr>
                <w:kern w:val="0"/>
              </w:rPr>
            </w:pPr>
            <w:r w:rsidRPr="00B301B0">
              <w:rPr>
                <w:kern w:val="0"/>
              </w:rPr>
              <w:t>Wholly owned</w:t>
            </w:r>
          </w:p>
        </w:tc>
      </w:tr>
      <w:tr w:rsidR="00B301B0" w:rsidRPr="00B301B0" w14:paraId="6A674DB1" w14:textId="77777777" w:rsidTr="00DB7B9A">
        <w:trPr>
          <w:trHeight w:val="360"/>
        </w:trPr>
        <w:tc>
          <w:tcPr>
            <w:tcW w:w="5040" w:type="dxa"/>
            <w:vAlign w:val="center"/>
          </w:tcPr>
          <w:p w14:paraId="5D809824" w14:textId="77777777" w:rsidR="00B301B0" w:rsidRPr="00B301B0" w:rsidRDefault="00B301B0" w:rsidP="00B301B0">
            <w:pPr>
              <w:widowControl/>
              <w:overflowPunct/>
              <w:autoSpaceDE/>
              <w:autoSpaceDN/>
              <w:adjustRightInd/>
              <w:rPr>
                <w:kern w:val="0"/>
              </w:rPr>
            </w:pPr>
            <w:r w:rsidRPr="00B301B0">
              <w:rPr>
                <w:kern w:val="0"/>
              </w:rPr>
              <w:t>Industries</w:t>
            </w:r>
          </w:p>
        </w:tc>
        <w:tc>
          <w:tcPr>
            <w:tcW w:w="2304" w:type="dxa"/>
            <w:tcBorders>
              <w:left w:val="dashed" w:sz="4" w:space="0" w:color="auto"/>
            </w:tcBorders>
            <w:vAlign w:val="center"/>
          </w:tcPr>
          <w:p w14:paraId="2959859B" w14:textId="77777777" w:rsidR="00B301B0" w:rsidRPr="00B301B0" w:rsidRDefault="00B301B0" w:rsidP="00B301B0">
            <w:pPr>
              <w:widowControl/>
              <w:overflowPunct/>
              <w:autoSpaceDE/>
              <w:autoSpaceDN/>
              <w:adjustRightInd/>
              <w:rPr>
                <w:kern w:val="0"/>
              </w:rPr>
            </w:pPr>
            <w:r w:rsidRPr="00B301B0">
              <w:rPr>
                <w:kern w:val="0"/>
              </w:rPr>
              <w:t>250 (4-digit NAICS)</w:t>
            </w:r>
          </w:p>
        </w:tc>
      </w:tr>
      <w:tr w:rsidR="00B301B0" w:rsidRPr="00B301B0" w14:paraId="4F3BD5E0" w14:textId="77777777" w:rsidTr="00DB7B9A">
        <w:trPr>
          <w:trHeight w:val="360"/>
        </w:trPr>
        <w:tc>
          <w:tcPr>
            <w:tcW w:w="5040" w:type="dxa"/>
            <w:vAlign w:val="center"/>
          </w:tcPr>
          <w:p w14:paraId="181C7CF5" w14:textId="77777777" w:rsidR="00B301B0" w:rsidRPr="00B301B0" w:rsidRDefault="00B301B0" w:rsidP="00B301B0">
            <w:pPr>
              <w:widowControl/>
              <w:overflowPunct/>
              <w:autoSpaceDE/>
              <w:autoSpaceDN/>
              <w:adjustRightInd/>
              <w:rPr>
                <w:kern w:val="0"/>
              </w:rPr>
            </w:pPr>
            <w:r w:rsidRPr="00B301B0">
              <w:rPr>
                <w:kern w:val="0"/>
              </w:rPr>
              <w:t>Host Countries</w:t>
            </w:r>
          </w:p>
        </w:tc>
        <w:tc>
          <w:tcPr>
            <w:tcW w:w="2304" w:type="dxa"/>
            <w:tcBorders>
              <w:left w:val="dashed" w:sz="4" w:space="0" w:color="auto"/>
            </w:tcBorders>
            <w:vAlign w:val="center"/>
          </w:tcPr>
          <w:p w14:paraId="17F28DEF" w14:textId="77777777" w:rsidR="00B301B0" w:rsidRPr="00B301B0" w:rsidRDefault="00B301B0" w:rsidP="00B301B0">
            <w:pPr>
              <w:widowControl/>
              <w:overflowPunct/>
              <w:autoSpaceDE/>
              <w:autoSpaceDN/>
              <w:adjustRightInd/>
              <w:rPr>
                <w:kern w:val="0"/>
              </w:rPr>
            </w:pPr>
            <w:r w:rsidRPr="00B301B0">
              <w:rPr>
                <w:kern w:val="0"/>
              </w:rPr>
              <w:t>78</w:t>
            </w:r>
          </w:p>
        </w:tc>
      </w:tr>
      <w:tr w:rsidR="00B301B0" w:rsidRPr="00B301B0" w14:paraId="6A79D89C" w14:textId="77777777" w:rsidTr="00DB7B9A">
        <w:trPr>
          <w:trHeight w:val="360"/>
        </w:trPr>
        <w:tc>
          <w:tcPr>
            <w:tcW w:w="5040" w:type="dxa"/>
            <w:vAlign w:val="center"/>
          </w:tcPr>
          <w:p w14:paraId="4588DA3A" w14:textId="77777777" w:rsidR="00B301B0" w:rsidRPr="00B301B0" w:rsidRDefault="00B301B0" w:rsidP="00B301B0">
            <w:pPr>
              <w:widowControl/>
              <w:overflowPunct/>
              <w:autoSpaceDE/>
              <w:autoSpaceDN/>
              <w:adjustRightInd/>
              <w:rPr>
                <w:kern w:val="0"/>
              </w:rPr>
            </w:pPr>
            <w:r w:rsidRPr="00B301B0">
              <w:rPr>
                <w:kern w:val="0"/>
              </w:rPr>
              <w:t>Home Countries</w:t>
            </w:r>
          </w:p>
        </w:tc>
        <w:tc>
          <w:tcPr>
            <w:tcW w:w="2304" w:type="dxa"/>
            <w:tcBorders>
              <w:left w:val="dashed" w:sz="4" w:space="0" w:color="auto"/>
            </w:tcBorders>
            <w:vAlign w:val="center"/>
          </w:tcPr>
          <w:p w14:paraId="2E28B378" w14:textId="77777777" w:rsidR="00B301B0" w:rsidRPr="00B301B0" w:rsidRDefault="00B301B0" w:rsidP="00B301B0">
            <w:pPr>
              <w:widowControl/>
              <w:overflowPunct/>
              <w:autoSpaceDE/>
              <w:autoSpaceDN/>
              <w:adjustRightInd/>
              <w:rPr>
                <w:kern w:val="0"/>
              </w:rPr>
            </w:pPr>
            <w:r w:rsidRPr="00B301B0">
              <w:rPr>
                <w:kern w:val="0"/>
              </w:rPr>
              <w:t>81</w:t>
            </w:r>
          </w:p>
        </w:tc>
      </w:tr>
      <w:tr w:rsidR="00B301B0" w:rsidRPr="00B301B0" w14:paraId="5A0E476D" w14:textId="77777777" w:rsidTr="00DB7B9A">
        <w:trPr>
          <w:trHeight w:val="360"/>
        </w:trPr>
        <w:tc>
          <w:tcPr>
            <w:tcW w:w="5040" w:type="dxa"/>
            <w:vAlign w:val="center"/>
          </w:tcPr>
          <w:p w14:paraId="5F77C697" w14:textId="77777777" w:rsidR="00B301B0" w:rsidRPr="00B301B0" w:rsidRDefault="00B301B0" w:rsidP="00B301B0">
            <w:pPr>
              <w:widowControl/>
              <w:overflowPunct/>
              <w:autoSpaceDE/>
              <w:autoSpaceDN/>
              <w:adjustRightInd/>
              <w:rPr>
                <w:kern w:val="0"/>
              </w:rPr>
            </w:pPr>
            <w:r w:rsidRPr="00B301B0">
              <w:rPr>
                <w:kern w:val="0"/>
              </w:rPr>
              <w:t>Observations</w:t>
            </w:r>
          </w:p>
        </w:tc>
        <w:tc>
          <w:tcPr>
            <w:tcW w:w="2304" w:type="dxa"/>
            <w:tcBorders>
              <w:left w:val="dashed" w:sz="4" w:space="0" w:color="auto"/>
            </w:tcBorders>
            <w:vAlign w:val="center"/>
          </w:tcPr>
          <w:p w14:paraId="110A7A9B" w14:textId="77777777" w:rsidR="00B301B0" w:rsidRPr="00B301B0" w:rsidRDefault="00B301B0" w:rsidP="00B301B0">
            <w:pPr>
              <w:widowControl/>
              <w:overflowPunct/>
              <w:autoSpaceDE/>
              <w:autoSpaceDN/>
              <w:adjustRightInd/>
              <w:rPr>
                <w:kern w:val="0"/>
              </w:rPr>
            </w:pPr>
            <w:r w:rsidRPr="00B301B0">
              <w:rPr>
                <w:kern w:val="0"/>
              </w:rPr>
              <w:t>403,567</w:t>
            </w:r>
          </w:p>
        </w:tc>
      </w:tr>
      <w:tr w:rsidR="00B301B0" w:rsidRPr="00B301B0" w14:paraId="095C7749" w14:textId="77777777" w:rsidTr="00DB7B9A">
        <w:trPr>
          <w:trHeight w:val="360"/>
        </w:trPr>
        <w:tc>
          <w:tcPr>
            <w:tcW w:w="5040" w:type="dxa"/>
            <w:vAlign w:val="center"/>
          </w:tcPr>
          <w:p w14:paraId="70D7067F" w14:textId="77777777" w:rsidR="00B301B0" w:rsidRPr="00B301B0" w:rsidRDefault="00B301B0" w:rsidP="00B301B0">
            <w:pPr>
              <w:widowControl/>
              <w:overflowPunct/>
              <w:autoSpaceDE/>
              <w:autoSpaceDN/>
              <w:adjustRightInd/>
              <w:rPr>
                <w:kern w:val="0"/>
              </w:rPr>
            </w:pPr>
            <w:r w:rsidRPr="00B301B0">
              <w:rPr>
                <w:kern w:val="0"/>
              </w:rPr>
              <w:t>Time span</w:t>
            </w:r>
          </w:p>
        </w:tc>
        <w:tc>
          <w:tcPr>
            <w:tcW w:w="2304" w:type="dxa"/>
            <w:tcBorders>
              <w:left w:val="dashed" w:sz="4" w:space="0" w:color="auto"/>
            </w:tcBorders>
            <w:vAlign w:val="center"/>
          </w:tcPr>
          <w:p w14:paraId="0421378B" w14:textId="77777777" w:rsidR="00B301B0" w:rsidRPr="00B301B0" w:rsidRDefault="00B301B0" w:rsidP="00B301B0">
            <w:pPr>
              <w:widowControl/>
              <w:overflowPunct/>
              <w:autoSpaceDE/>
              <w:autoSpaceDN/>
              <w:adjustRightInd/>
              <w:rPr>
                <w:kern w:val="0"/>
              </w:rPr>
            </w:pPr>
            <w:r w:rsidRPr="00B301B0">
              <w:rPr>
                <w:kern w:val="0"/>
              </w:rPr>
              <w:t>2010-2018</w:t>
            </w:r>
          </w:p>
        </w:tc>
      </w:tr>
      <w:tr w:rsidR="00B301B0" w:rsidRPr="00B301B0" w14:paraId="680872D4" w14:textId="77777777" w:rsidTr="00DB7B9A">
        <w:trPr>
          <w:trHeight w:val="360"/>
        </w:trPr>
        <w:tc>
          <w:tcPr>
            <w:tcW w:w="5040" w:type="dxa"/>
            <w:vAlign w:val="center"/>
          </w:tcPr>
          <w:p w14:paraId="3B58F04E" w14:textId="77777777" w:rsidR="00B301B0" w:rsidRPr="00B301B0" w:rsidDel="007D756F" w:rsidRDefault="00B301B0" w:rsidP="00B301B0">
            <w:pPr>
              <w:widowControl/>
              <w:overflowPunct/>
              <w:autoSpaceDE/>
              <w:autoSpaceDN/>
              <w:adjustRightInd/>
              <w:rPr>
                <w:kern w:val="0"/>
              </w:rPr>
            </w:pPr>
            <w:r w:rsidRPr="00B301B0">
              <w:rPr>
                <w:kern w:val="0"/>
              </w:rPr>
              <w:t xml:space="preserve">Mean number of subsidiaries per MNE </w:t>
            </w:r>
          </w:p>
        </w:tc>
        <w:tc>
          <w:tcPr>
            <w:tcW w:w="2304" w:type="dxa"/>
            <w:tcBorders>
              <w:left w:val="dashed" w:sz="4" w:space="0" w:color="auto"/>
            </w:tcBorders>
            <w:vAlign w:val="center"/>
          </w:tcPr>
          <w:p w14:paraId="5E07B06F" w14:textId="77777777" w:rsidR="00B301B0" w:rsidRPr="00B301B0" w:rsidDel="007D756F" w:rsidRDefault="00B301B0" w:rsidP="00B301B0">
            <w:pPr>
              <w:widowControl/>
              <w:overflowPunct/>
              <w:autoSpaceDE/>
              <w:autoSpaceDN/>
              <w:adjustRightInd/>
              <w:rPr>
                <w:kern w:val="0"/>
              </w:rPr>
            </w:pPr>
            <w:r w:rsidRPr="00B301B0">
              <w:rPr>
                <w:kern w:val="0"/>
              </w:rPr>
              <w:t>8.46</w:t>
            </w:r>
          </w:p>
        </w:tc>
      </w:tr>
      <w:tr w:rsidR="00B301B0" w:rsidRPr="00B301B0" w14:paraId="36FE0A78" w14:textId="77777777" w:rsidTr="00DB7B9A">
        <w:trPr>
          <w:trHeight w:val="360"/>
        </w:trPr>
        <w:tc>
          <w:tcPr>
            <w:tcW w:w="5040" w:type="dxa"/>
            <w:vAlign w:val="center"/>
          </w:tcPr>
          <w:p w14:paraId="272A2D6C" w14:textId="77777777" w:rsidR="00B301B0" w:rsidRPr="00B301B0" w:rsidRDefault="00B301B0" w:rsidP="00B301B0">
            <w:pPr>
              <w:widowControl/>
              <w:overflowPunct/>
              <w:autoSpaceDE/>
              <w:autoSpaceDN/>
              <w:adjustRightInd/>
              <w:rPr>
                <w:kern w:val="0"/>
              </w:rPr>
            </w:pPr>
            <w:r w:rsidRPr="00B301B0">
              <w:rPr>
                <w:kern w:val="0"/>
              </w:rPr>
              <w:t xml:space="preserve">Standard deviation of the Number of subsidiaries per MNE </w:t>
            </w:r>
          </w:p>
        </w:tc>
        <w:tc>
          <w:tcPr>
            <w:tcW w:w="2304" w:type="dxa"/>
            <w:tcBorders>
              <w:left w:val="dashed" w:sz="4" w:space="0" w:color="auto"/>
            </w:tcBorders>
            <w:vAlign w:val="center"/>
          </w:tcPr>
          <w:p w14:paraId="181D4C1F" w14:textId="77777777" w:rsidR="00B301B0" w:rsidRPr="00B301B0" w:rsidRDefault="00B301B0" w:rsidP="00B301B0">
            <w:pPr>
              <w:widowControl/>
              <w:overflowPunct/>
              <w:autoSpaceDE/>
              <w:autoSpaceDN/>
              <w:adjustRightInd/>
              <w:rPr>
                <w:kern w:val="0"/>
              </w:rPr>
            </w:pPr>
            <w:r w:rsidRPr="00B301B0">
              <w:rPr>
                <w:kern w:val="0"/>
              </w:rPr>
              <w:t>10.31</w:t>
            </w:r>
          </w:p>
        </w:tc>
      </w:tr>
      <w:tr w:rsidR="00B301B0" w:rsidRPr="00B301B0" w14:paraId="20908619" w14:textId="77777777" w:rsidTr="00DB7B9A">
        <w:trPr>
          <w:trHeight w:val="360"/>
        </w:trPr>
        <w:tc>
          <w:tcPr>
            <w:tcW w:w="5040" w:type="dxa"/>
            <w:vAlign w:val="center"/>
          </w:tcPr>
          <w:p w14:paraId="4AE462D4" w14:textId="77777777" w:rsidR="00B301B0" w:rsidRPr="00B301B0" w:rsidRDefault="00B301B0" w:rsidP="00B301B0">
            <w:pPr>
              <w:widowControl/>
              <w:overflowPunct/>
              <w:autoSpaceDE/>
              <w:autoSpaceDN/>
              <w:adjustRightInd/>
              <w:rPr>
                <w:kern w:val="0"/>
              </w:rPr>
            </w:pPr>
            <w:r w:rsidRPr="00B301B0">
              <w:rPr>
                <w:kern w:val="0"/>
              </w:rPr>
              <w:t xml:space="preserve">Dependent variable (ROA) Mean </w:t>
            </w:r>
          </w:p>
        </w:tc>
        <w:tc>
          <w:tcPr>
            <w:tcW w:w="2304" w:type="dxa"/>
            <w:tcBorders>
              <w:left w:val="dashed" w:sz="4" w:space="0" w:color="auto"/>
            </w:tcBorders>
            <w:vAlign w:val="center"/>
          </w:tcPr>
          <w:p w14:paraId="36B03290" w14:textId="77777777" w:rsidR="00B301B0" w:rsidRPr="00B301B0" w:rsidRDefault="00B301B0" w:rsidP="00B301B0">
            <w:pPr>
              <w:widowControl/>
              <w:overflowPunct/>
              <w:autoSpaceDE/>
              <w:autoSpaceDN/>
              <w:adjustRightInd/>
              <w:rPr>
                <w:kern w:val="0"/>
              </w:rPr>
            </w:pPr>
            <w:r w:rsidRPr="00B301B0">
              <w:rPr>
                <w:kern w:val="0"/>
              </w:rPr>
              <w:t xml:space="preserve"> 4.15</w:t>
            </w:r>
          </w:p>
        </w:tc>
      </w:tr>
      <w:tr w:rsidR="00B301B0" w:rsidRPr="00B301B0" w14:paraId="112C2B80" w14:textId="77777777" w:rsidTr="00DB7B9A">
        <w:trPr>
          <w:trHeight w:val="360"/>
        </w:trPr>
        <w:tc>
          <w:tcPr>
            <w:tcW w:w="5040" w:type="dxa"/>
            <w:tcBorders>
              <w:bottom w:val="single" w:sz="4" w:space="0" w:color="auto"/>
            </w:tcBorders>
            <w:vAlign w:val="center"/>
          </w:tcPr>
          <w:p w14:paraId="63752101" w14:textId="77777777" w:rsidR="00B301B0" w:rsidRPr="00B301B0" w:rsidRDefault="00B301B0" w:rsidP="00B301B0">
            <w:pPr>
              <w:widowControl/>
              <w:overflowPunct/>
              <w:autoSpaceDE/>
              <w:autoSpaceDN/>
              <w:adjustRightInd/>
              <w:rPr>
                <w:kern w:val="0"/>
              </w:rPr>
            </w:pPr>
            <w:r w:rsidRPr="00B301B0">
              <w:rPr>
                <w:kern w:val="0"/>
              </w:rPr>
              <w:t>Dependent variable (ROA) Standard deviation</w:t>
            </w:r>
          </w:p>
        </w:tc>
        <w:tc>
          <w:tcPr>
            <w:tcW w:w="2304" w:type="dxa"/>
            <w:tcBorders>
              <w:left w:val="dashed" w:sz="4" w:space="0" w:color="auto"/>
              <w:bottom w:val="single" w:sz="4" w:space="0" w:color="auto"/>
            </w:tcBorders>
            <w:vAlign w:val="center"/>
          </w:tcPr>
          <w:p w14:paraId="1F801ED9" w14:textId="77777777" w:rsidR="00B301B0" w:rsidRPr="00B301B0" w:rsidRDefault="00B301B0" w:rsidP="00B301B0">
            <w:pPr>
              <w:widowControl/>
              <w:overflowPunct/>
              <w:autoSpaceDE/>
              <w:autoSpaceDN/>
              <w:adjustRightInd/>
              <w:rPr>
                <w:kern w:val="0"/>
              </w:rPr>
            </w:pPr>
            <w:r w:rsidRPr="00B301B0">
              <w:rPr>
                <w:kern w:val="0"/>
              </w:rPr>
              <w:t>16.68</w:t>
            </w:r>
          </w:p>
        </w:tc>
      </w:tr>
      <w:tr w:rsidR="00B301B0" w:rsidRPr="00B301B0" w14:paraId="174BAED5" w14:textId="77777777" w:rsidTr="00DB7B9A">
        <w:trPr>
          <w:trHeight w:val="360"/>
        </w:trPr>
        <w:tc>
          <w:tcPr>
            <w:tcW w:w="5040" w:type="dxa"/>
            <w:tcBorders>
              <w:bottom w:val="single" w:sz="4" w:space="0" w:color="auto"/>
            </w:tcBorders>
            <w:vAlign w:val="center"/>
          </w:tcPr>
          <w:p w14:paraId="668D779C" w14:textId="77777777" w:rsidR="00B301B0" w:rsidRPr="00B301B0" w:rsidRDefault="00B301B0" w:rsidP="00B301B0">
            <w:pPr>
              <w:widowControl/>
              <w:overflowPunct/>
              <w:autoSpaceDE/>
              <w:autoSpaceDN/>
              <w:adjustRightInd/>
              <w:rPr>
                <w:kern w:val="0"/>
              </w:rPr>
            </w:pPr>
            <w:r w:rsidRPr="00B301B0">
              <w:rPr>
                <w:kern w:val="0"/>
              </w:rPr>
              <w:t>Data source</w:t>
            </w:r>
          </w:p>
        </w:tc>
        <w:tc>
          <w:tcPr>
            <w:tcW w:w="2304" w:type="dxa"/>
            <w:tcBorders>
              <w:left w:val="dashed" w:sz="4" w:space="0" w:color="auto"/>
              <w:bottom w:val="single" w:sz="4" w:space="0" w:color="auto"/>
            </w:tcBorders>
            <w:vAlign w:val="center"/>
          </w:tcPr>
          <w:p w14:paraId="5C3278A8" w14:textId="77777777" w:rsidR="00B301B0" w:rsidRPr="00B301B0" w:rsidRDefault="00B301B0" w:rsidP="00B301B0">
            <w:pPr>
              <w:widowControl/>
              <w:overflowPunct/>
              <w:autoSpaceDE/>
              <w:autoSpaceDN/>
              <w:adjustRightInd/>
              <w:rPr>
                <w:kern w:val="0"/>
              </w:rPr>
            </w:pPr>
            <w:r w:rsidRPr="00B301B0">
              <w:rPr>
                <w:kern w:val="0"/>
              </w:rPr>
              <w:t>ORBIS database</w:t>
            </w:r>
          </w:p>
        </w:tc>
      </w:tr>
    </w:tbl>
    <w:p w14:paraId="4D7EE723" w14:textId="77777777" w:rsidR="00B301B0" w:rsidRPr="00B301B0" w:rsidRDefault="00B301B0" w:rsidP="00B301B0">
      <w:pPr>
        <w:widowControl/>
        <w:overflowPunct/>
        <w:autoSpaceDE/>
        <w:autoSpaceDN/>
        <w:adjustRightInd/>
        <w:ind w:left="720"/>
        <w:rPr>
          <w:kern w:val="0"/>
          <w:sz w:val="24"/>
          <w:szCs w:val="24"/>
        </w:rPr>
      </w:pPr>
    </w:p>
    <w:p w14:paraId="03114926" w14:textId="77777777" w:rsidR="00B301B0" w:rsidRPr="00B301B0" w:rsidRDefault="00B301B0" w:rsidP="00B301B0">
      <w:pPr>
        <w:widowControl/>
        <w:overflowPunct/>
        <w:autoSpaceDE/>
        <w:autoSpaceDN/>
        <w:adjustRightInd/>
        <w:ind w:left="720" w:right="3150"/>
        <w:rPr>
          <w:bCs/>
          <w:kern w:val="0"/>
          <w:sz w:val="24"/>
          <w:szCs w:val="24"/>
        </w:rPr>
      </w:pPr>
      <w:r w:rsidRPr="00B301B0">
        <w:rPr>
          <w:bCs/>
          <w:kern w:val="0"/>
          <w:sz w:val="24"/>
          <w:szCs w:val="24"/>
        </w:rPr>
        <w:t>Table 4. Variance decomposition results and comparison to relevant past studies</w:t>
      </w:r>
    </w:p>
    <w:p w14:paraId="492FED5A" w14:textId="77777777" w:rsidR="00B301B0" w:rsidRPr="00B301B0" w:rsidRDefault="00B301B0" w:rsidP="00B301B0">
      <w:pPr>
        <w:widowControl/>
        <w:overflowPunct/>
        <w:autoSpaceDE/>
        <w:autoSpaceDN/>
        <w:adjustRightInd/>
        <w:rPr>
          <w:bCs/>
          <w:kern w:val="0"/>
          <w:sz w:val="10"/>
          <w:szCs w:val="10"/>
        </w:rPr>
      </w:pPr>
    </w:p>
    <w:tbl>
      <w:tblPr>
        <w:tblStyle w:val="TableGrid"/>
        <w:tblW w:w="0" w:type="auto"/>
        <w:tblInd w:w="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0"/>
        <w:gridCol w:w="1360"/>
        <w:gridCol w:w="2013"/>
        <w:gridCol w:w="1115"/>
        <w:gridCol w:w="1115"/>
        <w:gridCol w:w="1134"/>
        <w:gridCol w:w="1093"/>
      </w:tblGrid>
      <w:tr w:rsidR="00B301B0" w:rsidRPr="00B301B0" w14:paraId="007875E5" w14:textId="77777777" w:rsidTr="00DB7B9A">
        <w:tc>
          <w:tcPr>
            <w:tcW w:w="2060" w:type="dxa"/>
            <w:tcBorders>
              <w:top w:val="single" w:sz="4" w:space="0" w:color="auto"/>
            </w:tcBorders>
            <w:vAlign w:val="center"/>
          </w:tcPr>
          <w:p w14:paraId="4EB17887" w14:textId="77777777" w:rsidR="00B301B0" w:rsidRPr="00B301B0" w:rsidRDefault="00B301B0" w:rsidP="00B301B0">
            <w:pPr>
              <w:widowControl/>
              <w:overflowPunct/>
              <w:autoSpaceDE/>
              <w:autoSpaceDN/>
              <w:adjustRightInd/>
              <w:jc w:val="center"/>
              <w:rPr>
                <w:bCs/>
                <w:kern w:val="0"/>
              </w:rPr>
            </w:pPr>
          </w:p>
        </w:tc>
        <w:tc>
          <w:tcPr>
            <w:tcW w:w="3373" w:type="dxa"/>
            <w:gridSpan w:val="2"/>
            <w:tcBorders>
              <w:top w:val="single" w:sz="4" w:space="0" w:color="auto"/>
            </w:tcBorders>
            <w:vAlign w:val="center"/>
          </w:tcPr>
          <w:p w14:paraId="0969B3EE" w14:textId="77777777" w:rsidR="00B301B0" w:rsidRPr="00B301B0" w:rsidRDefault="00B301B0" w:rsidP="00B301B0">
            <w:pPr>
              <w:widowControl/>
              <w:overflowPunct/>
              <w:autoSpaceDE/>
              <w:autoSpaceDN/>
              <w:adjustRightInd/>
              <w:jc w:val="center"/>
              <w:rPr>
                <w:bCs/>
                <w:kern w:val="0"/>
              </w:rPr>
            </w:pPr>
            <w:r w:rsidRPr="00B301B0">
              <w:rPr>
                <w:bCs/>
                <w:kern w:val="0"/>
              </w:rPr>
              <w:t>This Study</w:t>
            </w:r>
          </w:p>
        </w:tc>
        <w:tc>
          <w:tcPr>
            <w:tcW w:w="1115" w:type="dxa"/>
            <w:tcBorders>
              <w:top w:val="single" w:sz="4" w:space="0" w:color="auto"/>
            </w:tcBorders>
            <w:vAlign w:val="center"/>
          </w:tcPr>
          <w:p w14:paraId="37285F9E" w14:textId="77777777" w:rsidR="00B301B0" w:rsidRPr="00B301B0" w:rsidRDefault="00B301B0" w:rsidP="00B301B0">
            <w:pPr>
              <w:widowControl/>
              <w:overflowPunct/>
              <w:autoSpaceDE/>
              <w:autoSpaceDN/>
              <w:adjustRightInd/>
              <w:jc w:val="center"/>
              <w:rPr>
                <w:bCs/>
                <w:kern w:val="0"/>
              </w:rPr>
            </w:pPr>
            <w:r w:rsidRPr="00B301B0">
              <w:rPr>
                <w:bCs/>
                <w:kern w:val="0"/>
              </w:rPr>
              <w:t>Makino et al. (2004)</w:t>
            </w:r>
          </w:p>
        </w:tc>
        <w:tc>
          <w:tcPr>
            <w:tcW w:w="2249" w:type="dxa"/>
            <w:gridSpan w:val="2"/>
            <w:tcBorders>
              <w:top w:val="single" w:sz="4" w:space="0" w:color="auto"/>
            </w:tcBorders>
            <w:vAlign w:val="center"/>
          </w:tcPr>
          <w:p w14:paraId="22E9060B" w14:textId="77777777" w:rsidR="00B301B0" w:rsidRPr="00B301B0" w:rsidRDefault="00B301B0" w:rsidP="00B301B0">
            <w:pPr>
              <w:widowControl/>
              <w:overflowPunct/>
              <w:autoSpaceDE/>
              <w:autoSpaceDN/>
              <w:adjustRightInd/>
              <w:jc w:val="center"/>
              <w:rPr>
                <w:bCs/>
                <w:kern w:val="0"/>
              </w:rPr>
            </w:pPr>
            <w:r w:rsidRPr="00B301B0">
              <w:rPr>
                <w:bCs/>
                <w:kern w:val="0"/>
              </w:rPr>
              <w:t>Chan et al. (2010)</w:t>
            </w:r>
          </w:p>
        </w:tc>
        <w:tc>
          <w:tcPr>
            <w:tcW w:w="1093" w:type="dxa"/>
            <w:tcBorders>
              <w:top w:val="single" w:sz="4" w:space="0" w:color="auto"/>
            </w:tcBorders>
            <w:vAlign w:val="center"/>
          </w:tcPr>
          <w:p w14:paraId="60999F13" w14:textId="77777777" w:rsidR="00B301B0" w:rsidRPr="00B301B0" w:rsidRDefault="00B301B0" w:rsidP="00B301B0">
            <w:pPr>
              <w:widowControl/>
              <w:overflowPunct/>
              <w:autoSpaceDE/>
              <w:autoSpaceDN/>
              <w:adjustRightInd/>
              <w:jc w:val="center"/>
              <w:rPr>
                <w:bCs/>
                <w:kern w:val="0"/>
              </w:rPr>
            </w:pPr>
            <w:r w:rsidRPr="00B301B0">
              <w:rPr>
                <w:bCs/>
                <w:kern w:val="0"/>
              </w:rPr>
              <w:t>Ma et al. (2013)</w:t>
            </w:r>
          </w:p>
        </w:tc>
      </w:tr>
      <w:tr w:rsidR="00B301B0" w:rsidRPr="00B301B0" w14:paraId="1B76ECD9" w14:textId="77777777" w:rsidTr="00DB7B9A">
        <w:tc>
          <w:tcPr>
            <w:tcW w:w="2060" w:type="dxa"/>
            <w:tcBorders>
              <w:top w:val="single" w:sz="4" w:space="0" w:color="auto"/>
            </w:tcBorders>
          </w:tcPr>
          <w:p w14:paraId="284F8B70" w14:textId="77777777" w:rsidR="00B301B0" w:rsidRPr="00B301B0" w:rsidRDefault="00B301B0" w:rsidP="00B301B0">
            <w:pPr>
              <w:widowControl/>
              <w:overflowPunct/>
              <w:autoSpaceDE/>
              <w:autoSpaceDN/>
              <w:adjustRightInd/>
              <w:rPr>
                <w:bCs/>
                <w:kern w:val="0"/>
              </w:rPr>
            </w:pPr>
          </w:p>
        </w:tc>
        <w:tc>
          <w:tcPr>
            <w:tcW w:w="1360" w:type="dxa"/>
            <w:tcBorders>
              <w:top w:val="single" w:sz="4" w:space="0" w:color="auto"/>
            </w:tcBorders>
            <w:vAlign w:val="center"/>
          </w:tcPr>
          <w:p w14:paraId="0EA518D7" w14:textId="77777777" w:rsidR="00B301B0" w:rsidRPr="00B301B0" w:rsidRDefault="00B301B0" w:rsidP="00B301B0">
            <w:pPr>
              <w:widowControl/>
              <w:overflowPunct/>
              <w:autoSpaceDE/>
              <w:autoSpaceDN/>
              <w:adjustRightInd/>
              <w:jc w:val="center"/>
              <w:rPr>
                <w:bCs/>
                <w:kern w:val="0"/>
              </w:rPr>
            </w:pPr>
            <w:r w:rsidRPr="00B301B0">
              <w:rPr>
                <w:bCs/>
                <w:kern w:val="0"/>
              </w:rPr>
              <w:t>Base Model</w:t>
            </w:r>
          </w:p>
        </w:tc>
        <w:tc>
          <w:tcPr>
            <w:tcW w:w="2013" w:type="dxa"/>
            <w:tcBorders>
              <w:top w:val="single" w:sz="4" w:space="0" w:color="auto"/>
            </w:tcBorders>
            <w:vAlign w:val="center"/>
          </w:tcPr>
          <w:p w14:paraId="6EB6A437" w14:textId="77777777" w:rsidR="00B301B0" w:rsidRPr="00B301B0" w:rsidRDefault="00B301B0" w:rsidP="00B301B0">
            <w:pPr>
              <w:widowControl/>
              <w:overflowPunct/>
              <w:autoSpaceDE/>
              <w:autoSpaceDN/>
              <w:adjustRightInd/>
              <w:jc w:val="center"/>
              <w:rPr>
                <w:bCs/>
                <w:kern w:val="0"/>
              </w:rPr>
            </w:pPr>
            <w:r w:rsidRPr="00B301B0">
              <w:rPr>
                <w:bCs/>
                <w:kern w:val="0"/>
              </w:rPr>
              <w:t xml:space="preserve">Autocorrelation correction </w:t>
            </w:r>
            <w:r w:rsidRPr="00B301B0">
              <w:rPr>
                <w:bCs/>
                <w:kern w:val="0"/>
                <w:vertAlign w:val="superscript"/>
              </w:rPr>
              <w:t>B</w:t>
            </w:r>
          </w:p>
        </w:tc>
        <w:tc>
          <w:tcPr>
            <w:tcW w:w="1115" w:type="dxa"/>
            <w:tcBorders>
              <w:top w:val="single" w:sz="4" w:space="0" w:color="auto"/>
            </w:tcBorders>
            <w:vAlign w:val="center"/>
          </w:tcPr>
          <w:p w14:paraId="6FC6CBB3" w14:textId="77777777" w:rsidR="00B301B0" w:rsidRPr="00B301B0" w:rsidRDefault="00B301B0" w:rsidP="00B301B0">
            <w:pPr>
              <w:widowControl/>
              <w:overflowPunct/>
              <w:autoSpaceDE/>
              <w:autoSpaceDN/>
              <w:adjustRightInd/>
              <w:jc w:val="center"/>
              <w:rPr>
                <w:bCs/>
                <w:kern w:val="0"/>
              </w:rPr>
            </w:pPr>
            <w:r w:rsidRPr="00B301B0">
              <w:rPr>
                <w:bCs/>
                <w:kern w:val="0"/>
              </w:rPr>
              <w:t xml:space="preserve">Full </w:t>
            </w:r>
            <w:r w:rsidRPr="00B301B0">
              <w:rPr>
                <w:bCs/>
                <w:kern w:val="0"/>
                <w:vertAlign w:val="superscript"/>
              </w:rPr>
              <w:t>C</w:t>
            </w:r>
          </w:p>
        </w:tc>
        <w:tc>
          <w:tcPr>
            <w:tcW w:w="1115" w:type="dxa"/>
            <w:tcBorders>
              <w:top w:val="single" w:sz="4" w:space="0" w:color="auto"/>
            </w:tcBorders>
            <w:vAlign w:val="center"/>
          </w:tcPr>
          <w:p w14:paraId="3881820C" w14:textId="77777777" w:rsidR="00B301B0" w:rsidRPr="00B301B0" w:rsidRDefault="00B301B0" w:rsidP="00B301B0">
            <w:pPr>
              <w:widowControl/>
              <w:overflowPunct/>
              <w:autoSpaceDE/>
              <w:autoSpaceDN/>
              <w:adjustRightInd/>
              <w:jc w:val="center"/>
              <w:rPr>
                <w:bCs/>
                <w:kern w:val="0"/>
              </w:rPr>
            </w:pPr>
            <w:r w:rsidRPr="00B301B0">
              <w:rPr>
                <w:bCs/>
                <w:kern w:val="0"/>
              </w:rPr>
              <w:t xml:space="preserve">USA Sample </w:t>
            </w:r>
            <w:r w:rsidRPr="00B301B0">
              <w:rPr>
                <w:bCs/>
                <w:kern w:val="0"/>
                <w:vertAlign w:val="superscript"/>
              </w:rPr>
              <w:t>D</w:t>
            </w:r>
          </w:p>
        </w:tc>
        <w:tc>
          <w:tcPr>
            <w:tcW w:w="1134" w:type="dxa"/>
            <w:tcBorders>
              <w:top w:val="single" w:sz="4" w:space="0" w:color="auto"/>
            </w:tcBorders>
            <w:vAlign w:val="center"/>
          </w:tcPr>
          <w:p w14:paraId="5B66CF1D" w14:textId="77777777" w:rsidR="00B301B0" w:rsidRPr="00B301B0" w:rsidRDefault="00B301B0" w:rsidP="00B301B0">
            <w:pPr>
              <w:widowControl/>
              <w:overflowPunct/>
              <w:autoSpaceDE/>
              <w:autoSpaceDN/>
              <w:adjustRightInd/>
              <w:jc w:val="center"/>
              <w:rPr>
                <w:bCs/>
                <w:kern w:val="0"/>
              </w:rPr>
            </w:pPr>
            <w:r w:rsidRPr="00B301B0">
              <w:rPr>
                <w:bCs/>
                <w:kern w:val="0"/>
              </w:rPr>
              <w:t xml:space="preserve">China Sample </w:t>
            </w:r>
            <w:r w:rsidRPr="00B301B0">
              <w:rPr>
                <w:bCs/>
                <w:kern w:val="0"/>
                <w:vertAlign w:val="superscript"/>
              </w:rPr>
              <w:t>E</w:t>
            </w:r>
          </w:p>
        </w:tc>
        <w:tc>
          <w:tcPr>
            <w:tcW w:w="1093" w:type="dxa"/>
            <w:tcBorders>
              <w:top w:val="single" w:sz="4" w:space="0" w:color="auto"/>
            </w:tcBorders>
            <w:vAlign w:val="center"/>
          </w:tcPr>
          <w:p w14:paraId="122473B0" w14:textId="77777777" w:rsidR="00B301B0" w:rsidRPr="00B301B0" w:rsidRDefault="00B301B0" w:rsidP="00B301B0">
            <w:pPr>
              <w:widowControl/>
              <w:overflowPunct/>
              <w:autoSpaceDE/>
              <w:autoSpaceDN/>
              <w:adjustRightInd/>
              <w:jc w:val="center"/>
              <w:rPr>
                <w:bCs/>
                <w:kern w:val="0"/>
              </w:rPr>
            </w:pPr>
            <w:r w:rsidRPr="00B301B0">
              <w:rPr>
                <w:bCs/>
                <w:kern w:val="0"/>
              </w:rPr>
              <w:t xml:space="preserve">Full </w:t>
            </w:r>
            <w:r w:rsidRPr="00B301B0">
              <w:rPr>
                <w:bCs/>
                <w:kern w:val="0"/>
                <w:vertAlign w:val="superscript"/>
              </w:rPr>
              <w:t>F</w:t>
            </w:r>
          </w:p>
        </w:tc>
      </w:tr>
      <w:tr w:rsidR="00B301B0" w:rsidRPr="00B301B0" w14:paraId="2A327A5C" w14:textId="77777777" w:rsidTr="00DB7B9A">
        <w:tc>
          <w:tcPr>
            <w:tcW w:w="2060" w:type="dxa"/>
            <w:tcBorders>
              <w:top w:val="single" w:sz="4" w:space="0" w:color="auto"/>
            </w:tcBorders>
          </w:tcPr>
          <w:p w14:paraId="3C69065E" w14:textId="77777777" w:rsidR="00B301B0" w:rsidRPr="00B301B0" w:rsidRDefault="00B301B0" w:rsidP="00B301B0">
            <w:pPr>
              <w:widowControl/>
              <w:overflowPunct/>
              <w:autoSpaceDE/>
              <w:autoSpaceDN/>
              <w:adjustRightInd/>
              <w:rPr>
                <w:bCs/>
                <w:kern w:val="0"/>
              </w:rPr>
            </w:pPr>
            <w:r w:rsidRPr="00B301B0">
              <w:rPr>
                <w:bCs/>
                <w:kern w:val="0"/>
              </w:rPr>
              <w:t>Model</w:t>
            </w:r>
          </w:p>
        </w:tc>
        <w:tc>
          <w:tcPr>
            <w:tcW w:w="1360" w:type="dxa"/>
            <w:tcBorders>
              <w:top w:val="single" w:sz="4" w:space="0" w:color="auto"/>
            </w:tcBorders>
          </w:tcPr>
          <w:p w14:paraId="24260D35" w14:textId="77777777" w:rsidR="00B301B0" w:rsidRPr="00B301B0" w:rsidRDefault="00B301B0" w:rsidP="00B301B0">
            <w:pPr>
              <w:widowControl/>
              <w:overflowPunct/>
              <w:autoSpaceDE/>
              <w:autoSpaceDN/>
              <w:adjustRightInd/>
              <w:jc w:val="center"/>
              <w:rPr>
                <w:bCs/>
                <w:kern w:val="0"/>
              </w:rPr>
            </w:pPr>
            <w:r w:rsidRPr="00B301B0">
              <w:rPr>
                <w:bCs/>
                <w:kern w:val="0"/>
              </w:rPr>
              <w:t>1</w:t>
            </w:r>
          </w:p>
        </w:tc>
        <w:tc>
          <w:tcPr>
            <w:tcW w:w="2013" w:type="dxa"/>
            <w:tcBorders>
              <w:top w:val="single" w:sz="4" w:space="0" w:color="auto"/>
            </w:tcBorders>
          </w:tcPr>
          <w:p w14:paraId="62D5618D" w14:textId="77777777" w:rsidR="00B301B0" w:rsidRPr="00B301B0" w:rsidRDefault="00B301B0" w:rsidP="00B301B0">
            <w:pPr>
              <w:widowControl/>
              <w:overflowPunct/>
              <w:autoSpaceDE/>
              <w:autoSpaceDN/>
              <w:adjustRightInd/>
              <w:jc w:val="center"/>
              <w:rPr>
                <w:bCs/>
                <w:kern w:val="0"/>
              </w:rPr>
            </w:pPr>
            <w:r w:rsidRPr="00B301B0">
              <w:rPr>
                <w:bCs/>
                <w:kern w:val="0"/>
              </w:rPr>
              <w:t>2</w:t>
            </w:r>
          </w:p>
        </w:tc>
        <w:tc>
          <w:tcPr>
            <w:tcW w:w="1115" w:type="dxa"/>
            <w:tcBorders>
              <w:top w:val="single" w:sz="4" w:space="0" w:color="auto"/>
            </w:tcBorders>
          </w:tcPr>
          <w:p w14:paraId="2F0C3A03"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1115" w:type="dxa"/>
            <w:tcBorders>
              <w:top w:val="single" w:sz="4" w:space="0" w:color="auto"/>
            </w:tcBorders>
          </w:tcPr>
          <w:p w14:paraId="031A4C20"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1134" w:type="dxa"/>
            <w:tcBorders>
              <w:top w:val="single" w:sz="4" w:space="0" w:color="auto"/>
            </w:tcBorders>
          </w:tcPr>
          <w:p w14:paraId="22E72298"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1093" w:type="dxa"/>
            <w:tcBorders>
              <w:top w:val="single" w:sz="4" w:space="0" w:color="auto"/>
            </w:tcBorders>
          </w:tcPr>
          <w:p w14:paraId="1826F931" w14:textId="77777777" w:rsidR="00B301B0" w:rsidRPr="00B301B0" w:rsidRDefault="00B301B0" w:rsidP="00B301B0">
            <w:pPr>
              <w:widowControl/>
              <w:overflowPunct/>
              <w:autoSpaceDE/>
              <w:autoSpaceDN/>
              <w:adjustRightInd/>
              <w:jc w:val="center"/>
              <w:rPr>
                <w:bCs/>
                <w:kern w:val="0"/>
              </w:rPr>
            </w:pPr>
            <w:r w:rsidRPr="00B301B0">
              <w:rPr>
                <w:bCs/>
                <w:kern w:val="0"/>
              </w:rPr>
              <w:t>-</w:t>
            </w:r>
          </w:p>
        </w:tc>
      </w:tr>
      <w:tr w:rsidR="00B301B0" w:rsidRPr="00B301B0" w14:paraId="51D9F4DC" w14:textId="77777777" w:rsidTr="00DB7B9A">
        <w:tc>
          <w:tcPr>
            <w:tcW w:w="2060" w:type="dxa"/>
            <w:tcBorders>
              <w:top w:val="single" w:sz="4" w:space="0" w:color="auto"/>
            </w:tcBorders>
          </w:tcPr>
          <w:p w14:paraId="6D8CDFAE" w14:textId="77777777" w:rsidR="00B301B0" w:rsidRPr="00B301B0" w:rsidRDefault="00B301B0" w:rsidP="00B301B0">
            <w:pPr>
              <w:widowControl/>
              <w:overflowPunct/>
              <w:autoSpaceDE/>
              <w:autoSpaceDN/>
              <w:adjustRightInd/>
              <w:rPr>
                <w:bCs/>
                <w:kern w:val="0"/>
              </w:rPr>
            </w:pPr>
            <w:r w:rsidRPr="00B301B0">
              <w:rPr>
                <w:bCs/>
                <w:kern w:val="0"/>
              </w:rPr>
              <w:t>Year</w:t>
            </w:r>
          </w:p>
        </w:tc>
        <w:tc>
          <w:tcPr>
            <w:tcW w:w="1360" w:type="dxa"/>
            <w:tcBorders>
              <w:top w:val="single" w:sz="4" w:space="0" w:color="auto"/>
            </w:tcBorders>
          </w:tcPr>
          <w:p w14:paraId="506E0242" w14:textId="77777777" w:rsidR="00B301B0" w:rsidRPr="00B301B0" w:rsidRDefault="00B301B0" w:rsidP="00B301B0">
            <w:pPr>
              <w:widowControl/>
              <w:overflowPunct/>
              <w:autoSpaceDE/>
              <w:autoSpaceDN/>
              <w:adjustRightInd/>
              <w:jc w:val="center"/>
              <w:rPr>
                <w:bCs/>
                <w:kern w:val="0"/>
              </w:rPr>
            </w:pPr>
            <w:r w:rsidRPr="00B301B0">
              <w:rPr>
                <w:bCs/>
                <w:kern w:val="0"/>
              </w:rPr>
              <w:t>0.22</w:t>
            </w:r>
            <w:r w:rsidRPr="00B301B0">
              <w:rPr>
                <w:bCs/>
                <w:kern w:val="0"/>
                <w:vertAlign w:val="superscript"/>
              </w:rPr>
              <w:t xml:space="preserve"> NS</w:t>
            </w:r>
          </w:p>
        </w:tc>
        <w:tc>
          <w:tcPr>
            <w:tcW w:w="2013" w:type="dxa"/>
            <w:tcBorders>
              <w:top w:val="single" w:sz="4" w:space="0" w:color="auto"/>
            </w:tcBorders>
          </w:tcPr>
          <w:p w14:paraId="2759751F" w14:textId="77777777" w:rsidR="00B301B0" w:rsidRPr="00B301B0" w:rsidRDefault="00B301B0" w:rsidP="00B301B0">
            <w:pPr>
              <w:widowControl/>
              <w:overflowPunct/>
              <w:autoSpaceDE/>
              <w:autoSpaceDN/>
              <w:adjustRightInd/>
              <w:jc w:val="center"/>
              <w:rPr>
                <w:bCs/>
                <w:kern w:val="0"/>
              </w:rPr>
            </w:pPr>
            <w:r w:rsidRPr="00B301B0">
              <w:rPr>
                <w:bCs/>
                <w:kern w:val="0"/>
              </w:rPr>
              <w:t>0.18</w:t>
            </w:r>
            <w:r w:rsidRPr="00B301B0">
              <w:rPr>
                <w:bCs/>
                <w:kern w:val="0"/>
                <w:vertAlign w:val="superscript"/>
              </w:rPr>
              <w:t xml:space="preserve"> NS</w:t>
            </w:r>
          </w:p>
        </w:tc>
        <w:tc>
          <w:tcPr>
            <w:tcW w:w="1115" w:type="dxa"/>
            <w:tcBorders>
              <w:top w:val="single" w:sz="4" w:space="0" w:color="auto"/>
            </w:tcBorders>
          </w:tcPr>
          <w:p w14:paraId="2DEEE341" w14:textId="77777777" w:rsidR="00B301B0" w:rsidRPr="00B301B0" w:rsidRDefault="00B301B0" w:rsidP="00B301B0">
            <w:pPr>
              <w:widowControl/>
              <w:overflowPunct/>
              <w:autoSpaceDE/>
              <w:autoSpaceDN/>
              <w:adjustRightInd/>
              <w:jc w:val="center"/>
              <w:rPr>
                <w:bCs/>
                <w:kern w:val="0"/>
              </w:rPr>
            </w:pPr>
            <w:r w:rsidRPr="00B301B0">
              <w:rPr>
                <w:bCs/>
                <w:kern w:val="0"/>
              </w:rPr>
              <w:t xml:space="preserve">0.10 </w:t>
            </w:r>
            <w:r w:rsidRPr="00B301B0">
              <w:rPr>
                <w:bCs/>
                <w:kern w:val="0"/>
                <w:vertAlign w:val="superscript"/>
              </w:rPr>
              <w:t>NS</w:t>
            </w:r>
          </w:p>
        </w:tc>
        <w:tc>
          <w:tcPr>
            <w:tcW w:w="1115" w:type="dxa"/>
            <w:tcBorders>
              <w:top w:val="single" w:sz="4" w:space="0" w:color="auto"/>
            </w:tcBorders>
          </w:tcPr>
          <w:p w14:paraId="409108E8" w14:textId="77777777" w:rsidR="00B301B0" w:rsidRPr="00B301B0" w:rsidRDefault="00B301B0" w:rsidP="00B301B0">
            <w:pPr>
              <w:widowControl/>
              <w:overflowPunct/>
              <w:autoSpaceDE/>
              <w:autoSpaceDN/>
              <w:adjustRightInd/>
              <w:jc w:val="center"/>
              <w:rPr>
                <w:bCs/>
                <w:kern w:val="0"/>
              </w:rPr>
            </w:pPr>
            <w:r w:rsidRPr="00B301B0">
              <w:rPr>
                <w:bCs/>
                <w:kern w:val="0"/>
              </w:rPr>
              <w:t xml:space="preserve">0.30 </w:t>
            </w:r>
            <w:r w:rsidRPr="00B301B0">
              <w:rPr>
                <w:bCs/>
                <w:kern w:val="0"/>
                <w:vertAlign w:val="superscript"/>
              </w:rPr>
              <w:t>NS</w:t>
            </w:r>
          </w:p>
        </w:tc>
        <w:tc>
          <w:tcPr>
            <w:tcW w:w="1134" w:type="dxa"/>
            <w:tcBorders>
              <w:top w:val="single" w:sz="4" w:space="0" w:color="auto"/>
            </w:tcBorders>
          </w:tcPr>
          <w:p w14:paraId="170F9363" w14:textId="77777777" w:rsidR="00B301B0" w:rsidRPr="00B301B0" w:rsidRDefault="00B301B0" w:rsidP="00B301B0">
            <w:pPr>
              <w:widowControl/>
              <w:overflowPunct/>
              <w:autoSpaceDE/>
              <w:autoSpaceDN/>
              <w:adjustRightInd/>
              <w:jc w:val="center"/>
              <w:rPr>
                <w:bCs/>
                <w:kern w:val="0"/>
              </w:rPr>
            </w:pPr>
            <w:r w:rsidRPr="00B301B0">
              <w:rPr>
                <w:bCs/>
                <w:kern w:val="0"/>
              </w:rPr>
              <w:t>2.60</w:t>
            </w:r>
          </w:p>
        </w:tc>
        <w:tc>
          <w:tcPr>
            <w:tcW w:w="1093" w:type="dxa"/>
            <w:tcBorders>
              <w:top w:val="single" w:sz="4" w:space="0" w:color="auto"/>
            </w:tcBorders>
          </w:tcPr>
          <w:p w14:paraId="4B95EE0B" w14:textId="77777777" w:rsidR="00B301B0" w:rsidRPr="00B301B0" w:rsidRDefault="00B301B0" w:rsidP="00B301B0">
            <w:pPr>
              <w:widowControl/>
              <w:overflowPunct/>
              <w:autoSpaceDE/>
              <w:autoSpaceDN/>
              <w:adjustRightInd/>
              <w:jc w:val="center"/>
              <w:rPr>
                <w:bCs/>
                <w:kern w:val="0"/>
              </w:rPr>
            </w:pPr>
            <w:r w:rsidRPr="00B301B0">
              <w:rPr>
                <w:bCs/>
                <w:kern w:val="0"/>
              </w:rPr>
              <w:t>0.04</w:t>
            </w:r>
            <w:r w:rsidRPr="00B301B0">
              <w:rPr>
                <w:bCs/>
                <w:kern w:val="0"/>
                <w:vertAlign w:val="superscript"/>
              </w:rPr>
              <w:t xml:space="preserve"> NS</w:t>
            </w:r>
          </w:p>
        </w:tc>
      </w:tr>
      <w:tr w:rsidR="00B301B0" w:rsidRPr="00B301B0" w14:paraId="743944A3" w14:textId="77777777" w:rsidTr="00DB7B9A">
        <w:tc>
          <w:tcPr>
            <w:tcW w:w="2060" w:type="dxa"/>
          </w:tcPr>
          <w:p w14:paraId="31938619" w14:textId="77777777" w:rsidR="00B301B0" w:rsidRPr="00B301B0" w:rsidRDefault="00B301B0" w:rsidP="00B301B0">
            <w:pPr>
              <w:widowControl/>
              <w:overflowPunct/>
              <w:autoSpaceDE/>
              <w:autoSpaceDN/>
              <w:adjustRightInd/>
              <w:rPr>
                <w:bCs/>
                <w:kern w:val="0"/>
              </w:rPr>
            </w:pPr>
            <w:r w:rsidRPr="00B301B0">
              <w:rPr>
                <w:bCs/>
                <w:kern w:val="0"/>
              </w:rPr>
              <w:t>Home Country</w:t>
            </w:r>
          </w:p>
        </w:tc>
        <w:tc>
          <w:tcPr>
            <w:tcW w:w="1360" w:type="dxa"/>
          </w:tcPr>
          <w:p w14:paraId="038C2F53" w14:textId="77777777" w:rsidR="00B301B0" w:rsidRPr="00B301B0" w:rsidRDefault="00B301B0" w:rsidP="00B301B0">
            <w:pPr>
              <w:widowControl/>
              <w:overflowPunct/>
              <w:autoSpaceDE/>
              <w:autoSpaceDN/>
              <w:adjustRightInd/>
              <w:jc w:val="center"/>
              <w:rPr>
                <w:bCs/>
                <w:kern w:val="0"/>
              </w:rPr>
            </w:pPr>
            <w:r w:rsidRPr="00B301B0">
              <w:rPr>
                <w:bCs/>
                <w:kern w:val="0"/>
              </w:rPr>
              <w:t>0.79</w:t>
            </w:r>
          </w:p>
        </w:tc>
        <w:tc>
          <w:tcPr>
            <w:tcW w:w="2013" w:type="dxa"/>
          </w:tcPr>
          <w:p w14:paraId="34002625" w14:textId="77777777" w:rsidR="00B301B0" w:rsidRPr="00B301B0" w:rsidRDefault="00B301B0" w:rsidP="00B301B0">
            <w:pPr>
              <w:widowControl/>
              <w:overflowPunct/>
              <w:autoSpaceDE/>
              <w:autoSpaceDN/>
              <w:adjustRightInd/>
              <w:jc w:val="center"/>
              <w:rPr>
                <w:bCs/>
                <w:kern w:val="0"/>
              </w:rPr>
            </w:pPr>
            <w:r w:rsidRPr="00B301B0">
              <w:rPr>
                <w:bCs/>
                <w:kern w:val="0"/>
              </w:rPr>
              <w:t>0.84</w:t>
            </w:r>
          </w:p>
        </w:tc>
        <w:tc>
          <w:tcPr>
            <w:tcW w:w="1115" w:type="dxa"/>
          </w:tcPr>
          <w:p w14:paraId="04C42C9E"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1115" w:type="dxa"/>
          </w:tcPr>
          <w:p w14:paraId="74F04E56"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1134" w:type="dxa"/>
          </w:tcPr>
          <w:p w14:paraId="41FA2823"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1093" w:type="dxa"/>
          </w:tcPr>
          <w:p w14:paraId="34E299F6" w14:textId="77777777" w:rsidR="00B301B0" w:rsidRPr="00B301B0" w:rsidRDefault="00B301B0" w:rsidP="00B301B0">
            <w:pPr>
              <w:widowControl/>
              <w:overflowPunct/>
              <w:autoSpaceDE/>
              <w:autoSpaceDN/>
              <w:adjustRightInd/>
              <w:jc w:val="center"/>
              <w:rPr>
                <w:bCs/>
                <w:kern w:val="0"/>
              </w:rPr>
            </w:pPr>
            <w:r w:rsidRPr="00B301B0">
              <w:rPr>
                <w:bCs/>
                <w:kern w:val="0"/>
              </w:rPr>
              <w:t>0.90</w:t>
            </w:r>
          </w:p>
        </w:tc>
      </w:tr>
      <w:tr w:rsidR="00B301B0" w:rsidRPr="00B301B0" w14:paraId="02C8541E" w14:textId="77777777" w:rsidTr="00DB7B9A">
        <w:tc>
          <w:tcPr>
            <w:tcW w:w="2060" w:type="dxa"/>
          </w:tcPr>
          <w:p w14:paraId="540B0BFD" w14:textId="77777777" w:rsidR="00B301B0" w:rsidRPr="00B301B0" w:rsidRDefault="00B301B0" w:rsidP="00B301B0">
            <w:pPr>
              <w:widowControl/>
              <w:overflowPunct/>
              <w:autoSpaceDE/>
              <w:autoSpaceDN/>
              <w:adjustRightInd/>
              <w:rPr>
                <w:bCs/>
                <w:kern w:val="0"/>
              </w:rPr>
            </w:pPr>
            <w:r w:rsidRPr="00B301B0">
              <w:rPr>
                <w:bCs/>
                <w:kern w:val="0"/>
              </w:rPr>
              <w:t>Host Country</w:t>
            </w:r>
          </w:p>
        </w:tc>
        <w:tc>
          <w:tcPr>
            <w:tcW w:w="1360" w:type="dxa"/>
          </w:tcPr>
          <w:p w14:paraId="46D7BC9B" w14:textId="77777777" w:rsidR="00B301B0" w:rsidRPr="00B301B0" w:rsidRDefault="00B301B0" w:rsidP="00B301B0">
            <w:pPr>
              <w:widowControl/>
              <w:overflowPunct/>
              <w:autoSpaceDE/>
              <w:autoSpaceDN/>
              <w:adjustRightInd/>
              <w:jc w:val="center"/>
              <w:rPr>
                <w:bCs/>
                <w:kern w:val="0"/>
              </w:rPr>
            </w:pPr>
            <w:r w:rsidRPr="00B301B0">
              <w:rPr>
                <w:bCs/>
                <w:kern w:val="0"/>
              </w:rPr>
              <w:t>0.83</w:t>
            </w:r>
          </w:p>
        </w:tc>
        <w:tc>
          <w:tcPr>
            <w:tcW w:w="2013" w:type="dxa"/>
          </w:tcPr>
          <w:p w14:paraId="5D6B5C06" w14:textId="77777777" w:rsidR="00B301B0" w:rsidRPr="00B301B0" w:rsidRDefault="00B301B0" w:rsidP="00B301B0">
            <w:pPr>
              <w:widowControl/>
              <w:overflowPunct/>
              <w:autoSpaceDE/>
              <w:autoSpaceDN/>
              <w:adjustRightInd/>
              <w:jc w:val="center"/>
              <w:rPr>
                <w:bCs/>
                <w:kern w:val="0"/>
              </w:rPr>
            </w:pPr>
            <w:r w:rsidRPr="00B301B0">
              <w:rPr>
                <w:bCs/>
                <w:kern w:val="0"/>
              </w:rPr>
              <w:t>0.96</w:t>
            </w:r>
          </w:p>
        </w:tc>
        <w:tc>
          <w:tcPr>
            <w:tcW w:w="1115" w:type="dxa"/>
          </w:tcPr>
          <w:p w14:paraId="7AB64A96" w14:textId="77777777" w:rsidR="00B301B0" w:rsidRPr="00B301B0" w:rsidRDefault="00B301B0" w:rsidP="00B301B0">
            <w:pPr>
              <w:widowControl/>
              <w:overflowPunct/>
              <w:autoSpaceDE/>
              <w:autoSpaceDN/>
              <w:adjustRightInd/>
              <w:jc w:val="center"/>
              <w:rPr>
                <w:bCs/>
                <w:kern w:val="0"/>
              </w:rPr>
            </w:pPr>
            <w:r w:rsidRPr="00B301B0">
              <w:rPr>
                <w:bCs/>
                <w:kern w:val="0"/>
              </w:rPr>
              <w:t xml:space="preserve">4.30 </w:t>
            </w:r>
          </w:p>
        </w:tc>
        <w:tc>
          <w:tcPr>
            <w:tcW w:w="1115" w:type="dxa"/>
          </w:tcPr>
          <w:p w14:paraId="3E5858B9"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1134" w:type="dxa"/>
          </w:tcPr>
          <w:p w14:paraId="5E509157"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1093" w:type="dxa"/>
          </w:tcPr>
          <w:p w14:paraId="53E4922B" w14:textId="77777777" w:rsidR="00B301B0" w:rsidRPr="00B301B0" w:rsidRDefault="00B301B0" w:rsidP="00B301B0">
            <w:pPr>
              <w:widowControl/>
              <w:overflowPunct/>
              <w:autoSpaceDE/>
              <w:autoSpaceDN/>
              <w:adjustRightInd/>
              <w:jc w:val="center"/>
              <w:rPr>
                <w:bCs/>
                <w:kern w:val="0"/>
              </w:rPr>
            </w:pPr>
            <w:r w:rsidRPr="00B301B0">
              <w:rPr>
                <w:bCs/>
                <w:kern w:val="0"/>
              </w:rPr>
              <w:t>-</w:t>
            </w:r>
          </w:p>
        </w:tc>
      </w:tr>
      <w:tr w:rsidR="00B301B0" w:rsidRPr="00B301B0" w14:paraId="524427A0" w14:textId="77777777" w:rsidTr="00DB7B9A">
        <w:tc>
          <w:tcPr>
            <w:tcW w:w="2060" w:type="dxa"/>
          </w:tcPr>
          <w:p w14:paraId="5A4FA3DE" w14:textId="77777777" w:rsidR="00B301B0" w:rsidRPr="00B301B0" w:rsidRDefault="00B301B0" w:rsidP="00B301B0">
            <w:pPr>
              <w:widowControl/>
              <w:overflowPunct/>
              <w:autoSpaceDE/>
              <w:autoSpaceDN/>
              <w:adjustRightInd/>
              <w:rPr>
                <w:bCs/>
                <w:kern w:val="0"/>
              </w:rPr>
            </w:pPr>
            <w:r w:rsidRPr="00B301B0">
              <w:rPr>
                <w:bCs/>
                <w:kern w:val="0"/>
              </w:rPr>
              <w:t>Industry</w:t>
            </w:r>
          </w:p>
        </w:tc>
        <w:tc>
          <w:tcPr>
            <w:tcW w:w="1360" w:type="dxa"/>
          </w:tcPr>
          <w:p w14:paraId="3C4E527E" w14:textId="77777777" w:rsidR="00B301B0" w:rsidRPr="00B301B0" w:rsidRDefault="00B301B0" w:rsidP="00B301B0">
            <w:pPr>
              <w:widowControl/>
              <w:overflowPunct/>
              <w:autoSpaceDE/>
              <w:autoSpaceDN/>
              <w:adjustRightInd/>
              <w:jc w:val="center"/>
              <w:rPr>
                <w:bCs/>
                <w:kern w:val="0"/>
              </w:rPr>
            </w:pPr>
            <w:r w:rsidRPr="00B301B0">
              <w:rPr>
                <w:bCs/>
                <w:kern w:val="0"/>
              </w:rPr>
              <w:t>3.10</w:t>
            </w:r>
          </w:p>
        </w:tc>
        <w:tc>
          <w:tcPr>
            <w:tcW w:w="2013" w:type="dxa"/>
          </w:tcPr>
          <w:p w14:paraId="23BF8A43" w14:textId="77777777" w:rsidR="00B301B0" w:rsidRPr="00B301B0" w:rsidRDefault="00B301B0" w:rsidP="00B301B0">
            <w:pPr>
              <w:widowControl/>
              <w:overflowPunct/>
              <w:autoSpaceDE/>
              <w:autoSpaceDN/>
              <w:adjustRightInd/>
              <w:jc w:val="center"/>
              <w:rPr>
                <w:bCs/>
                <w:kern w:val="0"/>
              </w:rPr>
            </w:pPr>
            <w:r w:rsidRPr="00B301B0">
              <w:rPr>
                <w:bCs/>
                <w:kern w:val="0"/>
              </w:rPr>
              <w:t>3.42</w:t>
            </w:r>
          </w:p>
        </w:tc>
        <w:tc>
          <w:tcPr>
            <w:tcW w:w="1115" w:type="dxa"/>
          </w:tcPr>
          <w:p w14:paraId="0627E1B1" w14:textId="77777777" w:rsidR="00B301B0" w:rsidRPr="00B301B0" w:rsidRDefault="00B301B0" w:rsidP="00B301B0">
            <w:pPr>
              <w:widowControl/>
              <w:overflowPunct/>
              <w:autoSpaceDE/>
              <w:autoSpaceDN/>
              <w:adjustRightInd/>
              <w:jc w:val="center"/>
              <w:rPr>
                <w:bCs/>
                <w:kern w:val="0"/>
              </w:rPr>
            </w:pPr>
            <w:r w:rsidRPr="00B301B0">
              <w:rPr>
                <w:bCs/>
                <w:kern w:val="0"/>
              </w:rPr>
              <w:t>5.00</w:t>
            </w:r>
          </w:p>
        </w:tc>
        <w:tc>
          <w:tcPr>
            <w:tcW w:w="1115" w:type="dxa"/>
          </w:tcPr>
          <w:p w14:paraId="430A035D" w14:textId="77777777" w:rsidR="00B301B0" w:rsidRPr="00B301B0" w:rsidRDefault="00B301B0" w:rsidP="00B301B0">
            <w:pPr>
              <w:widowControl/>
              <w:overflowPunct/>
              <w:autoSpaceDE/>
              <w:autoSpaceDN/>
              <w:adjustRightInd/>
              <w:jc w:val="center"/>
              <w:rPr>
                <w:bCs/>
                <w:kern w:val="0"/>
              </w:rPr>
            </w:pPr>
            <w:r w:rsidRPr="00B301B0">
              <w:rPr>
                <w:bCs/>
                <w:kern w:val="0"/>
              </w:rPr>
              <w:t>12.8</w:t>
            </w:r>
          </w:p>
        </w:tc>
        <w:tc>
          <w:tcPr>
            <w:tcW w:w="1134" w:type="dxa"/>
          </w:tcPr>
          <w:p w14:paraId="722FEC3C" w14:textId="77777777" w:rsidR="00B301B0" w:rsidRPr="00B301B0" w:rsidRDefault="00B301B0" w:rsidP="00B301B0">
            <w:pPr>
              <w:widowControl/>
              <w:overflowPunct/>
              <w:autoSpaceDE/>
              <w:autoSpaceDN/>
              <w:adjustRightInd/>
              <w:jc w:val="center"/>
              <w:rPr>
                <w:bCs/>
                <w:kern w:val="0"/>
              </w:rPr>
            </w:pPr>
            <w:r w:rsidRPr="00B301B0">
              <w:rPr>
                <w:bCs/>
                <w:kern w:val="0"/>
              </w:rPr>
              <w:t>5.90</w:t>
            </w:r>
          </w:p>
        </w:tc>
        <w:tc>
          <w:tcPr>
            <w:tcW w:w="1093" w:type="dxa"/>
          </w:tcPr>
          <w:p w14:paraId="3386B7C1" w14:textId="77777777" w:rsidR="00B301B0" w:rsidRPr="00B301B0" w:rsidRDefault="00B301B0" w:rsidP="00B301B0">
            <w:pPr>
              <w:widowControl/>
              <w:overflowPunct/>
              <w:autoSpaceDE/>
              <w:autoSpaceDN/>
              <w:adjustRightInd/>
              <w:jc w:val="center"/>
              <w:rPr>
                <w:bCs/>
                <w:kern w:val="0"/>
              </w:rPr>
            </w:pPr>
            <w:r w:rsidRPr="00B301B0">
              <w:rPr>
                <w:bCs/>
                <w:kern w:val="0"/>
              </w:rPr>
              <w:t>5.65</w:t>
            </w:r>
          </w:p>
        </w:tc>
      </w:tr>
      <w:tr w:rsidR="00B301B0" w:rsidRPr="00B301B0" w14:paraId="21C098BC" w14:textId="77777777" w:rsidTr="00DB7B9A">
        <w:tc>
          <w:tcPr>
            <w:tcW w:w="2060" w:type="dxa"/>
          </w:tcPr>
          <w:p w14:paraId="1BB10E07" w14:textId="77777777" w:rsidR="00B301B0" w:rsidRPr="00B301B0" w:rsidRDefault="00B301B0" w:rsidP="00B301B0">
            <w:pPr>
              <w:widowControl/>
              <w:overflowPunct/>
              <w:autoSpaceDE/>
              <w:autoSpaceDN/>
              <w:adjustRightInd/>
              <w:rPr>
                <w:bCs/>
                <w:kern w:val="0"/>
              </w:rPr>
            </w:pPr>
            <w:r w:rsidRPr="00B301B0">
              <w:rPr>
                <w:bCs/>
                <w:kern w:val="0"/>
              </w:rPr>
              <w:t xml:space="preserve">MNE </w:t>
            </w:r>
          </w:p>
        </w:tc>
        <w:tc>
          <w:tcPr>
            <w:tcW w:w="1360" w:type="dxa"/>
          </w:tcPr>
          <w:p w14:paraId="7273E168" w14:textId="77777777" w:rsidR="00B301B0" w:rsidRPr="00B301B0" w:rsidRDefault="00B301B0" w:rsidP="00B301B0">
            <w:pPr>
              <w:widowControl/>
              <w:overflowPunct/>
              <w:autoSpaceDE/>
              <w:autoSpaceDN/>
              <w:adjustRightInd/>
              <w:jc w:val="center"/>
              <w:rPr>
                <w:bCs/>
                <w:kern w:val="0"/>
              </w:rPr>
            </w:pPr>
            <w:r w:rsidRPr="00B301B0">
              <w:rPr>
                <w:bCs/>
                <w:kern w:val="0"/>
              </w:rPr>
              <w:t>5.69</w:t>
            </w:r>
          </w:p>
        </w:tc>
        <w:tc>
          <w:tcPr>
            <w:tcW w:w="2013" w:type="dxa"/>
          </w:tcPr>
          <w:p w14:paraId="629B3BD4" w14:textId="77777777" w:rsidR="00B301B0" w:rsidRPr="00B301B0" w:rsidRDefault="00B301B0" w:rsidP="00B301B0">
            <w:pPr>
              <w:widowControl/>
              <w:overflowPunct/>
              <w:autoSpaceDE/>
              <w:autoSpaceDN/>
              <w:adjustRightInd/>
              <w:jc w:val="center"/>
              <w:rPr>
                <w:bCs/>
                <w:kern w:val="0"/>
              </w:rPr>
            </w:pPr>
            <w:r w:rsidRPr="00B301B0">
              <w:rPr>
                <w:bCs/>
                <w:kern w:val="0"/>
              </w:rPr>
              <w:t>6.07</w:t>
            </w:r>
          </w:p>
        </w:tc>
        <w:tc>
          <w:tcPr>
            <w:tcW w:w="1115" w:type="dxa"/>
          </w:tcPr>
          <w:p w14:paraId="78532754" w14:textId="77777777" w:rsidR="00B301B0" w:rsidRPr="00B301B0" w:rsidRDefault="00B301B0" w:rsidP="00B301B0">
            <w:pPr>
              <w:widowControl/>
              <w:overflowPunct/>
              <w:autoSpaceDE/>
              <w:autoSpaceDN/>
              <w:adjustRightInd/>
              <w:jc w:val="center"/>
              <w:rPr>
                <w:bCs/>
                <w:kern w:val="0"/>
              </w:rPr>
            </w:pPr>
            <w:r w:rsidRPr="00B301B0">
              <w:rPr>
                <w:bCs/>
                <w:kern w:val="0"/>
              </w:rPr>
              <w:t>8.20</w:t>
            </w:r>
          </w:p>
        </w:tc>
        <w:tc>
          <w:tcPr>
            <w:tcW w:w="1115" w:type="dxa"/>
          </w:tcPr>
          <w:p w14:paraId="2918B043" w14:textId="77777777" w:rsidR="00B301B0" w:rsidRPr="00B301B0" w:rsidRDefault="00B301B0" w:rsidP="00B301B0">
            <w:pPr>
              <w:widowControl/>
              <w:overflowPunct/>
              <w:autoSpaceDE/>
              <w:autoSpaceDN/>
              <w:adjustRightInd/>
              <w:jc w:val="center"/>
              <w:rPr>
                <w:bCs/>
                <w:kern w:val="0"/>
              </w:rPr>
            </w:pPr>
            <w:r w:rsidRPr="00B301B0">
              <w:rPr>
                <w:bCs/>
                <w:kern w:val="0"/>
              </w:rPr>
              <w:t>18.8</w:t>
            </w:r>
          </w:p>
        </w:tc>
        <w:tc>
          <w:tcPr>
            <w:tcW w:w="1134" w:type="dxa"/>
          </w:tcPr>
          <w:p w14:paraId="332EBFCD" w14:textId="77777777" w:rsidR="00B301B0" w:rsidRPr="00B301B0" w:rsidRDefault="00B301B0" w:rsidP="00B301B0">
            <w:pPr>
              <w:widowControl/>
              <w:overflowPunct/>
              <w:autoSpaceDE/>
              <w:autoSpaceDN/>
              <w:adjustRightInd/>
              <w:jc w:val="center"/>
              <w:rPr>
                <w:bCs/>
                <w:kern w:val="0"/>
              </w:rPr>
            </w:pPr>
            <w:r w:rsidRPr="00B301B0">
              <w:rPr>
                <w:bCs/>
                <w:kern w:val="0"/>
              </w:rPr>
              <w:t>19.5</w:t>
            </w:r>
          </w:p>
        </w:tc>
        <w:tc>
          <w:tcPr>
            <w:tcW w:w="1093" w:type="dxa"/>
          </w:tcPr>
          <w:p w14:paraId="2380DD90" w14:textId="77777777" w:rsidR="00B301B0" w:rsidRPr="00B301B0" w:rsidRDefault="00B301B0" w:rsidP="00B301B0">
            <w:pPr>
              <w:widowControl/>
              <w:overflowPunct/>
              <w:autoSpaceDE/>
              <w:autoSpaceDN/>
              <w:adjustRightInd/>
              <w:jc w:val="center"/>
              <w:rPr>
                <w:bCs/>
                <w:kern w:val="0"/>
              </w:rPr>
            </w:pPr>
            <w:r w:rsidRPr="00B301B0">
              <w:rPr>
                <w:bCs/>
                <w:kern w:val="0"/>
              </w:rPr>
              <w:t>5.28</w:t>
            </w:r>
          </w:p>
        </w:tc>
      </w:tr>
      <w:tr w:rsidR="00B301B0" w:rsidRPr="00B301B0" w14:paraId="4D67ACF0" w14:textId="77777777" w:rsidTr="00DB7B9A">
        <w:tc>
          <w:tcPr>
            <w:tcW w:w="2060" w:type="dxa"/>
            <w:tcBorders>
              <w:bottom w:val="single" w:sz="4" w:space="0" w:color="auto"/>
            </w:tcBorders>
          </w:tcPr>
          <w:p w14:paraId="74B01958" w14:textId="77777777" w:rsidR="00B301B0" w:rsidRPr="00B301B0" w:rsidRDefault="00B301B0" w:rsidP="00B301B0">
            <w:pPr>
              <w:widowControl/>
              <w:overflowPunct/>
              <w:autoSpaceDE/>
              <w:autoSpaceDN/>
              <w:adjustRightInd/>
              <w:rPr>
                <w:bCs/>
                <w:kern w:val="0"/>
              </w:rPr>
            </w:pPr>
            <w:r w:rsidRPr="00B301B0">
              <w:rPr>
                <w:bCs/>
                <w:kern w:val="0"/>
              </w:rPr>
              <w:t>Subsidiary</w:t>
            </w:r>
          </w:p>
        </w:tc>
        <w:tc>
          <w:tcPr>
            <w:tcW w:w="1360" w:type="dxa"/>
            <w:tcBorders>
              <w:bottom w:val="single" w:sz="4" w:space="0" w:color="auto"/>
            </w:tcBorders>
          </w:tcPr>
          <w:p w14:paraId="22C935E3" w14:textId="77777777" w:rsidR="00B301B0" w:rsidRPr="00B301B0" w:rsidRDefault="00B301B0" w:rsidP="00B301B0">
            <w:pPr>
              <w:widowControl/>
              <w:overflowPunct/>
              <w:autoSpaceDE/>
              <w:autoSpaceDN/>
              <w:adjustRightInd/>
              <w:jc w:val="center"/>
              <w:rPr>
                <w:bCs/>
                <w:kern w:val="0"/>
              </w:rPr>
            </w:pPr>
            <w:r w:rsidRPr="00B301B0">
              <w:rPr>
                <w:bCs/>
                <w:kern w:val="0"/>
              </w:rPr>
              <w:t>34.60</w:t>
            </w:r>
          </w:p>
        </w:tc>
        <w:tc>
          <w:tcPr>
            <w:tcW w:w="2013" w:type="dxa"/>
            <w:tcBorders>
              <w:bottom w:val="single" w:sz="4" w:space="0" w:color="auto"/>
            </w:tcBorders>
          </w:tcPr>
          <w:p w14:paraId="1C25151E" w14:textId="77777777" w:rsidR="00B301B0" w:rsidRPr="00B301B0" w:rsidRDefault="00B301B0" w:rsidP="00B301B0">
            <w:pPr>
              <w:widowControl/>
              <w:overflowPunct/>
              <w:autoSpaceDE/>
              <w:autoSpaceDN/>
              <w:adjustRightInd/>
              <w:jc w:val="center"/>
              <w:rPr>
                <w:bCs/>
                <w:kern w:val="0"/>
              </w:rPr>
            </w:pPr>
            <w:r w:rsidRPr="00B301B0">
              <w:rPr>
                <w:bCs/>
                <w:kern w:val="0"/>
              </w:rPr>
              <w:t>36.74</w:t>
            </w:r>
          </w:p>
        </w:tc>
        <w:tc>
          <w:tcPr>
            <w:tcW w:w="1115" w:type="dxa"/>
            <w:tcBorders>
              <w:bottom w:val="single" w:sz="4" w:space="0" w:color="auto"/>
            </w:tcBorders>
          </w:tcPr>
          <w:p w14:paraId="55A7D698" w14:textId="77777777" w:rsidR="00B301B0" w:rsidRPr="00B301B0" w:rsidRDefault="00B301B0" w:rsidP="00B301B0">
            <w:pPr>
              <w:widowControl/>
              <w:overflowPunct/>
              <w:autoSpaceDE/>
              <w:autoSpaceDN/>
              <w:adjustRightInd/>
              <w:jc w:val="center"/>
              <w:rPr>
                <w:bCs/>
                <w:kern w:val="0"/>
              </w:rPr>
            </w:pPr>
            <w:r w:rsidRPr="00B301B0">
              <w:rPr>
                <w:bCs/>
                <w:kern w:val="0"/>
              </w:rPr>
              <w:t>28.20</w:t>
            </w:r>
          </w:p>
        </w:tc>
        <w:tc>
          <w:tcPr>
            <w:tcW w:w="1115" w:type="dxa"/>
            <w:tcBorders>
              <w:bottom w:val="single" w:sz="4" w:space="0" w:color="auto"/>
            </w:tcBorders>
          </w:tcPr>
          <w:p w14:paraId="22E075FD" w14:textId="77777777" w:rsidR="00B301B0" w:rsidRPr="00B301B0" w:rsidRDefault="00B301B0" w:rsidP="00B301B0">
            <w:pPr>
              <w:widowControl/>
              <w:overflowPunct/>
              <w:autoSpaceDE/>
              <w:autoSpaceDN/>
              <w:adjustRightInd/>
              <w:jc w:val="center"/>
              <w:rPr>
                <w:bCs/>
                <w:kern w:val="0"/>
              </w:rPr>
            </w:pPr>
            <w:r w:rsidRPr="00B301B0">
              <w:rPr>
                <w:bCs/>
                <w:kern w:val="0"/>
              </w:rPr>
              <w:t>16.8</w:t>
            </w:r>
          </w:p>
        </w:tc>
        <w:tc>
          <w:tcPr>
            <w:tcW w:w="1134" w:type="dxa"/>
            <w:tcBorders>
              <w:bottom w:val="single" w:sz="4" w:space="0" w:color="auto"/>
            </w:tcBorders>
          </w:tcPr>
          <w:p w14:paraId="181B2C8D" w14:textId="77777777" w:rsidR="00B301B0" w:rsidRPr="00B301B0" w:rsidRDefault="00B301B0" w:rsidP="00B301B0">
            <w:pPr>
              <w:widowControl/>
              <w:overflowPunct/>
              <w:autoSpaceDE/>
              <w:autoSpaceDN/>
              <w:adjustRightInd/>
              <w:jc w:val="center"/>
              <w:rPr>
                <w:bCs/>
                <w:kern w:val="0"/>
              </w:rPr>
            </w:pPr>
            <w:r w:rsidRPr="00B301B0">
              <w:rPr>
                <w:bCs/>
                <w:kern w:val="0"/>
              </w:rPr>
              <w:t>14.4</w:t>
            </w:r>
          </w:p>
        </w:tc>
        <w:tc>
          <w:tcPr>
            <w:tcW w:w="1093" w:type="dxa"/>
            <w:tcBorders>
              <w:bottom w:val="single" w:sz="4" w:space="0" w:color="auto"/>
            </w:tcBorders>
          </w:tcPr>
          <w:p w14:paraId="6588D531" w14:textId="77777777" w:rsidR="00B301B0" w:rsidRPr="00B301B0" w:rsidRDefault="00B301B0" w:rsidP="00B301B0">
            <w:pPr>
              <w:widowControl/>
              <w:overflowPunct/>
              <w:autoSpaceDE/>
              <w:autoSpaceDN/>
              <w:adjustRightInd/>
              <w:jc w:val="center"/>
              <w:rPr>
                <w:bCs/>
                <w:kern w:val="0"/>
              </w:rPr>
            </w:pPr>
            <w:r w:rsidRPr="00B301B0">
              <w:rPr>
                <w:bCs/>
                <w:kern w:val="0"/>
              </w:rPr>
              <w:t>8.87</w:t>
            </w:r>
          </w:p>
        </w:tc>
      </w:tr>
      <w:tr w:rsidR="00B301B0" w:rsidRPr="00B301B0" w14:paraId="3E4B709B" w14:textId="77777777" w:rsidTr="00DB7B9A">
        <w:trPr>
          <w:trHeight w:val="152"/>
        </w:trPr>
        <w:tc>
          <w:tcPr>
            <w:tcW w:w="2060" w:type="dxa"/>
            <w:tcBorders>
              <w:top w:val="single" w:sz="4" w:space="0" w:color="auto"/>
              <w:bottom w:val="single" w:sz="4" w:space="0" w:color="auto"/>
            </w:tcBorders>
          </w:tcPr>
          <w:p w14:paraId="1D6261DC" w14:textId="77777777" w:rsidR="00B301B0" w:rsidRPr="00B301B0" w:rsidRDefault="00B301B0" w:rsidP="00B301B0">
            <w:pPr>
              <w:widowControl/>
              <w:overflowPunct/>
              <w:autoSpaceDE/>
              <w:autoSpaceDN/>
              <w:adjustRightInd/>
              <w:rPr>
                <w:bCs/>
                <w:kern w:val="0"/>
              </w:rPr>
            </w:pPr>
            <w:r w:rsidRPr="00B301B0">
              <w:rPr>
                <w:bCs/>
                <w:kern w:val="0"/>
              </w:rPr>
              <w:t xml:space="preserve">Relative MNE Effect </w:t>
            </w:r>
            <w:r w:rsidRPr="00B301B0">
              <w:rPr>
                <w:bCs/>
                <w:kern w:val="0"/>
                <w:vertAlign w:val="superscript"/>
              </w:rPr>
              <w:t>A</w:t>
            </w:r>
          </w:p>
        </w:tc>
        <w:tc>
          <w:tcPr>
            <w:tcW w:w="1360" w:type="dxa"/>
            <w:tcBorders>
              <w:top w:val="single" w:sz="4" w:space="0" w:color="auto"/>
              <w:bottom w:val="single" w:sz="4" w:space="0" w:color="auto"/>
            </w:tcBorders>
          </w:tcPr>
          <w:p w14:paraId="6250F343" w14:textId="77777777" w:rsidR="00B301B0" w:rsidRPr="00B301B0" w:rsidRDefault="00B301B0" w:rsidP="00B301B0">
            <w:pPr>
              <w:widowControl/>
              <w:overflowPunct/>
              <w:autoSpaceDE/>
              <w:autoSpaceDN/>
              <w:adjustRightInd/>
              <w:jc w:val="center"/>
              <w:rPr>
                <w:bCs/>
                <w:kern w:val="0"/>
              </w:rPr>
            </w:pPr>
            <w:r w:rsidRPr="00B301B0">
              <w:rPr>
                <w:bCs/>
                <w:kern w:val="0"/>
              </w:rPr>
              <w:t>0.16</w:t>
            </w:r>
          </w:p>
        </w:tc>
        <w:tc>
          <w:tcPr>
            <w:tcW w:w="2013" w:type="dxa"/>
            <w:tcBorders>
              <w:top w:val="single" w:sz="4" w:space="0" w:color="auto"/>
              <w:bottom w:val="single" w:sz="4" w:space="0" w:color="auto"/>
            </w:tcBorders>
          </w:tcPr>
          <w:p w14:paraId="56912FF9" w14:textId="77777777" w:rsidR="00B301B0" w:rsidRPr="00B301B0" w:rsidRDefault="00B301B0" w:rsidP="00B301B0">
            <w:pPr>
              <w:widowControl/>
              <w:overflowPunct/>
              <w:autoSpaceDE/>
              <w:autoSpaceDN/>
              <w:adjustRightInd/>
              <w:jc w:val="center"/>
              <w:rPr>
                <w:bCs/>
                <w:kern w:val="0"/>
              </w:rPr>
            </w:pPr>
            <w:r w:rsidRPr="00B301B0">
              <w:rPr>
                <w:bCs/>
                <w:kern w:val="0"/>
              </w:rPr>
              <w:t>0.17</w:t>
            </w:r>
          </w:p>
        </w:tc>
        <w:tc>
          <w:tcPr>
            <w:tcW w:w="1115" w:type="dxa"/>
            <w:tcBorders>
              <w:top w:val="single" w:sz="4" w:space="0" w:color="auto"/>
              <w:bottom w:val="single" w:sz="4" w:space="0" w:color="auto"/>
            </w:tcBorders>
          </w:tcPr>
          <w:p w14:paraId="1AEA4D1C" w14:textId="77777777" w:rsidR="00B301B0" w:rsidRPr="00B301B0" w:rsidRDefault="00B301B0" w:rsidP="00B301B0">
            <w:pPr>
              <w:widowControl/>
              <w:overflowPunct/>
              <w:autoSpaceDE/>
              <w:autoSpaceDN/>
              <w:adjustRightInd/>
              <w:jc w:val="center"/>
              <w:rPr>
                <w:bCs/>
                <w:kern w:val="0"/>
              </w:rPr>
            </w:pPr>
            <w:r w:rsidRPr="00B301B0">
              <w:rPr>
                <w:bCs/>
                <w:kern w:val="0"/>
              </w:rPr>
              <w:t>0.29</w:t>
            </w:r>
          </w:p>
        </w:tc>
        <w:tc>
          <w:tcPr>
            <w:tcW w:w="1115" w:type="dxa"/>
            <w:tcBorders>
              <w:top w:val="single" w:sz="4" w:space="0" w:color="auto"/>
              <w:bottom w:val="single" w:sz="4" w:space="0" w:color="auto"/>
            </w:tcBorders>
          </w:tcPr>
          <w:p w14:paraId="299CE2FF" w14:textId="77777777" w:rsidR="00B301B0" w:rsidRPr="00B301B0" w:rsidRDefault="00B301B0" w:rsidP="00B301B0">
            <w:pPr>
              <w:widowControl/>
              <w:overflowPunct/>
              <w:autoSpaceDE/>
              <w:autoSpaceDN/>
              <w:adjustRightInd/>
              <w:jc w:val="center"/>
              <w:rPr>
                <w:bCs/>
                <w:kern w:val="0"/>
              </w:rPr>
            </w:pPr>
            <w:r w:rsidRPr="00B301B0">
              <w:rPr>
                <w:bCs/>
                <w:kern w:val="0"/>
              </w:rPr>
              <w:t>1.12</w:t>
            </w:r>
          </w:p>
        </w:tc>
        <w:tc>
          <w:tcPr>
            <w:tcW w:w="1134" w:type="dxa"/>
            <w:tcBorders>
              <w:top w:val="single" w:sz="4" w:space="0" w:color="auto"/>
              <w:bottom w:val="single" w:sz="4" w:space="0" w:color="auto"/>
            </w:tcBorders>
          </w:tcPr>
          <w:p w14:paraId="02BD107B" w14:textId="77777777" w:rsidR="00B301B0" w:rsidRPr="00B301B0" w:rsidRDefault="00B301B0" w:rsidP="00B301B0">
            <w:pPr>
              <w:widowControl/>
              <w:overflowPunct/>
              <w:autoSpaceDE/>
              <w:autoSpaceDN/>
              <w:adjustRightInd/>
              <w:jc w:val="center"/>
              <w:rPr>
                <w:bCs/>
                <w:kern w:val="0"/>
              </w:rPr>
            </w:pPr>
            <w:r w:rsidRPr="00B301B0">
              <w:rPr>
                <w:bCs/>
                <w:kern w:val="0"/>
              </w:rPr>
              <w:t>1.35</w:t>
            </w:r>
          </w:p>
        </w:tc>
        <w:tc>
          <w:tcPr>
            <w:tcW w:w="1093" w:type="dxa"/>
            <w:tcBorders>
              <w:top w:val="single" w:sz="4" w:space="0" w:color="auto"/>
              <w:bottom w:val="single" w:sz="4" w:space="0" w:color="auto"/>
            </w:tcBorders>
          </w:tcPr>
          <w:p w14:paraId="2A2DE8DF" w14:textId="77777777" w:rsidR="00B301B0" w:rsidRPr="00B301B0" w:rsidRDefault="00B301B0" w:rsidP="00B301B0">
            <w:pPr>
              <w:widowControl/>
              <w:overflowPunct/>
              <w:autoSpaceDE/>
              <w:autoSpaceDN/>
              <w:adjustRightInd/>
              <w:jc w:val="center"/>
              <w:rPr>
                <w:bCs/>
                <w:kern w:val="0"/>
              </w:rPr>
            </w:pPr>
            <w:r w:rsidRPr="00B301B0">
              <w:rPr>
                <w:bCs/>
                <w:kern w:val="0"/>
              </w:rPr>
              <w:t>0.60</w:t>
            </w:r>
          </w:p>
        </w:tc>
      </w:tr>
      <w:tr w:rsidR="00B301B0" w:rsidRPr="00B301B0" w14:paraId="2A35596A" w14:textId="77777777" w:rsidTr="00DB7B9A">
        <w:trPr>
          <w:trHeight w:val="152"/>
        </w:trPr>
        <w:tc>
          <w:tcPr>
            <w:tcW w:w="2060" w:type="dxa"/>
            <w:tcBorders>
              <w:top w:val="single" w:sz="4" w:space="0" w:color="auto"/>
              <w:bottom w:val="single" w:sz="4" w:space="0" w:color="auto"/>
            </w:tcBorders>
          </w:tcPr>
          <w:p w14:paraId="6F2BC0A0" w14:textId="77777777" w:rsidR="00B301B0" w:rsidRPr="00B301B0" w:rsidRDefault="00B301B0" w:rsidP="00B301B0">
            <w:pPr>
              <w:widowControl/>
              <w:overflowPunct/>
              <w:autoSpaceDE/>
              <w:autoSpaceDN/>
              <w:adjustRightInd/>
              <w:rPr>
                <w:bCs/>
                <w:kern w:val="0"/>
              </w:rPr>
            </w:pPr>
            <w:r w:rsidRPr="00B301B0">
              <w:rPr>
                <w:bCs/>
                <w:kern w:val="0"/>
              </w:rPr>
              <w:t xml:space="preserve">Persistence </w:t>
            </w:r>
            <w:r w:rsidRPr="00B301B0">
              <w:rPr>
                <w:rFonts w:ascii="Times New Roman Symbol" w:hAnsi="Times New Roman Symbol"/>
                <w:bCs/>
                <w:kern w:val="0"/>
              </w:rPr>
              <w:t>r</w:t>
            </w:r>
          </w:p>
        </w:tc>
        <w:tc>
          <w:tcPr>
            <w:tcW w:w="1360" w:type="dxa"/>
            <w:tcBorders>
              <w:top w:val="single" w:sz="4" w:space="0" w:color="auto"/>
              <w:bottom w:val="single" w:sz="4" w:space="0" w:color="auto"/>
            </w:tcBorders>
          </w:tcPr>
          <w:p w14:paraId="7C899D8D"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2013" w:type="dxa"/>
            <w:tcBorders>
              <w:top w:val="single" w:sz="4" w:space="0" w:color="auto"/>
              <w:bottom w:val="single" w:sz="4" w:space="0" w:color="auto"/>
            </w:tcBorders>
          </w:tcPr>
          <w:p w14:paraId="466E2BEC" w14:textId="77777777" w:rsidR="00B301B0" w:rsidRPr="00B301B0" w:rsidRDefault="00B301B0" w:rsidP="00B301B0">
            <w:pPr>
              <w:widowControl/>
              <w:overflowPunct/>
              <w:autoSpaceDE/>
              <w:autoSpaceDN/>
              <w:adjustRightInd/>
              <w:jc w:val="center"/>
              <w:rPr>
                <w:bCs/>
                <w:kern w:val="0"/>
              </w:rPr>
            </w:pPr>
            <w:r w:rsidRPr="00B301B0">
              <w:rPr>
                <w:bCs/>
                <w:kern w:val="0"/>
              </w:rPr>
              <w:t>0.19</w:t>
            </w:r>
          </w:p>
        </w:tc>
        <w:tc>
          <w:tcPr>
            <w:tcW w:w="1115" w:type="dxa"/>
            <w:tcBorders>
              <w:top w:val="single" w:sz="4" w:space="0" w:color="auto"/>
              <w:bottom w:val="single" w:sz="4" w:space="0" w:color="auto"/>
            </w:tcBorders>
          </w:tcPr>
          <w:p w14:paraId="0B97E6C3"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1115" w:type="dxa"/>
            <w:tcBorders>
              <w:top w:val="single" w:sz="4" w:space="0" w:color="auto"/>
              <w:bottom w:val="single" w:sz="4" w:space="0" w:color="auto"/>
            </w:tcBorders>
          </w:tcPr>
          <w:p w14:paraId="5D7C7B23"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1134" w:type="dxa"/>
            <w:tcBorders>
              <w:top w:val="single" w:sz="4" w:space="0" w:color="auto"/>
              <w:bottom w:val="single" w:sz="4" w:space="0" w:color="auto"/>
            </w:tcBorders>
          </w:tcPr>
          <w:p w14:paraId="0B8CE5AE" w14:textId="77777777" w:rsidR="00B301B0" w:rsidRPr="00B301B0" w:rsidRDefault="00B301B0" w:rsidP="00B301B0">
            <w:pPr>
              <w:widowControl/>
              <w:overflowPunct/>
              <w:autoSpaceDE/>
              <w:autoSpaceDN/>
              <w:adjustRightInd/>
              <w:jc w:val="center"/>
              <w:rPr>
                <w:bCs/>
                <w:kern w:val="0"/>
              </w:rPr>
            </w:pPr>
            <w:r w:rsidRPr="00B301B0">
              <w:rPr>
                <w:bCs/>
                <w:kern w:val="0"/>
              </w:rPr>
              <w:t>-</w:t>
            </w:r>
          </w:p>
        </w:tc>
        <w:tc>
          <w:tcPr>
            <w:tcW w:w="1093" w:type="dxa"/>
            <w:tcBorders>
              <w:top w:val="single" w:sz="4" w:space="0" w:color="auto"/>
              <w:bottom w:val="single" w:sz="4" w:space="0" w:color="auto"/>
            </w:tcBorders>
          </w:tcPr>
          <w:p w14:paraId="3753F045" w14:textId="77777777" w:rsidR="00B301B0" w:rsidRPr="00B301B0" w:rsidRDefault="00B301B0" w:rsidP="00B301B0">
            <w:pPr>
              <w:widowControl/>
              <w:overflowPunct/>
              <w:autoSpaceDE/>
              <w:autoSpaceDN/>
              <w:adjustRightInd/>
              <w:jc w:val="center"/>
              <w:rPr>
                <w:bCs/>
                <w:kern w:val="0"/>
              </w:rPr>
            </w:pPr>
            <w:r w:rsidRPr="00B301B0">
              <w:rPr>
                <w:bCs/>
                <w:kern w:val="0"/>
              </w:rPr>
              <w:t>0.22</w:t>
            </w:r>
          </w:p>
        </w:tc>
      </w:tr>
      <w:tr w:rsidR="00B301B0" w:rsidRPr="00B301B0" w14:paraId="47BEB28C" w14:textId="77777777" w:rsidTr="00DB7B9A">
        <w:trPr>
          <w:trHeight w:val="152"/>
        </w:trPr>
        <w:tc>
          <w:tcPr>
            <w:tcW w:w="2060" w:type="dxa"/>
            <w:tcBorders>
              <w:top w:val="single" w:sz="4" w:space="0" w:color="auto"/>
              <w:bottom w:val="single" w:sz="4" w:space="0" w:color="auto"/>
            </w:tcBorders>
          </w:tcPr>
          <w:p w14:paraId="5BB402E2" w14:textId="77777777" w:rsidR="00B301B0" w:rsidRPr="00B301B0" w:rsidRDefault="00B301B0" w:rsidP="00B301B0">
            <w:pPr>
              <w:widowControl/>
              <w:overflowPunct/>
              <w:autoSpaceDE/>
              <w:autoSpaceDN/>
              <w:adjustRightInd/>
              <w:rPr>
                <w:bCs/>
                <w:kern w:val="0"/>
              </w:rPr>
            </w:pPr>
            <w:r w:rsidRPr="00B301B0">
              <w:rPr>
                <w:bCs/>
                <w:kern w:val="0"/>
              </w:rPr>
              <w:t>Observations</w:t>
            </w:r>
          </w:p>
        </w:tc>
        <w:tc>
          <w:tcPr>
            <w:tcW w:w="1360" w:type="dxa"/>
            <w:tcBorders>
              <w:top w:val="single" w:sz="4" w:space="0" w:color="auto"/>
              <w:bottom w:val="single" w:sz="4" w:space="0" w:color="auto"/>
            </w:tcBorders>
          </w:tcPr>
          <w:p w14:paraId="23DF8DF7" w14:textId="77777777" w:rsidR="00B301B0" w:rsidRPr="00B301B0" w:rsidRDefault="00B301B0" w:rsidP="00B301B0">
            <w:pPr>
              <w:widowControl/>
              <w:overflowPunct/>
              <w:autoSpaceDE/>
              <w:autoSpaceDN/>
              <w:adjustRightInd/>
              <w:jc w:val="center"/>
              <w:rPr>
                <w:bCs/>
                <w:kern w:val="0"/>
              </w:rPr>
            </w:pPr>
            <w:r w:rsidRPr="00B301B0">
              <w:rPr>
                <w:bCs/>
                <w:kern w:val="0"/>
              </w:rPr>
              <w:t>403,567</w:t>
            </w:r>
          </w:p>
        </w:tc>
        <w:tc>
          <w:tcPr>
            <w:tcW w:w="2013" w:type="dxa"/>
            <w:tcBorders>
              <w:top w:val="single" w:sz="4" w:space="0" w:color="auto"/>
              <w:bottom w:val="single" w:sz="4" w:space="0" w:color="auto"/>
            </w:tcBorders>
          </w:tcPr>
          <w:p w14:paraId="52560BDB" w14:textId="77777777" w:rsidR="00B301B0" w:rsidRPr="00B301B0" w:rsidRDefault="00B301B0" w:rsidP="00B301B0">
            <w:pPr>
              <w:widowControl/>
              <w:overflowPunct/>
              <w:autoSpaceDE/>
              <w:autoSpaceDN/>
              <w:adjustRightInd/>
              <w:jc w:val="center"/>
              <w:rPr>
                <w:bCs/>
                <w:kern w:val="0"/>
              </w:rPr>
            </w:pPr>
            <w:r w:rsidRPr="00B301B0">
              <w:rPr>
                <w:bCs/>
                <w:kern w:val="0"/>
              </w:rPr>
              <w:t>403,567</w:t>
            </w:r>
          </w:p>
        </w:tc>
        <w:tc>
          <w:tcPr>
            <w:tcW w:w="1115" w:type="dxa"/>
            <w:tcBorders>
              <w:top w:val="single" w:sz="4" w:space="0" w:color="auto"/>
              <w:bottom w:val="single" w:sz="4" w:space="0" w:color="auto"/>
            </w:tcBorders>
          </w:tcPr>
          <w:p w14:paraId="4A11A334" w14:textId="77777777" w:rsidR="00B301B0" w:rsidRPr="00B301B0" w:rsidRDefault="00B301B0" w:rsidP="00B301B0">
            <w:pPr>
              <w:widowControl/>
              <w:overflowPunct/>
              <w:autoSpaceDE/>
              <w:autoSpaceDN/>
              <w:adjustRightInd/>
              <w:jc w:val="center"/>
              <w:rPr>
                <w:bCs/>
                <w:kern w:val="0"/>
              </w:rPr>
            </w:pPr>
            <w:r w:rsidRPr="00B301B0">
              <w:rPr>
                <w:bCs/>
                <w:kern w:val="0"/>
              </w:rPr>
              <w:t>5,183</w:t>
            </w:r>
          </w:p>
        </w:tc>
        <w:tc>
          <w:tcPr>
            <w:tcW w:w="1115" w:type="dxa"/>
            <w:tcBorders>
              <w:top w:val="single" w:sz="4" w:space="0" w:color="auto"/>
              <w:bottom w:val="single" w:sz="4" w:space="0" w:color="auto"/>
            </w:tcBorders>
          </w:tcPr>
          <w:p w14:paraId="21AEE925" w14:textId="77777777" w:rsidR="00B301B0" w:rsidRPr="00B301B0" w:rsidRDefault="00B301B0" w:rsidP="00B301B0">
            <w:pPr>
              <w:widowControl/>
              <w:overflowPunct/>
              <w:autoSpaceDE/>
              <w:autoSpaceDN/>
              <w:adjustRightInd/>
              <w:jc w:val="center"/>
              <w:rPr>
                <w:bCs/>
                <w:kern w:val="0"/>
              </w:rPr>
            </w:pPr>
            <w:r w:rsidRPr="00B301B0">
              <w:rPr>
                <w:bCs/>
                <w:kern w:val="0"/>
              </w:rPr>
              <w:t>16,227</w:t>
            </w:r>
          </w:p>
        </w:tc>
        <w:tc>
          <w:tcPr>
            <w:tcW w:w="1134" w:type="dxa"/>
            <w:tcBorders>
              <w:top w:val="single" w:sz="4" w:space="0" w:color="auto"/>
              <w:bottom w:val="single" w:sz="4" w:space="0" w:color="auto"/>
            </w:tcBorders>
          </w:tcPr>
          <w:p w14:paraId="4E32EF75" w14:textId="77777777" w:rsidR="00B301B0" w:rsidRPr="00B301B0" w:rsidRDefault="00B301B0" w:rsidP="00B301B0">
            <w:pPr>
              <w:widowControl/>
              <w:overflowPunct/>
              <w:autoSpaceDE/>
              <w:autoSpaceDN/>
              <w:adjustRightInd/>
              <w:jc w:val="center"/>
              <w:rPr>
                <w:bCs/>
                <w:kern w:val="0"/>
              </w:rPr>
            </w:pPr>
            <w:r w:rsidRPr="00B301B0">
              <w:rPr>
                <w:bCs/>
                <w:kern w:val="0"/>
              </w:rPr>
              <w:t>13,051</w:t>
            </w:r>
          </w:p>
        </w:tc>
        <w:tc>
          <w:tcPr>
            <w:tcW w:w="1093" w:type="dxa"/>
            <w:tcBorders>
              <w:top w:val="single" w:sz="4" w:space="0" w:color="auto"/>
              <w:bottom w:val="single" w:sz="4" w:space="0" w:color="auto"/>
            </w:tcBorders>
          </w:tcPr>
          <w:p w14:paraId="13192C21" w14:textId="77777777" w:rsidR="00B301B0" w:rsidRPr="00B301B0" w:rsidRDefault="00B301B0" w:rsidP="00B301B0">
            <w:pPr>
              <w:widowControl/>
              <w:overflowPunct/>
              <w:autoSpaceDE/>
              <w:autoSpaceDN/>
              <w:adjustRightInd/>
              <w:jc w:val="center"/>
              <w:rPr>
                <w:bCs/>
                <w:kern w:val="0"/>
              </w:rPr>
            </w:pPr>
            <w:r w:rsidRPr="00B301B0">
              <w:rPr>
                <w:bCs/>
                <w:kern w:val="0"/>
              </w:rPr>
              <w:t>8,043</w:t>
            </w:r>
          </w:p>
        </w:tc>
      </w:tr>
    </w:tbl>
    <w:p w14:paraId="79D4866A" w14:textId="77777777" w:rsidR="00B301B0" w:rsidRPr="00B301B0" w:rsidRDefault="00B301B0" w:rsidP="00B301B0">
      <w:pPr>
        <w:widowControl/>
        <w:overflowPunct/>
        <w:autoSpaceDE/>
        <w:autoSpaceDN/>
        <w:adjustRightInd/>
        <w:ind w:left="720" w:right="2340"/>
        <w:jc w:val="both"/>
        <w:rPr>
          <w:bCs/>
          <w:kern w:val="0"/>
        </w:rPr>
      </w:pPr>
      <w:r w:rsidRPr="00B301B0">
        <w:rPr>
          <w:bCs/>
          <w:kern w:val="0"/>
        </w:rPr>
        <w:t>Notes: Variance explained by each effect in percent; NS = Not significant (p &gt; 0.05); A = denotes a relative effect size (i.e., MNE effect / subsidiary effect); B = r, the coefficient for the rate of persistence is 0.19; C  = Results reported in Table 2, Model 3; D = Results reported in Table 1, Model 3; E = Results reported in Table 1, Model 4; F = Results reported in Table 3, selected effects to compare with the effects captured by my study; Dependent variable for Models 1 and 2 is ROA.</w:t>
      </w:r>
    </w:p>
    <w:p w14:paraId="66F92939" w14:textId="7FAF4AE4" w:rsidR="00D8613D" w:rsidRDefault="00D8613D" w:rsidP="00B301B0">
      <w:pPr>
        <w:widowControl/>
        <w:overflowPunct/>
        <w:autoSpaceDE/>
        <w:autoSpaceDN/>
        <w:adjustRightInd/>
        <w:ind w:left="720"/>
        <w:rPr>
          <w:b/>
          <w:kern w:val="0"/>
          <w:sz w:val="24"/>
          <w:szCs w:val="24"/>
        </w:rPr>
      </w:pPr>
    </w:p>
    <w:p w14:paraId="02D90F35" w14:textId="77777777" w:rsidR="00D8613D" w:rsidRDefault="00D8613D" w:rsidP="00B301B0">
      <w:pPr>
        <w:widowControl/>
        <w:overflowPunct/>
        <w:autoSpaceDE/>
        <w:autoSpaceDN/>
        <w:adjustRightInd/>
        <w:ind w:left="720"/>
        <w:rPr>
          <w:b/>
          <w:kern w:val="0"/>
          <w:sz w:val="24"/>
          <w:szCs w:val="24"/>
        </w:rPr>
      </w:pPr>
    </w:p>
    <w:p w14:paraId="4417C93B" w14:textId="26A01959" w:rsidR="00B301B0" w:rsidRPr="00B301B0" w:rsidRDefault="00B301B0" w:rsidP="00B301B0">
      <w:pPr>
        <w:widowControl/>
        <w:overflowPunct/>
        <w:autoSpaceDE/>
        <w:autoSpaceDN/>
        <w:adjustRightInd/>
        <w:ind w:left="720"/>
        <w:rPr>
          <w:bCs/>
          <w:kern w:val="0"/>
          <w:sz w:val="24"/>
          <w:szCs w:val="24"/>
        </w:rPr>
      </w:pPr>
      <w:r w:rsidRPr="00B301B0">
        <w:rPr>
          <w:bCs/>
          <w:kern w:val="0"/>
          <w:sz w:val="24"/>
          <w:szCs w:val="24"/>
        </w:rPr>
        <w:t xml:space="preserve">Table 5. Post-hoc variance decomposition results </w:t>
      </w:r>
    </w:p>
    <w:p w14:paraId="5F8FB1DA" w14:textId="77777777" w:rsidR="00B301B0" w:rsidRPr="00B301B0" w:rsidRDefault="00B301B0" w:rsidP="00B301B0">
      <w:pPr>
        <w:widowControl/>
        <w:overflowPunct/>
        <w:autoSpaceDE/>
        <w:autoSpaceDN/>
        <w:adjustRightInd/>
        <w:rPr>
          <w:bCs/>
          <w:kern w:val="0"/>
          <w:sz w:val="10"/>
          <w:szCs w:val="1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990"/>
        <w:gridCol w:w="1075"/>
        <w:gridCol w:w="236"/>
        <w:gridCol w:w="911"/>
        <w:gridCol w:w="1011"/>
        <w:gridCol w:w="866"/>
        <w:gridCol w:w="236"/>
        <w:gridCol w:w="766"/>
        <w:gridCol w:w="816"/>
        <w:gridCol w:w="816"/>
        <w:gridCol w:w="970"/>
      </w:tblGrid>
      <w:tr w:rsidR="00B301B0" w:rsidRPr="00B301B0" w14:paraId="165FC08F" w14:textId="77777777" w:rsidTr="00DB7B9A">
        <w:tc>
          <w:tcPr>
            <w:tcW w:w="2160" w:type="dxa"/>
            <w:tcBorders>
              <w:top w:val="single" w:sz="4" w:space="0" w:color="auto"/>
            </w:tcBorders>
          </w:tcPr>
          <w:p w14:paraId="26A6D4BC" w14:textId="77777777" w:rsidR="00B301B0" w:rsidRPr="00B301B0" w:rsidRDefault="00B301B0" w:rsidP="00B301B0">
            <w:pPr>
              <w:widowControl/>
              <w:overflowPunct/>
              <w:autoSpaceDE/>
              <w:autoSpaceDN/>
              <w:adjustRightInd/>
              <w:rPr>
                <w:bCs/>
                <w:kern w:val="0"/>
              </w:rPr>
            </w:pPr>
          </w:p>
        </w:tc>
        <w:tc>
          <w:tcPr>
            <w:tcW w:w="2065" w:type="dxa"/>
            <w:gridSpan w:val="2"/>
            <w:tcBorders>
              <w:top w:val="single" w:sz="4" w:space="0" w:color="auto"/>
            </w:tcBorders>
          </w:tcPr>
          <w:p w14:paraId="693BF049" w14:textId="77777777" w:rsidR="00B301B0" w:rsidRPr="00B301B0" w:rsidRDefault="00B301B0" w:rsidP="00B301B0">
            <w:pPr>
              <w:widowControl/>
              <w:overflowPunct/>
              <w:autoSpaceDE/>
              <w:autoSpaceDN/>
              <w:adjustRightInd/>
              <w:jc w:val="center"/>
              <w:rPr>
                <w:bCs/>
                <w:kern w:val="0"/>
              </w:rPr>
            </w:pPr>
            <w:r w:rsidRPr="00B301B0">
              <w:rPr>
                <w:bCs/>
                <w:kern w:val="0"/>
              </w:rPr>
              <w:t>Entry Mode</w:t>
            </w:r>
          </w:p>
        </w:tc>
        <w:tc>
          <w:tcPr>
            <w:tcW w:w="236" w:type="dxa"/>
            <w:tcBorders>
              <w:top w:val="single" w:sz="4" w:space="0" w:color="auto"/>
            </w:tcBorders>
          </w:tcPr>
          <w:p w14:paraId="3B7DFF01" w14:textId="77777777" w:rsidR="00B301B0" w:rsidRPr="00B301B0" w:rsidRDefault="00B301B0" w:rsidP="00B301B0">
            <w:pPr>
              <w:widowControl/>
              <w:overflowPunct/>
              <w:autoSpaceDE/>
              <w:autoSpaceDN/>
              <w:adjustRightInd/>
              <w:jc w:val="center"/>
              <w:rPr>
                <w:bCs/>
                <w:kern w:val="0"/>
              </w:rPr>
            </w:pPr>
          </w:p>
        </w:tc>
        <w:tc>
          <w:tcPr>
            <w:tcW w:w="2788" w:type="dxa"/>
            <w:gridSpan w:val="3"/>
            <w:tcBorders>
              <w:top w:val="single" w:sz="4" w:space="0" w:color="auto"/>
            </w:tcBorders>
          </w:tcPr>
          <w:p w14:paraId="6BACA513" w14:textId="77777777" w:rsidR="00B301B0" w:rsidRPr="00B301B0" w:rsidRDefault="00B301B0" w:rsidP="00B301B0">
            <w:pPr>
              <w:widowControl/>
              <w:overflowPunct/>
              <w:autoSpaceDE/>
              <w:autoSpaceDN/>
              <w:adjustRightInd/>
              <w:jc w:val="center"/>
              <w:rPr>
                <w:bCs/>
                <w:kern w:val="0"/>
              </w:rPr>
            </w:pPr>
            <w:r w:rsidRPr="00B301B0">
              <w:rPr>
                <w:bCs/>
                <w:kern w:val="0"/>
              </w:rPr>
              <w:t>Subsidiary Age</w:t>
            </w:r>
          </w:p>
        </w:tc>
        <w:tc>
          <w:tcPr>
            <w:tcW w:w="236" w:type="dxa"/>
            <w:tcBorders>
              <w:top w:val="single" w:sz="4" w:space="0" w:color="auto"/>
            </w:tcBorders>
          </w:tcPr>
          <w:p w14:paraId="5945B054" w14:textId="77777777" w:rsidR="00B301B0" w:rsidRPr="00B301B0" w:rsidRDefault="00B301B0" w:rsidP="00B301B0">
            <w:pPr>
              <w:widowControl/>
              <w:overflowPunct/>
              <w:autoSpaceDE/>
              <w:autoSpaceDN/>
              <w:adjustRightInd/>
              <w:jc w:val="center"/>
              <w:rPr>
                <w:bCs/>
                <w:kern w:val="0"/>
              </w:rPr>
            </w:pPr>
          </w:p>
        </w:tc>
        <w:tc>
          <w:tcPr>
            <w:tcW w:w="3368" w:type="dxa"/>
            <w:gridSpan w:val="4"/>
            <w:tcBorders>
              <w:top w:val="single" w:sz="4" w:space="0" w:color="auto"/>
            </w:tcBorders>
          </w:tcPr>
          <w:p w14:paraId="618A6C0B" w14:textId="77777777" w:rsidR="00B301B0" w:rsidRPr="00B301B0" w:rsidRDefault="00B301B0" w:rsidP="00B301B0">
            <w:pPr>
              <w:widowControl/>
              <w:overflowPunct/>
              <w:autoSpaceDE/>
              <w:autoSpaceDN/>
              <w:adjustRightInd/>
              <w:jc w:val="center"/>
              <w:rPr>
                <w:bCs/>
                <w:kern w:val="0"/>
              </w:rPr>
            </w:pPr>
            <w:r w:rsidRPr="00B301B0">
              <w:rPr>
                <w:bCs/>
                <w:kern w:val="0"/>
              </w:rPr>
              <w:t>Network Size (percentile)</w:t>
            </w:r>
          </w:p>
        </w:tc>
      </w:tr>
      <w:tr w:rsidR="00B301B0" w:rsidRPr="00B301B0" w14:paraId="7383D726" w14:textId="77777777" w:rsidTr="00DB7B9A">
        <w:tc>
          <w:tcPr>
            <w:tcW w:w="2160" w:type="dxa"/>
          </w:tcPr>
          <w:p w14:paraId="726AEA44" w14:textId="77777777" w:rsidR="00B301B0" w:rsidRPr="00B301B0" w:rsidRDefault="00B301B0" w:rsidP="00B301B0">
            <w:pPr>
              <w:widowControl/>
              <w:overflowPunct/>
              <w:autoSpaceDE/>
              <w:autoSpaceDN/>
              <w:adjustRightInd/>
              <w:rPr>
                <w:bCs/>
                <w:kern w:val="0"/>
              </w:rPr>
            </w:pPr>
          </w:p>
        </w:tc>
        <w:tc>
          <w:tcPr>
            <w:tcW w:w="990" w:type="dxa"/>
            <w:tcBorders>
              <w:bottom w:val="single" w:sz="4" w:space="0" w:color="auto"/>
            </w:tcBorders>
          </w:tcPr>
          <w:p w14:paraId="0AAA1503" w14:textId="77777777" w:rsidR="00B301B0" w:rsidRPr="00B301B0" w:rsidRDefault="00B301B0" w:rsidP="00B301B0">
            <w:pPr>
              <w:widowControl/>
              <w:overflowPunct/>
              <w:autoSpaceDE/>
              <w:autoSpaceDN/>
              <w:adjustRightInd/>
              <w:jc w:val="center"/>
              <w:rPr>
                <w:bCs/>
                <w:kern w:val="0"/>
              </w:rPr>
            </w:pPr>
            <w:r w:rsidRPr="00B301B0">
              <w:rPr>
                <w:bCs/>
                <w:kern w:val="0"/>
              </w:rPr>
              <w:t>Acquired</w:t>
            </w:r>
          </w:p>
        </w:tc>
        <w:tc>
          <w:tcPr>
            <w:tcW w:w="1072" w:type="dxa"/>
            <w:tcBorders>
              <w:bottom w:val="single" w:sz="4" w:space="0" w:color="auto"/>
            </w:tcBorders>
          </w:tcPr>
          <w:p w14:paraId="39F4D38E" w14:textId="77777777" w:rsidR="00B301B0" w:rsidRPr="00B301B0" w:rsidRDefault="00B301B0" w:rsidP="00B301B0">
            <w:pPr>
              <w:widowControl/>
              <w:overflowPunct/>
              <w:autoSpaceDE/>
              <w:autoSpaceDN/>
              <w:adjustRightInd/>
              <w:jc w:val="center"/>
              <w:rPr>
                <w:bCs/>
                <w:kern w:val="0"/>
              </w:rPr>
            </w:pPr>
            <w:r w:rsidRPr="00B301B0">
              <w:rPr>
                <w:bCs/>
                <w:kern w:val="0"/>
              </w:rPr>
              <w:t>Greenfield</w:t>
            </w:r>
          </w:p>
        </w:tc>
        <w:tc>
          <w:tcPr>
            <w:tcW w:w="236" w:type="dxa"/>
          </w:tcPr>
          <w:p w14:paraId="0064C2A9" w14:textId="77777777" w:rsidR="00B301B0" w:rsidRPr="00B301B0" w:rsidRDefault="00B301B0" w:rsidP="00B301B0">
            <w:pPr>
              <w:widowControl/>
              <w:overflowPunct/>
              <w:autoSpaceDE/>
              <w:autoSpaceDN/>
              <w:adjustRightInd/>
              <w:jc w:val="center"/>
              <w:rPr>
                <w:bCs/>
                <w:kern w:val="0"/>
              </w:rPr>
            </w:pPr>
          </w:p>
        </w:tc>
        <w:tc>
          <w:tcPr>
            <w:tcW w:w="911" w:type="dxa"/>
            <w:tcBorders>
              <w:bottom w:val="single" w:sz="4" w:space="0" w:color="auto"/>
            </w:tcBorders>
          </w:tcPr>
          <w:p w14:paraId="348C793B" w14:textId="77777777" w:rsidR="00B301B0" w:rsidRPr="00B301B0" w:rsidRDefault="00B301B0" w:rsidP="00B301B0">
            <w:pPr>
              <w:widowControl/>
              <w:overflowPunct/>
              <w:autoSpaceDE/>
              <w:autoSpaceDN/>
              <w:adjustRightInd/>
              <w:jc w:val="center"/>
              <w:rPr>
                <w:bCs/>
                <w:kern w:val="0"/>
              </w:rPr>
            </w:pPr>
            <w:r w:rsidRPr="00B301B0">
              <w:rPr>
                <w:bCs/>
                <w:kern w:val="0"/>
              </w:rPr>
              <w:t>0 – 5 yrs</w:t>
            </w:r>
          </w:p>
        </w:tc>
        <w:tc>
          <w:tcPr>
            <w:tcW w:w="1011" w:type="dxa"/>
            <w:tcBorders>
              <w:bottom w:val="single" w:sz="4" w:space="0" w:color="auto"/>
            </w:tcBorders>
          </w:tcPr>
          <w:p w14:paraId="0C1389E1" w14:textId="77777777" w:rsidR="00B301B0" w:rsidRPr="00B301B0" w:rsidRDefault="00B301B0" w:rsidP="00B301B0">
            <w:pPr>
              <w:widowControl/>
              <w:overflowPunct/>
              <w:autoSpaceDE/>
              <w:autoSpaceDN/>
              <w:adjustRightInd/>
              <w:jc w:val="center"/>
              <w:rPr>
                <w:bCs/>
                <w:kern w:val="0"/>
              </w:rPr>
            </w:pPr>
            <w:r w:rsidRPr="00B301B0">
              <w:rPr>
                <w:bCs/>
                <w:kern w:val="0"/>
              </w:rPr>
              <w:t>5 – 10 yrs</w:t>
            </w:r>
          </w:p>
        </w:tc>
        <w:tc>
          <w:tcPr>
            <w:tcW w:w="866" w:type="dxa"/>
            <w:tcBorders>
              <w:bottom w:val="single" w:sz="4" w:space="0" w:color="auto"/>
            </w:tcBorders>
          </w:tcPr>
          <w:p w14:paraId="649D3C80" w14:textId="77777777" w:rsidR="00B301B0" w:rsidRPr="00B301B0" w:rsidRDefault="00B301B0" w:rsidP="00B301B0">
            <w:pPr>
              <w:widowControl/>
              <w:overflowPunct/>
              <w:autoSpaceDE/>
              <w:autoSpaceDN/>
              <w:adjustRightInd/>
              <w:jc w:val="center"/>
              <w:rPr>
                <w:bCs/>
                <w:kern w:val="0"/>
              </w:rPr>
            </w:pPr>
            <w:r w:rsidRPr="00B301B0">
              <w:rPr>
                <w:bCs/>
                <w:kern w:val="0"/>
              </w:rPr>
              <w:t>10+ yrs</w:t>
            </w:r>
          </w:p>
        </w:tc>
        <w:tc>
          <w:tcPr>
            <w:tcW w:w="236" w:type="dxa"/>
          </w:tcPr>
          <w:p w14:paraId="7F26EA70" w14:textId="77777777" w:rsidR="00B301B0" w:rsidRPr="00B301B0" w:rsidRDefault="00B301B0" w:rsidP="00B301B0">
            <w:pPr>
              <w:widowControl/>
              <w:overflowPunct/>
              <w:autoSpaceDE/>
              <w:autoSpaceDN/>
              <w:adjustRightInd/>
              <w:jc w:val="center"/>
              <w:rPr>
                <w:bCs/>
                <w:kern w:val="0"/>
              </w:rPr>
            </w:pPr>
          </w:p>
        </w:tc>
        <w:tc>
          <w:tcPr>
            <w:tcW w:w="766" w:type="dxa"/>
            <w:tcBorders>
              <w:bottom w:val="single" w:sz="4" w:space="0" w:color="auto"/>
            </w:tcBorders>
          </w:tcPr>
          <w:p w14:paraId="12FCD921" w14:textId="77777777" w:rsidR="00B301B0" w:rsidRPr="00B301B0" w:rsidRDefault="00B301B0" w:rsidP="00B301B0">
            <w:pPr>
              <w:widowControl/>
              <w:overflowPunct/>
              <w:autoSpaceDE/>
              <w:autoSpaceDN/>
              <w:adjustRightInd/>
              <w:jc w:val="center"/>
              <w:rPr>
                <w:bCs/>
                <w:kern w:val="0"/>
              </w:rPr>
            </w:pPr>
            <w:r w:rsidRPr="00B301B0">
              <w:rPr>
                <w:bCs/>
                <w:kern w:val="0"/>
              </w:rPr>
              <w:t>0 – 25</w:t>
            </w:r>
          </w:p>
        </w:tc>
        <w:tc>
          <w:tcPr>
            <w:tcW w:w="816" w:type="dxa"/>
            <w:tcBorders>
              <w:bottom w:val="single" w:sz="4" w:space="0" w:color="auto"/>
            </w:tcBorders>
          </w:tcPr>
          <w:p w14:paraId="09228602" w14:textId="77777777" w:rsidR="00B301B0" w:rsidRPr="00B301B0" w:rsidRDefault="00B301B0" w:rsidP="00B301B0">
            <w:pPr>
              <w:widowControl/>
              <w:overflowPunct/>
              <w:autoSpaceDE/>
              <w:autoSpaceDN/>
              <w:adjustRightInd/>
              <w:jc w:val="center"/>
              <w:rPr>
                <w:bCs/>
                <w:kern w:val="0"/>
              </w:rPr>
            </w:pPr>
            <w:r w:rsidRPr="00B301B0">
              <w:rPr>
                <w:bCs/>
                <w:kern w:val="0"/>
              </w:rPr>
              <w:t>25 – 50</w:t>
            </w:r>
          </w:p>
        </w:tc>
        <w:tc>
          <w:tcPr>
            <w:tcW w:w="816" w:type="dxa"/>
            <w:tcBorders>
              <w:bottom w:val="single" w:sz="4" w:space="0" w:color="auto"/>
            </w:tcBorders>
          </w:tcPr>
          <w:p w14:paraId="0C7BA4FD" w14:textId="77777777" w:rsidR="00B301B0" w:rsidRPr="00B301B0" w:rsidRDefault="00B301B0" w:rsidP="00B301B0">
            <w:pPr>
              <w:widowControl/>
              <w:overflowPunct/>
              <w:autoSpaceDE/>
              <w:autoSpaceDN/>
              <w:adjustRightInd/>
              <w:jc w:val="center"/>
              <w:rPr>
                <w:bCs/>
                <w:kern w:val="0"/>
              </w:rPr>
            </w:pPr>
            <w:r w:rsidRPr="00B301B0">
              <w:rPr>
                <w:bCs/>
                <w:kern w:val="0"/>
              </w:rPr>
              <w:t>50 – 75</w:t>
            </w:r>
          </w:p>
        </w:tc>
        <w:tc>
          <w:tcPr>
            <w:tcW w:w="970" w:type="dxa"/>
            <w:tcBorders>
              <w:bottom w:val="single" w:sz="4" w:space="0" w:color="auto"/>
            </w:tcBorders>
          </w:tcPr>
          <w:p w14:paraId="7E754277" w14:textId="77777777" w:rsidR="00B301B0" w:rsidRPr="00B301B0" w:rsidRDefault="00B301B0" w:rsidP="00B301B0">
            <w:pPr>
              <w:widowControl/>
              <w:overflowPunct/>
              <w:autoSpaceDE/>
              <w:autoSpaceDN/>
              <w:adjustRightInd/>
              <w:jc w:val="center"/>
              <w:rPr>
                <w:bCs/>
                <w:kern w:val="0"/>
              </w:rPr>
            </w:pPr>
            <w:r w:rsidRPr="00B301B0">
              <w:rPr>
                <w:bCs/>
                <w:kern w:val="0"/>
              </w:rPr>
              <w:t>75 – 100</w:t>
            </w:r>
          </w:p>
        </w:tc>
      </w:tr>
      <w:tr w:rsidR="00B301B0" w:rsidRPr="00B301B0" w14:paraId="76174976" w14:textId="77777777" w:rsidTr="00DB7B9A">
        <w:tc>
          <w:tcPr>
            <w:tcW w:w="2160" w:type="dxa"/>
            <w:tcBorders>
              <w:bottom w:val="single" w:sz="4" w:space="0" w:color="auto"/>
            </w:tcBorders>
          </w:tcPr>
          <w:p w14:paraId="23E1B9D4" w14:textId="77777777" w:rsidR="00B301B0" w:rsidRPr="00B301B0" w:rsidRDefault="00B301B0" w:rsidP="00B301B0">
            <w:pPr>
              <w:widowControl/>
              <w:overflowPunct/>
              <w:autoSpaceDE/>
              <w:autoSpaceDN/>
              <w:adjustRightInd/>
              <w:rPr>
                <w:bCs/>
                <w:kern w:val="0"/>
              </w:rPr>
            </w:pPr>
            <w:r w:rsidRPr="00B301B0">
              <w:rPr>
                <w:bCs/>
                <w:kern w:val="0"/>
              </w:rPr>
              <w:t>Model</w:t>
            </w:r>
          </w:p>
        </w:tc>
        <w:tc>
          <w:tcPr>
            <w:tcW w:w="990" w:type="dxa"/>
            <w:tcBorders>
              <w:top w:val="single" w:sz="4" w:space="0" w:color="auto"/>
              <w:bottom w:val="single" w:sz="4" w:space="0" w:color="auto"/>
            </w:tcBorders>
          </w:tcPr>
          <w:p w14:paraId="25A2B895" w14:textId="77777777" w:rsidR="00B301B0" w:rsidRPr="00B301B0" w:rsidRDefault="00B301B0" w:rsidP="00B301B0">
            <w:pPr>
              <w:widowControl/>
              <w:overflowPunct/>
              <w:autoSpaceDE/>
              <w:autoSpaceDN/>
              <w:adjustRightInd/>
              <w:jc w:val="center"/>
              <w:rPr>
                <w:bCs/>
                <w:kern w:val="0"/>
              </w:rPr>
            </w:pPr>
            <w:r w:rsidRPr="00B301B0">
              <w:rPr>
                <w:bCs/>
                <w:kern w:val="0"/>
              </w:rPr>
              <w:t>3</w:t>
            </w:r>
          </w:p>
        </w:tc>
        <w:tc>
          <w:tcPr>
            <w:tcW w:w="1072" w:type="dxa"/>
            <w:tcBorders>
              <w:top w:val="single" w:sz="4" w:space="0" w:color="auto"/>
              <w:bottom w:val="single" w:sz="4" w:space="0" w:color="auto"/>
            </w:tcBorders>
          </w:tcPr>
          <w:p w14:paraId="6E8FF94D" w14:textId="77777777" w:rsidR="00B301B0" w:rsidRPr="00B301B0" w:rsidRDefault="00B301B0" w:rsidP="00B301B0">
            <w:pPr>
              <w:widowControl/>
              <w:overflowPunct/>
              <w:autoSpaceDE/>
              <w:autoSpaceDN/>
              <w:adjustRightInd/>
              <w:jc w:val="center"/>
              <w:rPr>
                <w:bCs/>
                <w:kern w:val="0"/>
              </w:rPr>
            </w:pPr>
            <w:r w:rsidRPr="00B301B0">
              <w:rPr>
                <w:bCs/>
                <w:kern w:val="0"/>
              </w:rPr>
              <w:t>4</w:t>
            </w:r>
          </w:p>
        </w:tc>
        <w:tc>
          <w:tcPr>
            <w:tcW w:w="236" w:type="dxa"/>
          </w:tcPr>
          <w:p w14:paraId="245C02A0" w14:textId="77777777" w:rsidR="00B301B0" w:rsidRPr="00B301B0" w:rsidRDefault="00B301B0" w:rsidP="00B301B0">
            <w:pPr>
              <w:widowControl/>
              <w:overflowPunct/>
              <w:autoSpaceDE/>
              <w:autoSpaceDN/>
              <w:adjustRightInd/>
              <w:jc w:val="center"/>
              <w:rPr>
                <w:bCs/>
                <w:kern w:val="0"/>
              </w:rPr>
            </w:pPr>
          </w:p>
        </w:tc>
        <w:tc>
          <w:tcPr>
            <w:tcW w:w="911" w:type="dxa"/>
            <w:tcBorders>
              <w:top w:val="single" w:sz="4" w:space="0" w:color="auto"/>
              <w:bottom w:val="single" w:sz="4" w:space="0" w:color="auto"/>
            </w:tcBorders>
          </w:tcPr>
          <w:p w14:paraId="78DD6D24" w14:textId="77777777" w:rsidR="00B301B0" w:rsidRPr="00B301B0" w:rsidRDefault="00B301B0" w:rsidP="00B301B0">
            <w:pPr>
              <w:widowControl/>
              <w:overflowPunct/>
              <w:autoSpaceDE/>
              <w:autoSpaceDN/>
              <w:adjustRightInd/>
              <w:jc w:val="center"/>
              <w:rPr>
                <w:bCs/>
                <w:kern w:val="0"/>
              </w:rPr>
            </w:pPr>
            <w:r w:rsidRPr="00B301B0">
              <w:rPr>
                <w:bCs/>
                <w:kern w:val="0"/>
              </w:rPr>
              <w:t>5</w:t>
            </w:r>
          </w:p>
        </w:tc>
        <w:tc>
          <w:tcPr>
            <w:tcW w:w="1011" w:type="dxa"/>
            <w:tcBorders>
              <w:top w:val="single" w:sz="4" w:space="0" w:color="auto"/>
              <w:bottom w:val="single" w:sz="4" w:space="0" w:color="auto"/>
            </w:tcBorders>
          </w:tcPr>
          <w:p w14:paraId="61B1070C" w14:textId="77777777" w:rsidR="00B301B0" w:rsidRPr="00B301B0" w:rsidRDefault="00B301B0" w:rsidP="00B301B0">
            <w:pPr>
              <w:widowControl/>
              <w:overflowPunct/>
              <w:autoSpaceDE/>
              <w:autoSpaceDN/>
              <w:adjustRightInd/>
              <w:jc w:val="center"/>
              <w:rPr>
                <w:bCs/>
                <w:kern w:val="0"/>
              </w:rPr>
            </w:pPr>
            <w:r w:rsidRPr="00B301B0">
              <w:rPr>
                <w:bCs/>
                <w:kern w:val="0"/>
              </w:rPr>
              <w:t>6</w:t>
            </w:r>
          </w:p>
        </w:tc>
        <w:tc>
          <w:tcPr>
            <w:tcW w:w="866" w:type="dxa"/>
            <w:tcBorders>
              <w:top w:val="single" w:sz="4" w:space="0" w:color="auto"/>
              <w:bottom w:val="single" w:sz="4" w:space="0" w:color="auto"/>
            </w:tcBorders>
          </w:tcPr>
          <w:p w14:paraId="5F6832B2" w14:textId="77777777" w:rsidR="00B301B0" w:rsidRPr="00B301B0" w:rsidRDefault="00B301B0" w:rsidP="00B301B0">
            <w:pPr>
              <w:widowControl/>
              <w:overflowPunct/>
              <w:autoSpaceDE/>
              <w:autoSpaceDN/>
              <w:adjustRightInd/>
              <w:jc w:val="center"/>
              <w:rPr>
                <w:bCs/>
                <w:kern w:val="0"/>
              </w:rPr>
            </w:pPr>
            <w:r w:rsidRPr="00B301B0">
              <w:rPr>
                <w:bCs/>
                <w:kern w:val="0"/>
              </w:rPr>
              <w:t>7</w:t>
            </w:r>
          </w:p>
        </w:tc>
        <w:tc>
          <w:tcPr>
            <w:tcW w:w="236" w:type="dxa"/>
          </w:tcPr>
          <w:p w14:paraId="3B6DC09D" w14:textId="77777777" w:rsidR="00B301B0" w:rsidRPr="00B301B0" w:rsidRDefault="00B301B0" w:rsidP="00B301B0">
            <w:pPr>
              <w:widowControl/>
              <w:overflowPunct/>
              <w:autoSpaceDE/>
              <w:autoSpaceDN/>
              <w:adjustRightInd/>
              <w:jc w:val="center"/>
              <w:rPr>
                <w:bCs/>
                <w:kern w:val="0"/>
              </w:rPr>
            </w:pPr>
          </w:p>
        </w:tc>
        <w:tc>
          <w:tcPr>
            <w:tcW w:w="766" w:type="dxa"/>
            <w:tcBorders>
              <w:top w:val="single" w:sz="4" w:space="0" w:color="auto"/>
              <w:bottom w:val="single" w:sz="4" w:space="0" w:color="auto"/>
            </w:tcBorders>
          </w:tcPr>
          <w:p w14:paraId="7C831ABA" w14:textId="77777777" w:rsidR="00B301B0" w:rsidRPr="00B301B0" w:rsidRDefault="00B301B0" w:rsidP="00B301B0">
            <w:pPr>
              <w:widowControl/>
              <w:overflowPunct/>
              <w:autoSpaceDE/>
              <w:autoSpaceDN/>
              <w:adjustRightInd/>
              <w:jc w:val="center"/>
              <w:rPr>
                <w:bCs/>
                <w:kern w:val="0"/>
              </w:rPr>
            </w:pPr>
            <w:r w:rsidRPr="00B301B0">
              <w:rPr>
                <w:bCs/>
                <w:kern w:val="0"/>
              </w:rPr>
              <w:t>8</w:t>
            </w:r>
          </w:p>
        </w:tc>
        <w:tc>
          <w:tcPr>
            <w:tcW w:w="816" w:type="dxa"/>
            <w:tcBorders>
              <w:top w:val="single" w:sz="4" w:space="0" w:color="auto"/>
              <w:bottom w:val="single" w:sz="4" w:space="0" w:color="auto"/>
            </w:tcBorders>
          </w:tcPr>
          <w:p w14:paraId="4CA54DA7" w14:textId="77777777" w:rsidR="00B301B0" w:rsidRPr="00B301B0" w:rsidRDefault="00B301B0" w:rsidP="00B301B0">
            <w:pPr>
              <w:widowControl/>
              <w:overflowPunct/>
              <w:autoSpaceDE/>
              <w:autoSpaceDN/>
              <w:adjustRightInd/>
              <w:jc w:val="center"/>
              <w:rPr>
                <w:bCs/>
                <w:kern w:val="0"/>
              </w:rPr>
            </w:pPr>
            <w:r w:rsidRPr="00B301B0">
              <w:rPr>
                <w:bCs/>
                <w:kern w:val="0"/>
              </w:rPr>
              <w:t>9</w:t>
            </w:r>
          </w:p>
        </w:tc>
        <w:tc>
          <w:tcPr>
            <w:tcW w:w="816" w:type="dxa"/>
            <w:tcBorders>
              <w:top w:val="single" w:sz="4" w:space="0" w:color="auto"/>
              <w:bottom w:val="single" w:sz="4" w:space="0" w:color="auto"/>
            </w:tcBorders>
          </w:tcPr>
          <w:p w14:paraId="7CA0D1B6" w14:textId="77777777" w:rsidR="00B301B0" w:rsidRPr="00B301B0" w:rsidRDefault="00B301B0" w:rsidP="00B301B0">
            <w:pPr>
              <w:widowControl/>
              <w:overflowPunct/>
              <w:autoSpaceDE/>
              <w:autoSpaceDN/>
              <w:adjustRightInd/>
              <w:jc w:val="center"/>
              <w:rPr>
                <w:bCs/>
                <w:kern w:val="0"/>
              </w:rPr>
            </w:pPr>
            <w:r w:rsidRPr="00B301B0">
              <w:rPr>
                <w:bCs/>
                <w:kern w:val="0"/>
              </w:rPr>
              <w:t>10</w:t>
            </w:r>
          </w:p>
        </w:tc>
        <w:tc>
          <w:tcPr>
            <w:tcW w:w="970" w:type="dxa"/>
            <w:tcBorders>
              <w:top w:val="single" w:sz="4" w:space="0" w:color="auto"/>
              <w:bottom w:val="single" w:sz="4" w:space="0" w:color="auto"/>
            </w:tcBorders>
          </w:tcPr>
          <w:p w14:paraId="409A2F59" w14:textId="77777777" w:rsidR="00B301B0" w:rsidRPr="00B301B0" w:rsidRDefault="00B301B0" w:rsidP="00B301B0">
            <w:pPr>
              <w:widowControl/>
              <w:overflowPunct/>
              <w:autoSpaceDE/>
              <w:autoSpaceDN/>
              <w:adjustRightInd/>
              <w:jc w:val="center"/>
              <w:rPr>
                <w:bCs/>
                <w:kern w:val="0"/>
              </w:rPr>
            </w:pPr>
            <w:r w:rsidRPr="00B301B0">
              <w:rPr>
                <w:bCs/>
                <w:kern w:val="0"/>
              </w:rPr>
              <w:t>11</w:t>
            </w:r>
          </w:p>
        </w:tc>
      </w:tr>
      <w:tr w:rsidR="00B301B0" w:rsidRPr="00B301B0" w14:paraId="729E4D1B" w14:textId="77777777" w:rsidTr="00DB7B9A">
        <w:tc>
          <w:tcPr>
            <w:tcW w:w="2160" w:type="dxa"/>
            <w:tcBorders>
              <w:top w:val="single" w:sz="4" w:space="0" w:color="auto"/>
            </w:tcBorders>
          </w:tcPr>
          <w:p w14:paraId="766A35CA" w14:textId="77777777" w:rsidR="00B301B0" w:rsidRPr="00B301B0" w:rsidRDefault="00B301B0" w:rsidP="00B301B0">
            <w:pPr>
              <w:widowControl/>
              <w:overflowPunct/>
              <w:autoSpaceDE/>
              <w:autoSpaceDN/>
              <w:adjustRightInd/>
              <w:rPr>
                <w:bCs/>
                <w:kern w:val="0"/>
              </w:rPr>
            </w:pPr>
            <w:r w:rsidRPr="00B301B0">
              <w:rPr>
                <w:bCs/>
                <w:kern w:val="0"/>
              </w:rPr>
              <w:t>Year</w:t>
            </w:r>
          </w:p>
        </w:tc>
        <w:tc>
          <w:tcPr>
            <w:tcW w:w="990" w:type="dxa"/>
            <w:tcBorders>
              <w:top w:val="single" w:sz="4" w:space="0" w:color="auto"/>
            </w:tcBorders>
          </w:tcPr>
          <w:p w14:paraId="639E8562" w14:textId="77777777" w:rsidR="00B301B0" w:rsidRPr="00B301B0" w:rsidRDefault="00B301B0" w:rsidP="00B301B0">
            <w:pPr>
              <w:widowControl/>
              <w:overflowPunct/>
              <w:autoSpaceDE/>
              <w:autoSpaceDN/>
              <w:adjustRightInd/>
              <w:jc w:val="center"/>
              <w:rPr>
                <w:bCs/>
                <w:kern w:val="0"/>
              </w:rPr>
            </w:pPr>
            <w:r w:rsidRPr="00B301B0">
              <w:rPr>
                <w:bCs/>
                <w:kern w:val="0"/>
              </w:rPr>
              <w:t>0.04</w:t>
            </w:r>
            <w:r w:rsidRPr="00B301B0">
              <w:rPr>
                <w:bCs/>
                <w:kern w:val="0"/>
                <w:vertAlign w:val="superscript"/>
              </w:rPr>
              <w:t xml:space="preserve"> NS</w:t>
            </w:r>
          </w:p>
        </w:tc>
        <w:tc>
          <w:tcPr>
            <w:tcW w:w="1072" w:type="dxa"/>
            <w:tcBorders>
              <w:top w:val="single" w:sz="4" w:space="0" w:color="auto"/>
            </w:tcBorders>
          </w:tcPr>
          <w:p w14:paraId="536FFC4F" w14:textId="77777777" w:rsidR="00B301B0" w:rsidRPr="00B301B0" w:rsidRDefault="00B301B0" w:rsidP="00B301B0">
            <w:pPr>
              <w:widowControl/>
              <w:overflowPunct/>
              <w:autoSpaceDE/>
              <w:autoSpaceDN/>
              <w:adjustRightInd/>
              <w:jc w:val="center"/>
              <w:rPr>
                <w:bCs/>
                <w:kern w:val="0"/>
              </w:rPr>
            </w:pPr>
            <w:r w:rsidRPr="00B301B0">
              <w:rPr>
                <w:bCs/>
                <w:kern w:val="0"/>
              </w:rPr>
              <w:t>0.23</w:t>
            </w:r>
            <w:r w:rsidRPr="00B301B0">
              <w:rPr>
                <w:bCs/>
                <w:kern w:val="0"/>
                <w:vertAlign w:val="superscript"/>
              </w:rPr>
              <w:t xml:space="preserve"> NS</w:t>
            </w:r>
          </w:p>
        </w:tc>
        <w:tc>
          <w:tcPr>
            <w:tcW w:w="236" w:type="dxa"/>
          </w:tcPr>
          <w:p w14:paraId="0A2F3845" w14:textId="77777777" w:rsidR="00B301B0" w:rsidRPr="00B301B0" w:rsidRDefault="00B301B0" w:rsidP="00B301B0">
            <w:pPr>
              <w:widowControl/>
              <w:overflowPunct/>
              <w:autoSpaceDE/>
              <w:autoSpaceDN/>
              <w:adjustRightInd/>
              <w:jc w:val="center"/>
              <w:rPr>
                <w:bCs/>
                <w:color w:val="000000"/>
                <w:kern w:val="0"/>
              </w:rPr>
            </w:pPr>
          </w:p>
        </w:tc>
        <w:tc>
          <w:tcPr>
            <w:tcW w:w="911" w:type="dxa"/>
            <w:tcBorders>
              <w:top w:val="single" w:sz="4" w:space="0" w:color="auto"/>
            </w:tcBorders>
          </w:tcPr>
          <w:p w14:paraId="508E732D" w14:textId="77777777" w:rsidR="00B301B0" w:rsidRPr="00B301B0" w:rsidRDefault="00B301B0" w:rsidP="00B301B0">
            <w:pPr>
              <w:widowControl/>
              <w:overflowPunct/>
              <w:autoSpaceDE/>
              <w:autoSpaceDN/>
              <w:adjustRightInd/>
              <w:jc w:val="center"/>
              <w:rPr>
                <w:bCs/>
                <w:color w:val="000000"/>
                <w:kern w:val="0"/>
              </w:rPr>
            </w:pPr>
            <w:r w:rsidRPr="00B301B0">
              <w:rPr>
                <w:bCs/>
                <w:kern w:val="0"/>
              </w:rPr>
              <w:t>0.70</w:t>
            </w:r>
            <w:r w:rsidRPr="00B301B0">
              <w:rPr>
                <w:bCs/>
                <w:kern w:val="0"/>
                <w:vertAlign w:val="superscript"/>
              </w:rPr>
              <w:t xml:space="preserve"> NS</w:t>
            </w:r>
          </w:p>
        </w:tc>
        <w:tc>
          <w:tcPr>
            <w:tcW w:w="1011" w:type="dxa"/>
            <w:tcBorders>
              <w:top w:val="single" w:sz="4" w:space="0" w:color="auto"/>
            </w:tcBorders>
          </w:tcPr>
          <w:p w14:paraId="03E56376" w14:textId="77777777" w:rsidR="00B301B0" w:rsidRPr="00B301B0" w:rsidRDefault="00B301B0" w:rsidP="00B301B0">
            <w:pPr>
              <w:widowControl/>
              <w:overflowPunct/>
              <w:autoSpaceDE/>
              <w:autoSpaceDN/>
              <w:adjustRightInd/>
              <w:jc w:val="center"/>
              <w:rPr>
                <w:bCs/>
                <w:color w:val="000000"/>
                <w:kern w:val="0"/>
              </w:rPr>
            </w:pPr>
            <w:r w:rsidRPr="00B301B0">
              <w:rPr>
                <w:bCs/>
                <w:kern w:val="0"/>
              </w:rPr>
              <w:t>0.11</w:t>
            </w:r>
            <w:r w:rsidRPr="00B301B0">
              <w:rPr>
                <w:bCs/>
                <w:kern w:val="0"/>
                <w:vertAlign w:val="superscript"/>
              </w:rPr>
              <w:t xml:space="preserve"> NS</w:t>
            </w:r>
          </w:p>
        </w:tc>
        <w:tc>
          <w:tcPr>
            <w:tcW w:w="866" w:type="dxa"/>
            <w:tcBorders>
              <w:top w:val="single" w:sz="4" w:space="0" w:color="auto"/>
            </w:tcBorders>
          </w:tcPr>
          <w:p w14:paraId="12255EBE" w14:textId="77777777" w:rsidR="00B301B0" w:rsidRPr="00B301B0" w:rsidRDefault="00B301B0" w:rsidP="00B301B0">
            <w:pPr>
              <w:widowControl/>
              <w:overflowPunct/>
              <w:autoSpaceDE/>
              <w:autoSpaceDN/>
              <w:adjustRightInd/>
              <w:jc w:val="center"/>
              <w:rPr>
                <w:bCs/>
                <w:color w:val="000000"/>
                <w:kern w:val="0"/>
              </w:rPr>
            </w:pPr>
            <w:r w:rsidRPr="00B301B0">
              <w:rPr>
                <w:bCs/>
                <w:kern w:val="0"/>
              </w:rPr>
              <w:t>0.10</w:t>
            </w:r>
            <w:r w:rsidRPr="00B301B0">
              <w:rPr>
                <w:bCs/>
                <w:kern w:val="0"/>
                <w:vertAlign w:val="superscript"/>
              </w:rPr>
              <w:t xml:space="preserve"> NS</w:t>
            </w:r>
          </w:p>
        </w:tc>
        <w:tc>
          <w:tcPr>
            <w:tcW w:w="236" w:type="dxa"/>
          </w:tcPr>
          <w:p w14:paraId="3EB04D54" w14:textId="77777777" w:rsidR="00B301B0" w:rsidRPr="00B301B0" w:rsidRDefault="00B301B0" w:rsidP="00B301B0">
            <w:pPr>
              <w:widowControl/>
              <w:overflowPunct/>
              <w:autoSpaceDE/>
              <w:autoSpaceDN/>
              <w:adjustRightInd/>
              <w:jc w:val="center"/>
              <w:rPr>
                <w:bCs/>
                <w:kern w:val="0"/>
              </w:rPr>
            </w:pPr>
          </w:p>
        </w:tc>
        <w:tc>
          <w:tcPr>
            <w:tcW w:w="766" w:type="dxa"/>
            <w:tcBorders>
              <w:top w:val="single" w:sz="4" w:space="0" w:color="auto"/>
            </w:tcBorders>
          </w:tcPr>
          <w:p w14:paraId="0C937319" w14:textId="77777777" w:rsidR="00B301B0" w:rsidRPr="00B301B0" w:rsidRDefault="00B301B0" w:rsidP="00B301B0">
            <w:pPr>
              <w:widowControl/>
              <w:overflowPunct/>
              <w:autoSpaceDE/>
              <w:autoSpaceDN/>
              <w:adjustRightInd/>
              <w:jc w:val="center"/>
              <w:rPr>
                <w:bCs/>
                <w:kern w:val="0"/>
              </w:rPr>
            </w:pPr>
            <w:r w:rsidRPr="00B301B0">
              <w:rPr>
                <w:bCs/>
                <w:kern w:val="0"/>
              </w:rPr>
              <w:t>0.25</w:t>
            </w:r>
            <w:r w:rsidRPr="00B301B0">
              <w:rPr>
                <w:bCs/>
                <w:kern w:val="0"/>
                <w:vertAlign w:val="superscript"/>
              </w:rPr>
              <w:t xml:space="preserve"> NS</w:t>
            </w:r>
          </w:p>
        </w:tc>
        <w:tc>
          <w:tcPr>
            <w:tcW w:w="816" w:type="dxa"/>
            <w:tcBorders>
              <w:top w:val="single" w:sz="4" w:space="0" w:color="auto"/>
            </w:tcBorders>
          </w:tcPr>
          <w:p w14:paraId="0FB348EC" w14:textId="77777777" w:rsidR="00B301B0" w:rsidRPr="00B301B0" w:rsidRDefault="00B301B0" w:rsidP="00B301B0">
            <w:pPr>
              <w:widowControl/>
              <w:overflowPunct/>
              <w:autoSpaceDE/>
              <w:autoSpaceDN/>
              <w:adjustRightInd/>
              <w:jc w:val="center"/>
              <w:rPr>
                <w:bCs/>
                <w:kern w:val="0"/>
              </w:rPr>
            </w:pPr>
            <w:r w:rsidRPr="00B301B0">
              <w:rPr>
                <w:bCs/>
                <w:kern w:val="0"/>
              </w:rPr>
              <w:t>0.46</w:t>
            </w:r>
            <w:r w:rsidRPr="00B301B0">
              <w:rPr>
                <w:bCs/>
                <w:kern w:val="0"/>
                <w:vertAlign w:val="superscript"/>
              </w:rPr>
              <w:t xml:space="preserve"> NS</w:t>
            </w:r>
          </w:p>
        </w:tc>
        <w:tc>
          <w:tcPr>
            <w:tcW w:w="816" w:type="dxa"/>
            <w:tcBorders>
              <w:top w:val="single" w:sz="4" w:space="0" w:color="auto"/>
            </w:tcBorders>
          </w:tcPr>
          <w:p w14:paraId="6C013A1B" w14:textId="77777777" w:rsidR="00B301B0" w:rsidRPr="00B301B0" w:rsidRDefault="00B301B0" w:rsidP="00B301B0">
            <w:pPr>
              <w:widowControl/>
              <w:overflowPunct/>
              <w:autoSpaceDE/>
              <w:autoSpaceDN/>
              <w:adjustRightInd/>
              <w:jc w:val="center"/>
              <w:rPr>
                <w:bCs/>
                <w:kern w:val="0"/>
              </w:rPr>
            </w:pPr>
            <w:r w:rsidRPr="00B301B0">
              <w:rPr>
                <w:bCs/>
                <w:kern w:val="0"/>
              </w:rPr>
              <w:t>0.17</w:t>
            </w:r>
            <w:r w:rsidRPr="00B301B0">
              <w:rPr>
                <w:bCs/>
                <w:kern w:val="0"/>
                <w:vertAlign w:val="superscript"/>
              </w:rPr>
              <w:t xml:space="preserve"> NS</w:t>
            </w:r>
          </w:p>
        </w:tc>
        <w:tc>
          <w:tcPr>
            <w:tcW w:w="970" w:type="dxa"/>
            <w:tcBorders>
              <w:top w:val="single" w:sz="4" w:space="0" w:color="auto"/>
            </w:tcBorders>
          </w:tcPr>
          <w:p w14:paraId="061F1CBE" w14:textId="77777777" w:rsidR="00B301B0" w:rsidRPr="00B301B0" w:rsidRDefault="00B301B0" w:rsidP="00B301B0">
            <w:pPr>
              <w:widowControl/>
              <w:overflowPunct/>
              <w:autoSpaceDE/>
              <w:autoSpaceDN/>
              <w:adjustRightInd/>
              <w:jc w:val="center"/>
              <w:rPr>
                <w:bCs/>
                <w:kern w:val="0"/>
              </w:rPr>
            </w:pPr>
            <w:r w:rsidRPr="00B301B0">
              <w:rPr>
                <w:bCs/>
                <w:kern w:val="0"/>
              </w:rPr>
              <w:t>0.14</w:t>
            </w:r>
            <w:r w:rsidRPr="00B301B0">
              <w:rPr>
                <w:bCs/>
                <w:kern w:val="0"/>
                <w:vertAlign w:val="superscript"/>
              </w:rPr>
              <w:t xml:space="preserve"> NS</w:t>
            </w:r>
          </w:p>
        </w:tc>
      </w:tr>
      <w:tr w:rsidR="00B301B0" w:rsidRPr="00B301B0" w14:paraId="67E85018" w14:textId="77777777" w:rsidTr="00DB7B9A">
        <w:tc>
          <w:tcPr>
            <w:tcW w:w="2160" w:type="dxa"/>
          </w:tcPr>
          <w:p w14:paraId="3E010BD4" w14:textId="77777777" w:rsidR="00B301B0" w:rsidRPr="00B301B0" w:rsidRDefault="00B301B0" w:rsidP="00B301B0">
            <w:pPr>
              <w:widowControl/>
              <w:overflowPunct/>
              <w:autoSpaceDE/>
              <w:autoSpaceDN/>
              <w:adjustRightInd/>
              <w:rPr>
                <w:bCs/>
                <w:kern w:val="0"/>
              </w:rPr>
            </w:pPr>
            <w:r w:rsidRPr="00B301B0">
              <w:rPr>
                <w:bCs/>
                <w:kern w:val="0"/>
              </w:rPr>
              <w:t>Home Country</w:t>
            </w:r>
          </w:p>
        </w:tc>
        <w:tc>
          <w:tcPr>
            <w:tcW w:w="990" w:type="dxa"/>
          </w:tcPr>
          <w:p w14:paraId="492FAA25" w14:textId="77777777" w:rsidR="00B301B0" w:rsidRPr="00B301B0" w:rsidRDefault="00B301B0" w:rsidP="00B301B0">
            <w:pPr>
              <w:widowControl/>
              <w:overflowPunct/>
              <w:autoSpaceDE/>
              <w:autoSpaceDN/>
              <w:adjustRightInd/>
              <w:jc w:val="center"/>
              <w:rPr>
                <w:bCs/>
                <w:kern w:val="0"/>
              </w:rPr>
            </w:pPr>
            <w:r w:rsidRPr="00B301B0">
              <w:rPr>
                <w:bCs/>
                <w:kern w:val="0"/>
              </w:rPr>
              <w:t>0.72</w:t>
            </w:r>
          </w:p>
        </w:tc>
        <w:tc>
          <w:tcPr>
            <w:tcW w:w="1072" w:type="dxa"/>
          </w:tcPr>
          <w:p w14:paraId="449F1705" w14:textId="77777777" w:rsidR="00B301B0" w:rsidRPr="00B301B0" w:rsidRDefault="00B301B0" w:rsidP="00B301B0">
            <w:pPr>
              <w:widowControl/>
              <w:overflowPunct/>
              <w:autoSpaceDE/>
              <w:autoSpaceDN/>
              <w:adjustRightInd/>
              <w:jc w:val="center"/>
              <w:rPr>
                <w:bCs/>
                <w:kern w:val="0"/>
              </w:rPr>
            </w:pPr>
            <w:r w:rsidRPr="00B301B0">
              <w:rPr>
                <w:bCs/>
                <w:kern w:val="0"/>
              </w:rPr>
              <w:t>0.62</w:t>
            </w:r>
          </w:p>
        </w:tc>
        <w:tc>
          <w:tcPr>
            <w:tcW w:w="236" w:type="dxa"/>
          </w:tcPr>
          <w:p w14:paraId="264302E5" w14:textId="77777777" w:rsidR="00B301B0" w:rsidRPr="00B301B0" w:rsidRDefault="00B301B0" w:rsidP="00B301B0">
            <w:pPr>
              <w:widowControl/>
              <w:overflowPunct/>
              <w:autoSpaceDE/>
              <w:autoSpaceDN/>
              <w:adjustRightInd/>
              <w:jc w:val="center"/>
              <w:rPr>
                <w:bCs/>
                <w:color w:val="000000"/>
                <w:kern w:val="0"/>
              </w:rPr>
            </w:pPr>
          </w:p>
        </w:tc>
        <w:tc>
          <w:tcPr>
            <w:tcW w:w="911" w:type="dxa"/>
          </w:tcPr>
          <w:p w14:paraId="73D2CA21" w14:textId="77777777" w:rsidR="00B301B0" w:rsidRPr="00B301B0" w:rsidRDefault="00B301B0" w:rsidP="00B301B0">
            <w:pPr>
              <w:widowControl/>
              <w:overflowPunct/>
              <w:autoSpaceDE/>
              <w:autoSpaceDN/>
              <w:adjustRightInd/>
              <w:jc w:val="center"/>
              <w:rPr>
                <w:bCs/>
                <w:color w:val="000000"/>
                <w:kern w:val="0"/>
              </w:rPr>
            </w:pPr>
            <w:r w:rsidRPr="00B301B0">
              <w:rPr>
                <w:bCs/>
                <w:kern w:val="0"/>
              </w:rPr>
              <w:t>0.94</w:t>
            </w:r>
          </w:p>
        </w:tc>
        <w:tc>
          <w:tcPr>
            <w:tcW w:w="1011" w:type="dxa"/>
          </w:tcPr>
          <w:p w14:paraId="78A14401" w14:textId="77777777" w:rsidR="00B301B0" w:rsidRPr="00B301B0" w:rsidRDefault="00B301B0" w:rsidP="00B301B0">
            <w:pPr>
              <w:widowControl/>
              <w:overflowPunct/>
              <w:autoSpaceDE/>
              <w:autoSpaceDN/>
              <w:adjustRightInd/>
              <w:jc w:val="center"/>
              <w:rPr>
                <w:bCs/>
                <w:color w:val="000000"/>
                <w:kern w:val="0"/>
              </w:rPr>
            </w:pPr>
            <w:r w:rsidRPr="00B301B0">
              <w:rPr>
                <w:bCs/>
                <w:kern w:val="0"/>
              </w:rPr>
              <w:t>0.75</w:t>
            </w:r>
          </w:p>
        </w:tc>
        <w:tc>
          <w:tcPr>
            <w:tcW w:w="866" w:type="dxa"/>
          </w:tcPr>
          <w:p w14:paraId="5DBAC97B" w14:textId="77777777" w:rsidR="00B301B0" w:rsidRPr="00B301B0" w:rsidRDefault="00B301B0" w:rsidP="00B301B0">
            <w:pPr>
              <w:widowControl/>
              <w:overflowPunct/>
              <w:autoSpaceDE/>
              <w:autoSpaceDN/>
              <w:adjustRightInd/>
              <w:jc w:val="center"/>
              <w:rPr>
                <w:bCs/>
                <w:color w:val="000000"/>
                <w:kern w:val="0"/>
              </w:rPr>
            </w:pPr>
            <w:r w:rsidRPr="00B301B0">
              <w:rPr>
                <w:bCs/>
                <w:kern w:val="0"/>
              </w:rPr>
              <w:t>0.72</w:t>
            </w:r>
          </w:p>
        </w:tc>
        <w:tc>
          <w:tcPr>
            <w:tcW w:w="236" w:type="dxa"/>
          </w:tcPr>
          <w:p w14:paraId="61D05BE8" w14:textId="77777777" w:rsidR="00B301B0" w:rsidRPr="00B301B0" w:rsidRDefault="00B301B0" w:rsidP="00B301B0">
            <w:pPr>
              <w:widowControl/>
              <w:overflowPunct/>
              <w:autoSpaceDE/>
              <w:autoSpaceDN/>
              <w:adjustRightInd/>
              <w:jc w:val="center"/>
              <w:rPr>
                <w:bCs/>
                <w:kern w:val="0"/>
              </w:rPr>
            </w:pPr>
          </w:p>
        </w:tc>
        <w:tc>
          <w:tcPr>
            <w:tcW w:w="766" w:type="dxa"/>
            <w:vAlign w:val="bottom"/>
          </w:tcPr>
          <w:p w14:paraId="1162C686" w14:textId="77777777" w:rsidR="00B301B0" w:rsidRPr="00B301B0" w:rsidRDefault="00B301B0" w:rsidP="00B301B0">
            <w:pPr>
              <w:widowControl/>
              <w:overflowPunct/>
              <w:autoSpaceDE/>
              <w:autoSpaceDN/>
              <w:adjustRightInd/>
              <w:jc w:val="center"/>
              <w:rPr>
                <w:bCs/>
                <w:kern w:val="0"/>
              </w:rPr>
            </w:pPr>
            <w:r w:rsidRPr="00B301B0">
              <w:rPr>
                <w:bCs/>
                <w:color w:val="000000"/>
                <w:kern w:val="0"/>
              </w:rPr>
              <w:t>0.89</w:t>
            </w:r>
          </w:p>
        </w:tc>
        <w:tc>
          <w:tcPr>
            <w:tcW w:w="816" w:type="dxa"/>
            <w:vAlign w:val="bottom"/>
          </w:tcPr>
          <w:p w14:paraId="1566C418" w14:textId="77777777" w:rsidR="00B301B0" w:rsidRPr="00B301B0" w:rsidRDefault="00B301B0" w:rsidP="00B301B0">
            <w:pPr>
              <w:widowControl/>
              <w:overflowPunct/>
              <w:autoSpaceDE/>
              <w:autoSpaceDN/>
              <w:adjustRightInd/>
              <w:jc w:val="center"/>
              <w:rPr>
                <w:bCs/>
                <w:kern w:val="0"/>
              </w:rPr>
            </w:pPr>
            <w:r w:rsidRPr="00B301B0">
              <w:rPr>
                <w:bCs/>
                <w:color w:val="000000"/>
                <w:kern w:val="0"/>
              </w:rPr>
              <w:t>0.52</w:t>
            </w:r>
          </w:p>
        </w:tc>
        <w:tc>
          <w:tcPr>
            <w:tcW w:w="816" w:type="dxa"/>
            <w:vAlign w:val="bottom"/>
          </w:tcPr>
          <w:p w14:paraId="227D9627" w14:textId="77777777" w:rsidR="00B301B0" w:rsidRPr="00B301B0" w:rsidRDefault="00B301B0" w:rsidP="00B301B0">
            <w:pPr>
              <w:widowControl/>
              <w:overflowPunct/>
              <w:autoSpaceDE/>
              <w:autoSpaceDN/>
              <w:adjustRightInd/>
              <w:jc w:val="center"/>
              <w:rPr>
                <w:bCs/>
                <w:kern w:val="0"/>
              </w:rPr>
            </w:pPr>
            <w:r w:rsidRPr="00B301B0">
              <w:rPr>
                <w:bCs/>
                <w:color w:val="000000"/>
                <w:kern w:val="0"/>
              </w:rPr>
              <w:t>0.80</w:t>
            </w:r>
          </w:p>
        </w:tc>
        <w:tc>
          <w:tcPr>
            <w:tcW w:w="970" w:type="dxa"/>
            <w:vAlign w:val="bottom"/>
          </w:tcPr>
          <w:p w14:paraId="46F609F1" w14:textId="77777777" w:rsidR="00B301B0" w:rsidRPr="00B301B0" w:rsidRDefault="00B301B0" w:rsidP="00B301B0">
            <w:pPr>
              <w:widowControl/>
              <w:overflowPunct/>
              <w:autoSpaceDE/>
              <w:autoSpaceDN/>
              <w:adjustRightInd/>
              <w:jc w:val="center"/>
              <w:rPr>
                <w:bCs/>
                <w:kern w:val="0"/>
              </w:rPr>
            </w:pPr>
            <w:r w:rsidRPr="00B301B0">
              <w:rPr>
                <w:bCs/>
                <w:color w:val="000000"/>
                <w:kern w:val="0"/>
              </w:rPr>
              <w:t>0.85</w:t>
            </w:r>
          </w:p>
        </w:tc>
      </w:tr>
      <w:tr w:rsidR="00B301B0" w:rsidRPr="00B301B0" w14:paraId="7C1A636A" w14:textId="77777777" w:rsidTr="00DB7B9A">
        <w:tc>
          <w:tcPr>
            <w:tcW w:w="2160" w:type="dxa"/>
          </w:tcPr>
          <w:p w14:paraId="565597FC" w14:textId="77777777" w:rsidR="00B301B0" w:rsidRPr="00B301B0" w:rsidRDefault="00B301B0" w:rsidP="00B301B0">
            <w:pPr>
              <w:widowControl/>
              <w:overflowPunct/>
              <w:autoSpaceDE/>
              <w:autoSpaceDN/>
              <w:adjustRightInd/>
              <w:rPr>
                <w:bCs/>
                <w:kern w:val="0"/>
              </w:rPr>
            </w:pPr>
            <w:r w:rsidRPr="00B301B0">
              <w:rPr>
                <w:bCs/>
                <w:kern w:val="0"/>
              </w:rPr>
              <w:t>Host Country</w:t>
            </w:r>
          </w:p>
        </w:tc>
        <w:tc>
          <w:tcPr>
            <w:tcW w:w="990" w:type="dxa"/>
          </w:tcPr>
          <w:p w14:paraId="2CB494A3" w14:textId="77777777" w:rsidR="00B301B0" w:rsidRPr="00B301B0" w:rsidRDefault="00B301B0" w:rsidP="00B301B0">
            <w:pPr>
              <w:widowControl/>
              <w:overflowPunct/>
              <w:autoSpaceDE/>
              <w:autoSpaceDN/>
              <w:adjustRightInd/>
              <w:jc w:val="center"/>
              <w:rPr>
                <w:bCs/>
                <w:kern w:val="0"/>
              </w:rPr>
            </w:pPr>
            <w:r w:rsidRPr="00B301B0">
              <w:rPr>
                <w:bCs/>
                <w:kern w:val="0"/>
              </w:rPr>
              <w:t>0.72</w:t>
            </w:r>
          </w:p>
        </w:tc>
        <w:tc>
          <w:tcPr>
            <w:tcW w:w="1072" w:type="dxa"/>
          </w:tcPr>
          <w:p w14:paraId="26B6EEE2" w14:textId="77777777" w:rsidR="00B301B0" w:rsidRPr="00B301B0" w:rsidRDefault="00B301B0" w:rsidP="00B301B0">
            <w:pPr>
              <w:widowControl/>
              <w:overflowPunct/>
              <w:autoSpaceDE/>
              <w:autoSpaceDN/>
              <w:adjustRightInd/>
              <w:jc w:val="center"/>
              <w:rPr>
                <w:bCs/>
                <w:kern w:val="0"/>
              </w:rPr>
            </w:pPr>
            <w:r w:rsidRPr="00B301B0">
              <w:rPr>
                <w:bCs/>
                <w:kern w:val="0"/>
              </w:rPr>
              <w:t>0.76</w:t>
            </w:r>
          </w:p>
        </w:tc>
        <w:tc>
          <w:tcPr>
            <w:tcW w:w="236" w:type="dxa"/>
          </w:tcPr>
          <w:p w14:paraId="52F71A62" w14:textId="77777777" w:rsidR="00B301B0" w:rsidRPr="00B301B0" w:rsidRDefault="00B301B0" w:rsidP="00B301B0">
            <w:pPr>
              <w:widowControl/>
              <w:overflowPunct/>
              <w:autoSpaceDE/>
              <w:autoSpaceDN/>
              <w:adjustRightInd/>
              <w:jc w:val="center"/>
              <w:rPr>
                <w:bCs/>
                <w:color w:val="000000"/>
                <w:kern w:val="0"/>
              </w:rPr>
            </w:pPr>
          </w:p>
        </w:tc>
        <w:tc>
          <w:tcPr>
            <w:tcW w:w="911" w:type="dxa"/>
          </w:tcPr>
          <w:p w14:paraId="6CBC09F9" w14:textId="77777777" w:rsidR="00B301B0" w:rsidRPr="00B301B0" w:rsidRDefault="00B301B0" w:rsidP="00B301B0">
            <w:pPr>
              <w:widowControl/>
              <w:overflowPunct/>
              <w:autoSpaceDE/>
              <w:autoSpaceDN/>
              <w:adjustRightInd/>
              <w:jc w:val="center"/>
              <w:rPr>
                <w:bCs/>
                <w:color w:val="000000"/>
                <w:kern w:val="0"/>
              </w:rPr>
            </w:pPr>
            <w:r w:rsidRPr="00B301B0">
              <w:rPr>
                <w:bCs/>
                <w:kern w:val="0"/>
              </w:rPr>
              <w:t>0.85</w:t>
            </w:r>
          </w:p>
        </w:tc>
        <w:tc>
          <w:tcPr>
            <w:tcW w:w="1011" w:type="dxa"/>
          </w:tcPr>
          <w:p w14:paraId="04D796A3" w14:textId="77777777" w:rsidR="00B301B0" w:rsidRPr="00B301B0" w:rsidRDefault="00B301B0" w:rsidP="00B301B0">
            <w:pPr>
              <w:widowControl/>
              <w:overflowPunct/>
              <w:autoSpaceDE/>
              <w:autoSpaceDN/>
              <w:adjustRightInd/>
              <w:jc w:val="center"/>
              <w:rPr>
                <w:bCs/>
                <w:color w:val="000000"/>
                <w:kern w:val="0"/>
              </w:rPr>
            </w:pPr>
            <w:r w:rsidRPr="00B301B0">
              <w:rPr>
                <w:bCs/>
                <w:kern w:val="0"/>
              </w:rPr>
              <w:t>0.68</w:t>
            </w:r>
          </w:p>
        </w:tc>
        <w:tc>
          <w:tcPr>
            <w:tcW w:w="866" w:type="dxa"/>
          </w:tcPr>
          <w:p w14:paraId="5DBAA462" w14:textId="77777777" w:rsidR="00B301B0" w:rsidRPr="00B301B0" w:rsidRDefault="00B301B0" w:rsidP="00B301B0">
            <w:pPr>
              <w:widowControl/>
              <w:overflowPunct/>
              <w:autoSpaceDE/>
              <w:autoSpaceDN/>
              <w:adjustRightInd/>
              <w:jc w:val="center"/>
              <w:rPr>
                <w:bCs/>
                <w:color w:val="000000"/>
                <w:kern w:val="0"/>
              </w:rPr>
            </w:pPr>
            <w:r w:rsidRPr="00B301B0">
              <w:rPr>
                <w:bCs/>
                <w:kern w:val="0"/>
              </w:rPr>
              <w:t>0.89</w:t>
            </w:r>
          </w:p>
        </w:tc>
        <w:tc>
          <w:tcPr>
            <w:tcW w:w="236" w:type="dxa"/>
          </w:tcPr>
          <w:p w14:paraId="5C413424" w14:textId="77777777" w:rsidR="00B301B0" w:rsidRPr="00B301B0" w:rsidRDefault="00B301B0" w:rsidP="00B301B0">
            <w:pPr>
              <w:widowControl/>
              <w:overflowPunct/>
              <w:autoSpaceDE/>
              <w:autoSpaceDN/>
              <w:adjustRightInd/>
              <w:jc w:val="center"/>
              <w:rPr>
                <w:bCs/>
                <w:kern w:val="0"/>
              </w:rPr>
            </w:pPr>
          </w:p>
        </w:tc>
        <w:tc>
          <w:tcPr>
            <w:tcW w:w="766" w:type="dxa"/>
            <w:vAlign w:val="bottom"/>
          </w:tcPr>
          <w:p w14:paraId="4C7A4289" w14:textId="77777777" w:rsidR="00B301B0" w:rsidRPr="00B301B0" w:rsidRDefault="00B301B0" w:rsidP="00B301B0">
            <w:pPr>
              <w:widowControl/>
              <w:overflowPunct/>
              <w:autoSpaceDE/>
              <w:autoSpaceDN/>
              <w:adjustRightInd/>
              <w:jc w:val="center"/>
              <w:rPr>
                <w:bCs/>
                <w:kern w:val="0"/>
              </w:rPr>
            </w:pPr>
            <w:r w:rsidRPr="00B301B0">
              <w:rPr>
                <w:bCs/>
                <w:color w:val="000000"/>
                <w:kern w:val="0"/>
              </w:rPr>
              <w:t>0.85</w:t>
            </w:r>
          </w:p>
        </w:tc>
        <w:tc>
          <w:tcPr>
            <w:tcW w:w="816" w:type="dxa"/>
            <w:vAlign w:val="bottom"/>
          </w:tcPr>
          <w:p w14:paraId="09576C79" w14:textId="77777777" w:rsidR="00B301B0" w:rsidRPr="00B301B0" w:rsidRDefault="00B301B0" w:rsidP="00B301B0">
            <w:pPr>
              <w:widowControl/>
              <w:overflowPunct/>
              <w:autoSpaceDE/>
              <w:autoSpaceDN/>
              <w:adjustRightInd/>
              <w:jc w:val="center"/>
              <w:rPr>
                <w:bCs/>
                <w:kern w:val="0"/>
              </w:rPr>
            </w:pPr>
            <w:r w:rsidRPr="00B301B0">
              <w:rPr>
                <w:bCs/>
                <w:color w:val="000000"/>
                <w:kern w:val="0"/>
              </w:rPr>
              <w:t>0.71</w:t>
            </w:r>
          </w:p>
        </w:tc>
        <w:tc>
          <w:tcPr>
            <w:tcW w:w="816" w:type="dxa"/>
            <w:vAlign w:val="bottom"/>
          </w:tcPr>
          <w:p w14:paraId="79E9043E" w14:textId="77777777" w:rsidR="00B301B0" w:rsidRPr="00B301B0" w:rsidRDefault="00B301B0" w:rsidP="00B301B0">
            <w:pPr>
              <w:widowControl/>
              <w:overflowPunct/>
              <w:autoSpaceDE/>
              <w:autoSpaceDN/>
              <w:adjustRightInd/>
              <w:jc w:val="center"/>
              <w:rPr>
                <w:bCs/>
                <w:kern w:val="0"/>
              </w:rPr>
            </w:pPr>
            <w:r w:rsidRPr="00B301B0">
              <w:rPr>
                <w:bCs/>
                <w:color w:val="000000"/>
                <w:kern w:val="0"/>
              </w:rPr>
              <w:t>0.80</w:t>
            </w:r>
          </w:p>
        </w:tc>
        <w:tc>
          <w:tcPr>
            <w:tcW w:w="970" w:type="dxa"/>
            <w:vAlign w:val="bottom"/>
          </w:tcPr>
          <w:p w14:paraId="7B54B7C1" w14:textId="77777777" w:rsidR="00B301B0" w:rsidRPr="00B301B0" w:rsidRDefault="00B301B0" w:rsidP="00B301B0">
            <w:pPr>
              <w:widowControl/>
              <w:overflowPunct/>
              <w:autoSpaceDE/>
              <w:autoSpaceDN/>
              <w:adjustRightInd/>
              <w:jc w:val="center"/>
              <w:rPr>
                <w:bCs/>
                <w:kern w:val="0"/>
              </w:rPr>
            </w:pPr>
            <w:r w:rsidRPr="00B301B0">
              <w:rPr>
                <w:bCs/>
                <w:color w:val="000000"/>
                <w:kern w:val="0"/>
              </w:rPr>
              <w:t>1.04</w:t>
            </w:r>
          </w:p>
        </w:tc>
      </w:tr>
      <w:tr w:rsidR="00B301B0" w:rsidRPr="00B301B0" w14:paraId="5342E89B" w14:textId="77777777" w:rsidTr="00DB7B9A">
        <w:tc>
          <w:tcPr>
            <w:tcW w:w="2160" w:type="dxa"/>
          </w:tcPr>
          <w:p w14:paraId="1B64E6E6" w14:textId="77777777" w:rsidR="00B301B0" w:rsidRPr="00B301B0" w:rsidRDefault="00B301B0" w:rsidP="00B301B0">
            <w:pPr>
              <w:widowControl/>
              <w:overflowPunct/>
              <w:autoSpaceDE/>
              <w:autoSpaceDN/>
              <w:adjustRightInd/>
              <w:rPr>
                <w:bCs/>
                <w:kern w:val="0"/>
              </w:rPr>
            </w:pPr>
            <w:r w:rsidRPr="00B301B0">
              <w:rPr>
                <w:bCs/>
                <w:kern w:val="0"/>
              </w:rPr>
              <w:t>Industry</w:t>
            </w:r>
          </w:p>
        </w:tc>
        <w:tc>
          <w:tcPr>
            <w:tcW w:w="990" w:type="dxa"/>
          </w:tcPr>
          <w:p w14:paraId="08FAD61B" w14:textId="77777777" w:rsidR="00B301B0" w:rsidRPr="00B301B0" w:rsidRDefault="00B301B0" w:rsidP="00B301B0">
            <w:pPr>
              <w:widowControl/>
              <w:overflowPunct/>
              <w:autoSpaceDE/>
              <w:autoSpaceDN/>
              <w:adjustRightInd/>
              <w:jc w:val="center"/>
              <w:rPr>
                <w:bCs/>
                <w:kern w:val="0"/>
              </w:rPr>
            </w:pPr>
            <w:r w:rsidRPr="00B301B0">
              <w:rPr>
                <w:bCs/>
                <w:kern w:val="0"/>
              </w:rPr>
              <w:t>2.73</w:t>
            </w:r>
          </w:p>
        </w:tc>
        <w:tc>
          <w:tcPr>
            <w:tcW w:w="1072" w:type="dxa"/>
          </w:tcPr>
          <w:p w14:paraId="19F48767" w14:textId="77777777" w:rsidR="00B301B0" w:rsidRPr="00B301B0" w:rsidRDefault="00B301B0" w:rsidP="00B301B0">
            <w:pPr>
              <w:widowControl/>
              <w:overflowPunct/>
              <w:autoSpaceDE/>
              <w:autoSpaceDN/>
              <w:adjustRightInd/>
              <w:jc w:val="center"/>
              <w:rPr>
                <w:bCs/>
                <w:kern w:val="0"/>
              </w:rPr>
            </w:pPr>
            <w:r w:rsidRPr="00B301B0">
              <w:rPr>
                <w:bCs/>
                <w:kern w:val="0"/>
              </w:rPr>
              <w:t>2.65</w:t>
            </w:r>
          </w:p>
        </w:tc>
        <w:tc>
          <w:tcPr>
            <w:tcW w:w="236" w:type="dxa"/>
          </w:tcPr>
          <w:p w14:paraId="54FB39BB" w14:textId="77777777" w:rsidR="00B301B0" w:rsidRPr="00B301B0" w:rsidRDefault="00B301B0" w:rsidP="00B301B0">
            <w:pPr>
              <w:widowControl/>
              <w:overflowPunct/>
              <w:autoSpaceDE/>
              <w:autoSpaceDN/>
              <w:adjustRightInd/>
              <w:jc w:val="center"/>
              <w:rPr>
                <w:bCs/>
                <w:color w:val="000000"/>
                <w:kern w:val="0"/>
              </w:rPr>
            </w:pPr>
          </w:p>
        </w:tc>
        <w:tc>
          <w:tcPr>
            <w:tcW w:w="911" w:type="dxa"/>
          </w:tcPr>
          <w:p w14:paraId="44E2A76E" w14:textId="77777777" w:rsidR="00B301B0" w:rsidRPr="00B301B0" w:rsidRDefault="00B301B0" w:rsidP="00B301B0">
            <w:pPr>
              <w:widowControl/>
              <w:overflowPunct/>
              <w:autoSpaceDE/>
              <w:autoSpaceDN/>
              <w:adjustRightInd/>
              <w:jc w:val="center"/>
              <w:rPr>
                <w:bCs/>
                <w:color w:val="000000"/>
                <w:kern w:val="0"/>
              </w:rPr>
            </w:pPr>
            <w:r w:rsidRPr="00B301B0">
              <w:rPr>
                <w:bCs/>
                <w:kern w:val="0"/>
              </w:rPr>
              <w:t>3.16</w:t>
            </w:r>
          </w:p>
        </w:tc>
        <w:tc>
          <w:tcPr>
            <w:tcW w:w="1011" w:type="dxa"/>
          </w:tcPr>
          <w:p w14:paraId="463E0166" w14:textId="77777777" w:rsidR="00B301B0" w:rsidRPr="00B301B0" w:rsidRDefault="00B301B0" w:rsidP="00B301B0">
            <w:pPr>
              <w:widowControl/>
              <w:overflowPunct/>
              <w:autoSpaceDE/>
              <w:autoSpaceDN/>
              <w:adjustRightInd/>
              <w:jc w:val="center"/>
              <w:rPr>
                <w:bCs/>
                <w:color w:val="000000"/>
                <w:kern w:val="0"/>
              </w:rPr>
            </w:pPr>
            <w:r w:rsidRPr="00B301B0">
              <w:rPr>
                <w:bCs/>
                <w:kern w:val="0"/>
              </w:rPr>
              <w:t>2.98</w:t>
            </w:r>
          </w:p>
        </w:tc>
        <w:tc>
          <w:tcPr>
            <w:tcW w:w="866" w:type="dxa"/>
          </w:tcPr>
          <w:p w14:paraId="53C8891C" w14:textId="77777777" w:rsidR="00B301B0" w:rsidRPr="00B301B0" w:rsidRDefault="00B301B0" w:rsidP="00B301B0">
            <w:pPr>
              <w:widowControl/>
              <w:overflowPunct/>
              <w:autoSpaceDE/>
              <w:autoSpaceDN/>
              <w:adjustRightInd/>
              <w:jc w:val="center"/>
              <w:rPr>
                <w:bCs/>
                <w:color w:val="000000"/>
                <w:kern w:val="0"/>
              </w:rPr>
            </w:pPr>
            <w:r w:rsidRPr="00B301B0">
              <w:rPr>
                <w:bCs/>
                <w:kern w:val="0"/>
              </w:rPr>
              <w:t>3.19</w:t>
            </w:r>
          </w:p>
        </w:tc>
        <w:tc>
          <w:tcPr>
            <w:tcW w:w="236" w:type="dxa"/>
          </w:tcPr>
          <w:p w14:paraId="4F40D5F5" w14:textId="77777777" w:rsidR="00B301B0" w:rsidRPr="00B301B0" w:rsidRDefault="00B301B0" w:rsidP="00B301B0">
            <w:pPr>
              <w:widowControl/>
              <w:overflowPunct/>
              <w:autoSpaceDE/>
              <w:autoSpaceDN/>
              <w:adjustRightInd/>
              <w:jc w:val="center"/>
              <w:rPr>
                <w:bCs/>
                <w:kern w:val="0"/>
              </w:rPr>
            </w:pPr>
          </w:p>
        </w:tc>
        <w:tc>
          <w:tcPr>
            <w:tcW w:w="766" w:type="dxa"/>
            <w:vAlign w:val="bottom"/>
          </w:tcPr>
          <w:p w14:paraId="055CE93B" w14:textId="77777777" w:rsidR="00B301B0" w:rsidRPr="00B301B0" w:rsidRDefault="00B301B0" w:rsidP="00B301B0">
            <w:pPr>
              <w:widowControl/>
              <w:overflowPunct/>
              <w:autoSpaceDE/>
              <w:autoSpaceDN/>
              <w:adjustRightInd/>
              <w:jc w:val="center"/>
              <w:rPr>
                <w:bCs/>
                <w:kern w:val="0"/>
              </w:rPr>
            </w:pPr>
            <w:r w:rsidRPr="00B301B0">
              <w:rPr>
                <w:bCs/>
                <w:color w:val="000000"/>
                <w:kern w:val="0"/>
              </w:rPr>
              <w:t>2.98</w:t>
            </w:r>
          </w:p>
        </w:tc>
        <w:tc>
          <w:tcPr>
            <w:tcW w:w="816" w:type="dxa"/>
            <w:vAlign w:val="bottom"/>
          </w:tcPr>
          <w:p w14:paraId="586C2C03" w14:textId="77777777" w:rsidR="00B301B0" w:rsidRPr="00B301B0" w:rsidRDefault="00B301B0" w:rsidP="00B301B0">
            <w:pPr>
              <w:widowControl/>
              <w:overflowPunct/>
              <w:autoSpaceDE/>
              <w:autoSpaceDN/>
              <w:adjustRightInd/>
              <w:jc w:val="center"/>
              <w:rPr>
                <w:bCs/>
                <w:kern w:val="0"/>
              </w:rPr>
            </w:pPr>
            <w:r w:rsidRPr="00B301B0">
              <w:rPr>
                <w:bCs/>
                <w:color w:val="000000"/>
                <w:kern w:val="0"/>
              </w:rPr>
              <w:t>2.19</w:t>
            </w:r>
          </w:p>
        </w:tc>
        <w:tc>
          <w:tcPr>
            <w:tcW w:w="816" w:type="dxa"/>
            <w:vAlign w:val="bottom"/>
          </w:tcPr>
          <w:p w14:paraId="48E1560B" w14:textId="77777777" w:rsidR="00B301B0" w:rsidRPr="00B301B0" w:rsidRDefault="00B301B0" w:rsidP="00B301B0">
            <w:pPr>
              <w:widowControl/>
              <w:overflowPunct/>
              <w:autoSpaceDE/>
              <w:autoSpaceDN/>
              <w:adjustRightInd/>
              <w:jc w:val="center"/>
              <w:rPr>
                <w:bCs/>
                <w:kern w:val="0"/>
              </w:rPr>
            </w:pPr>
            <w:r w:rsidRPr="00B301B0">
              <w:rPr>
                <w:bCs/>
                <w:color w:val="000000"/>
                <w:kern w:val="0"/>
              </w:rPr>
              <w:t>3.13</w:t>
            </w:r>
          </w:p>
        </w:tc>
        <w:tc>
          <w:tcPr>
            <w:tcW w:w="970" w:type="dxa"/>
            <w:vAlign w:val="bottom"/>
          </w:tcPr>
          <w:p w14:paraId="07AEAD81" w14:textId="77777777" w:rsidR="00B301B0" w:rsidRPr="00B301B0" w:rsidRDefault="00B301B0" w:rsidP="00B301B0">
            <w:pPr>
              <w:widowControl/>
              <w:overflowPunct/>
              <w:autoSpaceDE/>
              <w:autoSpaceDN/>
              <w:adjustRightInd/>
              <w:jc w:val="center"/>
              <w:rPr>
                <w:bCs/>
                <w:kern w:val="0"/>
              </w:rPr>
            </w:pPr>
            <w:r w:rsidRPr="00B301B0">
              <w:rPr>
                <w:bCs/>
                <w:color w:val="000000"/>
                <w:kern w:val="0"/>
              </w:rPr>
              <w:t>3.13</w:t>
            </w:r>
          </w:p>
        </w:tc>
      </w:tr>
      <w:tr w:rsidR="00B301B0" w:rsidRPr="00B301B0" w14:paraId="1C31E74C" w14:textId="77777777" w:rsidTr="00DB7B9A">
        <w:tc>
          <w:tcPr>
            <w:tcW w:w="2160" w:type="dxa"/>
          </w:tcPr>
          <w:p w14:paraId="48E26BBC" w14:textId="77777777" w:rsidR="00B301B0" w:rsidRPr="00B301B0" w:rsidRDefault="00B301B0" w:rsidP="00B301B0">
            <w:pPr>
              <w:widowControl/>
              <w:overflowPunct/>
              <w:autoSpaceDE/>
              <w:autoSpaceDN/>
              <w:adjustRightInd/>
              <w:rPr>
                <w:bCs/>
                <w:kern w:val="0"/>
              </w:rPr>
            </w:pPr>
            <w:r w:rsidRPr="00B301B0">
              <w:rPr>
                <w:bCs/>
                <w:kern w:val="0"/>
              </w:rPr>
              <w:t xml:space="preserve">MNE </w:t>
            </w:r>
          </w:p>
        </w:tc>
        <w:tc>
          <w:tcPr>
            <w:tcW w:w="990" w:type="dxa"/>
          </w:tcPr>
          <w:p w14:paraId="314BD494" w14:textId="77777777" w:rsidR="00B301B0" w:rsidRPr="00B301B0" w:rsidRDefault="00B301B0" w:rsidP="00B301B0">
            <w:pPr>
              <w:widowControl/>
              <w:overflowPunct/>
              <w:autoSpaceDE/>
              <w:autoSpaceDN/>
              <w:adjustRightInd/>
              <w:jc w:val="center"/>
              <w:rPr>
                <w:bCs/>
                <w:kern w:val="0"/>
              </w:rPr>
            </w:pPr>
            <w:r w:rsidRPr="00B301B0">
              <w:rPr>
                <w:bCs/>
                <w:kern w:val="0"/>
              </w:rPr>
              <w:t>29.34</w:t>
            </w:r>
          </w:p>
        </w:tc>
        <w:tc>
          <w:tcPr>
            <w:tcW w:w="1072" w:type="dxa"/>
          </w:tcPr>
          <w:p w14:paraId="4526FDF8" w14:textId="77777777" w:rsidR="00B301B0" w:rsidRPr="00B301B0" w:rsidRDefault="00B301B0" w:rsidP="00B301B0">
            <w:pPr>
              <w:widowControl/>
              <w:overflowPunct/>
              <w:autoSpaceDE/>
              <w:autoSpaceDN/>
              <w:adjustRightInd/>
              <w:jc w:val="center"/>
              <w:rPr>
                <w:bCs/>
                <w:kern w:val="0"/>
              </w:rPr>
            </w:pPr>
            <w:r w:rsidRPr="00B301B0">
              <w:rPr>
                <w:bCs/>
                <w:kern w:val="0"/>
              </w:rPr>
              <w:t>7.00</w:t>
            </w:r>
          </w:p>
        </w:tc>
        <w:tc>
          <w:tcPr>
            <w:tcW w:w="236" w:type="dxa"/>
          </w:tcPr>
          <w:p w14:paraId="03E9E286" w14:textId="77777777" w:rsidR="00B301B0" w:rsidRPr="00B301B0" w:rsidRDefault="00B301B0" w:rsidP="00B301B0">
            <w:pPr>
              <w:widowControl/>
              <w:overflowPunct/>
              <w:autoSpaceDE/>
              <w:autoSpaceDN/>
              <w:adjustRightInd/>
              <w:jc w:val="center"/>
              <w:rPr>
                <w:bCs/>
                <w:color w:val="000000"/>
                <w:kern w:val="0"/>
              </w:rPr>
            </w:pPr>
          </w:p>
        </w:tc>
        <w:tc>
          <w:tcPr>
            <w:tcW w:w="911" w:type="dxa"/>
          </w:tcPr>
          <w:p w14:paraId="3EA3D079" w14:textId="77777777" w:rsidR="00B301B0" w:rsidRPr="00B301B0" w:rsidRDefault="00B301B0" w:rsidP="00B301B0">
            <w:pPr>
              <w:widowControl/>
              <w:overflowPunct/>
              <w:autoSpaceDE/>
              <w:autoSpaceDN/>
              <w:adjustRightInd/>
              <w:jc w:val="center"/>
              <w:rPr>
                <w:bCs/>
                <w:color w:val="000000"/>
                <w:kern w:val="0"/>
              </w:rPr>
            </w:pPr>
            <w:r w:rsidRPr="00B301B0">
              <w:rPr>
                <w:bCs/>
                <w:kern w:val="0"/>
              </w:rPr>
              <w:t>19.87</w:t>
            </w:r>
          </w:p>
        </w:tc>
        <w:tc>
          <w:tcPr>
            <w:tcW w:w="1011" w:type="dxa"/>
          </w:tcPr>
          <w:p w14:paraId="2D8188BA" w14:textId="77777777" w:rsidR="00B301B0" w:rsidRPr="00B301B0" w:rsidRDefault="00B301B0" w:rsidP="00B301B0">
            <w:pPr>
              <w:widowControl/>
              <w:overflowPunct/>
              <w:autoSpaceDE/>
              <w:autoSpaceDN/>
              <w:adjustRightInd/>
              <w:jc w:val="center"/>
              <w:rPr>
                <w:bCs/>
                <w:color w:val="000000"/>
                <w:kern w:val="0"/>
              </w:rPr>
            </w:pPr>
            <w:r w:rsidRPr="00B301B0">
              <w:rPr>
                <w:bCs/>
                <w:kern w:val="0"/>
              </w:rPr>
              <w:t>18.58</w:t>
            </w:r>
          </w:p>
        </w:tc>
        <w:tc>
          <w:tcPr>
            <w:tcW w:w="866" w:type="dxa"/>
          </w:tcPr>
          <w:p w14:paraId="5D670815" w14:textId="77777777" w:rsidR="00B301B0" w:rsidRPr="00B301B0" w:rsidRDefault="00B301B0" w:rsidP="00B301B0">
            <w:pPr>
              <w:widowControl/>
              <w:overflowPunct/>
              <w:autoSpaceDE/>
              <w:autoSpaceDN/>
              <w:adjustRightInd/>
              <w:jc w:val="center"/>
              <w:rPr>
                <w:bCs/>
                <w:color w:val="000000"/>
                <w:kern w:val="0"/>
              </w:rPr>
            </w:pPr>
            <w:r w:rsidRPr="00B301B0">
              <w:rPr>
                <w:bCs/>
                <w:kern w:val="0"/>
              </w:rPr>
              <w:t>8.78</w:t>
            </w:r>
          </w:p>
        </w:tc>
        <w:tc>
          <w:tcPr>
            <w:tcW w:w="236" w:type="dxa"/>
          </w:tcPr>
          <w:p w14:paraId="54ADF687" w14:textId="77777777" w:rsidR="00B301B0" w:rsidRPr="00B301B0" w:rsidRDefault="00B301B0" w:rsidP="00B301B0">
            <w:pPr>
              <w:widowControl/>
              <w:overflowPunct/>
              <w:autoSpaceDE/>
              <w:autoSpaceDN/>
              <w:adjustRightInd/>
              <w:jc w:val="center"/>
              <w:rPr>
                <w:bCs/>
                <w:kern w:val="0"/>
              </w:rPr>
            </w:pPr>
          </w:p>
        </w:tc>
        <w:tc>
          <w:tcPr>
            <w:tcW w:w="766" w:type="dxa"/>
            <w:vAlign w:val="bottom"/>
          </w:tcPr>
          <w:p w14:paraId="30D77E46" w14:textId="77777777" w:rsidR="00B301B0" w:rsidRPr="00B301B0" w:rsidRDefault="00B301B0" w:rsidP="00B301B0">
            <w:pPr>
              <w:widowControl/>
              <w:overflowPunct/>
              <w:autoSpaceDE/>
              <w:autoSpaceDN/>
              <w:adjustRightInd/>
              <w:jc w:val="center"/>
              <w:rPr>
                <w:bCs/>
                <w:kern w:val="0"/>
              </w:rPr>
            </w:pPr>
            <w:r w:rsidRPr="00B301B0">
              <w:rPr>
                <w:bCs/>
                <w:color w:val="000000"/>
                <w:kern w:val="0"/>
              </w:rPr>
              <w:t>11.82</w:t>
            </w:r>
          </w:p>
        </w:tc>
        <w:tc>
          <w:tcPr>
            <w:tcW w:w="816" w:type="dxa"/>
            <w:vAlign w:val="bottom"/>
          </w:tcPr>
          <w:p w14:paraId="5614061D" w14:textId="77777777" w:rsidR="00B301B0" w:rsidRPr="00B301B0" w:rsidRDefault="00B301B0" w:rsidP="00B301B0">
            <w:pPr>
              <w:widowControl/>
              <w:overflowPunct/>
              <w:autoSpaceDE/>
              <w:autoSpaceDN/>
              <w:adjustRightInd/>
              <w:jc w:val="center"/>
              <w:rPr>
                <w:bCs/>
                <w:kern w:val="0"/>
              </w:rPr>
            </w:pPr>
            <w:r w:rsidRPr="00B301B0">
              <w:rPr>
                <w:bCs/>
                <w:color w:val="000000"/>
                <w:kern w:val="0"/>
              </w:rPr>
              <w:t>9.49</w:t>
            </w:r>
          </w:p>
        </w:tc>
        <w:tc>
          <w:tcPr>
            <w:tcW w:w="816" w:type="dxa"/>
            <w:vAlign w:val="bottom"/>
          </w:tcPr>
          <w:p w14:paraId="593B79B3" w14:textId="77777777" w:rsidR="00B301B0" w:rsidRPr="00B301B0" w:rsidRDefault="00B301B0" w:rsidP="00B301B0">
            <w:pPr>
              <w:widowControl/>
              <w:overflowPunct/>
              <w:autoSpaceDE/>
              <w:autoSpaceDN/>
              <w:adjustRightInd/>
              <w:jc w:val="center"/>
              <w:rPr>
                <w:bCs/>
                <w:kern w:val="0"/>
              </w:rPr>
            </w:pPr>
            <w:r w:rsidRPr="00B301B0">
              <w:rPr>
                <w:bCs/>
                <w:color w:val="000000"/>
                <w:kern w:val="0"/>
              </w:rPr>
              <w:t>8.20</w:t>
            </w:r>
          </w:p>
        </w:tc>
        <w:tc>
          <w:tcPr>
            <w:tcW w:w="970" w:type="dxa"/>
            <w:vAlign w:val="bottom"/>
          </w:tcPr>
          <w:p w14:paraId="59B8A8D5" w14:textId="77777777" w:rsidR="00B301B0" w:rsidRPr="00B301B0" w:rsidRDefault="00B301B0" w:rsidP="00B301B0">
            <w:pPr>
              <w:widowControl/>
              <w:overflowPunct/>
              <w:autoSpaceDE/>
              <w:autoSpaceDN/>
              <w:adjustRightInd/>
              <w:jc w:val="center"/>
              <w:rPr>
                <w:bCs/>
                <w:kern w:val="0"/>
              </w:rPr>
            </w:pPr>
            <w:r w:rsidRPr="00B301B0">
              <w:rPr>
                <w:bCs/>
                <w:color w:val="000000"/>
                <w:kern w:val="0"/>
              </w:rPr>
              <w:t>4.19</w:t>
            </w:r>
          </w:p>
        </w:tc>
      </w:tr>
      <w:tr w:rsidR="00B301B0" w:rsidRPr="00B301B0" w14:paraId="25EBFDF6" w14:textId="77777777" w:rsidTr="00DB7B9A">
        <w:tc>
          <w:tcPr>
            <w:tcW w:w="2160" w:type="dxa"/>
          </w:tcPr>
          <w:p w14:paraId="41830203" w14:textId="77777777" w:rsidR="00B301B0" w:rsidRPr="00B301B0" w:rsidRDefault="00B301B0" w:rsidP="00B301B0">
            <w:pPr>
              <w:widowControl/>
              <w:overflowPunct/>
              <w:autoSpaceDE/>
              <w:autoSpaceDN/>
              <w:adjustRightInd/>
              <w:rPr>
                <w:bCs/>
                <w:kern w:val="0"/>
              </w:rPr>
            </w:pPr>
            <w:r w:rsidRPr="00B301B0">
              <w:rPr>
                <w:bCs/>
                <w:kern w:val="0"/>
              </w:rPr>
              <w:t>Subsidiary</w:t>
            </w:r>
          </w:p>
        </w:tc>
        <w:tc>
          <w:tcPr>
            <w:tcW w:w="990" w:type="dxa"/>
          </w:tcPr>
          <w:p w14:paraId="59F0F7CB" w14:textId="77777777" w:rsidR="00B301B0" w:rsidRPr="00B301B0" w:rsidRDefault="00B301B0" w:rsidP="00B301B0">
            <w:pPr>
              <w:widowControl/>
              <w:overflowPunct/>
              <w:autoSpaceDE/>
              <w:autoSpaceDN/>
              <w:adjustRightInd/>
              <w:jc w:val="center"/>
              <w:rPr>
                <w:bCs/>
                <w:kern w:val="0"/>
              </w:rPr>
            </w:pPr>
            <w:r w:rsidRPr="00B301B0">
              <w:rPr>
                <w:bCs/>
                <w:kern w:val="0"/>
              </w:rPr>
              <w:t>17.29</w:t>
            </w:r>
          </w:p>
        </w:tc>
        <w:tc>
          <w:tcPr>
            <w:tcW w:w="1072" w:type="dxa"/>
          </w:tcPr>
          <w:p w14:paraId="0C5F0443" w14:textId="77777777" w:rsidR="00B301B0" w:rsidRPr="00B301B0" w:rsidRDefault="00B301B0" w:rsidP="00B301B0">
            <w:pPr>
              <w:widowControl/>
              <w:overflowPunct/>
              <w:autoSpaceDE/>
              <w:autoSpaceDN/>
              <w:adjustRightInd/>
              <w:jc w:val="center"/>
              <w:rPr>
                <w:bCs/>
                <w:kern w:val="0"/>
              </w:rPr>
            </w:pPr>
            <w:r w:rsidRPr="00B301B0">
              <w:rPr>
                <w:bCs/>
                <w:kern w:val="0"/>
              </w:rPr>
              <w:t>37.78</w:t>
            </w:r>
          </w:p>
        </w:tc>
        <w:tc>
          <w:tcPr>
            <w:tcW w:w="236" w:type="dxa"/>
          </w:tcPr>
          <w:p w14:paraId="343325D4" w14:textId="77777777" w:rsidR="00B301B0" w:rsidRPr="00B301B0" w:rsidRDefault="00B301B0" w:rsidP="00B301B0">
            <w:pPr>
              <w:widowControl/>
              <w:overflowPunct/>
              <w:autoSpaceDE/>
              <w:autoSpaceDN/>
              <w:adjustRightInd/>
              <w:jc w:val="center"/>
              <w:rPr>
                <w:bCs/>
                <w:color w:val="000000"/>
                <w:kern w:val="0"/>
              </w:rPr>
            </w:pPr>
          </w:p>
        </w:tc>
        <w:tc>
          <w:tcPr>
            <w:tcW w:w="911" w:type="dxa"/>
          </w:tcPr>
          <w:p w14:paraId="293F054B" w14:textId="77777777" w:rsidR="00B301B0" w:rsidRPr="00B301B0" w:rsidRDefault="00B301B0" w:rsidP="00B301B0">
            <w:pPr>
              <w:widowControl/>
              <w:overflowPunct/>
              <w:autoSpaceDE/>
              <w:autoSpaceDN/>
              <w:adjustRightInd/>
              <w:jc w:val="center"/>
              <w:rPr>
                <w:bCs/>
                <w:color w:val="000000"/>
                <w:kern w:val="0"/>
              </w:rPr>
            </w:pPr>
            <w:r w:rsidRPr="00B301B0">
              <w:rPr>
                <w:bCs/>
                <w:kern w:val="0"/>
              </w:rPr>
              <w:t>36.94</w:t>
            </w:r>
          </w:p>
        </w:tc>
        <w:tc>
          <w:tcPr>
            <w:tcW w:w="1011" w:type="dxa"/>
          </w:tcPr>
          <w:p w14:paraId="71BAC876" w14:textId="77777777" w:rsidR="00B301B0" w:rsidRPr="00B301B0" w:rsidRDefault="00B301B0" w:rsidP="00B301B0">
            <w:pPr>
              <w:widowControl/>
              <w:overflowPunct/>
              <w:autoSpaceDE/>
              <w:autoSpaceDN/>
              <w:adjustRightInd/>
              <w:jc w:val="center"/>
              <w:rPr>
                <w:bCs/>
                <w:color w:val="000000"/>
                <w:kern w:val="0"/>
              </w:rPr>
            </w:pPr>
            <w:r w:rsidRPr="00B301B0">
              <w:rPr>
                <w:bCs/>
                <w:kern w:val="0"/>
              </w:rPr>
              <w:t>39.79</w:t>
            </w:r>
          </w:p>
        </w:tc>
        <w:tc>
          <w:tcPr>
            <w:tcW w:w="866" w:type="dxa"/>
          </w:tcPr>
          <w:p w14:paraId="25A95C3E" w14:textId="77777777" w:rsidR="00B301B0" w:rsidRPr="00B301B0" w:rsidRDefault="00B301B0" w:rsidP="00B301B0">
            <w:pPr>
              <w:widowControl/>
              <w:overflowPunct/>
              <w:autoSpaceDE/>
              <w:autoSpaceDN/>
              <w:adjustRightInd/>
              <w:jc w:val="center"/>
              <w:rPr>
                <w:bCs/>
                <w:color w:val="000000"/>
                <w:kern w:val="0"/>
              </w:rPr>
            </w:pPr>
            <w:r w:rsidRPr="00B301B0">
              <w:rPr>
                <w:bCs/>
                <w:kern w:val="0"/>
              </w:rPr>
              <w:t>37.64</w:t>
            </w:r>
          </w:p>
        </w:tc>
        <w:tc>
          <w:tcPr>
            <w:tcW w:w="236" w:type="dxa"/>
          </w:tcPr>
          <w:p w14:paraId="6D447649" w14:textId="77777777" w:rsidR="00B301B0" w:rsidRPr="00B301B0" w:rsidRDefault="00B301B0" w:rsidP="00B301B0">
            <w:pPr>
              <w:widowControl/>
              <w:overflowPunct/>
              <w:autoSpaceDE/>
              <w:autoSpaceDN/>
              <w:adjustRightInd/>
              <w:jc w:val="center"/>
              <w:rPr>
                <w:bCs/>
                <w:kern w:val="0"/>
              </w:rPr>
            </w:pPr>
          </w:p>
        </w:tc>
        <w:tc>
          <w:tcPr>
            <w:tcW w:w="766" w:type="dxa"/>
            <w:vAlign w:val="bottom"/>
          </w:tcPr>
          <w:p w14:paraId="767ABE76" w14:textId="77777777" w:rsidR="00B301B0" w:rsidRPr="00B301B0" w:rsidRDefault="00B301B0" w:rsidP="00B301B0">
            <w:pPr>
              <w:widowControl/>
              <w:overflowPunct/>
              <w:autoSpaceDE/>
              <w:autoSpaceDN/>
              <w:adjustRightInd/>
              <w:jc w:val="center"/>
              <w:rPr>
                <w:bCs/>
                <w:kern w:val="0"/>
              </w:rPr>
            </w:pPr>
            <w:r w:rsidRPr="00B301B0">
              <w:rPr>
                <w:bCs/>
                <w:color w:val="000000"/>
                <w:kern w:val="0"/>
              </w:rPr>
              <w:t>32.17</w:t>
            </w:r>
          </w:p>
        </w:tc>
        <w:tc>
          <w:tcPr>
            <w:tcW w:w="816" w:type="dxa"/>
            <w:vAlign w:val="bottom"/>
          </w:tcPr>
          <w:p w14:paraId="5DE99D17" w14:textId="77777777" w:rsidR="00B301B0" w:rsidRPr="00B301B0" w:rsidRDefault="00B301B0" w:rsidP="00B301B0">
            <w:pPr>
              <w:widowControl/>
              <w:overflowPunct/>
              <w:autoSpaceDE/>
              <w:autoSpaceDN/>
              <w:adjustRightInd/>
              <w:jc w:val="center"/>
              <w:rPr>
                <w:bCs/>
                <w:kern w:val="0"/>
              </w:rPr>
            </w:pPr>
            <w:r w:rsidRPr="00B301B0">
              <w:rPr>
                <w:bCs/>
                <w:color w:val="000000"/>
                <w:kern w:val="0"/>
              </w:rPr>
              <w:t>33.49</w:t>
            </w:r>
          </w:p>
        </w:tc>
        <w:tc>
          <w:tcPr>
            <w:tcW w:w="816" w:type="dxa"/>
            <w:vAlign w:val="bottom"/>
          </w:tcPr>
          <w:p w14:paraId="663C6EAB" w14:textId="77777777" w:rsidR="00B301B0" w:rsidRPr="00B301B0" w:rsidRDefault="00B301B0" w:rsidP="00B301B0">
            <w:pPr>
              <w:widowControl/>
              <w:overflowPunct/>
              <w:autoSpaceDE/>
              <w:autoSpaceDN/>
              <w:adjustRightInd/>
              <w:jc w:val="center"/>
              <w:rPr>
                <w:bCs/>
                <w:kern w:val="0"/>
              </w:rPr>
            </w:pPr>
            <w:r w:rsidRPr="00B301B0">
              <w:rPr>
                <w:bCs/>
                <w:color w:val="000000"/>
                <w:kern w:val="0"/>
              </w:rPr>
              <w:t>37.18</w:t>
            </w:r>
          </w:p>
        </w:tc>
        <w:tc>
          <w:tcPr>
            <w:tcW w:w="970" w:type="dxa"/>
            <w:vAlign w:val="bottom"/>
          </w:tcPr>
          <w:p w14:paraId="376E84DE" w14:textId="77777777" w:rsidR="00B301B0" w:rsidRPr="00B301B0" w:rsidRDefault="00B301B0" w:rsidP="00B301B0">
            <w:pPr>
              <w:widowControl/>
              <w:overflowPunct/>
              <w:autoSpaceDE/>
              <w:autoSpaceDN/>
              <w:adjustRightInd/>
              <w:jc w:val="center"/>
              <w:rPr>
                <w:bCs/>
                <w:kern w:val="0"/>
              </w:rPr>
            </w:pPr>
            <w:r w:rsidRPr="00B301B0">
              <w:rPr>
                <w:bCs/>
                <w:color w:val="000000"/>
                <w:kern w:val="0"/>
              </w:rPr>
              <w:t>40.15</w:t>
            </w:r>
          </w:p>
        </w:tc>
      </w:tr>
      <w:tr w:rsidR="00B301B0" w:rsidRPr="00B301B0" w14:paraId="3BBA771D" w14:textId="77777777" w:rsidTr="00DB7B9A">
        <w:trPr>
          <w:trHeight w:val="152"/>
        </w:trPr>
        <w:tc>
          <w:tcPr>
            <w:tcW w:w="2160" w:type="dxa"/>
            <w:tcBorders>
              <w:top w:val="single" w:sz="4" w:space="0" w:color="auto"/>
              <w:bottom w:val="single" w:sz="4" w:space="0" w:color="auto"/>
            </w:tcBorders>
          </w:tcPr>
          <w:p w14:paraId="697A7A84" w14:textId="77777777" w:rsidR="00B301B0" w:rsidRPr="00B301B0" w:rsidRDefault="00B301B0" w:rsidP="00B301B0">
            <w:pPr>
              <w:widowControl/>
              <w:overflowPunct/>
              <w:autoSpaceDE/>
              <w:autoSpaceDN/>
              <w:adjustRightInd/>
              <w:rPr>
                <w:bCs/>
                <w:kern w:val="0"/>
              </w:rPr>
            </w:pPr>
            <w:r w:rsidRPr="00B301B0">
              <w:rPr>
                <w:bCs/>
                <w:kern w:val="0"/>
              </w:rPr>
              <w:t xml:space="preserve">Relative MNE Effect </w:t>
            </w:r>
            <w:r w:rsidRPr="00B301B0">
              <w:rPr>
                <w:bCs/>
                <w:kern w:val="0"/>
                <w:vertAlign w:val="superscript"/>
              </w:rPr>
              <w:t>A</w:t>
            </w:r>
          </w:p>
        </w:tc>
        <w:tc>
          <w:tcPr>
            <w:tcW w:w="990" w:type="dxa"/>
            <w:tcBorders>
              <w:top w:val="single" w:sz="4" w:space="0" w:color="auto"/>
              <w:bottom w:val="single" w:sz="4" w:space="0" w:color="auto"/>
            </w:tcBorders>
          </w:tcPr>
          <w:p w14:paraId="1ABB03FB" w14:textId="77777777" w:rsidR="00B301B0" w:rsidRPr="00B301B0" w:rsidRDefault="00B301B0" w:rsidP="00B301B0">
            <w:pPr>
              <w:widowControl/>
              <w:overflowPunct/>
              <w:autoSpaceDE/>
              <w:autoSpaceDN/>
              <w:adjustRightInd/>
              <w:jc w:val="center"/>
              <w:rPr>
                <w:bCs/>
                <w:kern w:val="0"/>
              </w:rPr>
            </w:pPr>
            <w:r w:rsidRPr="00B301B0">
              <w:rPr>
                <w:bCs/>
                <w:kern w:val="0"/>
              </w:rPr>
              <w:t>1.70</w:t>
            </w:r>
          </w:p>
        </w:tc>
        <w:tc>
          <w:tcPr>
            <w:tcW w:w="1072" w:type="dxa"/>
            <w:tcBorders>
              <w:top w:val="single" w:sz="4" w:space="0" w:color="auto"/>
              <w:bottom w:val="single" w:sz="4" w:space="0" w:color="auto"/>
            </w:tcBorders>
          </w:tcPr>
          <w:p w14:paraId="1394687D" w14:textId="77777777" w:rsidR="00B301B0" w:rsidRPr="00B301B0" w:rsidRDefault="00B301B0" w:rsidP="00B301B0">
            <w:pPr>
              <w:widowControl/>
              <w:overflowPunct/>
              <w:autoSpaceDE/>
              <w:autoSpaceDN/>
              <w:adjustRightInd/>
              <w:jc w:val="center"/>
              <w:rPr>
                <w:bCs/>
                <w:kern w:val="0"/>
              </w:rPr>
            </w:pPr>
            <w:r w:rsidRPr="00B301B0">
              <w:rPr>
                <w:bCs/>
                <w:kern w:val="0"/>
              </w:rPr>
              <w:t>0.19</w:t>
            </w:r>
          </w:p>
        </w:tc>
        <w:tc>
          <w:tcPr>
            <w:tcW w:w="236" w:type="dxa"/>
            <w:tcBorders>
              <w:top w:val="single" w:sz="4" w:space="0" w:color="auto"/>
              <w:bottom w:val="single" w:sz="4" w:space="0" w:color="auto"/>
            </w:tcBorders>
          </w:tcPr>
          <w:p w14:paraId="3F792EA5" w14:textId="77777777" w:rsidR="00B301B0" w:rsidRPr="00B301B0" w:rsidRDefault="00B301B0" w:rsidP="00B301B0">
            <w:pPr>
              <w:widowControl/>
              <w:overflowPunct/>
              <w:autoSpaceDE/>
              <w:autoSpaceDN/>
              <w:adjustRightInd/>
              <w:jc w:val="center"/>
              <w:rPr>
                <w:bCs/>
                <w:color w:val="000000"/>
                <w:kern w:val="0"/>
              </w:rPr>
            </w:pPr>
          </w:p>
        </w:tc>
        <w:tc>
          <w:tcPr>
            <w:tcW w:w="911" w:type="dxa"/>
            <w:tcBorders>
              <w:top w:val="single" w:sz="4" w:space="0" w:color="auto"/>
              <w:bottom w:val="single" w:sz="4" w:space="0" w:color="auto"/>
            </w:tcBorders>
          </w:tcPr>
          <w:p w14:paraId="26FF425D" w14:textId="77777777" w:rsidR="00B301B0" w:rsidRPr="00B301B0" w:rsidRDefault="00B301B0" w:rsidP="00B301B0">
            <w:pPr>
              <w:widowControl/>
              <w:overflowPunct/>
              <w:autoSpaceDE/>
              <w:autoSpaceDN/>
              <w:adjustRightInd/>
              <w:jc w:val="center"/>
              <w:rPr>
                <w:bCs/>
                <w:color w:val="000000"/>
                <w:kern w:val="0"/>
              </w:rPr>
            </w:pPr>
            <w:r w:rsidRPr="00B301B0">
              <w:rPr>
                <w:bCs/>
                <w:kern w:val="0"/>
              </w:rPr>
              <w:t>0.54</w:t>
            </w:r>
          </w:p>
        </w:tc>
        <w:tc>
          <w:tcPr>
            <w:tcW w:w="1011" w:type="dxa"/>
            <w:tcBorders>
              <w:top w:val="single" w:sz="4" w:space="0" w:color="auto"/>
              <w:bottom w:val="single" w:sz="4" w:space="0" w:color="auto"/>
            </w:tcBorders>
          </w:tcPr>
          <w:p w14:paraId="29A1BC22" w14:textId="77777777" w:rsidR="00B301B0" w:rsidRPr="00B301B0" w:rsidRDefault="00B301B0" w:rsidP="00B301B0">
            <w:pPr>
              <w:widowControl/>
              <w:overflowPunct/>
              <w:autoSpaceDE/>
              <w:autoSpaceDN/>
              <w:adjustRightInd/>
              <w:jc w:val="center"/>
              <w:rPr>
                <w:bCs/>
                <w:color w:val="000000"/>
                <w:kern w:val="0"/>
              </w:rPr>
            </w:pPr>
            <w:r w:rsidRPr="00B301B0">
              <w:rPr>
                <w:bCs/>
                <w:kern w:val="0"/>
              </w:rPr>
              <w:t>0.47</w:t>
            </w:r>
          </w:p>
        </w:tc>
        <w:tc>
          <w:tcPr>
            <w:tcW w:w="866" w:type="dxa"/>
            <w:tcBorders>
              <w:top w:val="single" w:sz="4" w:space="0" w:color="auto"/>
              <w:bottom w:val="single" w:sz="4" w:space="0" w:color="auto"/>
            </w:tcBorders>
          </w:tcPr>
          <w:p w14:paraId="3CBB2FBB" w14:textId="77777777" w:rsidR="00B301B0" w:rsidRPr="00B301B0" w:rsidRDefault="00B301B0" w:rsidP="00B301B0">
            <w:pPr>
              <w:widowControl/>
              <w:overflowPunct/>
              <w:autoSpaceDE/>
              <w:autoSpaceDN/>
              <w:adjustRightInd/>
              <w:jc w:val="center"/>
              <w:rPr>
                <w:bCs/>
                <w:color w:val="000000"/>
                <w:kern w:val="0"/>
              </w:rPr>
            </w:pPr>
            <w:r w:rsidRPr="00B301B0">
              <w:rPr>
                <w:bCs/>
                <w:kern w:val="0"/>
              </w:rPr>
              <w:t>0.23</w:t>
            </w:r>
          </w:p>
        </w:tc>
        <w:tc>
          <w:tcPr>
            <w:tcW w:w="236" w:type="dxa"/>
            <w:tcBorders>
              <w:top w:val="single" w:sz="4" w:space="0" w:color="auto"/>
              <w:bottom w:val="single" w:sz="4" w:space="0" w:color="auto"/>
            </w:tcBorders>
          </w:tcPr>
          <w:p w14:paraId="7422E86E" w14:textId="77777777" w:rsidR="00B301B0" w:rsidRPr="00B301B0" w:rsidRDefault="00B301B0" w:rsidP="00B301B0">
            <w:pPr>
              <w:widowControl/>
              <w:overflowPunct/>
              <w:autoSpaceDE/>
              <w:autoSpaceDN/>
              <w:adjustRightInd/>
              <w:jc w:val="center"/>
              <w:rPr>
                <w:bCs/>
                <w:kern w:val="0"/>
              </w:rPr>
            </w:pPr>
          </w:p>
        </w:tc>
        <w:tc>
          <w:tcPr>
            <w:tcW w:w="766" w:type="dxa"/>
            <w:tcBorders>
              <w:top w:val="single" w:sz="4" w:space="0" w:color="auto"/>
              <w:bottom w:val="single" w:sz="4" w:space="0" w:color="auto"/>
            </w:tcBorders>
            <w:vAlign w:val="bottom"/>
          </w:tcPr>
          <w:p w14:paraId="7A3BB972" w14:textId="77777777" w:rsidR="00B301B0" w:rsidRPr="00B301B0" w:rsidRDefault="00B301B0" w:rsidP="00B301B0">
            <w:pPr>
              <w:widowControl/>
              <w:overflowPunct/>
              <w:autoSpaceDE/>
              <w:autoSpaceDN/>
              <w:adjustRightInd/>
              <w:jc w:val="center"/>
              <w:rPr>
                <w:bCs/>
                <w:kern w:val="0"/>
              </w:rPr>
            </w:pPr>
            <w:r w:rsidRPr="00B301B0">
              <w:rPr>
                <w:bCs/>
                <w:color w:val="000000"/>
                <w:kern w:val="0"/>
              </w:rPr>
              <w:t>0.37</w:t>
            </w:r>
          </w:p>
        </w:tc>
        <w:tc>
          <w:tcPr>
            <w:tcW w:w="816" w:type="dxa"/>
            <w:tcBorders>
              <w:top w:val="single" w:sz="4" w:space="0" w:color="auto"/>
              <w:bottom w:val="single" w:sz="4" w:space="0" w:color="auto"/>
            </w:tcBorders>
            <w:vAlign w:val="bottom"/>
          </w:tcPr>
          <w:p w14:paraId="6046436C" w14:textId="77777777" w:rsidR="00B301B0" w:rsidRPr="00B301B0" w:rsidRDefault="00B301B0" w:rsidP="00B301B0">
            <w:pPr>
              <w:widowControl/>
              <w:overflowPunct/>
              <w:autoSpaceDE/>
              <w:autoSpaceDN/>
              <w:adjustRightInd/>
              <w:jc w:val="center"/>
              <w:rPr>
                <w:bCs/>
                <w:kern w:val="0"/>
              </w:rPr>
            </w:pPr>
            <w:r w:rsidRPr="00B301B0">
              <w:rPr>
                <w:bCs/>
                <w:color w:val="000000"/>
                <w:kern w:val="0"/>
              </w:rPr>
              <w:t>0.28</w:t>
            </w:r>
          </w:p>
        </w:tc>
        <w:tc>
          <w:tcPr>
            <w:tcW w:w="816" w:type="dxa"/>
            <w:tcBorders>
              <w:top w:val="single" w:sz="4" w:space="0" w:color="auto"/>
              <w:bottom w:val="single" w:sz="4" w:space="0" w:color="auto"/>
            </w:tcBorders>
            <w:vAlign w:val="bottom"/>
          </w:tcPr>
          <w:p w14:paraId="02956D91" w14:textId="77777777" w:rsidR="00B301B0" w:rsidRPr="00B301B0" w:rsidRDefault="00B301B0" w:rsidP="00B301B0">
            <w:pPr>
              <w:widowControl/>
              <w:overflowPunct/>
              <w:autoSpaceDE/>
              <w:autoSpaceDN/>
              <w:adjustRightInd/>
              <w:jc w:val="center"/>
              <w:rPr>
                <w:bCs/>
                <w:kern w:val="0"/>
              </w:rPr>
            </w:pPr>
            <w:r w:rsidRPr="00B301B0">
              <w:rPr>
                <w:bCs/>
                <w:color w:val="000000"/>
                <w:kern w:val="0"/>
              </w:rPr>
              <w:t>0.22</w:t>
            </w:r>
          </w:p>
        </w:tc>
        <w:tc>
          <w:tcPr>
            <w:tcW w:w="970" w:type="dxa"/>
            <w:tcBorders>
              <w:top w:val="single" w:sz="4" w:space="0" w:color="auto"/>
              <w:bottom w:val="single" w:sz="4" w:space="0" w:color="auto"/>
            </w:tcBorders>
            <w:vAlign w:val="bottom"/>
          </w:tcPr>
          <w:p w14:paraId="3998F34C" w14:textId="77777777" w:rsidR="00B301B0" w:rsidRPr="00B301B0" w:rsidRDefault="00B301B0" w:rsidP="00B301B0">
            <w:pPr>
              <w:widowControl/>
              <w:overflowPunct/>
              <w:autoSpaceDE/>
              <w:autoSpaceDN/>
              <w:adjustRightInd/>
              <w:jc w:val="center"/>
              <w:rPr>
                <w:bCs/>
                <w:kern w:val="0"/>
              </w:rPr>
            </w:pPr>
            <w:r w:rsidRPr="00B301B0">
              <w:rPr>
                <w:bCs/>
                <w:color w:val="000000"/>
                <w:kern w:val="0"/>
              </w:rPr>
              <w:t>0.10</w:t>
            </w:r>
          </w:p>
        </w:tc>
      </w:tr>
      <w:tr w:rsidR="00B301B0" w:rsidRPr="00B301B0" w14:paraId="43DF2152" w14:textId="77777777" w:rsidTr="00DB7B9A">
        <w:trPr>
          <w:trHeight w:val="152"/>
        </w:trPr>
        <w:tc>
          <w:tcPr>
            <w:tcW w:w="2160" w:type="dxa"/>
            <w:tcBorders>
              <w:top w:val="single" w:sz="4" w:space="0" w:color="auto"/>
              <w:bottom w:val="single" w:sz="4" w:space="0" w:color="auto"/>
            </w:tcBorders>
            <w:vAlign w:val="center"/>
          </w:tcPr>
          <w:p w14:paraId="7B786F78" w14:textId="77777777" w:rsidR="00B301B0" w:rsidRPr="00B301B0" w:rsidRDefault="00B301B0" w:rsidP="00B301B0">
            <w:pPr>
              <w:widowControl/>
              <w:overflowPunct/>
              <w:autoSpaceDE/>
              <w:autoSpaceDN/>
              <w:adjustRightInd/>
              <w:rPr>
                <w:bCs/>
                <w:kern w:val="0"/>
              </w:rPr>
            </w:pPr>
            <w:r w:rsidRPr="00B301B0">
              <w:rPr>
                <w:rFonts w:ascii="Times New Roman Symbol" w:hAnsi="Times New Roman Symbol"/>
                <w:bCs/>
                <w:kern w:val="0"/>
              </w:rPr>
              <w:t>Persistence r</w:t>
            </w:r>
          </w:p>
        </w:tc>
        <w:tc>
          <w:tcPr>
            <w:tcW w:w="990" w:type="dxa"/>
            <w:tcBorders>
              <w:top w:val="single" w:sz="4" w:space="0" w:color="auto"/>
              <w:bottom w:val="single" w:sz="4" w:space="0" w:color="auto"/>
            </w:tcBorders>
            <w:vAlign w:val="center"/>
          </w:tcPr>
          <w:p w14:paraId="565949ED" w14:textId="77777777" w:rsidR="00B301B0" w:rsidRPr="00B301B0" w:rsidRDefault="00B301B0" w:rsidP="00B301B0">
            <w:pPr>
              <w:widowControl/>
              <w:overflowPunct/>
              <w:autoSpaceDE/>
              <w:autoSpaceDN/>
              <w:adjustRightInd/>
              <w:jc w:val="center"/>
              <w:rPr>
                <w:bCs/>
                <w:kern w:val="0"/>
              </w:rPr>
            </w:pPr>
            <w:r w:rsidRPr="00B301B0">
              <w:rPr>
                <w:bCs/>
                <w:kern w:val="0"/>
              </w:rPr>
              <w:t>0.20</w:t>
            </w:r>
          </w:p>
        </w:tc>
        <w:tc>
          <w:tcPr>
            <w:tcW w:w="1072" w:type="dxa"/>
            <w:tcBorders>
              <w:top w:val="single" w:sz="4" w:space="0" w:color="auto"/>
              <w:bottom w:val="single" w:sz="4" w:space="0" w:color="auto"/>
            </w:tcBorders>
            <w:vAlign w:val="center"/>
          </w:tcPr>
          <w:p w14:paraId="3A75E257" w14:textId="77777777" w:rsidR="00B301B0" w:rsidRPr="00B301B0" w:rsidRDefault="00B301B0" w:rsidP="00B301B0">
            <w:pPr>
              <w:widowControl/>
              <w:overflowPunct/>
              <w:autoSpaceDE/>
              <w:autoSpaceDN/>
              <w:adjustRightInd/>
              <w:jc w:val="center"/>
              <w:rPr>
                <w:bCs/>
                <w:kern w:val="0"/>
              </w:rPr>
            </w:pPr>
            <w:r w:rsidRPr="00B301B0">
              <w:rPr>
                <w:bCs/>
                <w:kern w:val="0"/>
              </w:rPr>
              <w:t>0.19</w:t>
            </w:r>
          </w:p>
        </w:tc>
        <w:tc>
          <w:tcPr>
            <w:tcW w:w="236" w:type="dxa"/>
            <w:tcBorders>
              <w:top w:val="single" w:sz="4" w:space="0" w:color="auto"/>
              <w:bottom w:val="single" w:sz="4" w:space="0" w:color="auto"/>
            </w:tcBorders>
            <w:vAlign w:val="center"/>
          </w:tcPr>
          <w:p w14:paraId="5778E3E5" w14:textId="77777777" w:rsidR="00B301B0" w:rsidRPr="00B301B0" w:rsidRDefault="00B301B0" w:rsidP="00B301B0">
            <w:pPr>
              <w:widowControl/>
              <w:overflowPunct/>
              <w:autoSpaceDE/>
              <w:autoSpaceDN/>
              <w:adjustRightInd/>
              <w:jc w:val="center"/>
              <w:rPr>
                <w:bCs/>
                <w:kern w:val="0"/>
              </w:rPr>
            </w:pPr>
          </w:p>
        </w:tc>
        <w:tc>
          <w:tcPr>
            <w:tcW w:w="911" w:type="dxa"/>
            <w:tcBorders>
              <w:top w:val="single" w:sz="4" w:space="0" w:color="auto"/>
              <w:bottom w:val="single" w:sz="4" w:space="0" w:color="auto"/>
            </w:tcBorders>
            <w:vAlign w:val="center"/>
          </w:tcPr>
          <w:p w14:paraId="53CB9C2F" w14:textId="77777777" w:rsidR="00B301B0" w:rsidRPr="00B301B0" w:rsidRDefault="00B301B0" w:rsidP="00B301B0">
            <w:pPr>
              <w:widowControl/>
              <w:overflowPunct/>
              <w:autoSpaceDE/>
              <w:autoSpaceDN/>
              <w:adjustRightInd/>
              <w:jc w:val="center"/>
              <w:rPr>
                <w:bCs/>
                <w:kern w:val="0"/>
              </w:rPr>
            </w:pPr>
            <w:r w:rsidRPr="00B301B0">
              <w:rPr>
                <w:bCs/>
                <w:kern w:val="0"/>
              </w:rPr>
              <w:t>0.05</w:t>
            </w:r>
          </w:p>
        </w:tc>
        <w:tc>
          <w:tcPr>
            <w:tcW w:w="1011" w:type="dxa"/>
            <w:tcBorders>
              <w:top w:val="single" w:sz="4" w:space="0" w:color="auto"/>
              <w:bottom w:val="single" w:sz="4" w:space="0" w:color="auto"/>
            </w:tcBorders>
            <w:vAlign w:val="center"/>
          </w:tcPr>
          <w:p w14:paraId="4533A8AA" w14:textId="77777777" w:rsidR="00B301B0" w:rsidRPr="00B301B0" w:rsidRDefault="00B301B0" w:rsidP="00B301B0">
            <w:pPr>
              <w:widowControl/>
              <w:overflowPunct/>
              <w:autoSpaceDE/>
              <w:autoSpaceDN/>
              <w:adjustRightInd/>
              <w:jc w:val="center"/>
              <w:rPr>
                <w:bCs/>
                <w:kern w:val="0"/>
              </w:rPr>
            </w:pPr>
            <w:r w:rsidRPr="00B301B0">
              <w:rPr>
                <w:bCs/>
                <w:kern w:val="0"/>
              </w:rPr>
              <w:t>0.05</w:t>
            </w:r>
          </w:p>
        </w:tc>
        <w:tc>
          <w:tcPr>
            <w:tcW w:w="866" w:type="dxa"/>
            <w:tcBorders>
              <w:top w:val="single" w:sz="4" w:space="0" w:color="auto"/>
              <w:bottom w:val="single" w:sz="4" w:space="0" w:color="auto"/>
            </w:tcBorders>
            <w:vAlign w:val="center"/>
          </w:tcPr>
          <w:p w14:paraId="69DA69AE" w14:textId="77777777" w:rsidR="00B301B0" w:rsidRPr="00B301B0" w:rsidRDefault="00B301B0" w:rsidP="00B301B0">
            <w:pPr>
              <w:widowControl/>
              <w:overflowPunct/>
              <w:autoSpaceDE/>
              <w:autoSpaceDN/>
              <w:adjustRightInd/>
              <w:jc w:val="center"/>
              <w:rPr>
                <w:bCs/>
                <w:kern w:val="0"/>
              </w:rPr>
            </w:pPr>
            <w:r w:rsidRPr="00B301B0">
              <w:rPr>
                <w:bCs/>
                <w:kern w:val="0"/>
              </w:rPr>
              <w:t>0.16</w:t>
            </w:r>
          </w:p>
        </w:tc>
        <w:tc>
          <w:tcPr>
            <w:tcW w:w="236" w:type="dxa"/>
            <w:tcBorders>
              <w:top w:val="single" w:sz="4" w:space="0" w:color="auto"/>
              <w:bottom w:val="single" w:sz="4" w:space="0" w:color="auto"/>
            </w:tcBorders>
            <w:vAlign w:val="center"/>
          </w:tcPr>
          <w:p w14:paraId="7B1535F0" w14:textId="77777777" w:rsidR="00B301B0" w:rsidRPr="00B301B0" w:rsidRDefault="00B301B0" w:rsidP="00B301B0">
            <w:pPr>
              <w:widowControl/>
              <w:overflowPunct/>
              <w:autoSpaceDE/>
              <w:autoSpaceDN/>
              <w:adjustRightInd/>
              <w:jc w:val="center"/>
              <w:rPr>
                <w:bCs/>
                <w:kern w:val="0"/>
              </w:rPr>
            </w:pPr>
          </w:p>
        </w:tc>
        <w:tc>
          <w:tcPr>
            <w:tcW w:w="766" w:type="dxa"/>
            <w:tcBorders>
              <w:top w:val="single" w:sz="4" w:space="0" w:color="auto"/>
              <w:bottom w:val="single" w:sz="4" w:space="0" w:color="auto"/>
            </w:tcBorders>
            <w:vAlign w:val="center"/>
          </w:tcPr>
          <w:p w14:paraId="77C33072" w14:textId="77777777" w:rsidR="00B301B0" w:rsidRPr="00B301B0" w:rsidRDefault="00B301B0" w:rsidP="00B301B0">
            <w:pPr>
              <w:widowControl/>
              <w:overflowPunct/>
              <w:autoSpaceDE/>
              <w:autoSpaceDN/>
              <w:adjustRightInd/>
              <w:jc w:val="center"/>
              <w:rPr>
                <w:bCs/>
                <w:kern w:val="0"/>
              </w:rPr>
            </w:pPr>
            <w:r w:rsidRPr="00B301B0">
              <w:rPr>
                <w:bCs/>
                <w:color w:val="000000"/>
                <w:kern w:val="0"/>
              </w:rPr>
              <w:t>0.19</w:t>
            </w:r>
          </w:p>
        </w:tc>
        <w:tc>
          <w:tcPr>
            <w:tcW w:w="816" w:type="dxa"/>
            <w:tcBorders>
              <w:top w:val="single" w:sz="4" w:space="0" w:color="auto"/>
              <w:bottom w:val="single" w:sz="4" w:space="0" w:color="auto"/>
            </w:tcBorders>
            <w:vAlign w:val="center"/>
          </w:tcPr>
          <w:p w14:paraId="162673C9" w14:textId="77777777" w:rsidR="00B301B0" w:rsidRPr="00B301B0" w:rsidRDefault="00B301B0" w:rsidP="00B301B0">
            <w:pPr>
              <w:widowControl/>
              <w:overflowPunct/>
              <w:autoSpaceDE/>
              <w:autoSpaceDN/>
              <w:adjustRightInd/>
              <w:jc w:val="center"/>
              <w:rPr>
                <w:bCs/>
                <w:kern w:val="0"/>
              </w:rPr>
            </w:pPr>
            <w:r w:rsidRPr="00B301B0">
              <w:rPr>
                <w:bCs/>
                <w:color w:val="000000"/>
                <w:kern w:val="0"/>
              </w:rPr>
              <w:t>0.23</w:t>
            </w:r>
          </w:p>
        </w:tc>
        <w:tc>
          <w:tcPr>
            <w:tcW w:w="816" w:type="dxa"/>
            <w:tcBorders>
              <w:top w:val="single" w:sz="4" w:space="0" w:color="auto"/>
              <w:bottom w:val="single" w:sz="4" w:space="0" w:color="auto"/>
            </w:tcBorders>
            <w:vAlign w:val="center"/>
          </w:tcPr>
          <w:p w14:paraId="5C34AEEC" w14:textId="77777777" w:rsidR="00B301B0" w:rsidRPr="00B301B0" w:rsidRDefault="00B301B0" w:rsidP="00B301B0">
            <w:pPr>
              <w:widowControl/>
              <w:overflowPunct/>
              <w:autoSpaceDE/>
              <w:autoSpaceDN/>
              <w:adjustRightInd/>
              <w:jc w:val="center"/>
              <w:rPr>
                <w:bCs/>
                <w:kern w:val="0"/>
              </w:rPr>
            </w:pPr>
            <w:r w:rsidRPr="00B301B0">
              <w:rPr>
                <w:bCs/>
                <w:color w:val="000000"/>
                <w:kern w:val="0"/>
              </w:rPr>
              <w:t>0.19</w:t>
            </w:r>
          </w:p>
        </w:tc>
        <w:tc>
          <w:tcPr>
            <w:tcW w:w="970" w:type="dxa"/>
            <w:tcBorders>
              <w:top w:val="single" w:sz="4" w:space="0" w:color="auto"/>
              <w:bottom w:val="single" w:sz="4" w:space="0" w:color="auto"/>
            </w:tcBorders>
            <w:vAlign w:val="center"/>
          </w:tcPr>
          <w:p w14:paraId="6C2789D2" w14:textId="77777777" w:rsidR="00B301B0" w:rsidRPr="00B301B0" w:rsidRDefault="00B301B0" w:rsidP="00B301B0">
            <w:pPr>
              <w:widowControl/>
              <w:overflowPunct/>
              <w:autoSpaceDE/>
              <w:autoSpaceDN/>
              <w:adjustRightInd/>
              <w:jc w:val="center"/>
              <w:rPr>
                <w:bCs/>
                <w:kern w:val="0"/>
              </w:rPr>
            </w:pPr>
            <w:r w:rsidRPr="00B301B0">
              <w:rPr>
                <w:bCs/>
                <w:color w:val="000000"/>
                <w:kern w:val="0"/>
              </w:rPr>
              <w:t>0.18</w:t>
            </w:r>
          </w:p>
        </w:tc>
      </w:tr>
      <w:tr w:rsidR="00B301B0" w:rsidRPr="00B301B0" w14:paraId="3F36F5D0" w14:textId="77777777" w:rsidTr="00DB7B9A">
        <w:tc>
          <w:tcPr>
            <w:tcW w:w="2160" w:type="dxa"/>
            <w:tcBorders>
              <w:top w:val="single" w:sz="4" w:space="0" w:color="auto"/>
              <w:bottom w:val="single" w:sz="4" w:space="0" w:color="auto"/>
            </w:tcBorders>
          </w:tcPr>
          <w:p w14:paraId="620E0D25" w14:textId="77777777" w:rsidR="00B301B0" w:rsidRPr="00B301B0" w:rsidRDefault="00B301B0" w:rsidP="00B301B0">
            <w:pPr>
              <w:widowControl/>
              <w:overflowPunct/>
              <w:autoSpaceDE/>
              <w:autoSpaceDN/>
              <w:adjustRightInd/>
              <w:rPr>
                <w:bCs/>
                <w:kern w:val="0"/>
              </w:rPr>
            </w:pPr>
            <w:r w:rsidRPr="00B301B0">
              <w:rPr>
                <w:bCs/>
                <w:kern w:val="0"/>
              </w:rPr>
              <w:t>Observations</w:t>
            </w:r>
          </w:p>
        </w:tc>
        <w:tc>
          <w:tcPr>
            <w:tcW w:w="990" w:type="dxa"/>
            <w:tcBorders>
              <w:top w:val="single" w:sz="4" w:space="0" w:color="auto"/>
              <w:bottom w:val="single" w:sz="4" w:space="0" w:color="auto"/>
            </w:tcBorders>
          </w:tcPr>
          <w:p w14:paraId="501B33C9" w14:textId="77777777" w:rsidR="00B301B0" w:rsidRPr="00B301B0" w:rsidRDefault="00B301B0" w:rsidP="00B301B0">
            <w:pPr>
              <w:widowControl/>
              <w:overflowPunct/>
              <w:autoSpaceDE/>
              <w:autoSpaceDN/>
              <w:adjustRightInd/>
              <w:jc w:val="center"/>
              <w:rPr>
                <w:bCs/>
                <w:color w:val="000000"/>
                <w:kern w:val="0"/>
              </w:rPr>
            </w:pPr>
            <w:r w:rsidRPr="00B301B0">
              <w:rPr>
                <w:bCs/>
                <w:kern w:val="0"/>
              </w:rPr>
              <w:t>30,233</w:t>
            </w:r>
          </w:p>
        </w:tc>
        <w:tc>
          <w:tcPr>
            <w:tcW w:w="1072" w:type="dxa"/>
            <w:tcBorders>
              <w:top w:val="single" w:sz="4" w:space="0" w:color="auto"/>
              <w:bottom w:val="single" w:sz="4" w:space="0" w:color="auto"/>
            </w:tcBorders>
          </w:tcPr>
          <w:p w14:paraId="3E9E7CB6" w14:textId="77777777" w:rsidR="00B301B0" w:rsidRPr="00B301B0" w:rsidRDefault="00B301B0" w:rsidP="00B301B0">
            <w:pPr>
              <w:widowControl/>
              <w:overflowPunct/>
              <w:autoSpaceDE/>
              <w:autoSpaceDN/>
              <w:adjustRightInd/>
              <w:jc w:val="center"/>
              <w:rPr>
                <w:bCs/>
                <w:kern w:val="0"/>
              </w:rPr>
            </w:pPr>
            <w:r w:rsidRPr="00B301B0">
              <w:rPr>
                <w:bCs/>
                <w:kern w:val="0"/>
              </w:rPr>
              <w:t>289,932</w:t>
            </w:r>
          </w:p>
        </w:tc>
        <w:tc>
          <w:tcPr>
            <w:tcW w:w="236" w:type="dxa"/>
            <w:tcBorders>
              <w:top w:val="single" w:sz="4" w:space="0" w:color="auto"/>
              <w:bottom w:val="single" w:sz="4" w:space="0" w:color="auto"/>
            </w:tcBorders>
          </w:tcPr>
          <w:p w14:paraId="61233206" w14:textId="77777777" w:rsidR="00B301B0" w:rsidRPr="00B301B0" w:rsidRDefault="00B301B0" w:rsidP="00B301B0">
            <w:pPr>
              <w:widowControl/>
              <w:overflowPunct/>
              <w:autoSpaceDE/>
              <w:autoSpaceDN/>
              <w:adjustRightInd/>
              <w:jc w:val="center"/>
              <w:rPr>
                <w:bCs/>
                <w:color w:val="000000"/>
                <w:kern w:val="0"/>
              </w:rPr>
            </w:pPr>
          </w:p>
        </w:tc>
        <w:tc>
          <w:tcPr>
            <w:tcW w:w="911" w:type="dxa"/>
            <w:tcBorders>
              <w:top w:val="single" w:sz="4" w:space="0" w:color="auto"/>
              <w:bottom w:val="single" w:sz="4" w:space="0" w:color="auto"/>
            </w:tcBorders>
          </w:tcPr>
          <w:p w14:paraId="1E42FD34" w14:textId="77777777" w:rsidR="00B301B0" w:rsidRPr="00B301B0" w:rsidRDefault="00B301B0" w:rsidP="00B301B0">
            <w:pPr>
              <w:widowControl/>
              <w:overflowPunct/>
              <w:autoSpaceDE/>
              <w:autoSpaceDN/>
              <w:adjustRightInd/>
              <w:jc w:val="center"/>
              <w:rPr>
                <w:bCs/>
                <w:color w:val="000000"/>
                <w:kern w:val="0"/>
              </w:rPr>
            </w:pPr>
            <w:r w:rsidRPr="00B301B0">
              <w:rPr>
                <w:bCs/>
                <w:kern w:val="0"/>
              </w:rPr>
              <w:t>57,702</w:t>
            </w:r>
          </w:p>
        </w:tc>
        <w:tc>
          <w:tcPr>
            <w:tcW w:w="1011" w:type="dxa"/>
            <w:tcBorders>
              <w:top w:val="single" w:sz="4" w:space="0" w:color="auto"/>
              <w:bottom w:val="single" w:sz="4" w:space="0" w:color="auto"/>
            </w:tcBorders>
          </w:tcPr>
          <w:p w14:paraId="0AF87262" w14:textId="77777777" w:rsidR="00B301B0" w:rsidRPr="00B301B0" w:rsidRDefault="00B301B0" w:rsidP="00B301B0">
            <w:pPr>
              <w:widowControl/>
              <w:overflowPunct/>
              <w:autoSpaceDE/>
              <w:autoSpaceDN/>
              <w:adjustRightInd/>
              <w:jc w:val="center"/>
              <w:rPr>
                <w:bCs/>
                <w:color w:val="000000"/>
                <w:kern w:val="0"/>
              </w:rPr>
            </w:pPr>
            <w:r w:rsidRPr="00B301B0">
              <w:rPr>
                <w:bCs/>
                <w:kern w:val="0"/>
              </w:rPr>
              <w:t>74,306</w:t>
            </w:r>
          </w:p>
        </w:tc>
        <w:tc>
          <w:tcPr>
            <w:tcW w:w="866" w:type="dxa"/>
            <w:tcBorders>
              <w:top w:val="single" w:sz="4" w:space="0" w:color="auto"/>
              <w:bottom w:val="single" w:sz="4" w:space="0" w:color="auto"/>
            </w:tcBorders>
          </w:tcPr>
          <w:p w14:paraId="7848DFCE" w14:textId="77777777" w:rsidR="00B301B0" w:rsidRPr="00B301B0" w:rsidRDefault="00B301B0" w:rsidP="00B301B0">
            <w:pPr>
              <w:widowControl/>
              <w:overflowPunct/>
              <w:autoSpaceDE/>
              <w:autoSpaceDN/>
              <w:adjustRightInd/>
              <w:jc w:val="center"/>
              <w:rPr>
                <w:bCs/>
                <w:color w:val="000000"/>
                <w:kern w:val="0"/>
              </w:rPr>
            </w:pPr>
            <w:r w:rsidRPr="00B301B0">
              <w:rPr>
                <w:bCs/>
                <w:kern w:val="0"/>
              </w:rPr>
              <w:t>260,079</w:t>
            </w:r>
          </w:p>
        </w:tc>
        <w:tc>
          <w:tcPr>
            <w:tcW w:w="236" w:type="dxa"/>
            <w:tcBorders>
              <w:top w:val="single" w:sz="4" w:space="0" w:color="auto"/>
              <w:bottom w:val="single" w:sz="4" w:space="0" w:color="auto"/>
            </w:tcBorders>
          </w:tcPr>
          <w:p w14:paraId="1EBEE99C" w14:textId="77777777" w:rsidR="00B301B0" w:rsidRPr="00B301B0" w:rsidRDefault="00B301B0" w:rsidP="00B301B0">
            <w:pPr>
              <w:widowControl/>
              <w:overflowPunct/>
              <w:autoSpaceDE/>
              <w:autoSpaceDN/>
              <w:adjustRightInd/>
              <w:jc w:val="center"/>
              <w:rPr>
                <w:bCs/>
                <w:kern w:val="0"/>
              </w:rPr>
            </w:pPr>
          </w:p>
        </w:tc>
        <w:tc>
          <w:tcPr>
            <w:tcW w:w="766" w:type="dxa"/>
            <w:tcBorders>
              <w:top w:val="single" w:sz="4" w:space="0" w:color="auto"/>
              <w:bottom w:val="single" w:sz="4" w:space="0" w:color="auto"/>
            </w:tcBorders>
            <w:vAlign w:val="bottom"/>
          </w:tcPr>
          <w:p w14:paraId="1D14BE3F" w14:textId="77777777" w:rsidR="00B301B0" w:rsidRPr="00B301B0" w:rsidRDefault="00B301B0" w:rsidP="00B301B0">
            <w:pPr>
              <w:widowControl/>
              <w:overflowPunct/>
              <w:autoSpaceDE/>
              <w:autoSpaceDN/>
              <w:adjustRightInd/>
              <w:jc w:val="center"/>
              <w:rPr>
                <w:bCs/>
                <w:kern w:val="0"/>
              </w:rPr>
            </w:pPr>
            <w:r w:rsidRPr="00B301B0">
              <w:rPr>
                <w:bCs/>
                <w:kern w:val="0"/>
              </w:rPr>
              <w:t>51,078</w:t>
            </w:r>
          </w:p>
        </w:tc>
        <w:tc>
          <w:tcPr>
            <w:tcW w:w="816" w:type="dxa"/>
            <w:tcBorders>
              <w:top w:val="single" w:sz="4" w:space="0" w:color="auto"/>
              <w:bottom w:val="single" w:sz="4" w:space="0" w:color="auto"/>
            </w:tcBorders>
            <w:vAlign w:val="bottom"/>
          </w:tcPr>
          <w:p w14:paraId="3FD32FAF" w14:textId="77777777" w:rsidR="00B301B0" w:rsidRPr="00B301B0" w:rsidRDefault="00B301B0" w:rsidP="00B301B0">
            <w:pPr>
              <w:widowControl/>
              <w:overflowPunct/>
              <w:autoSpaceDE/>
              <w:autoSpaceDN/>
              <w:adjustRightInd/>
              <w:jc w:val="center"/>
              <w:rPr>
                <w:bCs/>
                <w:kern w:val="0"/>
              </w:rPr>
            </w:pPr>
            <w:r w:rsidRPr="00B301B0">
              <w:rPr>
                <w:bCs/>
                <w:color w:val="000000"/>
                <w:kern w:val="0"/>
              </w:rPr>
              <w:t>49,077</w:t>
            </w:r>
          </w:p>
        </w:tc>
        <w:tc>
          <w:tcPr>
            <w:tcW w:w="816" w:type="dxa"/>
            <w:tcBorders>
              <w:top w:val="single" w:sz="4" w:space="0" w:color="auto"/>
              <w:bottom w:val="single" w:sz="4" w:space="0" w:color="auto"/>
            </w:tcBorders>
            <w:vAlign w:val="bottom"/>
          </w:tcPr>
          <w:p w14:paraId="23D91A47" w14:textId="77777777" w:rsidR="00B301B0" w:rsidRPr="00B301B0" w:rsidRDefault="00B301B0" w:rsidP="00B301B0">
            <w:pPr>
              <w:widowControl/>
              <w:overflowPunct/>
              <w:autoSpaceDE/>
              <w:autoSpaceDN/>
              <w:adjustRightInd/>
              <w:jc w:val="center"/>
              <w:rPr>
                <w:bCs/>
                <w:kern w:val="0"/>
              </w:rPr>
            </w:pPr>
            <w:r w:rsidRPr="00B301B0">
              <w:rPr>
                <w:bCs/>
                <w:color w:val="000000"/>
                <w:kern w:val="0"/>
              </w:rPr>
              <w:t>79,652</w:t>
            </w:r>
          </w:p>
        </w:tc>
        <w:tc>
          <w:tcPr>
            <w:tcW w:w="970" w:type="dxa"/>
            <w:tcBorders>
              <w:top w:val="single" w:sz="4" w:space="0" w:color="auto"/>
              <w:bottom w:val="single" w:sz="4" w:space="0" w:color="auto"/>
            </w:tcBorders>
            <w:vAlign w:val="bottom"/>
          </w:tcPr>
          <w:p w14:paraId="5AD1D721" w14:textId="77777777" w:rsidR="00B301B0" w:rsidRPr="00B301B0" w:rsidRDefault="00B301B0" w:rsidP="00B301B0">
            <w:pPr>
              <w:widowControl/>
              <w:overflowPunct/>
              <w:autoSpaceDE/>
              <w:autoSpaceDN/>
              <w:adjustRightInd/>
              <w:jc w:val="center"/>
              <w:rPr>
                <w:bCs/>
                <w:kern w:val="0"/>
              </w:rPr>
            </w:pPr>
            <w:r w:rsidRPr="00B301B0">
              <w:rPr>
                <w:bCs/>
                <w:color w:val="000000"/>
                <w:kern w:val="0"/>
              </w:rPr>
              <w:t>109,889</w:t>
            </w:r>
          </w:p>
        </w:tc>
      </w:tr>
    </w:tbl>
    <w:p w14:paraId="3A810AD3" w14:textId="77777777" w:rsidR="00B301B0" w:rsidRPr="00B301B0" w:rsidRDefault="00B301B0" w:rsidP="00B301B0">
      <w:pPr>
        <w:widowControl/>
        <w:tabs>
          <w:tab w:val="left" w:pos="11430"/>
        </w:tabs>
        <w:overflowPunct/>
        <w:autoSpaceDE/>
        <w:autoSpaceDN/>
        <w:adjustRightInd/>
        <w:ind w:left="720" w:right="1440"/>
        <w:jc w:val="both"/>
        <w:rPr>
          <w:bCs/>
          <w:kern w:val="0"/>
        </w:rPr>
      </w:pPr>
      <w:r w:rsidRPr="00B301B0">
        <w:rPr>
          <w:bCs/>
          <w:kern w:val="0"/>
        </w:rPr>
        <w:t xml:space="preserve">Notes: Variance explained by each effect in percent; NS = Not significant (p &gt; 0.05); A = denotes a relative effect size (i.e., MNE effect / subsidiary effect); Dependent variable is ROA; Subsample observations may not equal full sample observations due to missing data; Network size percentiles are based on all network sizes with the removal of duplicates sizes (e.g., two MNEs with 10 subsidiaries). </w:t>
      </w:r>
    </w:p>
    <w:p w14:paraId="252E4F94" w14:textId="77777777" w:rsidR="00B301B0" w:rsidRPr="00B301B0" w:rsidRDefault="00B301B0" w:rsidP="00B301B0">
      <w:pPr>
        <w:widowControl/>
        <w:overflowPunct/>
        <w:autoSpaceDE/>
        <w:autoSpaceDN/>
        <w:adjustRightInd/>
        <w:ind w:left="720"/>
        <w:rPr>
          <w:bCs/>
          <w:kern w:val="0"/>
          <w:sz w:val="24"/>
          <w:szCs w:val="24"/>
        </w:rPr>
      </w:pPr>
      <w:r w:rsidRPr="00B301B0">
        <w:rPr>
          <w:bCs/>
          <w:kern w:val="0"/>
          <w:sz w:val="24"/>
          <w:szCs w:val="24"/>
        </w:rPr>
        <w:t>Table 6. Sensitivity variance decomposition results</w:t>
      </w:r>
    </w:p>
    <w:p w14:paraId="7CAF9C8E" w14:textId="77777777" w:rsidR="00B301B0" w:rsidRPr="00B301B0" w:rsidRDefault="00B301B0" w:rsidP="00B301B0">
      <w:pPr>
        <w:widowControl/>
        <w:overflowPunct/>
        <w:autoSpaceDE/>
        <w:autoSpaceDN/>
        <w:adjustRightInd/>
        <w:rPr>
          <w:bCs/>
          <w:kern w:val="0"/>
          <w:sz w:val="10"/>
          <w:szCs w:val="10"/>
        </w:rPr>
      </w:pPr>
    </w:p>
    <w:tbl>
      <w:tblPr>
        <w:tblStyle w:val="TableGrid"/>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016"/>
        <w:gridCol w:w="2016"/>
        <w:gridCol w:w="2016"/>
      </w:tblGrid>
      <w:tr w:rsidR="00B301B0" w:rsidRPr="00B301B0" w14:paraId="12D6570F" w14:textId="77777777" w:rsidTr="00DB7B9A">
        <w:tc>
          <w:tcPr>
            <w:tcW w:w="2410" w:type="dxa"/>
            <w:tcBorders>
              <w:top w:val="single" w:sz="4" w:space="0" w:color="auto"/>
              <w:bottom w:val="single" w:sz="4" w:space="0" w:color="auto"/>
            </w:tcBorders>
            <w:vAlign w:val="center"/>
          </w:tcPr>
          <w:p w14:paraId="7815F1D6" w14:textId="77777777" w:rsidR="00B301B0" w:rsidRPr="00B301B0" w:rsidRDefault="00B301B0" w:rsidP="00B301B0">
            <w:pPr>
              <w:widowControl/>
              <w:overflowPunct/>
              <w:autoSpaceDE/>
              <w:autoSpaceDN/>
              <w:adjustRightInd/>
              <w:rPr>
                <w:bCs/>
                <w:kern w:val="0"/>
              </w:rPr>
            </w:pPr>
          </w:p>
        </w:tc>
        <w:tc>
          <w:tcPr>
            <w:tcW w:w="2016" w:type="dxa"/>
            <w:tcBorders>
              <w:top w:val="single" w:sz="4" w:space="0" w:color="auto"/>
              <w:bottom w:val="single" w:sz="4" w:space="0" w:color="auto"/>
            </w:tcBorders>
            <w:vAlign w:val="center"/>
          </w:tcPr>
          <w:p w14:paraId="7CEBA17D" w14:textId="77777777" w:rsidR="00B301B0" w:rsidRPr="00B301B0" w:rsidRDefault="00B301B0" w:rsidP="00B301B0">
            <w:pPr>
              <w:widowControl/>
              <w:overflowPunct/>
              <w:autoSpaceDE/>
              <w:autoSpaceDN/>
              <w:adjustRightInd/>
              <w:jc w:val="center"/>
              <w:rPr>
                <w:bCs/>
                <w:kern w:val="0"/>
              </w:rPr>
            </w:pPr>
            <w:r w:rsidRPr="00B301B0">
              <w:rPr>
                <w:bCs/>
                <w:kern w:val="0"/>
              </w:rPr>
              <w:t>MNE Effect</w:t>
            </w:r>
          </w:p>
        </w:tc>
        <w:tc>
          <w:tcPr>
            <w:tcW w:w="2016" w:type="dxa"/>
            <w:tcBorders>
              <w:top w:val="single" w:sz="4" w:space="0" w:color="auto"/>
              <w:bottom w:val="single" w:sz="4" w:space="0" w:color="auto"/>
            </w:tcBorders>
            <w:vAlign w:val="center"/>
          </w:tcPr>
          <w:p w14:paraId="769F3743" w14:textId="77777777" w:rsidR="00B301B0" w:rsidRPr="00B301B0" w:rsidRDefault="00B301B0" w:rsidP="00B301B0">
            <w:pPr>
              <w:widowControl/>
              <w:overflowPunct/>
              <w:autoSpaceDE/>
              <w:autoSpaceDN/>
              <w:adjustRightInd/>
              <w:jc w:val="center"/>
              <w:rPr>
                <w:bCs/>
                <w:kern w:val="0"/>
              </w:rPr>
            </w:pPr>
            <w:r w:rsidRPr="00B301B0">
              <w:rPr>
                <w:bCs/>
                <w:kern w:val="0"/>
              </w:rPr>
              <w:t>Subsidiary Effect</w:t>
            </w:r>
          </w:p>
        </w:tc>
        <w:tc>
          <w:tcPr>
            <w:tcW w:w="2016" w:type="dxa"/>
            <w:tcBorders>
              <w:top w:val="single" w:sz="4" w:space="0" w:color="auto"/>
              <w:bottom w:val="single" w:sz="4" w:space="0" w:color="auto"/>
            </w:tcBorders>
            <w:vAlign w:val="center"/>
          </w:tcPr>
          <w:p w14:paraId="5517F31C" w14:textId="77777777" w:rsidR="00B301B0" w:rsidRPr="00B301B0" w:rsidRDefault="00B301B0" w:rsidP="00B301B0">
            <w:pPr>
              <w:widowControl/>
              <w:overflowPunct/>
              <w:autoSpaceDE/>
              <w:autoSpaceDN/>
              <w:adjustRightInd/>
              <w:jc w:val="center"/>
              <w:rPr>
                <w:bCs/>
                <w:kern w:val="0"/>
              </w:rPr>
            </w:pPr>
            <w:r w:rsidRPr="00B301B0">
              <w:rPr>
                <w:bCs/>
                <w:kern w:val="0"/>
              </w:rPr>
              <w:t>Relative MNE Effect</w:t>
            </w:r>
          </w:p>
        </w:tc>
      </w:tr>
      <w:tr w:rsidR="00B301B0" w:rsidRPr="00B301B0" w14:paraId="27591FBB" w14:textId="77777777" w:rsidTr="00DB7B9A">
        <w:tc>
          <w:tcPr>
            <w:tcW w:w="2410" w:type="dxa"/>
            <w:tcBorders>
              <w:top w:val="single" w:sz="4" w:space="0" w:color="auto"/>
              <w:bottom w:val="dashed" w:sz="4" w:space="0" w:color="auto"/>
            </w:tcBorders>
            <w:vAlign w:val="bottom"/>
          </w:tcPr>
          <w:p w14:paraId="43D6A4C7" w14:textId="77777777" w:rsidR="00B301B0" w:rsidRPr="00B301B0" w:rsidRDefault="00B301B0" w:rsidP="00B301B0">
            <w:pPr>
              <w:widowControl/>
              <w:overflowPunct/>
              <w:autoSpaceDE/>
              <w:autoSpaceDN/>
              <w:adjustRightInd/>
              <w:rPr>
                <w:bCs/>
                <w:color w:val="000000"/>
                <w:kern w:val="0"/>
              </w:rPr>
            </w:pPr>
            <w:r w:rsidRPr="00B301B0">
              <w:rPr>
                <w:bCs/>
                <w:color w:val="000000"/>
                <w:kern w:val="0"/>
              </w:rPr>
              <w:t>Base Model</w:t>
            </w:r>
            <w:r w:rsidRPr="00B301B0">
              <w:rPr>
                <w:bCs/>
                <w:kern w:val="0"/>
                <w:vertAlign w:val="superscript"/>
              </w:rPr>
              <w:t xml:space="preserve"> A</w:t>
            </w:r>
          </w:p>
        </w:tc>
        <w:tc>
          <w:tcPr>
            <w:tcW w:w="2016" w:type="dxa"/>
            <w:tcBorders>
              <w:top w:val="single" w:sz="4" w:space="0" w:color="auto"/>
              <w:bottom w:val="dashed" w:sz="4" w:space="0" w:color="auto"/>
            </w:tcBorders>
            <w:vAlign w:val="center"/>
          </w:tcPr>
          <w:p w14:paraId="1C7C4754" w14:textId="77777777" w:rsidR="00B301B0" w:rsidRPr="00B301B0" w:rsidRDefault="00B301B0" w:rsidP="00B301B0">
            <w:pPr>
              <w:widowControl/>
              <w:overflowPunct/>
              <w:autoSpaceDE/>
              <w:autoSpaceDN/>
              <w:adjustRightInd/>
              <w:jc w:val="center"/>
              <w:rPr>
                <w:bCs/>
                <w:kern w:val="0"/>
              </w:rPr>
            </w:pPr>
            <w:r w:rsidRPr="00B301B0">
              <w:rPr>
                <w:bCs/>
                <w:kern w:val="0"/>
              </w:rPr>
              <w:t>5.44</w:t>
            </w:r>
          </w:p>
        </w:tc>
        <w:tc>
          <w:tcPr>
            <w:tcW w:w="2016" w:type="dxa"/>
            <w:tcBorders>
              <w:top w:val="single" w:sz="4" w:space="0" w:color="auto"/>
              <w:bottom w:val="dashed" w:sz="4" w:space="0" w:color="auto"/>
            </w:tcBorders>
            <w:vAlign w:val="center"/>
          </w:tcPr>
          <w:p w14:paraId="66C91D9B"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34.47</w:t>
            </w:r>
          </w:p>
        </w:tc>
        <w:tc>
          <w:tcPr>
            <w:tcW w:w="2016" w:type="dxa"/>
            <w:tcBorders>
              <w:top w:val="single" w:sz="4" w:space="0" w:color="auto"/>
              <w:bottom w:val="dashed" w:sz="4" w:space="0" w:color="auto"/>
            </w:tcBorders>
            <w:vAlign w:val="center"/>
          </w:tcPr>
          <w:p w14:paraId="4C81B713"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0.16</w:t>
            </w:r>
          </w:p>
        </w:tc>
      </w:tr>
      <w:tr w:rsidR="00B301B0" w:rsidRPr="00B301B0" w14:paraId="3AF3F666" w14:textId="77777777" w:rsidTr="00DB7B9A">
        <w:tc>
          <w:tcPr>
            <w:tcW w:w="2410" w:type="dxa"/>
            <w:tcBorders>
              <w:top w:val="dashed" w:sz="4" w:space="0" w:color="auto"/>
            </w:tcBorders>
            <w:vAlign w:val="bottom"/>
          </w:tcPr>
          <w:p w14:paraId="21231BE2" w14:textId="77777777" w:rsidR="00B301B0" w:rsidRPr="00B301B0" w:rsidRDefault="00B301B0" w:rsidP="00B301B0">
            <w:pPr>
              <w:widowControl/>
              <w:overflowPunct/>
              <w:autoSpaceDE/>
              <w:autoSpaceDN/>
              <w:adjustRightInd/>
              <w:rPr>
                <w:bCs/>
                <w:color w:val="000000"/>
                <w:kern w:val="0"/>
              </w:rPr>
            </w:pPr>
            <w:r w:rsidRPr="00B301B0">
              <w:rPr>
                <w:bCs/>
                <w:color w:val="000000"/>
                <w:kern w:val="0"/>
              </w:rPr>
              <w:t>Multilevel Model</w:t>
            </w:r>
          </w:p>
        </w:tc>
        <w:tc>
          <w:tcPr>
            <w:tcW w:w="2016" w:type="dxa"/>
            <w:tcBorders>
              <w:top w:val="dashed" w:sz="4" w:space="0" w:color="auto"/>
            </w:tcBorders>
            <w:vAlign w:val="center"/>
          </w:tcPr>
          <w:p w14:paraId="5AF16380" w14:textId="77777777" w:rsidR="00B301B0" w:rsidRPr="00B301B0" w:rsidRDefault="00B301B0" w:rsidP="00B301B0">
            <w:pPr>
              <w:widowControl/>
              <w:overflowPunct/>
              <w:autoSpaceDE/>
              <w:autoSpaceDN/>
              <w:adjustRightInd/>
              <w:jc w:val="center"/>
              <w:rPr>
                <w:bCs/>
                <w:kern w:val="0"/>
              </w:rPr>
            </w:pPr>
            <w:r w:rsidRPr="00B301B0">
              <w:rPr>
                <w:bCs/>
                <w:kern w:val="0"/>
              </w:rPr>
              <w:t>5.26</w:t>
            </w:r>
          </w:p>
        </w:tc>
        <w:tc>
          <w:tcPr>
            <w:tcW w:w="2016" w:type="dxa"/>
            <w:tcBorders>
              <w:top w:val="dashed" w:sz="4" w:space="0" w:color="auto"/>
            </w:tcBorders>
            <w:vAlign w:val="center"/>
          </w:tcPr>
          <w:p w14:paraId="7982FA64"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35.48</w:t>
            </w:r>
          </w:p>
        </w:tc>
        <w:tc>
          <w:tcPr>
            <w:tcW w:w="2016" w:type="dxa"/>
            <w:tcBorders>
              <w:top w:val="dashed" w:sz="4" w:space="0" w:color="auto"/>
            </w:tcBorders>
            <w:vAlign w:val="center"/>
          </w:tcPr>
          <w:p w14:paraId="30CCC6D0" w14:textId="77777777" w:rsidR="00B301B0" w:rsidRPr="00B301B0" w:rsidRDefault="00B301B0" w:rsidP="00B301B0">
            <w:pPr>
              <w:widowControl/>
              <w:overflowPunct/>
              <w:autoSpaceDE/>
              <w:autoSpaceDN/>
              <w:adjustRightInd/>
              <w:jc w:val="center"/>
              <w:rPr>
                <w:bCs/>
                <w:color w:val="000000"/>
                <w:kern w:val="0"/>
              </w:rPr>
            </w:pPr>
            <w:r w:rsidRPr="00B301B0">
              <w:rPr>
                <w:bCs/>
                <w:color w:val="000000"/>
                <w:kern w:val="0"/>
              </w:rPr>
              <w:t>0.15</w:t>
            </w:r>
          </w:p>
        </w:tc>
      </w:tr>
      <w:tr w:rsidR="00B301B0" w:rsidRPr="00B301B0" w14:paraId="7EF0639D" w14:textId="77777777" w:rsidTr="00DB7B9A">
        <w:tc>
          <w:tcPr>
            <w:tcW w:w="2410" w:type="dxa"/>
            <w:vAlign w:val="bottom"/>
          </w:tcPr>
          <w:p w14:paraId="3C4082EB" w14:textId="77777777" w:rsidR="00B301B0" w:rsidRPr="00B301B0" w:rsidRDefault="00B301B0" w:rsidP="00B301B0">
            <w:pPr>
              <w:widowControl/>
              <w:overflowPunct/>
              <w:autoSpaceDE/>
              <w:autoSpaceDN/>
              <w:adjustRightInd/>
              <w:rPr>
                <w:bCs/>
                <w:kern w:val="0"/>
              </w:rPr>
            </w:pPr>
            <w:r w:rsidRPr="00B301B0">
              <w:rPr>
                <w:bCs/>
                <w:color w:val="000000"/>
                <w:kern w:val="0"/>
              </w:rPr>
              <w:t>ROA (without outliers)</w:t>
            </w:r>
            <w:r w:rsidRPr="00B301B0">
              <w:rPr>
                <w:bCs/>
                <w:kern w:val="0"/>
                <w:vertAlign w:val="superscript"/>
              </w:rPr>
              <w:t xml:space="preserve"> B</w:t>
            </w:r>
            <w:r w:rsidRPr="00B301B0">
              <w:rPr>
                <w:bCs/>
                <w:color w:val="000000"/>
                <w:kern w:val="0"/>
              </w:rPr>
              <w:t xml:space="preserve"> </w:t>
            </w:r>
          </w:p>
        </w:tc>
        <w:tc>
          <w:tcPr>
            <w:tcW w:w="2016" w:type="dxa"/>
            <w:vAlign w:val="center"/>
          </w:tcPr>
          <w:p w14:paraId="11EB3F60" w14:textId="77777777" w:rsidR="00B301B0" w:rsidRPr="00B301B0" w:rsidRDefault="00B301B0" w:rsidP="00B301B0">
            <w:pPr>
              <w:widowControl/>
              <w:overflowPunct/>
              <w:autoSpaceDE/>
              <w:autoSpaceDN/>
              <w:adjustRightInd/>
              <w:jc w:val="center"/>
              <w:rPr>
                <w:bCs/>
                <w:kern w:val="0"/>
              </w:rPr>
            </w:pPr>
            <w:r w:rsidRPr="00B301B0">
              <w:rPr>
                <w:bCs/>
                <w:kern w:val="0"/>
              </w:rPr>
              <w:t>5.67</w:t>
            </w:r>
          </w:p>
        </w:tc>
        <w:tc>
          <w:tcPr>
            <w:tcW w:w="2016" w:type="dxa"/>
            <w:vAlign w:val="center"/>
          </w:tcPr>
          <w:p w14:paraId="08EAFCBA" w14:textId="77777777" w:rsidR="00B301B0" w:rsidRPr="00B301B0" w:rsidRDefault="00B301B0" w:rsidP="00B301B0">
            <w:pPr>
              <w:widowControl/>
              <w:overflowPunct/>
              <w:autoSpaceDE/>
              <w:autoSpaceDN/>
              <w:adjustRightInd/>
              <w:jc w:val="center"/>
              <w:rPr>
                <w:bCs/>
                <w:kern w:val="0"/>
              </w:rPr>
            </w:pPr>
            <w:r w:rsidRPr="00B301B0">
              <w:rPr>
                <w:bCs/>
                <w:kern w:val="0"/>
              </w:rPr>
              <w:t>36.65</w:t>
            </w:r>
          </w:p>
        </w:tc>
        <w:tc>
          <w:tcPr>
            <w:tcW w:w="2016" w:type="dxa"/>
            <w:vAlign w:val="center"/>
          </w:tcPr>
          <w:p w14:paraId="39EE1D8C" w14:textId="77777777" w:rsidR="00B301B0" w:rsidRPr="00B301B0" w:rsidRDefault="00B301B0" w:rsidP="00B301B0">
            <w:pPr>
              <w:widowControl/>
              <w:overflowPunct/>
              <w:autoSpaceDE/>
              <w:autoSpaceDN/>
              <w:adjustRightInd/>
              <w:jc w:val="center"/>
              <w:rPr>
                <w:bCs/>
                <w:color w:val="000000"/>
                <w:kern w:val="0"/>
              </w:rPr>
            </w:pPr>
            <w:r w:rsidRPr="00B301B0">
              <w:rPr>
                <w:bCs/>
                <w:kern w:val="0"/>
              </w:rPr>
              <w:t>0.15</w:t>
            </w:r>
          </w:p>
        </w:tc>
      </w:tr>
      <w:tr w:rsidR="00B301B0" w:rsidRPr="00B301B0" w14:paraId="64371D87" w14:textId="77777777" w:rsidTr="00DB7B9A">
        <w:tc>
          <w:tcPr>
            <w:tcW w:w="2410" w:type="dxa"/>
            <w:vAlign w:val="bottom"/>
          </w:tcPr>
          <w:p w14:paraId="672A837B" w14:textId="77777777" w:rsidR="00B301B0" w:rsidRPr="00B301B0" w:rsidRDefault="00B301B0" w:rsidP="00B301B0">
            <w:pPr>
              <w:widowControl/>
              <w:overflowPunct/>
              <w:autoSpaceDE/>
              <w:autoSpaceDN/>
              <w:adjustRightInd/>
              <w:rPr>
                <w:bCs/>
                <w:kern w:val="0"/>
              </w:rPr>
            </w:pPr>
            <w:r w:rsidRPr="00B301B0">
              <w:rPr>
                <w:bCs/>
                <w:color w:val="000000"/>
                <w:kern w:val="0"/>
              </w:rPr>
              <w:t>ROE</w:t>
            </w:r>
          </w:p>
        </w:tc>
        <w:tc>
          <w:tcPr>
            <w:tcW w:w="2016" w:type="dxa"/>
            <w:vAlign w:val="center"/>
          </w:tcPr>
          <w:p w14:paraId="6502F2DA" w14:textId="77777777" w:rsidR="00B301B0" w:rsidRPr="00B301B0" w:rsidRDefault="00B301B0" w:rsidP="00B301B0">
            <w:pPr>
              <w:widowControl/>
              <w:overflowPunct/>
              <w:autoSpaceDE/>
              <w:autoSpaceDN/>
              <w:adjustRightInd/>
              <w:jc w:val="center"/>
              <w:rPr>
                <w:bCs/>
                <w:kern w:val="0"/>
              </w:rPr>
            </w:pPr>
            <w:r w:rsidRPr="00B301B0">
              <w:rPr>
                <w:bCs/>
                <w:kern w:val="0"/>
              </w:rPr>
              <w:t>4.64</w:t>
            </w:r>
          </w:p>
        </w:tc>
        <w:tc>
          <w:tcPr>
            <w:tcW w:w="2016" w:type="dxa"/>
            <w:vAlign w:val="center"/>
          </w:tcPr>
          <w:p w14:paraId="3D2B87FC" w14:textId="77777777" w:rsidR="00B301B0" w:rsidRPr="00B301B0" w:rsidRDefault="00B301B0" w:rsidP="00B301B0">
            <w:pPr>
              <w:widowControl/>
              <w:overflowPunct/>
              <w:autoSpaceDE/>
              <w:autoSpaceDN/>
              <w:adjustRightInd/>
              <w:jc w:val="center"/>
              <w:rPr>
                <w:bCs/>
                <w:kern w:val="0"/>
              </w:rPr>
            </w:pPr>
            <w:r w:rsidRPr="00B301B0">
              <w:rPr>
                <w:bCs/>
                <w:kern w:val="0"/>
              </w:rPr>
              <w:t>29.35</w:t>
            </w:r>
          </w:p>
        </w:tc>
        <w:tc>
          <w:tcPr>
            <w:tcW w:w="2016" w:type="dxa"/>
            <w:vAlign w:val="center"/>
          </w:tcPr>
          <w:p w14:paraId="4A0CB2E0" w14:textId="77777777" w:rsidR="00B301B0" w:rsidRPr="00B301B0" w:rsidRDefault="00B301B0" w:rsidP="00B301B0">
            <w:pPr>
              <w:widowControl/>
              <w:overflowPunct/>
              <w:autoSpaceDE/>
              <w:autoSpaceDN/>
              <w:adjustRightInd/>
              <w:jc w:val="center"/>
              <w:rPr>
                <w:bCs/>
                <w:color w:val="000000"/>
                <w:kern w:val="0"/>
              </w:rPr>
            </w:pPr>
            <w:r w:rsidRPr="00B301B0">
              <w:rPr>
                <w:bCs/>
                <w:kern w:val="0"/>
              </w:rPr>
              <w:t>0.16</w:t>
            </w:r>
          </w:p>
        </w:tc>
      </w:tr>
      <w:tr w:rsidR="00B301B0" w:rsidRPr="00B301B0" w14:paraId="5EA7FF89" w14:textId="77777777" w:rsidTr="00DB7B9A">
        <w:tc>
          <w:tcPr>
            <w:tcW w:w="2410" w:type="dxa"/>
            <w:vAlign w:val="bottom"/>
          </w:tcPr>
          <w:p w14:paraId="3174C24C" w14:textId="77777777" w:rsidR="00B301B0" w:rsidRPr="00B301B0" w:rsidRDefault="00B301B0" w:rsidP="00B301B0">
            <w:pPr>
              <w:widowControl/>
              <w:overflowPunct/>
              <w:autoSpaceDE/>
              <w:autoSpaceDN/>
              <w:adjustRightInd/>
              <w:rPr>
                <w:bCs/>
                <w:kern w:val="0"/>
              </w:rPr>
            </w:pPr>
            <w:r w:rsidRPr="00B301B0">
              <w:rPr>
                <w:bCs/>
                <w:color w:val="000000"/>
                <w:kern w:val="0"/>
              </w:rPr>
              <w:t xml:space="preserve">ROE (without outliers) </w:t>
            </w:r>
            <w:r w:rsidRPr="00B301B0">
              <w:rPr>
                <w:bCs/>
                <w:kern w:val="0"/>
                <w:vertAlign w:val="superscript"/>
              </w:rPr>
              <w:t>B</w:t>
            </w:r>
          </w:p>
        </w:tc>
        <w:tc>
          <w:tcPr>
            <w:tcW w:w="2016" w:type="dxa"/>
            <w:vAlign w:val="center"/>
          </w:tcPr>
          <w:p w14:paraId="674EB9EB" w14:textId="77777777" w:rsidR="00B301B0" w:rsidRPr="00B301B0" w:rsidRDefault="00B301B0" w:rsidP="00B301B0">
            <w:pPr>
              <w:widowControl/>
              <w:overflowPunct/>
              <w:autoSpaceDE/>
              <w:autoSpaceDN/>
              <w:adjustRightInd/>
              <w:jc w:val="center"/>
              <w:rPr>
                <w:bCs/>
                <w:kern w:val="0"/>
              </w:rPr>
            </w:pPr>
            <w:r w:rsidRPr="00B301B0">
              <w:rPr>
                <w:bCs/>
                <w:kern w:val="0"/>
              </w:rPr>
              <w:t>4.86</w:t>
            </w:r>
          </w:p>
        </w:tc>
        <w:tc>
          <w:tcPr>
            <w:tcW w:w="2016" w:type="dxa"/>
            <w:vAlign w:val="center"/>
          </w:tcPr>
          <w:p w14:paraId="523F642E" w14:textId="77777777" w:rsidR="00B301B0" w:rsidRPr="00B301B0" w:rsidRDefault="00B301B0" w:rsidP="00B301B0">
            <w:pPr>
              <w:widowControl/>
              <w:overflowPunct/>
              <w:autoSpaceDE/>
              <w:autoSpaceDN/>
              <w:adjustRightInd/>
              <w:jc w:val="center"/>
              <w:rPr>
                <w:bCs/>
                <w:kern w:val="0"/>
              </w:rPr>
            </w:pPr>
            <w:r w:rsidRPr="00B301B0">
              <w:rPr>
                <w:bCs/>
                <w:kern w:val="0"/>
              </w:rPr>
              <w:t>31.35</w:t>
            </w:r>
          </w:p>
        </w:tc>
        <w:tc>
          <w:tcPr>
            <w:tcW w:w="2016" w:type="dxa"/>
            <w:vAlign w:val="center"/>
          </w:tcPr>
          <w:p w14:paraId="64F3238F" w14:textId="77777777" w:rsidR="00B301B0" w:rsidRPr="00B301B0" w:rsidRDefault="00B301B0" w:rsidP="00B301B0">
            <w:pPr>
              <w:widowControl/>
              <w:overflowPunct/>
              <w:autoSpaceDE/>
              <w:autoSpaceDN/>
              <w:adjustRightInd/>
              <w:jc w:val="center"/>
              <w:rPr>
                <w:bCs/>
                <w:color w:val="000000"/>
                <w:kern w:val="0"/>
              </w:rPr>
            </w:pPr>
            <w:r w:rsidRPr="00B301B0">
              <w:rPr>
                <w:bCs/>
                <w:kern w:val="0"/>
              </w:rPr>
              <w:t>0.16</w:t>
            </w:r>
          </w:p>
        </w:tc>
      </w:tr>
      <w:tr w:rsidR="00B301B0" w:rsidRPr="00B301B0" w14:paraId="179034F8" w14:textId="77777777" w:rsidTr="00DB7B9A">
        <w:tc>
          <w:tcPr>
            <w:tcW w:w="2410" w:type="dxa"/>
            <w:vAlign w:val="bottom"/>
          </w:tcPr>
          <w:p w14:paraId="6E031BC2" w14:textId="77777777" w:rsidR="00B301B0" w:rsidRPr="00B301B0" w:rsidRDefault="00B301B0" w:rsidP="00B301B0">
            <w:pPr>
              <w:widowControl/>
              <w:overflowPunct/>
              <w:autoSpaceDE/>
              <w:autoSpaceDN/>
              <w:adjustRightInd/>
              <w:rPr>
                <w:bCs/>
                <w:kern w:val="0"/>
              </w:rPr>
            </w:pPr>
            <w:r w:rsidRPr="00B301B0">
              <w:rPr>
                <w:bCs/>
                <w:color w:val="000000"/>
                <w:kern w:val="0"/>
              </w:rPr>
              <w:t>ROCE</w:t>
            </w:r>
          </w:p>
        </w:tc>
        <w:tc>
          <w:tcPr>
            <w:tcW w:w="2016" w:type="dxa"/>
            <w:vAlign w:val="center"/>
          </w:tcPr>
          <w:p w14:paraId="084CDE63" w14:textId="77777777" w:rsidR="00B301B0" w:rsidRPr="00B301B0" w:rsidRDefault="00B301B0" w:rsidP="00B301B0">
            <w:pPr>
              <w:widowControl/>
              <w:overflowPunct/>
              <w:autoSpaceDE/>
              <w:autoSpaceDN/>
              <w:adjustRightInd/>
              <w:jc w:val="center"/>
              <w:rPr>
                <w:bCs/>
                <w:kern w:val="0"/>
              </w:rPr>
            </w:pPr>
            <w:r w:rsidRPr="00B301B0">
              <w:rPr>
                <w:bCs/>
                <w:kern w:val="0"/>
              </w:rPr>
              <w:t>6.50</w:t>
            </w:r>
          </w:p>
        </w:tc>
        <w:tc>
          <w:tcPr>
            <w:tcW w:w="2016" w:type="dxa"/>
            <w:vAlign w:val="center"/>
          </w:tcPr>
          <w:p w14:paraId="07FC27A7" w14:textId="77777777" w:rsidR="00B301B0" w:rsidRPr="00B301B0" w:rsidRDefault="00B301B0" w:rsidP="00B301B0">
            <w:pPr>
              <w:widowControl/>
              <w:overflowPunct/>
              <w:autoSpaceDE/>
              <w:autoSpaceDN/>
              <w:adjustRightInd/>
              <w:jc w:val="center"/>
              <w:rPr>
                <w:bCs/>
                <w:kern w:val="0"/>
              </w:rPr>
            </w:pPr>
            <w:r w:rsidRPr="00B301B0">
              <w:rPr>
                <w:bCs/>
                <w:kern w:val="0"/>
              </w:rPr>
              <w:t>28.56</w:t>
            </w:r>
          </w:p>
        </w:tc>
        <w:tc>
          <w:tcPr>
            <w:tcW w:w="2016" w:type="dxa"/>
            <w:vAlign w:val="center"/>
          </w:tcPr>
          <w:p w14:paraId="6F89E12C" w14:textId="77777777" w:rsidR="00B301B0" w:rsidRPr="00B301B0" w:rsidRDefault="00B301B0" w:rsidP="00B301B0">
            <w:pPr>
              <w:widowControl/>
              <w:overflowPunct/>
              <w:autoSpaceDE/>
              <w:autoSpaceDN/>
              <w:adjustRightInd/>
              <w:jc w:val="center"/>
              <w:rPr>
                <w:bCs/>
                <w:color w:val="000000"/>
                <w:kern w:val="0"/>
              </w:rPr>
            </w:pPr>
            <w:r w:rsidRPr="00B301B0">
              <w:rPr>
                <w:bCs/>
                <w:kern w:val="0"/>
              </w:rPr>
              <w:t>0.23</w:t>
            </w:r>
          </w:p>
        </w:tc>
      </w:tr>
      <w:tr w:rsidR="00B301B0" w:rsidRPr="00B301B0" w14:paraId="2E06880B" w14:textId="77777777" w:rsidTr="00DB7B9A">
        <w:tc>
          <w:tcPr>
            <w:tcW w:w="2410" w:type="dxa"/>
            <w:tcBorders>
              <w:bottom w:val="single" w:sz="4" w:space="0" w:color="auto"/>
            </w:tcBorders>
            <w:vAlign w:val="bottom"/>
          </w:tcPr>
          <w:p w14:paraId="124CDBCC" w14:textId="77777777" w:rsidR="00B301B0" w:rsidRPr="00B301B0" w:rsidRDefault="00B301B0" w:rsidP="00B301B0">
            <w:pPr>
              <w:widowControl/>
              <w:overflowPunct/>
              <w:autoSpaceDE/>
              <w:autoSpaceDN/>
              <w:adjustRightInd/>
              <w:rPr>
                <w:bCs/>
                <w:kern w:val="0"/>
              </w:rPr>
            </w:pPr>
            <w:r w:rsidRPr="00B301B0">
              <w:rPr>
                <w:bCs/>
                <w:color w:val="000000"/>
                <w:kern w:val="0"/>
              </w:rPr>
              <w:t xml:space="preserve">ROCE (without outliers) </w:t>
            </w:r>
            <w:r w:rsidRPr="00B301B0">
              <w:rPr>
                <w:bCs/>
                <w:kern w:val="0"/>
                <w:vertAlign w:val="superscript"/>
              </w:rPr>
              <w:t>B</w:t>
            </w:r>
          </w:p>
        </w:tc>
        <w:tc>
          <w:tcPr>
            <w:tcW w:w="2016" w:type="dxa"/>
            <w:tcBorders>
              <w:bottom w:val="single" w:sz="4" w:space="0" w:color="auto"/>
            </w:tcBorders>
            <w:vAlign w:val="center"/>
          </w:tcPr>
          <w:p w14:paraId="2998E273" w14:textId="77777777" w:rsidR="00B301B0" w:rsidRPr="00B301B0" w:rsidRDefault="00B301B0" w:rsidP="00B301B0">
            <w:pPr>
              <w:widowControl/>
              <w:overflowPunct/>
              <w:autoSpaceDE/>
              <w:autoSpaceDN/>
              <w:adjustRightInd/>
              <w:jc w:val="center"/>
              <w:rPr>
                <w:bCs/>
                <w:kern w:val="0"/>
              </w:rPr>
            </w:pPr>
            <w:r w:rsidRPr="00B301B0">
              <w:rPr>
                <w:bCs/>
                <w:kern w:val="0"/>
              </w:rPr>
              <w:t>7.20</w:t>
            </w:r>
          </w:p>
        </w:tc>
        <w:tc>
          <w:tcPr>
            <w:tcW w:w="2016" w:type="dxa"/>
            <w:tcBorders>
              <w:bottom w:val="single" w:sz="4" w:space="0" w:color="auto"/>
            </w:tcBorders>
            <w:vAlign w:val="center"/>
          </w:tcPr>
          <w:p w14:paraId="6934183D" w14:textId="77777777" w:rsidR="00B301B0" w:rsidRPr="00B301B0" w:rsidRDefault="00B301B0" w:rsidP="00B301B0">
            <w:pPr>
              <w:widowControl/>
              <w:overflowPunct/>
              <w:autoSpaceDE/>
              <w:autoSpaceDN/>
              <w:adjustRightInd/>
              <w:jc w:val="center"/>
              <w:rPr>
                <w:bCs/>
                <w:kern w:val="0"/>
              </w:rPr>
            </w:pPr>
            <w:r w:rsidRPr="00B301B0">
              <w:rPr>
                <w:bCs/>
                <w:kern w:val="0"/>
              </w:rPr>
              <w:t>31.99</w:t>
            </w:r>
          </w:p>
        </w:tc>
        <w:tc>
          <w:tcPr>
            <w:tcW w:w="2016" w:type="dxa"/>
            <w:tcBorders>
              <w:bottom w:val="single" w:sz="4" w:space="0" w:color="auto"/>
            </w:tcBorders>
            <w:vAlign w:val="center"/>
          </w:tcPr>
          <w:p w14:paraId="0E92BA6C" w14:textId="77777777" w:rsidR="00B301B0" w:rsidRPr="00B301B0" w:rsidRDefault="00B301B0" w:rsidP="00B301B0">
            <w:pPr>
              <w:widowControl/>
              <w:overflowPunct/>
              <w:autoSpaceDE/>
              <w:autoSpaceDN/>
              <w:adjustRightInd/>
              <w:jc w:val="center"/>
              <w:rPr>
                <w:bCs/>
                <w:color w:val="000000"/>
                <w:kern w:val="0"/>
              </w:rPr>
            </w:pPr>
            <w:r w:rsidRPr="00B301B0">
              <w:rPr>
                <w:bCs/>
                <w:kern w:val="0"/>
              </w:rPr>
              <w:t>0.23</w:t>
            </w:r>
          </w:p>
        </w:tc>
      </w:tr>
    </w:tbl>
    <w:p w14:paraId="4B9DDA6C" w14:textId="77777777" w:rsidR="00B301B0" w:rsidRPr="00B301B0" w:rsidRDefault="00B301B0" w:rsidP="00B301B0">
      <w:pPr>
        <w:widowControl/>
        <w:overflowPunct/>
        <w:autoSpaceDE/>
        <w:autoSpaceDN/>
        <w:adjustRightInd/>
        <w:ind w:left="720" w:right="3780"/>
        <w:rPr>
          <w:bCs/>
          <w:kern w:val="0"/>
        </w:rPr>
      </w:pPr>
      <w:r w:rsidRPr="00B301B0">
        <w:rPr>
          <w:bCs/>
          <w:kern w:val="0"/>
        </w:rPr>
        <w:t>Notes: Variance explained by each effect in percent; A = Table 4, model 1; B = Observations below the 1st and above the 99th percentiles are deleted.</w:t>
      </w:r>
    </w:p>
    <w:p w14:paraId="01D14591" w14:textId="77777777" w:rsidR="00B301B0" w:rsidRPr="00B301B0" w:rsidRDefault="00B301B0" w:rsidP="00B301B0">
      <w:pPr>
        <w:widowControl/>
        <w:overflowPunct/>
        <w:autoSpaceDE/>
        <w:autoSpaceDN/>
        <w:adjustRightInd/>
        <w:rPr>
          <w:kern w:val="0"/>
          <w:sz w:val="24"/>
          <w:szCs w:val="24"/>
        </w:rPr>
      </w:pPr>
    </w:p>
    <w:p w14:paraId="3CDF9626" w14:textId="4AB60DF1" w:rsidR="00610751" w:rsidRDefault="00610751">
      <w:pPr>
        <w:widowControl/>
        <w:overflowPunct/>
        <w:autoSpaceDE/>
        <w:autoSpaceDN/>
        <w:adjustRightInd/>
        <w:rPr>
          <w:sz w:val="24"/>
          <w:szCs w:val="24"/>
        </w:rPr>
      </w:pPr>
      <w:r>
        <w:rPr>
          <w:sz w:val="24"/>
          <w:szCs w:val="24"/>
        </w:rPr>
        <w:br w:type="page"/>
      </w:r>
    </w:p>
    <w:p w14:paraId="36DA0418" w14:textId="77777777" w:rsidR="00610751" w:rsidRPr="00610751" w:rsidRDefault="00610751" w:rsidP="00610751">
      <w:pPr>
        <w:widowControl/>
        <w:overflowPunct/>
        <w:autoSpaceDE/>
        <w:autoSpaceDN/>
        <w:adjustRightInd/>
        <w:ind w:left="720"/>
        <w:jc w:val="center"/>
        <w:rPr>
          <w:kern w:val="0"/>
          <w:sz w:val="24"/>
          <w:szCs w:val="24"/>
        </w:rPr>
      </w:pPr>
      <w:r w:rsidRPr="00610751">
        <w:rPr>
          <w:kern w:val="0"/>
          <w:sz w:val="24"/>
          <w:szCs w:val="24"/>
        </w:rPr>
        <w:t>Appendix A. Final sample</w:t>
      </w:r>
    </w:p>
    <w:p w14:paraId="64DBEC2D" w14:textId="77777777" w:rsidR="00610751" w:rsidRPr="00610751" w:rsidRDefault="00610751" w:rsidP="00610751">
      <w:pPr>
        <w:widowControl/>
        <w:overflowPunct/>
        <w:autoSpaceDE/>
        <w:autoSpaceDN/>
        <w:adjustRightInd/>
        <w:rPr>
          <w:kern w:val="0"/>
          <w:sz w:val="24"/>
          <w:szCs w:val="24"/>
        </w:rPr>
      </w:pPr>
    </w:p>
    <w:tbl>
      <w:tblPr>
        <w:tblStyle w:val="TableGrid"/>
        <w:tblW w:w="12240" w:type="dxa"/>
        <w:tblInd w:w="895" w:type="dxa"/>
        <w:tblLook w:val="04A0" w:firstRow="1" w:lastRow="0" w:firstColumn="1" w:lastColumn="0" w:noHBand="0" w:noVBand="1"/>
      </w:tblPr>
      <w:tblGrid>
        <w:gridCol w:w="810"/>
        <w:gridCol w:w="2340"/>
        <w:gridCol w:w="9090"/>
      </w:tblGrid>
      <w:tr w:rsidR="00610751" w:rsidRPr="00610751" w14:paraId="641E2B31" w14:textId="77777777" w:rsidTr="00DB7B9A">
        <w:trPr>
          <w:trHeight w:val="20"/>
        </w:trPr>
        <w:tc>
          <w:tcPr>
            <w:tcW w:w="810" w:type="dxa"/>
            <w:shd w:val="clear" w:color="auto" w:fill="F2F2F2" w:themeFill="background1" w:themeFillShade="F2"/>
            <w:noWrap/>
            <w:hideMark/>
          </w:tcPr>
          <w:p w14:paraId="640063EB" w14:textId="77777777" w:rsidR="00610751" w:rsidRPr="00610751" w:rsidRDefault="00610751" w:rsidP="00610751">
            <w:pPr>
              <w:widowControl/>
              <w:overflowPunct/>
              <w:autoSpaceDE/>
              <w:autoSpaceDN/>
              <w:adjustRightInd/>
              <w:rPr>
                <w:kern w:val="0"/>
              </w:rPr>
            </w:pPr>
            <w:r w:rsidRPr="00610751">
              <w:rPr>
                <w:kern w:val="0"/>
              </w:rPr>
              <w:t>Year</w:t>
            </w:r>
          </w:p>
        </w:tc>
        <w:tc>
          <w:tcPr>
            <w:tcW w:w="2340" w:type="dxa"/>
            <w:shd w:val="clear" w:color="auto" w:fill="F2F2F2" w:themeFill="background1" w:themeFillShade="F2"/>
            <w:noWrap/>
            <w:hideMark/>
          </w:tcPr>
          <w:p w14:paraId="7E062BF3" w14:textId="77777777" w:rsidR="00610751" w:rsidRPr="00610751" w:rsidRDefault="00610751" w:rsidP="00610751">
            <w:pPr>
              <w:widowControl/>
              <w:overflowPunct/>
              <w:autoSpaceDE/>
              <w:autoSpaceDN/>
              <w:adjustRightInd/>
              <w:rPr>
                <w:kern w:val="0"/>
              </w:rPr>
            </w:pPr>
            <w:r w:rsidRPr="00610751">
              <w:rPr>
                <w:kern w:val="0"/>
              </w:rPr>
              <w:t>Authors</w:t>
            </w:r>
          </w:p>
        </w:tc>
        <w:tc>
          <w:tcPr>
            <w:tcW w:w="9090" w:type="dxa"/>
            <w:shd w:val="clear" w:color="auto" w:fill="F2F2F2" w:themeFill="background1" w:themeFillShade="F2"/>
            <w:noWrap/>
            <w:hideMark/>
          </w:tcPr>
          <w:p w14:paraId="4DD0F39A" w14:textId="77777777" w:rsidR="00610751" w:rsidRPr="00610751" w:rsidRDefault="00610751" w:rsidP="00610751">
            <w:pPr>
              <w:widowControl/>
              <w:overflowPunct/>
              <w:autoSpaceDE/>
              <w:autoSpaceDN/>
              <w:adjustRightInd/>
              <w:rPr>
                <w:kern w:val="0"/>
              </w:rPr>
            </w:pPr>
            <w:r w:rsidRPr="00610751">
              <w:rPr>
                <w:kern w:val="0"/>
              </w:rPr>
              <w:t>Study</w:t>
            </w:r>
          </w:p>
        </w:tc>
      </w:tr>
      <w:tr w:rsidR="00610751" w:rsidRPr="00610751" w14:paraId="09717670" w14:textId="77777777" w:rsidTr="00DB7B9A">
        <w:trPr>
          <w:trHeight w:val="20"/>
        </w:trPr>
        <w:tc>
          <w:tcPr>
            <w:tcW w:w="810" w:type="dxa"/>
            <w:noWrap/>
            <w:hideMark/>
          </w:tcPr>
          <w:p w14:paraId="746BE53E" w14:textId="77777777" w:rsidR="00610751" w:rsidRPr="00610751" w:rsidRDefault="00610751" w:rsidP="00610751">
            <w:pPr>
              <w:widowControl/>
              <w:overflowPunct/>
              <w:autoSpaceDE/>
              <w:autoSpaceDN/>
              <w:adjustRightInd/>
              <w:rPr>
                <w:kern w:val="0"/>
              </w:rPr>
            </w:pPr>
            <w:r w:rsidRPr="00610751">
              <w:rPr>
                <w:kern w:val="0"/>
              </w:rPr>
              <w:t>1986</w:t>
            </w:r>
          </w:p>
        </w:tc>
        <w:tc>
          <w:tcPr>
            <w:tcW w:w="2340" w:type="dxa"/>
            <w:noWrap/>
            <w:hideMark/>
          </w:tcPr>
          <w:p w14:paraId="6A4671AF" w14:textId="77777777" w:rsidR="00610751" w:rsidRPr="00610751" w:rsidRDefault="00610751" w:rsidP="00610751">
            <w:pPr>
              <w:widowControl/>
              <w:overflowPunct/>
              <w:autoSpaceDE/>
              <w:autoSpaceDN/>
              <w:adjustRightInd/>
              <w:rPr>
                <w:kern w:val="0"/>
              </w:rPr>
            </w:pPr>
            <w:r w:rsidRPr="00610751">
              <w:rPr>
                <w:kern w:val="0"/>
              </w:rPr>
              <w:t>Singh, J.</w:t>
            </w:r>
          </w:p>
        </w:tc>
        <w:tc>
          <w:tcPr>
            <w:tcW w:w="9090" w:type="dxa"/>
            <w:noWrap/>
            <w:hideMark/>
          </w:tcPr>
          <w:p w14:paraId="2B8431A6" w14:textId="77777777" w:rsidR="00610751" w:rsidRPr="00610751" w:rsidRDefault="00610751" w:rsidP="00610751">
            <w:pPr>
              <w:widowControl/>
              <w:overflowPunct/>
              <w:autoSpaceDE/>
              <w:autoSpaceDN/>
              <w:adjustRightInd/>
              <w:rPr>
                <w:kern w:val="0"/>
              </w:rPr>
            </w:pPr>
            <w:r w:rsidRPr="00610751">
              <w:rPr>
                <w:kern w:val="0"/>
              </w:rPr>
              <w:t>Performance, Slack, and Risk Taking in Organizational Decision-Making</w:t>
            </w:r>
          </w:p>
        </w:tc>
      </w:tr>
      <w:tr w:rsidR="00610751" w:rsidRPr="00610751" w14:paraId="2C67EB9F" w14:textId="77777777" w:rsidTr="00DB7B9A">
        <w:trPr>
          <w:trHeight w:val="20"/>
        </w:trPr>
        <w:tc>
          <w:tcPr>
            <w:tcW w:w="810" w:type="dxa"/>
            <w:noWrap/>
            <w:hideMark/>
          </w:tcPr>
          <w:p w14:paraId="60D964F4" w14:textId="77777777" w:rsidR="00610751" w:rsidRPr="00610751" w:rsidRDefault="00610751" w:rsidP="00610751">
            <w:pPr>
              <w:widowControl/>
              <w:overflowPunct/>
              <w:autoSpaceDE/>
              <w:autoSpaceDN/>
              <w:adjustRightInd/>
              <w:rPr>
                <w:kern w:val="0"/>
              </w:rPr>
            </w:pPr>
            <w:r w:rsidRPr="00610751">
              <w:rPr>
                <w:kern w:val="0"/>
              </w:rPr>
              <w:t>1988</w:t>
            </w:r>
          </w:p>
        </w:tc>
        <w:tc>
          <w:tcPr>
            <w:tcW w:w="2340" w:type="dxa"/>
            <w:noWrap/>
            <w:hideMark/>
          </w:tcPr>
          <w:p w14:paraId="0F02BC4F" w14:textId="77777777" w:rsidR="00610751" w:rsidRPr="00610751" w:rsidRDefault="00610751" w:rsidP="00610751">
            <w:pPr>
              <w:widowControl/>
              <w:overflowPunct/>
              <w:autoSpaceDE/>
              <w:autoSpaceDN/>
              <w:adjustRightInd/>
              <w:rPr>
                <w:kern w:val="0"/>
              </w:rPr>
            </w:pPr>
            <w:r w:rsidRPr="00610751">
              <w:rPr>
                <w:kern w:val="0"/>
              </w:rPr>
              <w:t>Ghoshal &amp; Bartlett</w:t>
            </w:r>
          </w:p>
        </w:tc>
        <w:tc>
          <w:tcPr>
            <w:tcW w:w="9090" w:type="dxa"/>
            <w:noWrap/>
            <w:hideMark/>
          </w:tcPr>
          <w:p w14:paraId="76FEEA1A" w14:textId="77777777" w:rsidR="00610751" w:rsidRPr="00610751" w:rsidRDefault="00610751" w:rsidP="00610751">
            <w:pPr>
              <w:widowControl/>
              <w:overflowPunct/>
              <w:autoSpaceDE/>
              <w:autoSpaceDN/>
              <w:adjustRightInd/>
              <w:rPr>
                <w:kern w:val="0"/>
              </w:rPr>
            </w:pPr>
            <w:r w:rsidRPr="00610751">
              <w:rPr>
                <w:kern w:val="0"/>
              </w:rPr>
              <w:t>Creation, Adoption, and Diffusion of Innovations by Subsidiaries of Multinational Corporations</w:t>
            </w:r>
          </w:p>
        </w:tc>
      </w:tr>
      <w:tr w:rsidR="00610751" w:rsidRPr="00610751" w14:paraId="6668CDC7" w14:textId="77777777" w:rsidTr="00DB7B9A">
        <w:trPr>
          <w:trHeight w:val="20"/>
        </w:trPr>
        <w:tc>
          <w:tcPr>
            <w:tcW w:w="810" w:type="dxa"/>
            <w:noWrap/>
            <w:hideMark/>
          </w:tcPr>
          <w:p w14:paraId="29C6F620" w14:textId="77777777" w:rsidR="00610751" w:rsidRPr="00610751" w:rsidRDefault="00610751" w:rsidP="00610751">
            <w:pPr>
              <w:widowControl/>
              <w:overflowPunct/>
              <w:autoSpaceDE/>
              <w:autoSpaceDN/>
              <w:adjustRightInd/>
              <w:rPr>
                <w:kern w:val="0"/>
              </w:rPr>
            </w:pPr>
            <w:r w:rsidRPr="00610751">
              <w:rPr>
                <w:kern w:val="0"/>
              </w:rPr>
              <w:t>1989</w:t>
            </w:r>
          </w:p>
        </w:tc>
        <w:tc>
          <w:tcPr>
            <w:tcW w:w="2340" w:type="dxa"/>
            <w:noWrap/>
            <w:hideMark/>
          </w:tcPr>
          <w:p w14:paraId="50DCE86A" w14:textId="77777777" w:rsidR="00610751" w:rsidRPr="00610751" w:rsidRDefault="00610751" w:rsidP="00610751">
            <w:pPr>
              <w:widowControl/>
              <w:overflowPunct/>
              <w:autoSpaceDE/>
              <w:autoSpaceDN/>
              <w:adjustRightInd/>
              <w:rPr>
                <w:kern w:val="0"/>
              </w:rPr>
            </w:pPr>
            <w:r w:rsidRPr="00610751">
              <w:rPr>
                <w:kern w:val="0"/>
              </w:rPr>
              <w:t xml:space="preserve">Ghoshal &amp; Nohria </w:t>
            </w:r>
          </w:p>
        </w:tc>
        <w:tc>
          <w:tcPr>
            <w:tcW w:w="9090" w:type="dxa"/>
            <w:noWrap/>
            <w:hideMark/>
          </w:tcPr>
          <w:p w14:paraId="45CD0C97" w14:textId="77777777" w:rsidR="00610751" w:rsidRPr="00610751" w:rsidRDefault="00610751" w:rsidP="00610751">
            <w:pPr>
              <w:widowControl/>
              <w:overflowPunct/>
              <w:autoSpaceDE/>
              <w:autoSpaceDN/>
              <w:adjustRightInd/>
              <w:rPr>
                <w:kern w:val="0"/>
              </w:rPr>
            </w:pPr>
            <w:r w:rsidRPr="00610751">
              <w:rPr>
                <w:kern w:val="0"/>
              </w:rPr>
              <w:t>Internal Differentiation within Multinational Corporations</w:t>
            </w:r>
          </w:p>
        </w:tc>
      </w:tr>
      <w:tr w:rsidR="00610751" w:rsidRPr="00610751" w14:paraId="34C9171C" w14:textId="77777777" w:rsidTr="00DB7B9A">
        <w:trPr>
          <w:trHeight w:val="20"/>
        </w:trPr>
        <w:tc>
          <w:tcPr>
            <w:tcW w:w="810" w:type="dxa"/>
            <w:noWrap/>
            <w:hideMark/>
          </w:tcPr>
          <w:p w14:paraId="5DAB2BB9" w14:textId="77777777" w:rsidR="00610751" w:rsidRPr="00610751" w:rsidRDefault="00610751" w:rsidP="00610751">
            <w:pPr>
              <w:widowControl/>
              <w:overflowPunct/>
              <w:autoSpaceDE/>
              <w:autoSpaceDN/>
              <w:adjustRightInd/>
              <w:rPr>
                <w:kern w:val="0"/>
              </w:rPr>
            </w:pPr>
            <w:r w:rsidRPr="00610751">
              <w:rPr>
                <w:kern w:val="0"/>
              </w:rPr>
              <w:t>1991</w:t>
            </w:r>
          </w:p>
        </w:tc>
        <w:tc>
          <w:tcPr>
            <w:tcW w:w="2340" w:type="dxa"/>
            <w:noWrap/>
            <w:hideMark/>
          </w:tcPr>
          <w:p w14:paraId="0AB94FA5" w14:textId="77777777" w:rsidR="00610751" w:rsidRPr="00610751" w:rsidRDefault="00610751" w:rsidP="00610751">
            <w:pPr>
              <w:widowControl/>
              <w:overflowPunct/>
              <w:autoSpaceDE/>
              <w:autoSpaceDN/>
              <w:adjustRightInd/>
              <w:rPr>
                <w:kern w:val="0"/>
              </w:rPr>
            </w:pPr>
            <w:r w:rsidRPr="00610751">
              <w:rPr>
                <w:kern w:val="0"/>
              </w:rPr>
              <w:t>Roth et al.</w:t>
            </w:r>
          </w:p>
        </w:tc>
        <w:tc>
          <w:tcPr>
            <w:tcW w:w="9090" w:type="dxa"/>
            <w:noWrap/>
            <w:hideMark/>
          </w:tcPr>
          <w:p w14:paraId="023134F4" w14:textId="77777777" w:rsidR="00610751" w:rsidRPr="00610751" w:rsidRDefault="00610751" w:rsidP="00610751">
            <w:pPr>
              <w:widowControl/>
              <w:overflowPunct/>
              <w:autoSpaceDE/>
              <w:autoSpaceDN/>
              <w:adjustRightInd/>
              <w:rPr>
                <w:kern w:val="0"/>
              </w:rPr>
            </w:pPr>
            <w:r w:rsidRPr="00610751">
              <w:rPr>
                <w:kern w:val="0"/>
              </w:rPr>
              <w:t>Global Strategy Implementation at the Business Unit Level: Operational Capabilities and Administrative Mechanism</w:t>
            </w:r>
          </w:p>
        </w:tc>
      </w:tr>
      <w:tr w:rsidR="00610751" w:rsidRPr="00610751" w14:paraId="684424DC" w14:textId="77777777" w:rsidTr="00DB7B9A">
        <w:trPr>
          <w:trHeight w:val="20"/>
        </w:trPr>
        <w:tc>
          <w:tcPr>
            <w:tcW w:w="810" w:type="dxa"/>
            <w:noWrap/>
            <w:hideMark/>
          </w:tcPr>
          <w:p w14:paraId="218855EF" w14:textId="77777777" w:rsidR="00610751" w:rsidRPr="00610751" w:rsidRDefault="00610751" w:rsidP="00610751">
            <w:pPr>
              <w:widowControl/>
              <w:overflowPunct/>
              <w:autoSpaceDE/>
              <w:autoSpaceDN/>
              <w:adjustRightInd/>
              <w:rPr>
                <w:kern w:val="0"/>
              </w:rPr>
            </w:pPr>
            <w:r w:rsidRPr="00610751">
              <w:rPr>
                <w:kern w:val="0"/>
              </w:rPr>
              <w:t>1992</w:t>
            </w:r>
          </w:p>
        </w:tc>
        <w:tc>
          <w:tcPr>
            <w:tcW w:w="2340" w:type="dxa"/>
            <w:noWrap/>
            <w:hideMark/>
          </w:tcPr>
          <w:p w14:paraId="06556441" w14:textId="77777777" w:rsidR="00610751" w:rsidRPr="00610751" w:rsidRDefault="00610751" w:rsidP="00610751">
            <w:pPr>
              <w:widowControl/>
              <w:overflowPunct/>
              <w:autoSpaceDE/>
              <w:autoSpaceDN/>
              <w:adjustRightInd/>
              <w:rPr>
                <w:kern w:val="0"/>
              </w:rPr>
            </w:pPr>
            <w:r w:rsidRPr="00610751">
              <w:rPr>
                <w:kern w:val="0"/>
              </w:rPr>
              <w:t>Roth &amp; Nigh</w:t>
            </w:r>
          </w:p>
        </w:tc>
        <w:tc>
          <w:tcPr>
            <w:tcW w:w="9090" w:type="dxa"/>
            <w:noWrap/>
            <w:hideMark/>
          </w:tcPr>
          <w:p w14:paraId="14F3CE75" w14:textId="77777777" w:rsidR="00610751" w:rsidRPr="00610751" w:rsidRDefault="00610751" w:rsidP="00610751">
            <w:pPr>
              <w:widowControl/>
              <w:overflowPunct/>
              <w:autoSpaceDE/>
              <w:autoSpaceDN/>
              <w:adjustRightInd/>
              <w:rPr>
                <w:kern w:val="0"/>
              </w:rPr>
            </w:pPr>
            <w:r w:rsidRPr="00610751">
              <w:rPr>
                <w:kern w:val="0"/>
              </w:rPr>
              <w:t>The Effectiveness of Headquarters-subsidiary Relationships: The Role of Coordination, Control, and Conflict</w:t>
            </w:r>
          </w:p>
        </w:tc>
      </w:tr>
      <w:tr w:rsidR="00610751" w:rsidRPr="00610751" w14:paraId="6E56FA9A" w14:textId="77777777" w:rsidTr="00DB7B9A">
        <w:trPr>
          <w:trHeight w:val="20"/>
        </w:trPr>
        <w:tc>
          <w:tcPr>
            <w:tcW w:w="810" w:type="dxa"/>
            <w:noWrap/>
            <w:hideMark/>
          </w:tcPr>
          <w:p w14:paraId="1946FB45" w14:textId="77777777" w:rsidR="00610751" w:rsidRPr="00610751" w:rsidRDefault="00610751" w:rsidP="00610751">
            <w:pPr>
              <w:widowControl/>
              <w:overflowPunct/>
              <w:autoSpaceDE/>
              <w:autoSpaceDN/>
              <w:adjustRightInd/>
              <w:rPr>
                <w:kern w:val="0"/>
              </w:rPr>
            </w:pPr>
            <w:r w:rsidRPr="00610751">
              <w:rPr>
                <w:kern w:val="0"/>
              </w:rPr>
              <w:t>1994</w:t>
            </w:r>
          </w:p>
        </w:tc>
        <w:tc>
          <w:tcPr>
            <w:tcW w:w="2340" w:type="dxa"/>
            <w:noWrap/>
            <w:hideMark/>
          </w:tcPr>
          <w:p w14:paraId="53223665" w14:textId="77777777" w:rsidR="00610751" w:rsidRPr="00610751" w:rsidRDefault="00610751" w:rsidP="00610751">
            <w:pPr>
              <w:widowControl/>
              <w:overflowPunct/>
              <w:autoSpaceDE/>
              <w:autoSpaceDN/>
              <w:adjustRightInd/>
              <w:rPr>
                <w:kern w:val="0"/>
              </w:rPr>
            </w:pPr>
            <w:r w:rsidRPr="00610751">
              <w:rPr>
                <w:kern w:val="0"/>
              </w:rPr>
              <w:t>Ghoshal et al.</w:t>
            </w:r>
          </w:p>
        </w:tc>
        <w:tc>
          <w:tcPr>
            <w:tcW w:w="9090" w:type="dxa"/>
            <w:noWrap/>
            <w:hideMark/>
          </w:tcPr>
          <w:p w14:paraId="628DA099" w14:textId="77777777" w:rsidR="00610751" w:rsidRPr="00610751" w:rsidRDefault="00610751" w:rsidP="00610751">
            <w:pPr>
              <w:widowControl/>
              <w:overflowPunct/>
              <w:autoSpaceDE/>
              <w:autoSpaceDN/>
              <w:adjustRightInd/>
              <w:rPr>
                <w:kern w:val="0"/>
              </w:rPr>
            </w:pPr>
            <w:r w:rsidRPr="00610751">
              <w:rPr>
                <w:kern w:val="0"/>
              </w:rPr>
              <w:t>Interunit Communication in Multinational Corporations</w:t>
            </w:r>
          </w:p>
        </w:tc>
      </w:tr>
      <w:tr w:rsidR="00610751" w:rsidRPr="00610751" w14:paraId="6D47E41D" w14:textId="77777777" w:rsidTr="00DB7B9A">
        <w:trPr>
          <w:trHeight w:val="20"/>
        </w:trPr>
        <w:tc>
          <w:tcPr>
            <w:tcW w:w="810" w:type="dxa"/>
            <w:noWrap/>
            <w:hideMark/>
          </w:tcPr>
          <w:p w14:paraId="19D8CACD" w14:textId="77777777" w:rsidR="00610751" w:rsidRPr="00610751" w:rsidRDefault="00610751" w:rsidP="00610751">
            <w:pPr>
              <w:widowControl/>
              <w:overflowPunct/>
              <w:autoSpaceDE/>
              <w:autoSpaceDN/>
              <w:adjustRightInd/>
              <w:rPr>
                <w:kern w:val="0"/>
              </w:rPr>
            </w:pPr>
            <w:r w:rsidRPr="00610751">
              <w:rPr>
                <w:kern w:val="0"/>
              </w:rPr>
              <w:t>1994</w:t>
            </w:r>
          </w:p>
        </w:tc>
        <w:tc>
          <w:tcPr>
            <w:tcW w:w="2340" w:type="dxa"/>
            <w:noWrap/>
            <w:hideMark/>
          </w:tcPr>
          <w:p w14:paraId="2CE8E0D5" w14:textId="77777777" w:rsidR="00610751" w:rsidRPr="00610751" w:rsidRDefault="00610751" w:rsidP="00610751">
            <w:pPr>
              <w:widowControl/>
              <w:overflowPunct/>
              <w:autoSpaceDE/>
              <w:autoSpaceDN/>
              <w:adjustRightInd/>
              <w:rPr>
                <w:kern w:val="0"/>
              </w:rPr>
            </w:pPr>
            <w:r w:rsidRPr="00610751">
              <w:rPr>
                <w:kern w:val="0"/>
              </w:rPr>
              <w:t>Gupta &amp; Govindarajan</w:t>
            </w:r>
          </w:p>
        </w:tc>
        <w:tc>
          <w:tcPr>
            <w:tcW w:w="9090" w:type="dxa"/>
            <w:noWrap/>
            <w:hideMark/>
          </w:tcPr>
          <w:p w14:paraId="7D06145B" w14:textId="77777777" w:rsidR="00610751" w:rsidRPr="00610751" w:rsidRDefault="00610751" w:rsidP="00610751">
            <w:pPr>
              <w:widowControl/>
              <w:overflowPunct/>
              <w:autoSpaceDE/>
              <w:autoSpaceDN/>
              <w:adjustRightInd/>
              <w:rPr>
                <w:kern w:val="0"/>
              </w:rPr>
            </w:pPr>
            <w:r w:rsidRPr="00610751">
              <w:rPr>
                <w:kern w:val="0"/>
              </w:rPr>
              <w:t>Organizing for Knowledge Flows within MNCs</w:t>
            </w:r>
          </w:p>
        </w:tc>
      </w:tr>
      <w:tr w:rsidR="00610751" w:rsidRPr="00610751" w14:paraId="732655EF" w14:textId="77777777" w:rsidTr="00DB7B9A">
        <w:trPr>
          <w:trHeight w:val="20"/>
        </w:trPr>
        <w:tc>
          <w:tcPr>
            <w:tcW w:w="810" w:type="dxa"/>
            <w:noWrap/>
            <w:hideMark/>
          </w:tcPr>
          <w:p w14:paraId="7A070C84" w14:textId="77777777" w:rsidR="00610751" w:rsidRPr="00610751" w:rsidRDefault="00610751" w:rsidP="00610751">
            <w:pPr>
              <w:widowControl/>
              <w:overflowPunct/>
              <w:autoSpaceDE/>
              <w:autoSpaceDN/>
              <w:adjustRightInd/>
              <w:rPr>
                <w:kern w:val="0"/>
              </w:rPr>
            </w:pPr>
            <w:r w:rsidRPr="00610751">
              <w:rPr>
                <w:kern w:val="0"/>
              </w:rPr>
              <w:t>1996</w:t>
            </w:r>
          </w:p>
        </w:tc>
        <w:tc>
          <w:tcPr>
            <w:tcW w:w="2340" w:type="dxa"/>
            <w:noWrap/>
            <w:hideMark/>
          </w:tcPr>
          <w:p w14:paraId="7B781804" w14:textId="77777777" w:rsidR="00610751" w:rsidRPr="00610751" w:rsidRDefault="00610751" w:rsidP="00610751">
            <w:pPr>
              <w:widowControl/>
              <w:overflowPunct/>
              <w:autoSpaceDE/>
              <w:autoSpaceDN/>
              <w:adjustRightInd/>
              <w:rPr>
                <w:kern w:val="0"/>
              </w:rPr>
            </w:pPr>
            <w:r w:rsidRPr="00610751">
              <w:rPr>
                <w:kern w:val="0"/>
              </w:rPr>
              <w:t>Andersson &amp; Forsgren</w:t>
            </w:r>
          </w:p>
        </w:tc>
        <w:tc>
          <w:tcPr>
            <w:tcW w:w="9090" w:type="dxa"/>
            <w:noWrap/>
            <w:hideMark/>
          </w:tcPr>
          <w:p w14:paraId="493E393B" w14:textId="77777777" w:rsidR="00610751" w:rsidRPr="00610751" w:rsidRDefault="00610751" w:rsidP="00610751">
            <w:pPr>
              <w:widowControl/>
              <w:overflowPunct/>
              <w:autoSpaceDE/>
              <w:autoSpaceDN/>
              <w:adjustRightInd/>
              <w:rPr>
                <w:kern w:val="0"/>
              </w:rPr>
            </w:pPr>
            <w:r w:rsidRPr="00610751">
              <w:rPr>
                <w:kern w:val="0"/>
              </w:rPr>
              <w:t>Subsidiary Embeddedness and Control in the Multinational Corporation</w:t>
            </w:r>
          </w:p>
        </w:tc>
      </w:tr>
      <w:tr w:rsidR="00610751" w:rsidRPr="00610751" w14:paraId="6C9C9167" w14:textId="77777777" w:rsidTr="00DB7B9A">
        <w:trPr>
          <w:trHeight w:val="20"/>
        </w:trPr>
        <w:tc>
          <w:tcPr>
            <w:tcW w:w="810" w:type="dxa"/>
            <w:noWrap/>
            <w:hideMark/>
          </w:tcPr>
          <w:p w14:paraId="20BBB94C" w14:textId="77777777" w:rsidR="00610751" w:rsidRPr="00610751" w:rsidRDefault="00610751" w:rsidP="00610751">
            <w:pPr>
              <w:widowControl/>
              <w:overflowPunct/>
              <w:autoSpaceDE/>
              <w:autoSpaceDN/>
              <w:adjustRightInd/>
              <w:rPr>
                <w:kern w:val="0"/>
              </w:rPr>
            </w:pPr>
            <w:r w:rsidRPr="00610751">
              <w:rPr>
                <w:kern w:val="0"/>
              </w:rPr>
              <w:t>1996</w:t>
            </w:r>
          </w:p>
        </w:tc>
        <w:tc>
          <w:tcPr>
            <w:tcW w:w="2340" w:type="dxa"/>
            <w:noWrap/>
            <w:hideMark/>
          </w:tcPr>
          <w:p w14:paraId="5CC05BAB" w14:textId="77777777" w:rsidR="00610751" w:rsidRPr="00610751" w:rsidRDefault="00610751" w:rsidP="00610751">
            <w:pPr>
              <w:widowControl/>
              <w:overflowPunct/>
              <w:autoSpaceDE/>
              <w:autoSpaceDN/>
              <w:adjustRightInd/>
              <w:rPr>
                <w:kern w:val="0"/>
              </w:rPr>
            </w:pPr>
            <w:r w:rsidRPr="00610751">
              <w:rPr>
                <w:kern w:val="0"/>
              </w:rPr>
              <w:t>Roth &amp; O'Donnell</w:t>
            </w:r>
          </w:p>
        </w:tc>
        <w:tc>
          <w:tcPr>
            <w:tcW w:w="9090" w:type="dxa"/>
            <w:noWrap/>
            <w:hideMark/>
          </w:tcPr>
          <w:p w14:paraId="5A899EC3" w14:textId="77777777" w:rsidR="00610751" w:rsidRPr="00610751" w:rsidRDefault="00610751" w:rsidP="00610751">
            <w:pPr>
              <w:widowControl/>
              <w:overflowPunct/>
              <w:autoSpaceDE/>
              <w:autoSpaceDN/>
              <w:adjustRightInd/>
              <w:rPr>
                <w:kern w:val="0"/>
              </w:rPr>
            </w:pPr>
            <w:r w:rsidRPr="00610751">
              <w:rPr>
                <w:kern w:val="0"/>
              </w:rPr>
              <w:t>Foreign Subsidiary Compensation Strategy: An Agency Theory Perspective</w:t>
            </w:r>
          </w:p>
        </w:tc>
      </w:tr>
      <w:tr w:rsidR="00610751" w:rsidRPr="00610751" w14:paraId="08B67686" w14:textId="77777777" w:rsidTr="00DB7B9A">
        <w:trPr>
          <w:trHeight w:val="20"/>
        </w:trPr>
        <w:tc>
          <w:tcPr>
            <w:tcW w:w="810" w:type="dxa"/>
            <w:noWrap/>
            <w:hideMark/>
          </w:tcPr>
          <w:p w14:paraId="4D831234" w14:textId="77777777" w:rsidR="00610751" w:rsidRPr="00610751" w:rsidRDefault="00610751" w:rsidP="00610751">
            <w:pPr>
              <w:widowControl/>
              <w:overflowPunct/>
              <w:autoSpaceDE/>
              <w:autoSpaceDN/>
              <w:adjustRightInd/>
              <w:rPr>
                <w:kern w:val="0"/>
              </w:rPr>
            </w:pPr>
            <w:r w:rsidRPr="00610751">
              <w:rPr>
                <w:kern w:val="0"/>
              </w:rPr>
              <w:t>1997</w:t>
            </w:r>
          </w:p>
        </w:tc>
        <w:tc>
          <w:tcPr>
            <w:tcW w:w="2340" w:type="dxa"/>
            <w:noWrap/>
            <w:hideMark/>
          </w:tcPr>
          <w:p w14:paraId="385E4369" w14:textId="77777777" w:rsidR="00610751" w:rsidRPr="00610751" w:rsidRDefault="00610751" w:rsidP="00610751">
            <w:pPr>
              <w:widowControl/>
              <w:overflowPunct/>
              <w:autoSpaceDE/>
              <w:autoSpaceDN/>
              <w:adjustRightInd/>
              <w:rPr>
                <w:kern w:val="0"/>
              </w:rPr>
            </w:pPr>
            <w:r w:rsidRPr="00610751">
              <w:rPr>
                <w:kern w:val="0"/>
              </w:rPr>
              <w:t>Very et al.</w:t>
            </w:r>
          </w:p>
        </w:tc>
        <w:tc>
          <w:tcPr>
            <w:tcW w:w="9090" w:type="dxa"/>
            <w:noWrap/>
            <w:hideMark/>
          </w:tcPr>
          <w:p w14:paraId="134CE9EA" w14:textId="77777777" w:rsidR="00610751" w:rsidRPr="00610751" w:rsidRDefault="00610751" w:rsidP="00610751">
            <w:pPr>
              <w:widowControl/>
              <w:overflowPunct/>
              <w:autoSpaceDE/>
              <w:autoSpaceDN/>
              <w:adjustRightInd/>
              <w:rPr>
                <w:kern w:val="0"/>
              </w:rPr>
            </w:pPr>
            <w:r w:rsidRPr="00610751">
              <w:rPr>
                <w:kern w:val="0"/>
              </w:rPr>
              <w:t>Relative Standing and the Performance of Recently Acquired European Firms</w:t>
            </w:r>
          </w:p>
        </w:tc>
      </w:tr>
      <w:tr w:rsidR="00610751" w:rsidRPr="00610751" w14:paraId="3083B34A" w14:textId="77777777" w:rsidTr="00DB7B9A">
        <w:trPr>
          <w:trHeight w:val="20"/>
        </w:trPr>
        <w:tc>
          <w:tcPr>
            <w:tcW w:w="810" w:type="dxa"/>
            <w:noWrap/>
            <w:hideMark/>
          </w:tcPr>
          <w:p w14:paraId="5AEDB537" w14:textId="77777777" w:rsidR="00610751" w:rsidRPr="00610751" w:rsidRDefault="00610751" w:rsidP="00610751">
            <w:pPr>
              <w:widowControl/>
              <w:overflowPunct/>
              <w:autoSpaceDE/>
              <w:autoSpaceDN/>
              <w:adjustRightInd/>
              <w:rPr>
                <w:kern w:val="0"/>
              </w:rPr>
            </w:pPr>
            <w:r w:rsidRPr="00610751">
              <w:rPr>
                <w:kern w:val="0"/>
              </w:rPr>
              <w:t>1998</w:t>
            </w:r>
          </w:p>
        </w:tc>
        <w:tc>
          <w:tcPr>
            <w:tcW w:w="2340" w:type="dxa"/>
            <w:noWrap/>
            <w:hideMark/>
          </w:tcPr>
          <w:p w14:paraId="6C4DE435" w14:textId="77777777" w:rsidR="00610751" w:rsidRPr="00610751" w:rsidRDefault="00610751" w:rsidP="00610751">
            <w:pPr>
              <w:widowControl/>
              <w:overflowPunct/>
              <w:autoSpaceDE/>
              <w:autoSpaceDN/>
              <w:adjustRightInd/>
              <w:rPr>
                <w:kern w:val="0"/>
              </w:rPr>
            </w:pPr>
            <w:r w:rsidRPr="00610751">
              <w:rPr>
                <w:kern w:val="0"/>
              </w:rPr>
              <w:t>Birkinshaw</w:t>
            </w:r>
          </w:p>
        </w:tc>
        <w:tc>
          <w:tcPr>
            <w:tcW w:w="9090" w:type="dxa"/>
            <w:noWrap/>
            <w:hideMark/>
          </w:tcPr>
          <w:p w14:paraId="0338AE4F" w14:textId="77777777" w:rsidR="00610751" w:rsidRPr="00610751" w:rsidRDefault="00610751" w:rsidP="00610751">
            <w:pPr>
              <w:widowControl/>
              <w:overflowPunct/>
              <w:autoSpaceDE/>
              <w:autoSpaceDN/>
              <w:adjustRightInd/>
              <w:rPr>
                <w:kern w:val="0"/>
              </w:rPr>
            </w:pPr>
            <w:r w:rsidRPr="00610751">
              <w:rPr>
                <w:kern w:val="0"/>
              </w:rPr>
              <w:t>The Determinants and Consequences of Subsidiary Initiative in Multinational Corporations</w:t>
            </w:r>
          </w:p>
        </w:tc>
      </w:tr>
      <w:tr w:rsidR="00610751" w:rsidRPr="00610751" w14:paraId="5CB69767" w14:textId="77777777" w:rsidTr="00DB7B9A">
        <w:trPr>
          <w:trHeight w:val="20"/>
        </w:trPr>
        <w:tc>
          <w:tcPr>
            <w:tcW w:w="810" w:type="dxa"/>
            <w:noWrap/>
            <w:hideMark/>
          </w:tcPr>
          <w:p w14:paraId="4781E644" w14:textId="77777777" w:rsidR="00610751" w:rsidRPr="00610751" w:rsidRDefault="00610751" w:rsidP="00610751">
            <w:pPr>
              <w:widowControl/>
              <w:overflowPunct/>
              <w:autoSpaceDE/>
              <w:autoSpaceDN/>
              <w:adjustRightInd/>
              <w:rPr>
                <w:kern w:val="0"/>
              </w:rPr>
            </w:pPr>
            <w:r w:rsidRPr="00610751">
              <w:rPr>
                <w:kern w:val="0"/>
              </w:rPr>
              <w:t>1998</w:t>
            </w:r>
          </w:p>
        </w:tc>
        <w:tc>
          <w:tcPr>
            <w:tcW w:w="2340" w:type="dxa"/>
            <w:noWrap/>
            <w:hideMark/>
          </w:tcPr>
          <w:p w14:paraId="5D6B9B03" w14:textId="77777777" w:rsidR="00610751" w:rsidRPr="00610751" w:rsidRDefault="00610751" w:rsidP="00610751">
            <w:pPr>
              <w:widowControl/>
              <w:overflowPunct/>
              <w:autoSpaceDE/>
              <w:autoSpaceDN/>
              <w:adjustRightInd/>
              <w:rPr>
                <w:kern w:val="0"/>
              </w:rPr>
            </w:pPr>
            <w:r w:rsidRPr="00610751">
              <w:rPr>
                <w:kern w:val="0"/>
              </w:rPr>
              <w:t>Birkinshaw et al.</w:t>
            </w:r>
          </w:p>
        </w:tc>
        <w:tc>
          <w:tcPr>
            <w:tcW w:w="9090" w:type="dxa"/>
            <w:noWrap/>
            <w:hideMark/>
          </w:tcPr>
          <w:p w14:paraId="0426B9E7" w14:textId="77777777" w:rsidR="00610751" w:rsidRPr="00610751" w:rsidRDefault="00610751" w:rsidP="00610751">
            <w:pPr>
              <w:widowControl/>
              <w:overflowPunct/>
              <w:autoSpaceDE/>
              <w:autoSpaceDN/>
              <w:adjustRightInd/>
              <w:rPr>
                <w:kern w:val="0"/>
              </w:rPr>
            </w:pPr>
            <w:r w:rsidRPr="00610751">
              <w:rPr>
                <w:kern w:val="0"/>
              </w:rPr>
              <w:t>Building Firm-Specific Advantages in Multinational Corporations: The Role of Subsidiary Initiative</w:t>
            </w:r>
          </w:p>
        </w:tc>
      </w:tr>
      <w:tr w:rsidR="00610751" w:rsidRPr="00610751" w14:paraId="1929A2EB" w14:textId="77777777" w:rsidTr="00DB7B9A">
        <w:trPr>
          <w:trHeight w:val="20"/>
        </w:trPr>
        <w:tc>
          <w:tcPr>
            <w:tcW w:w="810" w:type="dxa"/>
            <w:noWrap/>
            <w:hideMark/>
          </w:tcPr>
          <w:p w14:paraId="63DB2501" w14:textId="77777777" w:rsidR="00610751" w:rsidRPr="00610751" w:rsidRDefault="00610751" w:rsidP="00610751">
            <w:pPr>
              <w:widowControl/>
              <w:overflowPunct/>
              <w:autoSpaceDE/>
              <w:autoSpaceDN/>
              <w:adjustRightInd/>
              <w:rPr>
                <w:kern w:val="0"/>
              </w:rPr>
            </w:pPr>
            <w:r w:rsidRPr="00610751">
              <w:rPr>
                <w:kern w:val="0"/>
              </w:rPr>
              <w:t>1998</w:t>
            </w:r>
          </w:p>
        </w:tc>
        <w:tc>
          <w:tcPr>
            <w:tcW w:w="2340" w:type="dxa"/>
            <w:noWrap/>
            <w:hideMark/>
          </w:tcPr>
          <w:p w14:paraId="6927885A" w14:textId="77777777" w:rsidR="00610751" w:rsidRPr="00610751" w:rsidRDefault="00610751" w:rsidP="00610751">
            <w:pPr>
              <w:widowControl/>
              <w:overflowPunct/>
              <w:autoSpaceDE/>
              <w:autoSpaceDN/>
              <w:adjustRightInd/>
              <w:rPr>
                <w:kern w:val="0"/>
              </w:rPr>
            </w:pPr>
            <w:r w:rsidRPr="00610751">
              <w:rPr>
                <w:kern w:val="0"/>
              </w:rPr>
              <w:t>Lubatkin et al.</w:t>
            </w:r>
          </w:p>
        </w:tc>
        <w:tc>
          <w:tcPr>
            <w:tcW w:w="9090" w:type="dxa"/>
            <w:noWrap/>
            <w:hideMark/>
          </w:tcPr>
          <w:p w14:paraId="2CA6E19A" w14:textId="77777777" w:rsidR="00610751" w:rsidRPr="00610751" w:rsidRDefault="00610751" w:rsidP="00610751">
            <w:pPr>
              <w:widowControl/>
              <w:overflowPunct/>
              <w:autoSpaceDE/>
              <w:autoSpaceDN/>
              <w:adjustRightInd/>
              <w:rPr>
                <w:kern w:val="0"/>
              </w:rPr>
            </w:pPr>
            <w:r w:rsidRPr="00610751">
              <w:rPr>
                <w:kern w:val="0"/>
              </w:rPr>
              <w:t>Managing Mergers Across Borders: A Two-Nation Exploration of a Nationally Bound Administrative Heritage</w:t>
            </w:r>
          </w:p>
        </w:tc>
      </w:tr>
      <w:tr w:rsidR="00610751" w:rsidRPr="00610751" w14:paraId="4CB74620" w14:textId="77777777" w:rsidTr="00DB7B9A">
        <w:trPr>
          <w:trHeight w:val="20"/>
        </w:trPr>
        <w:tc>
          <w:tcPr>
            <w:tcW w:w="810" w:type="dxa"/>
            <w:noWrap/>
            <w:hideMark/>
          </w:tcPr>
          <w:p w14:paraId="6D5BE045" w14:textId="77777777" w:rsidR="00610751" w:rsidRPr="00610751" w:rsidRDefault="00610751" w:rsidP="00610751">
            <w:pPr>
              <w:widowControl/>
              <w:overflowPunct/>
              <w:autoSpaceDE/>
              <w:autoSpaceDN/>
              <w:adjustRightInd/>
              <w:rPr>
                <w:kern w:val="0"/>
              </w:rPr>
            </w:pPr>
            <w:r w:rsidRPr="00610751">
              <w:rPr>
                <w:kern w:val="0"/>
              </w:rPr>
              <w:t>1999</w:t>
            </w:r>
          </w:p>
        </w:tc>
        <w:tc>
          <w:tcPr>
            <w:tcW w:w="2340" w:type="dxa"/>
            <w:noWrap/>
            <w:hideMark/>
          </w:tcPr>
          <w:p w14:paraId="78B79B2B" w14:textId="77777777" w:rsidR="00610751" w:rsidRPr="00610751" w:rsidRDefault="00610751" w:rsidP="00610751">
            <w:pPr>
              <w:widowControl/>
              <w:overflowPunct/>
              <w:autoSpaceDE/>
              <w:autoSpaceDN/>
              <w:adjustRightInd/>
              <w:rPr>
                <w:kern w:val="0"/>
              </w:rPr>
            </w:pPr>
            <w:r w:rsidRPr="00610751">
              <w:rPr>
                <w:kern w:val="0"/>
              </w:rPr>
              <w:t>Chang &amp; Taylor</w:t>
            </w:r>
          </w:p>
        </w:tc>
        <w:tc>
          <w:tcPr>
            <w:tcW w:w="9090" w:type="dxa"/>
            <w:noWrap/>
            <w:hideMark/>
          </w:tcPr>
          <w:p w14:paraId="36C8B43D" w14:textId="77777777" w:rsidR="00610751" w:rsidRPr="00610751" w:rsidRDefault="00610751" w:rsidP="00610751">
            <w:pPr>
              <w:widowControl/>
              <w:overflowPunct/>
              <w:autoSpaceDE/>
              <w:autoSpaceDN/>
              <w:adjustRightInd/>
              <w:rPr>
                <w:kern w:val="0"/>
              </w:rPr>
            </w:pPr>
            <w:r w:rsidRPr="00610751">
              <w:rPr>
                <w:kern w:val="0"/>
              </w:rPr>
              <w:t>Control in Multinational Corporations (MNCs): The Case of Korean Manufacturing Subsidiaries</w:t>
            </w:r>
          </w:p>
        </w:tc>
      </w:tr>
      <w:tr w:rsidR="00610751" w:rsidRPr="00610751" w14:paraId="28C05B6F" w14:textId="77777777" w:rsidTr="00DB7B9A">
        <w:trPr>
          <w:trHeight w:val="20"/>
        </w:trPr>
        <w:tc>
          <w:tcPr>
            <w:tcW w:w="810" w:type="dxa"/>
            <w:noWrap/>
            <w:hideMark/>
          </w:tcPr>
          <w:p w14:paraId="2E0A1BC8" w14:textId="77777777" w:rsidR="00610751" w:rsidRPr="00610751" w:rsidRDefault="00610751" w:rsidP="00610751">
            <w:pPr>
              <w:widowControl/>
              <w:overflowPunct/>
              <w:autoSpaceDE/>
              <w:autoSpaceDN/>
              <w:adjustRightInd/>
              <w:rPr>
                <w:kern w:val="0"/>
              </w:rPr>
            </w:pPr>
            <w:r w:rsidRPr="00610751">
              <w:rPr>
                <w:kern w:val="0"/>
              </w:rPr>
              <w:t>1999</w:t>
            </w:r>
          </w:p>
        </w:tc>
        <w:tc>
          <w:tcPr>
            <w:tcW w:w="2340" w:type="dxa"/>
            <w:noWrap/>
            <w:hideMark/>
          </w:tcPr>
          <w:p w14:paraId="54D89F8C" w14:textId="77777777" w:rsidR="00610751" w:rsidRPr="00610751" w:rsidRDefault="00610751" w:rsidP="00610751">
            <w:pPr>
              <w:widowControl/>
              <w:overflowPunct/>
              <w:autoSpaceDE/>
              <w:autoSpaceDN/>
              <w:adjustRightInd/>
              <w:rPr>
                <w:kern w:val="0"/>
              </w:rPr>
            </w:pPr>
            <w:r w:rsidRPr="00610751">
              <w:rPr>
                <w:kern w:val="0"/>
              </w:rPr>
              <w:t>Gupta et al.</w:t>
            </w:r>
          </w:p>
        </w:tc>
        <w:tc>
          <w:tcPr>
            <w:tcW w:w="9090" w:type="dxa"/>
            <w:noWrap/>
            <w:hideMark/>
          </w:tcPr>
          <w:p w14:paraId="156D9A2D" w14:textId="77777777" w:rsidR="00610751" w:rsidRPr="00610751" w:rsidRDefault="00610751" w:rsidP="00610751">
            <w:pPr>
              <w:widowControl/>
              <w:overflowPunct/>
              <w:autoSpaceDE/>
              <w:autoSpaceDN/>
              <w:adjustRightInd/>
              <w:rPr>
                <w:kern w:val="0"/>
              </w:rPr>
            </w:pPr>
            <w:r w:rsidRPr="00610751">
              <w:rPr>
                <w:kern w:val="0"/>
              </w:rPr>
              <w:t>Feedback-seeking behavior within multinational corporations</w:t>
            </w:r>
          </w:p>
        </w:tc>
      </w:tr>
      <w:tr w:rsidR="00610751" w:rsidRPr="00610751" w14:paraId="13145981" w14:textId="77777777" w:rsidTr="00DB7B9A">
        <w:trPr>
          <w:trHeight w:val="20"/>
        </w:trPr>
        <w:tc>
          <w:tcPr>
            <w:tcW w:w="810" w:type="dxa"/>
            <w:noWrap/>
            <w:hideMark/>
          </w:tcPr>
          <w:p w14:paraId="768075CE" w14:textId="77777777" w:rsidR="00610751" w:rsidRPr="00610751" w:rsidRDefault="00610751" w:rsidP="00610751">
            <w:pPr>
              <w:widowControl/>
              <w:overflowPunct/>
              <w:autoSpaceDE/>
              <w:autoSpaceDN/>
              <w:adjustRightInd/>
              <w:rPr>
                <w:kern w:val="0"/>
              </w:rPr>
            </w:pPr>
            <w:r w:rsidRPr="00610751">
              <w:rPr>
                <w:kern w:val="0"/>
              </w:rPr>
              <w:t>2000</w:t>
            </w:r>
          </w:p>
        </w:tc>
        <w:tc>
          <w:tcPr>
            <w:tcW w:w="2340" w:type="dxa"/>
            <w:noWrap/>
            <w:hideMark/>
          </w:tcPr>
          <w:p w14:paraId="393460CA" w14:textId="77777777" w:rsidR="00610751" w:rsidRPr="00610751" w:rsidRDefault="00610751" w:rsidP="00610751">
            <w:pPr>
              <w:widowControl/>
              <w:overflowPunct/>
              <w:autoSpaceDE/>
              <w:autoSpaceDN/>
              <w:adjustRightInd/>
              <w:rPr>
                <w:kern w:val="0"/>
              </w:rPr>
            </w:pPr>
            <w:r w:rsidRPr="00610751">
              <w:rPr>
                <w:kern w:val="0"/>
              </w:rPr>
              <w:t>Birkinshaw et al.</w:t>
            </w:r>
          </w:p>
        </w:tc>
        <w:tc>
          <w:tcPr>
            <w:tcW w:w="9090" w:type="dxa"/>
            <w:noWrap/>
            <w:hideMark/>
          </w:tcPr>
          <w:p w14:paraId="2971F017" w14:textId="77777777" w:rsidR="00610751" w:rsidRPr="00610751" w:rsidRDefault="00610751" w:rsidP="00610751">
            <w:pPr>
              <w:widowControl/>
              <w:overflowPunct/>
              <w:autoSpaceDE/>
              <w:autoSpaceDN/>
              <w:adjustRightInd/>
              <w:rPr>
                <w:kern w:val="0"/>
              </w:rPr>
            </w:pPr>
            <w:r w:rsidRPr="00610751">
              <w:rPr>
                <w:kern w:val="0"/>
              </w:rPr>
              <w:t>Consequences of perception gaps in the headquarters–subsidiary relationship</w:t>
            </w:r>
          </w:p>
        </w:tc>
      </w:tr>
      <w:tr w:rsidR="00610751" w:rsidRPr="00610751" w14:paraId="44604DAC" w14:textId="77777777" w:rsidTr="00DB7B9A">
        <w:trPr>
          <w:trHeight w:val="20"/>
        </w:trPr>
        <w:tc>
          <w:tcPr>
            <w:tcW w:w="810" w:type="dxa"/>
            <w:noWrap/>
            <w:hideMark/>
          </w:tcPr>
          <w:p w14:paraId="0EBA77B8" w14:textId="77777777" w:rsidR="00610751" w:rsidRPr="00610751" w:rsidRDefault="00610751" w:rsidP="00610751">
            <w:pPr>
              <w:widowControl/>
              <w:overflowPunct/>
              <w:autoSpaceDE/>
              <w:autoSpaceDN/>
              <w:adjustRightInd/>
              <w:rPr>
                <w:kern w:val="0"/>
              </w:rPr>
            </w:pPr>
            <w:r w:rsidRPr="00610751">
              <w:rPr>
                <w:kern w:val="0"/>
              </w:rPr>
              <w:t>2000</w:t>
            </w:r>
          </w:p>
        </w:tc>
        <w:tc>
          <w:tcPr>
            <w:tcW w:w="2340" w:type="dxa"/>
            <w:noWrap/>
            <w:hideMark/>
          </w:tcPr>
          <w:p w14:paraId="228F76C2" w14:textId="77777777" w:rsidR="00610751" w:rsidRPr="00610751" w:rsidRDefault="00610751" w:rsidP="00610751">
            <w:pPr>
              <w:widowControl/>
              <w:overflowPunct/>
              <w:autoSpaceDE/>
              <w:autoSpaceDN/>
              <w:adjustRightInd/>
              <w:rPr>
                <w:kern w:val="0"/>
              </w:rPr>
            </w:pPr>
            <w:r w:rsidRPr="00610751">
              <w:rPr>
                <w:kern w:val="0"/>
              </w:rPr>
              <w:t>Birkinshaw &amp; Hood</w:t>
            </w:r>
          </w:p>
        </w:tc>
        <w:tc>
          <w:tcPr>
            <w:tcW w:w="9090" w:type="dxa"/>
            <w:noWrap/>
            <w:hideMark/>
          </w:tcPr>
          <w:p w14:paraId="74CBAAB1" w14:textId="77777777" w:rsidR="00610751" w:rsidRPr="00610751" w:rsidRDefault="00610751" w:rsidP="00610751">
            <w:pPr>
              <w:widowControl/>
              <w:overflowPunct/>
              <w:autoSpaceDE/>
              <w:autoSpaceDN/>
              <w:adjustRightInd/>
              <w:rPr>
                <w:kern w:val="0"/>
              </w:rPr>
            </w:pPr>
            <w:r w:rsidRPr="00610751">
              <w:rPr>
                <w:kern w:val="0"/>
              </w:rPr>
              <w:t>Characteristics of Foreign Subsidiaries in Industry Clusters</w:t>
            </w:r>
          </w:p>
        </w:tc>
      </w:tr>
      <w:tr w:rsidR="00610751" w:rsidRPr="00610751" w14:paraId="6215738C" w14:textId="77777777" w:rsidTr="00DB7B9A">
        <w:trPr>
          <w:trHeight w:val="20"/>
        </w:trPr>
        <w:tc>
          <w:tcPr>
            <w:tcW w:w="810" w:type="dxa"/>
            <w:noWrap/>
            <w:hideMark/>
          </w:tcPr>
          <w:p w14:paraId="3D90A59D" w14:textId="77777777" w:rsidR="00610751" w:rsidRPr="00610751" w:rsidRDefault="00610751" w:rsidP="00610751">
            <w:pPr>
              <w:widowControl/>
              <w:overflowPunct/>
              <w:autoSpaceDE/>
              <w:autoSpaceDN/>
              <w:adjustRightInd/>
              <w:rPr>
                <w:kern w:val="0"/>
              </w:rPr>
            </w:pPr>
            <w:r w:rsidRPr="00610751">
              <w:rPr>
                <w:kern w:val="0"/>
              </w:rPr>
              <w:t>2000</w:t>
            </w:r>
          </w:p>
        </w:tc>
        <w:tc>
          <w:tcPr>
            <w:tcW w:w="2340" w:type="dxa"/>
            <w:noWrap/>
            <w:hideMark/>
          </w:tcPr>
          <w:p w14:paraId="712E419D" w14:textId="77777777" w:rsidR="00610751" w:rsidRPr="00610751" w:rsidRDefault="00610751" w:rsidP="00610751">
            <w:pPr>
              <w:widowControl/>
              <w:overflowPunct/>
              <w:autoSpaceDE/>
              <w:autoSpaceDN/>
              <w:adjustRightInd/>
              <w:rPr>
                <w:kern w:val="0"/>
              </w:rPr>
            </w:pPr>
            <w:r w:rsidRPr="00610751">
              <w:rPr>
                <w:kern w:val="0"/>
              </w:rPr>
              <w:t>Gupta &amp; Govindarajan</w:t>
            </w:r>
          </w:p>
        </w:tc>
        <w:tc>
          <w:tcPr>
            <w:tcW w:w="9090" w:type="dxa"/>
            <w:noWrap/>
            <w:hideMark/>
          </w:tcPr>
          <w:p w14:paraId="16980C1D" w14:textId="77777777" w:rsidR="00610751" w:rsidRPr="00610751" w:rsidRDefault="00610751" w:rsidP="00610751">
            <w:pPr>
              <w:widowControl/>
              <w:overflowPunct/>
              <w:autoSpaceDE/>
              <w:autoSpaceDN/>
              <w:adjustRightInd/>
              <w:rPr>
                <w:kern w:val="0"/>
              </w:rPr>
            </w:pPr>
            <w:r w:rsidRPr="00610751">
              <w:rPr>
                <w:kern w:val="0"/>
              </w:rPr>
              <w:t>Knowledge Flows within Multinational Corporations</w:t>
            </w:r>
          </w:p>
        </w:tc>
      </w:tr>
      <w:tr w:rsidR="00610751" w:rsidRPr="00610751" w14:paraId="174BDCD9" w14:textId="77777777" w:rsidTr="00DB7B9A">
        <w:trPr>
          <w:trHeight w:val="20"/>
        </w:trPr>
        <w:tc>
          <w:tcPr>
            <w:tcW w:w="810" w:type="dxa"/>
            <w:noWrap/>
            <w:hideMark/>
          </w:tcPr>
          <w:p w14:paraId="6BFEB8D8" w14:textId="77777777" w:rsidR="00610751" w:rsidRPr="00610751" w:rsidRDefault="00610751" w:rsidP="00610751">
            <w:pPr>
              <w:widowControl/>
              <w:overflowPunct/>
              <w:autoSpaceDE/>
              <w:autoSpaceDN/>
              <w:adjustRightInd/>
              <w:rPr>
                <w:kern w:val="0"/>
              </w:rPr>
            </w:pPr>
            <w:r w:rsidRPr="00610751">
              <w:rPr>
                <w:kern w:val="0"/>
              </w:rPr>
              <w:t>2000</w:t>
            </w:r>
          </w:p>
        </w:tc>
        <w:tc>
          <w:tcPr>
            <w:tcW w:w="2340" w:type="dxa"/>
            <w:noWrap/>
            <w:hideMark/>
          </w:tcPr>
          <w:p w14:paraId="26062165" w14:textId="77777777" w:rsidR="00610751" w:rsidRPr="00610751" w:rsidRDefault="00610751" w:rsidP="00610751">
            <w:pPr>
              <w:widowControl/>
              <w:overflowPunct/>
              <w:autoSpaceDE/>
              <w:autoSpaceDN/>
              <w:adjustRightInd/>
              <w:rPr>
                <w:kern w:val="0"/>
              </w:rPr>
            </w:pPr>
            <w:r w:rsidRPr="00610751">
              <w:rPr>
                <w:kern w:val="0"/>
              </w:rPr>
              <w:t>Kim &amp; Park</w:t>
            </w:r>
          </w:p>
        </w:tc>
        <w:tc>
          <w:tcPr>
            <w:tcW w:w="9090" w:type="dxa"/>
            <w:noWrap/>
            <w:hideMark/>
          </w:tcPr>
          <w:p w14:paraId="543BDAF5" w14:textId="77777777" w:rsidR="00610751" w:rsidRPr="00610751" w:rsidRDefault="00610751" w:rsidP="00610751">
            <w:pPr>
              <w:widowControl/>
              <w:overflowPunct/>
              <w:autoSpaceDE/>
              <w:autoSpaceDN/>
              <w:adjustRightInd/>
              <w:rPr>
                <w:kern w:val="0"/>
              </w:rPr>
            </w:pPr>
            <w:r w:rsidRPr="00610751">
              <w:rPr>
                <w:kern w:val="0"/>
              </w:rPr>
              <w:t>Integrating Distinctive Manufacturing Competence Globally: Its Effect on Business Performance</w:t>
            </w:r>
          </w:p>
        </w:tc>
      </w:tr>
      <w:tr w:rsidR="00610751" w:rsidRPr="00610751" w14:paraId="23973616" w14:textId="77777777" w:rsidTr="00DB7B9A">
        <w:trPr>
          <w:trHeight w:val="20"/>
        </w:trPr>
        <w:tc>
          <w:tcPr>
            <w:tcW w:w="810" w:type="dxa"/>
            <w:noWrap/>
            <w:hideMark/>
          </w:tcPr>
          <w:p w14:paraId="54641D43" w14:textId="77777777" w:rsidR="00610751" w:rsidRPr="00610751" w:rsidRDefault="00610751" w:rsidP="00610751">
            <w:pPr>
              <w:widowControl/>
              <w:overflowPunct/>
              <w:autoSpaceDE/>
              <w:autoSpaceDN/>
              <w:adjustRightInd/>
              <w:rPr>
                <w:kern w:val="0"/>
              </w:rPr>
            </w:pPr>
            <w:r w:rsidRPr="00610751">
              <w:rPr>
                <w:kern w:val="0"/>
              </w:rPr>
              <w:t>2000</w:t>
            </w:r>
          </w:p>
        </w:tc>
        <w:tc>
          <w:tcPr>
            <w:tcW w:w="2340" w:type="dxa"/>
            <w:noWrap/>
            <w:hideMark/>
          </w:tcPr>
          <w:p w14:paraId="1FC38888" w14:textId="77777777" w:rsidR="00610751" w:rsidRPr="00610751" w:rsidRDefault="00610751" w:rsidP="00610751">
            <w:pPr>
              <w:widowControl/>
              <w:overflowPunct/>
              <w:autoSpaceDE/>
              <w:autoSpaceDN/>
              <w:adjustRightInd/>
              <w:rPr>
                <w:kern w:val="0"/>
              </w:rPr>
            </w:pPr>
            <w:r w:rsidRPr="00610751">
              <w:rPr>
                <w:kern w:val="0"/>
              </w:rPr>
              <w:t>O'Donnell</w:t>
            </w:r>
          </w:p>
        </w:tc>
        <w:tc>
          <w:tcPr>
            <w:tcW w:w="9090" w:type="dxa"/>
            <w:noWrap/>
            <w:hideMark/>
          </w:tcPr>
          <w:p w14:paraId="2B59802E" w14:textId="77777777" w:rsidR="00610751" w:rsidRPr="00610751" w:rsidRDefault="00610751" w:rsidP="00610751">
            <w:pPr>
              <w:widowControl/>
              <w:overflowPunct/>
              <w:autoSpaceDE/>
              <w:autoSpaceDN/>
              <w:adjustRightInd/>
              <w:rPr>
                <w:kern w:val="0"/>
              </w:rPr>
            </w:pPr>
            <w:r w:rsidRPr="00610751">
              <w:rPr>
                <w:kern w:val="0"/>
              </w:rPr>
              <w:t>Managing Foreign Subsidiaries: Agents of Headquarters, or an Interdependent Network?</w:t>
            </w:r>
          </w:p>
        </w:tc>
      </w:tr>
      <w:tr w:rsidR="00610751" w:rsidRPr="00610751" w14:paraId="6C1A0A1D" w14:textId="77777777" w:rsidTr="00DB7B9A">
        <w:trPr>
          <w:trHeight w:val="20"/>
        </w:trPr>
        <w:tc>
          <w:tcPr>
            <w:tcW w:w="810" w:type="dxa"/>
            <w:noWrap/>
            <w:hideMark/>
          </w:tcPr>
          <w:p w14:paraId="7B02A781" w14:textId="77777777" w:rsidR="00610751" w:rsidRPr="00610751" w:rsidRDefault="00610751" w:rsidP="00610751">
            <w:pPr>
              <w:widowControl/>
              <w:overflowPunct/>
              <w:autoSpaceDE/>
              <w:autoSpaceDN/>
              <w:adjustRightInd/>
              <w:rPr>
                <w:kern w:val="0"/>
              </w:rPr>
            </w:pPr>
            <w:r w:rsidRPr="00610751">
              <w:rPr>
                <w:kern w:val="0"/>
              </w:rPr>
              <w:t>2000</w:t>
            </w:r>
          </w:p>
        </w:tc>
        <w:tc>
          <w:tcPr>
            <w:tcW w:w="2340" w:type="dxa"/>
            <w:noWrap/>
            <w:hideMark/>
          </w:tcPr>
          <w:p w14:paraId="2FE104F0" w14:textId="77777777" w:rsidR="00610751" w:rsidRPr="00610751" w:rsidRDefault="00610751" w:rsidP="00610751">
            <w:pPr>
              <w:widowControl/>
              <w:overflowPunct/>
              <w:autoSpaceDE/>
              <w:autoSpaceDN/>
              <w:adjustRightInd/>
              <w:rPr>
                <w:kern w:val="0"/>
              </w:rPr>
            </w:pPr>
            <w:r w:rsidRPr="00610751">
              <w:rPr>
                <w:kern w:val="0"/>
              </w:rPr>
              <w:t>Richards</w:t>
            </w:r>
          </w:p>
        </w:tc>
        <w:tc>
          <w:tcPr>
            <w:tcW w:w="9090" w:type="dxa"/>
            <w:noWrap/>
            <w:hideMark/>
          </w:tcPr>
          <w:p w14:paraId="66873570" w14:textId="77777777" w:rsidR="00610751" w:rsidRPr="00610751" w:rsidRDefault="00610751" w:rsidP="00610751">
            <w:pPr>
              <w:widowControl/>
              <w:overflowPunct/>
              <w:autoSpaceDE/>
              <w:autoSpaceDN/>
              <w:adjustRightInd/>
              <w:rPr>
                <w:kern w:val="0"/>
              </w:rPr>
            </w:pPr>
            <w:r w:rsidRPr="00610751">
              <w:rPr>
                <w:kern w:val="0"/>
              </w:rPr>
              <w:t>Control Exercised by U.S. Multinationals over their Overseas Affiliates: Does Location make a Difference?</w:t>
            </w:r>
          </w:p>
        </w:tc>
      </w:tr>
      <w:tr w:rsidR="00610751" w:rsidRPr="00610751" w14:paraId="6C3A0DD5" w14:textId="77777777" w:rsidTr="00DB7B9A">
        <w:trPr>
          <w:trHeight w:val="20"/>
        </w:trPr>
        <w:tc>
          <w:tcPr>
            <w:tcW w:w="810" w:type="dxa"/>
            <w:noWrap/>
            <w:hideMark/>
          </w:tcPr>
          <w:p w14:paraId="3E02E11D" w14:textId="77777777" w:rsidR="00610751" w:rsidRPr="00610751" w:rsidRDefault="00610751" w:rsidP="00610751">
            <w:pPr>
              <w:widowControl/>
              <w:overflowPunct/>
              <w:autoSpaceDE/>
              <w:autoSpaceDN/>
              <w:adjustRightInd/>
              <w:rPr>
                <w:kern w:val="0"/>
              </w:rPr>
            </w:pPr>
            <w:r w:rsidRPr="00610751">
              <w:rPr>
                <w:kern w:val="0"/>
              </w:rPr>
              <w:t>2001</w:t>
            </w:r>
          </w:p>
        </w:tc>
        <w:tc>
          <w:tcPr>
            <w:tcW w:w="2340" w:type="dxa"/>
            <w:noWrap/>
            <w:hideMark/>
          </w:tcPr>
          <w:p w14:paraId="0F82E2A4" w14:textId="77777777" w:rsidR="00610751" w:rsidRPr="00610751" w:rsidRDefault="00610751" w:rsidP="00610751">
            <w:pPr>
              <w:widowControl/>
              <w:overflowPunct/>
              <w:autoSpaceDE/>
              <w:autoSpaceDN/>
              <w:adjustRightInd/>
              <w:rPr>
                <w:kern w:val="0"/>
              </w:rPr>
            </w:pPr>
            <w:r w:rsidRPr="00610751">
              <w:rPr>
                <w:kern w:val="0"/>
              </w:rPr>
              <w:t>Luo</w:t>
            </w:r>
          </w:p>
        </w:tc>
        <w:tc>
          <w:tcPr>
            <w:tcW w:w="9090" w:type="dxa"/>
            <w:noWrap/>
            <w:hideMark/>
          </w:tcPr>
          <w:p w14:paraId="2B3D5D89" w14:textId="77777777" w:rsidR="00610751" w:rsidRPr="00610751" w:rsidRDefault="00610751" w:rsidP="00610751">
            <w:pPr>
              <w:widowControl/>
              <w:overflowPunct/>
              <w:autoSpaceDE/>
              <w:autoSpaceDN/>
              <w:adjustRightInd/>
              <w:rPr>
                <w:kern w:val="0"/>
              </w:rPr>
            </w:pPr>
            <w:r w:rsidRPr="00610751">
              <w:rPr>
                <w:kern w:val="0"/>
              </w:rPr>
              <w:t>Determinants of local responsiveness: perspectives from foreign subsidiaries in an emerging market</w:t>
            </w:r>
          </w:p>
        </w:tc>
      </w:tr>
      <w:tr w:rsidR="00610751" w:rsidRPr="00610751" w14:paraId="0FBFA226" w14:textId="77777777" w:rsidTr="00DB7B9A">
        <w:trPr>
          <w:trHeight w:val="20"/>
        </w:trPr>
        <w:tc>
          <w:tcPr>
            <w:tcW w:w="810" w:type="dxa"/>
            <w:noWrap/>
            <w:hideMark/>
          </w:tcPr>
          <w:p w14:paraId="0A31A602" w14:textId="77777777" w:rsidR="00610751" w:rsidRPr="00610751" w:rsidRDefault="00610751" w:rsidP="00610751">
            <w:pPr>
              <w:widowControl/>
              <w:overflowPunct/>
              <w:autoSpaceDE/>
              <w:autoSpaceDN/>
              <w:adjustRightInd/>
              <w:rPr>
                <w:kern w:val="0"/>
              </w:rPr>
            </w:pPr>
            <w:r w:rsidRPr="00610751">
              <w:rPr>
                <w:kern w:val="0"/>
              </w:rPr>
              <w:t>2001</w:t>
            </w:r>
          </w:p>
        </w:tc>
        <w:tc>
          <w:tcPr>
            <w:tcW w:w="2340" w:type="dxa"/>
            <w:noWrap/>
            <w:hideMark/>
          </w:tcPr>
          <w:p w14:paraId="2DBA577F" w14:textId="77777777" w:rsidR="00610751" w:rsidRPr="00610751" w:rsidRDefault="00610751" w:rsidP="00610751">
            <w:pPr>
              <w:widowControl/>
              <w:overflowPunct/>
              <w:autoSpaceDE/>
              <w:autoSpaceDN/>
              <w:adjustRightInd/>
              <w:rPr>
                <w:kern w:val="0"/>
              </w:rPr>
            </w:pPr>
            <w:r w:rsidRPr="00610751">
              <w:rPr>
                <w:kern w:val="0"/>
              </w:rPr>
              <w:t>Venaik et al.</w:t>
            </w:r>
          </w:p>
        </w:tc>
        <w:tc>
          <w:tcPr>
            <w:tcW w:w="9090" w:type="dxa"/>
            <w:noWrap/>
            <w:hideMark/>
          </w:tcPr>
          <w:p w14:paraId="60BB6286" w14:textId="77777777" w:rsidR="00610751" w:rsidRPr="00610751" w:rsidRDefault="00610751" w:rsidP="00610751">
            <w:pPr>
              <w:widowControl/>
              <w:overflowPunct/>
              <w:autoSpaceDE/>
              <w:autoSpaceDN/>
              <w:adjustRightInd/>
              <w:rPr>
                <w:kern w:val="0"/>
              </w:rPr>
            </w:pPr>
            <w:r w:rsidRPr="00610751">
              <w:rPr>
                <w:kern w:val="0"/>
              </w:rPr>
              <w:t>Autonomy, Networking and Interunit Learning in a Model of MNC Subsidiary Innovation and Performance</w:t>
            </w:r>
          </w:p>
        </w:tc>
      </w:tr>
      <w:tr w:rsidR="00610751" w:rsidRPr="00610751" w14:paraId="319FFE7A" w14:textId="77777777" w:rsidTr="00DB7B9A">
        <w:trPr>
          <w:trHeight w:val="20"/>
        </w:trPr>
        <w:tc>
          <w:tcPr>
            <w:tcW w:w="810" w:type="dxa"/>
            <w:noWrap/>
            <w:hideMark/>
          </w:tcPr>
          <w:p w14:paraId="45BC3BC2" w14:textId="77777777" w:rsidR="00610751" w:rsidRPr="00610751" w:rsidRDefault="00610751" w:rsidP="00610751">
            <w:pPr>
              <w:widowControl/>
              <w:overflowPunct/>
              <w:autoSpaceDE/>
              <w:autoSpaceDN/>
              <w:adjustRightInd/>
              <w:rPr>
                <w:kern w:val="0"/>
              </w:rPr>
            </w:pPr>
            <w:r w:rsidRPr="00610751">
              <w:rPr>
                <w:kern w:val="0"/>
              </w:rPr>
              <w:t>2002</w:t>
            </w:r>
          </w:p>
        </w:tc>
        <w:tc>
          <w:tcPr>
            <w:tcW w:w="2340" w:type="dxa"/>
            <w:noWrap/>
            <w:hideMark/>
          </w:tcPr>
          <w:p w14:paraId="614D64E8" w14:textId="77777777" w:rsidR="00610751" w:rsidRPr="00610751" w:rsidRDefault="00610751" w:rsidP="00610751">
            <w:pPr>
              <w:widowControl/>
              <w:overflowPunct/>
              <w:autoSpaceDE/>
              <w:autoSpaceDN/>
              <w:adjustRightInd/>
              <w:rPr>
                <w:kern w:val="0"/>
              </w:rPr>
            </w:pPr>
            <w:r w:rsidRPr="00610751">
              <w:rPr>
                <w:kern w:val="0"/>
              </w:rPr>
              <w:t>Birkinshaw et al.</w:t>
            </w:r>
          </w:p>
        </w:tc>
        <w:tc>
          <w:tcPr>
            <w:tcW w:w="9090" w:type="dxa"/>
            <w:noWrap/>
            <w:hideMark/>
          </w:tcPr>
          <w:p w14:paraId="7124F38B" w14:textId="77777777" w:rsidR="00610751" w:rsidRPr="00610751" w:rsidRDefault="00610751" w:rsidP="00610751">
            <w:pPr>
              <w:widowControl/>
              <w:overflowPunct/>
              <w:autoSpaceDE/>
              <w:autoSpaceDN/>
              <w:adjustRightInd/>
              <w:rPr>
                <w:kern w:val="0"/>
              </w:rPr>
            </w:pPr>
            <w:r w:rsidRPr="00610751">
              <w:rPr>
                <w:kern w:val="0"/>
              </w:rPr>
              <w:t>Knowledge as a Contingency Variable: Do the Characteristics of Knowledge Predict Organization Structure?</w:t>
            </w:r>
          </w:p>
        </w:tc>
      </w:tr>
      <w:tr w:rsidR="00610751" w:rsidRPr="00610751" w14:paraId="11542722" w14:textId="77777777" w:rsidTr="00DB7B9A">
        <w:trPr>
          <w:trHeight w:val="20"/>
        </w:trPr>
        <w:tc>
          <w:tcPr>
            <w:tcW w:w="810" w:type="dxa"/>
            <w:noWrap/>
            <w:hideMark/>
          </w:tcPr>
          <w:p w14:paraId="61F26636" w14:textId="77777777" w:rsidR="00610751" w:rsidRPr="00610751" w:rsidRDefault="00610751" w:rsidP="00610751">
            <w:pPr>
              <w:widowControl/>
              <w:overflowPunct/>
              <w:autoSpaceDE/>
              <w:autoSpaceDN/>
              <w:adjustRightInd/>
              <w:rPr>
                <w:kern w:val="0"/>
              </w:rPr>
            </w:pPr>
            <w:r w:rsidRPr="00610751">
              <w:rPr>
                <w:kern w:val="0"/>
              </w:rPr>
              <w:t>2002</w:t>
            </w:r>
          </w:p>
        </w:tc>
        <w:tc>
          <w:tcPr>
            <w:tcW w:w="2340" w:type="dxa"/>
            <w:noWrap/>
            <w:hideMark/>
          </w:tcPr>
          <w:p w14:paraId="2B4801EE" w14:textId="77777777" w:rsidR="00610751" w:rsidRPr="00610751" w:rsidRDefault="00610751" w:rsidP="00610751">
            <w:pPr>
              <w:widowControl/>
              <w:overflowPunct/>
              <w:autoSpaceDE/>
              <w:autoSpaceDN/>
              <w:adjustRightInd/>
              <w:rPr>
                <w:kern w:val="0"/>
              </w:rPr>
            </w:pPr>
            <w:r w:rsidRPr="00610751">
              <w:rPr>
                <w:kern w:val="0"/>
              </w:rPr>
              <w:t>Boateng &amp; Glaister</w:t>
            </w:r>
          </w:p>
        </w:tc>
        <w:tc>
          <w:tcPr>
            <w:tcW w:w="9090" w:type="dxa"/>
            <w:noWrap/>
            <w:hideMark/>
          </w:tcPr>
          <w:p w14:paraId="047ED8E9" w14:textId="77777777" w:rsidR="00610751" w:rsidRPr="00610751" w:rsidRDefault="00610751" w:rsidP="00610751">
            <w:pPr>
              <w:widowControl/>
              <w:overflowPunct/>
              <w:autoSpaceDE/>
              <w:autoSpaceDN/>
              <w:adjustRightInd/>
              <w:rPr>
                <w:kern w:val="0"/>
              </w:rPr>
            </w:pPr>
            <w:r w:rsidRPr="00610751">
              <w:rPr>
                <w:kern w:val="0"/>
              </w:rPr>
              <w:t>Performance of international joint ventures: evidence for West Africa</w:t>
            </w:r>
          </w:p>
        </w:tc>
      </w:tr>
      <w:tr w:rsidR="00610751" w:rsidRPr="00610751" w14:paraId="36DFCFC5" w14:textId="77777777" w:rsidTr="00DB7B9A">
        <w:trPr>
          <w:trHeight w:val="20"/>
        </w:trPr>
        <w:tc>
          <w:tcPr>
            <w:tcW w:w="810" w:type="dxa"/>
            <w:noWrap/>
            <w:hideMark/>
          </w:tcPr>
          <w:p w14:paraId="646DF793" w14:textId="77777777" w:rsidR="00610751" w:rsidRPr="00610751" w:rsidRDefault="00610751" w:rsidP="00610751">
            <w:pPr>
              <w:widowControl/>
              <w:overflowPunct/>
              <w:autoSpaceDE/>
              <w:autoSpaceDN/>
              <w:adjustRightInd/>
              <w:rPr>
                <w:kern w:val="0"/>
              </w:rPr>
            </w:pPr>
            <w:r w:rsidRPr="00610751">
              <w:rPr>
                <w:kern w:val="0"/>
              </w:rPr>
              <w:t>2002</w:t>
            </w:r>
          </w:p>
        </w:tc>
        <w:tc>
          <w:tcPr>
            <w:tcW w:w="2340" w:type="dxa"/>
            <w:noWrap/>
            <w:hideMark/>
          </w:tcPr>
          <w:p w14:paraId="69BFB364" w14:textId="77777777" w:rsidR="00610751" w:rsidRPr="00610751" w:rsidRDefault="00610751" w:rsidP="00610751">
            <w:pPr>
              <w:widowControl/>
              <w:overflowPunct/>
              <w:autoSpaceDE/>
              <w:autoSpaceDN/>
              <w:adjustRightInd/>
              <w:rPr>
                <w:kern w:val="0"/>
              </w:rPr>
            </w:pPr>
            <w:r w:rsidRPr="00610751">
              <w:rPr>
                <w:kern w:val="0"/>
              </w:rPr>
              <w:t>Foss &amp; Pedersen</w:t>
            </w:r>
          </w:p>
        </w:tc>
        <w:tc>
          <w:tcPr>
            <w:tcW w:w="9090" w:type="dxa"/>
            <w:noWrap/>
            <w:hideMark/>
          </w:tcPr>
          <w:p w14:paraId="7A52003B" w14:textId="77777777" w:rsidR="00610751" w:rsidRPr="00610751" w:rsidRDefault="00610751" w:rsidP="00610751">
            <w:pPr>
              <w:widowControl/>
              <w:overflowPunct/>
              <w:autoSpaceDE/>
              <w:autoSpaceDN/>
              <w:adjustRightInd/>
              <w:rPr>
                <w:kern w:val="0"/>
              </w:rPr>
            </w:pPr>
            <w:r w:rsidRPr="00610751">
              <w:rPr>
                <w:kern w:val="0"/>
              </w:rPr>
              <w:t>Transferring knowledge in MNCs: The role of sources of subsidiary knowledge and organizational context</w:t>
            </w:r>
          </w:p>
        </w:tc>
      </w:tr>
      <w:tr w:rsidR="00610751" w:rsidRPr="00610751" w14:paraId="59563A6F" w14:textId="77777777" w:rsidTr="00DB7B9A">
        <w:trPr>
          <w:trHeight w:val="20"/>
        </w:trPr>
        <w:tc>
          <w:tcPr>
            <w:tcW w:w="810" w:type="dxa"/>
            <w:noWrap/>
            <w:hideMark/>
          </w:tcPr>
          <w:p w14:paraId="4332879E" w14:textId="77777777" w:rsidR="00610751" w:rsidRPr="00610751" w:rsidRDefault="00610751" w:rsidP="00610751">
            <w:pPr>
              <w:widowControl/>
              <w:overflowPunct/>
              <w:autoSpaceDE/>
              <w:autoSpaceDN/>
              <w:adjustRightInd/>
              <w:rPr>
                <w:kern w:val="0"/>
              </w:rPr>
            </w:pPr>
            <w:r w:rsidRPr="00610751">
              <w:rPr>
                <w:kern w:val="0"/>
              </w:rPr>
              <w:t>2002</w:t>
            </w:r>
          </w:p>
        </w:tc>
        <w:tc>
          <w:tcPr>
            <w:tcW w:w="2340" w:type="dxa"/>
            <w:noWrap/>
            <w:hideMark/>
          </w:tcPr>
          <w:p w14:paraId="04898414" w14:textId="77777777" w:rsidR="00610751" w:rsidRPr="00610751" w:rsidRDefault="00610751" w:rsidP="00610751">
            <w:pPr>
              <w:widowControl/>
              <w:overflowPunct/>
              <w:autoSpaceDE/>
              <w:autoSpaceDN/>
              <w:adjustRightInd/>
              <w:rPr>
                <w:kern w:val="0"/>
              </w:rPr>
            </w:pPr>
            <w:r w:rsidRPr="00610751">
              <w:rPr>
                <w:kern w:val="0"/>
              </w:rPr>
              <w:t>Frost et al.</w:t>
            </w:r>
          </w:p>
        </w:tc>
        <w:tc>
          <w:tcPr>
            <w:tcW w:w="9090" w:type="dxa"/>
            <w:noWrap/>
            <w:hideMark/>
          </w:tcPr>
          <w:p w14:paraId="2A9CB847" w14:textId="77777777" w:rsidR="00610751" w:rsidRPr="00610751" w:rsidRDefault="00610751" w:rsidP="00610751">
            <w:pPr>
              <w:widowControl/>
              <w:overflowPunct/>
              <w:autoSpaceDE/>
              <w:autoSpaceDN/>
              <w:adjustRightInd/>
              <w:rPr>
                <w:kern w:val="0"/>
              </w:rPr>
            </w:pPr>
            <w:r w:rsidRPr="00610751">
              <w:rPr>
                <w:kern w:val="0"/>
              </w:rPr>
              <w:t>Centers of Excellence in Multinational Corporations</w:t>
            </w:r>
          </w:p>
        </w:tc>
      </w:tr>
      <w:tr w:rsidR="00610751" w:rsidRPr="00610751" w14:paraId="1B730303" w14:textId="77777777" w:rsidTr="00DB7B9A">
        <w:trPr>
          <w:trHeight w:val="20"/>
        </w:trPr>
        <w:tc>
          <w:tcPr>
            <w:tcW w:w="810" w:type="dxa"/>
            <w:noWrap/>
            <w:hideMark/>
          </w:tcPr>
          <w:p w14:paraId="5C0C8878" w14:textId="77777777" w:rsidR="00610751" w:rsidRPr="00610751" w:rsidRDefault="00610751" w:rsidP="00610751">
            <w:pPr>
              <w:widowControl/>
              <w:overflowPunct/>
              <w:autoSpaceDE/>
              <w:autoSpaceDN/>
              <w:adjustRightInd/>
              <w:rPr>
                <w:kern w:val="0"/>
              </w:rPr>
            </w:pPr>
            <w:r w:rsidRPr="00610751">
              <w:rPr>
                <w:kern w:val="0"/>
              </w:rPr>
              <w:t>2002</w:t>
            </w:r>
          </w:p>
        </w:tc>
        <w:tc>
          <w:tcPr>
            <w:tcW w:w="2340" w:type="dxa"/>
            <w:noWrap/>
            <w:hideMark/>
          </w:tcPr>
          <w:p w14:paraId="67DC3CC2" w14:textId="77777777" w:rsidR="00610751" w:rsidRPr="00610751" w:rsidRDefault="00610751" w:rsidP="00610751">
            <w:pPr>
              <w:widowControl/>
              <w:overflowPunct/>
              <w:autoSpaceDE/>
              <w:autoSpaceDN/>
              <w:adjustRightInd/>
              <w:rPr>
                <w:kern w:val="0"/>
              </w:rPr>
            </w:pPr>
            <w:r w:rsidRPr="00610751">
              <w:rPr>
                <w:kern w:val="0"/>
              </w:rPr>
              <w:t>Tsa</w:t>
            </w:r>
          </w:p>
        </w:tc>
        <w:tc>
          <w:tcPr>
            <w:tcW w:w="9090" w:type="dxa"/>
            <w:noWrap/>
            <w:hideMark/>
          </w:tcPr>
          <w:p w14:paraId="0713BE2A" w14:textId="77777777" w:rsidR="00610751" w:rsidRPr="00610751" w:rsidRDefault="00610751" w:rsidP="00610751">
            <w:pPr>
              <w:widowControl/>
              <w:overflowPunct/>
              <w:autoSpaceDE/>
              <w:autoSpaceDN/>
              <w:adjustRightInd/>
              <w:rPr>
                <w:kern w:val="0"/>
              </w:rPr>
            </w:pPr>
            <w:r w:rsidRPr="00610751">
              <w:rPr>
                <w:kern w:val="0"/>
              </w:rPr>
              <w:t>Social Structure of "Coopetition" within a Multiunit Organization: Coordination, Competition, and Intraorganizational Knowledge Sharing</w:t>
            </w:r>
          </w:p>
        </w:tc>
      </w:tr>
      <w:tr w:rsidR="00610751" w:rsidRPr="00610751" w14:paraId="4D2F76B2" w14:textId="77777777" w:rsidTr="00DB7B9A">
        <w:trPr>
          <w:trHeight w:val="20"/>
        </w:trPr>
        <w:tc>
          <w:tcPr>
            <w:tcW w:w="810" w:type="dxa"/>
            <w:noWrap/>
            <w:hideMark/>
          </w:tcPr>
          <w:p w14:paraId="264754F2" w14:textId="77777777" w:rsidR="00610751" w:rsidRPr="00610751" w:rsidRDefault="00610751" w:rsidP="00610751">
            <w:pPr>
              <w:widowControl/>
              <w:overflowPunct/>
              <w:autoSpaceDE/>
              <w:autoSpaceDN/>
              <w:adjustRightInd/>
              <w:rPr>
                <w:kern w:val="0"/>
              </w:rPr>
            </w:pPr>
            <w:r w:rsidRPr="00610751">
              <w:rPr>
                <w:kern w:val="0"/>
              </w:rPr>
              <w:t>2003</w:t>
            </w:r>
          </w:p>
        </w:tc>
        <w:tc>
          <w:tcPr>
            <w:tcW w:w="2340" w:type="dxa"/>
            <w:noWrap/>
            <w:hideMark/>
          </w:tcPr>
          <w:p w14:paraId="19928D00" w14:textId="77777777" w:rsidR="00610751" w:rsidRPr="00610751" w:rsidRDefault="00610751" w:rsidP="00610751">
            <w:pPr>
              <w:widowControl/>
              <w:overflowPunct/>
              <w:autoSpaceDE/>
              <w:autoSpaceDN/>
              <w:adjustRightInd/>
              <w:rPr>
                <w:kern w:val="0"/>
              </w:rPr>
            </w:pPr>
            <w:r w:rsidRPr="00610751">
              <w:rPr>
                <w:kern w:val="0"/>
              </w:rPr>
              <w:t>Child et al.</w:t>
            </w:r>
          </w:p>
        </w:tc>
        <w:tc>
          <w:tcPr>
            <w:tcW w:w="9090" w:type="dxa"/>
            <w:noWrap/>
            <w:hideMark/>
          </w:tcPr>
          <w:p w14:paraId="2637FE9C" w14:textId="77777777" w:rsidR="00610751" w:rsidRPr="00610751" w:rsidRDefault="00610751" w:rsidP="00610751">
            <w:pPr>
              <w:widowControl/>
              <w:overflowPunct/>
              <w:autoSpaceDE/>
              <w:autoSpaceDN/>
              <w:adjustRightInd/>
              <w:rPr>
                <w:kern w:val="0"/>
              </w:rPr>
            </w:pPr>
            <w:r w:rsidRPr="00610751">
              <w:rPr>
                <w:kern w:val="0"/>
              </w:rPr>
              <w:t>The performance of cross-border units in China: a test of natural selection, strategic choice and contingency theories</w:t>
            </w:r>
          </w:p>
        </w:tc>
      </w:tr>
      <w:tr w:rsidR="00610751" w:rsidRPr="00610751" w14:paraId="7662B94E" w14:textId="77777777" w:rsidTr="00DB7B9A">
        <w:trPr>
          <w:trHeight w:val="20"/>
        </w:trPr>
        <w:tc>
          <w:tcPr>
            <w:tcW w:w="810" w:type="dxa"/>
            <w:noWrap/>
            <w:hideMark/>
          </w:tcPr>
          <w:p w14:paraId="30E96434" w14:textId="77777777" w:rsidR="00610751" w:rsidRPr="00610751" w:rsidRDefault="00610751" w:rsidP="00610751">
            <w:pPr>
              <w:widowControl/>
              <w:overflowPunct/>
              <w:autoSpaceDE/>
              <w:autoSpaceDN/>
              <w:adjustRightInd/>
              <w:rPr>
                <w:kern w:val="0"/>
              </w:rPr>
            </w:pPr>
            <w:r w:rsidRPr="00610751">
              <w:rPr>
                <w:kern w:val="0"/>
              </w:rPr>
              <w:t>2003</w:t>
            </w:r>
          </w:p>
        </w:tc>
        <w:tc>
          <w:tcPr>
            <w:tcW w:w="2340" w:type="dxa"/>
            <w:noWrap/>
            <w:hideMark/>
          </w:tcPr>
          <w:p w14:paraId="04B5FB0E" w14:textId="77777777" w:rsidR="00610751" w:rsidRPr="00610751" w:rsidRDefault="00610751" w:rsidP="00610751">
            <w:pPr>
              <w:widowControl/>
              <w:overflowPunct/>
              <w:autoSpaceDE/>
              <w:autoSpaceDN/>
              <w:adjustRightInd/>
              <w:rPr>
                <w:kern w:val="0"/>
              </w:rPr>
            </w:pPr>
            <w:r w:rsidRPr="00610751">
              <w:rPr>
                <w:kern w:val="0"/>
              </w:rPr>
              <w:t>Hewett et al.</w:t>
            </w:r>
          </w:p>
        </w:tc>
        <w:tc>
          <w:tcPr>
            <w:tcW w:w="9090" w:type="dxa"/>
            <w:noWrap/>
            <w:hideMark/>
          </w:tcPr>
          <w:p w14:paraId="546D0B98" w14:textId="77777777" w:rsidR="00610751" w:rsidRPr="00610751" w:rsidRDefault="00610751" w:rsidP="00610751">
            <w:pPr>
              <w:widowControl/>
              <w:overflowPunct/>
              <w:autoSpaceDE/>
              <w:autoSpaceDN/>
              <w:adjustRightInd/>
              <w:rPr>
                <w:kern w:val="0"/>
              </w:rPr>
            </w:pPr>
            <w:r w:rsidRPr="00610751">
              <w:rPr>
                <w:kern w:val="0"/>
              </w:rPr>
              <w:t>Conditions Influencing Headquarters and Foreign Subsidiary Roles in Marketing Activitiesand Their Effects on Performance</w:t>
            </w:r>
          </w:p>
        </w:tc>
      </w:tr>
      <w:tr w:rsidR="00610751" w:rsidRPr="00610751" w14:paraId="0EA0F157" w14:textId="77777777" w:rsidTr="00DB7B9A">
        <w:trPr>
          <w:trHeight w:val="20"/>
        </w:trPr>
        <w:tc>
          <w:tcPr>
            <w:tcW w:w="810" w:type="dxa"/>
            <w:noWrap/>
            <w:hideMark/>
          </w:tcPr>
          <w:p w14:paraId="446BE58A" w14:textId="77777777" w:rsidR="00610751" w:rsidRPr="00610751" w:rsidRDefault="00610751" w:rsidP="00610751">
            <w:pPr>
              <w:widowControl/>
              <w:overflowPunct/>
              <w:autoSpaceDE/>
              <w:autoSpaceDN/>
              <w:adjustRightInd/>
              <w:rPr>
                <w:kern w:val="0"/>
              </w:rPr>
            </w:pPr>
            <w:r w:rsidRPr="00610751">
              <w:rPr>
                <w:kern w:val="0"/>
              </w:rPr>
              <w:t>2003</w:t>
            </w:r>
          </w:p>
        </w:tc>
        <w:tc>
          <w:tcPr>
            <w:tcW w:w="2340" w:type="dxa"/>
            <w:noWrap/>
            <w:hideMark/>
          </w:tcPr>
          <w:p w14:paraId="7A51B0E0" w14:textId="77777777" w:rsidR="00610751" w:rsidRPr="00610751" w:rsidRDefault="00610751" w:rsidP="00610751">
            <w:pPr>
              <w:widowControl/>
              <w:overflowPunct/>
              <w:autoSpaceDE/>
              <w:autoSpaceDN/>
              <w:adjustRightInd/>
              <w:rPr>
                <w:kern w:val="0"/>
              </w:rPr>
            </w:pPr>
            <w:r w:rsidRPr="00610751">
              <w:rPr>
                <w:kern w:val="0"/>
              </w:rPr>
              <w:t>Kim et al.</w:t>
            </w:r>
          </w:p>
        </w:tc>
        <w:tc>
          <w:tcPr>
            <w:tcW w:w="9090" w:type="dxa"/>
            <w:noWrap/>
            <w:hideMark/>
          </w:tcPr>
          <w:p w14:paraId="2AFB8819" w14:textId="77777777" w:rsidR="00610751" w:rsidRPr="00610751" w:rsidRDefault="00610751" w:rsidP="00610751">
            <w:pPr>
              <w:widowControl/>
              <w:overflowPunct/>
              <w:autoSpaceDE/>
              <w:autoSpaceDN/>
              <w:adjustRightInd/>
              <w:rPr>
                <w:kern w:val="0"/>
              </w:rPr>
            </w:pPr>
            <w:r w:rsidRPr="00610751">
              <w:rPr>
                <w:kern w:val="0"/>
              </w:rPr>
              <w:t>The Global Integration of Business Functions: A Study of Multinational Businesses in Integrated Global Industries</w:t>
            </w:r>
          </w:p>
        </w:tc>
      </w:tr>
      <w:tr w:rsidR="00610751" w:rsidRPr="00610751" w14:paraId="29F6069F" w14:textId="77777777" w:rsidTr="00DB7B9A">
        <w:trPr>
          <w:trHeight w:val="20"/>
        </w:trPr>
        <w:tc>
          <w:tcPr>
            <w:tcW w:w="810" w:type="dxa"/>
            <w:noWrap/>
            <w:hideMark/>
          </w:tcPr>
          <w:p w14:paraId="4F574A4E" w14:textId="77777777" w:rsidR="00610751" w:rsidRPr="00610751" w:rsidRDefault="00610751" w:rsidP="00610751">
            <w:pPr>
              <w:widowControl/>
              <w:overflowPunct/>
              <w:autoSpaceDE/>
              <w:autoSpaceDN/>
              <w:adjustRightInd/>
              <w:rPr>
                <w:kern w:val="0"/>
              </w:rPr>
            </w:pPr>
            <w:r w:rsidRPr="00610751">
              <w:rPr>
                <w:kern w:val="0"/>
              </w:rPr>
              <w:t>2003</w:t>
            </w:r>
          </w:p>
        </w:tc>
        <w:tc>
          <w:tcPr>
            <w:tcW w:w="2340" w:type="dxa"/>
            <w:noWrap/>
            <w:hideMark/>
          </w:tcPr>
          <w:p w14:paraId="62CA78E9" w14:textId="77777777" w:rsidR="00610751" w:rsidRPr="00610751" w:rsidRDefault="00610751" w:rsidP="00610751">
            <w:pPr>
              <w:widowControl/>
              <w:overflowPunct/>
              <w:autoSpaceDE/>
              <w:autoSpaceDN/>
              <w:adjustRightInd/>
              <w:rPr>
                <w:kern w:val="0"/>
              </w:rPr>
            </w:pPr>
            <w:r w:rsidRPr="00610751">
              <w:rPr>
                <w:kern w:val="0"/>
              </w:rPr>
              <w:t>Luo</w:t>
            </w:r>
          </w:p>
        </w:tc>
        <w:tc>
          <w:tcPr>
            <w:tcW w:w="9090" w:type="dxa"/>
            <w:noWrap/>
            <w:hideMark/>
          </w:tcPr>
          <w:p w14:paraId="0C8D760A" w14:textId="77777777" w:rsidR="00610751" w:rsidRPr="00610751" w:rsidRDefault="00610751" w:rsidP="00610751">
            <w:pPr>
              <w:widowControl/>
              <w:overflowPunct/>
              <w:autoSpaceDE/>
              <w:autoSpaceDN/>
              <w:adjustRightInd/>
              <w:rPr>
                <w:kern w:val="0"/>
              </w:rPr>
            </w:pPr>
            <w:r w:rsidRPr="00610751">
              <w:rPr>
                <w:kern w:val="0"/>
              </w:rPr>
              <w:t>Market-seeking MNEs in an emerging market: How parent–subsidiary links shape overseas success</w:t>
            </w:r>
          </w:p>
        </w:tc>
      </w:tr>
      <w:tr w:rsidR="00610751" w:rsidRPr="00610751" w14:paraId="14A4C2E7" w14:textId="77777777" w:rsidTr="00DB7B9A">
        <w:trPr>
          <w:trHeight w:val="20"/>
        </w:trPr>
        <w:tc>
          <w:tcPr>
            <w:tcW w:w="810" w:type="dxa"/>
            <w:noWrap/>
            <w:hideMark/>
          </w:tcPr>
          <w:p w14:paraId="5E68C2F3" w14:textId="77777777" w:rsidR="00610751" w:rsidRPr="00610751" w:rsidRDefault="00610751" w:rsidP="00610751">
            <w:pPr>
              <w:widowControl/>
              <w:overflowPunct/>
              <w:autoSpaceDE/>
              <w:autoSpaceDN/>
              <w:adjustRightInd/>
              <w:rPr>
                <w:kern w:val="0"/>
              </w:rPr>
            </w:pPr>
            <w:r w:rsidRPr="00610751">
              <w:rPr>
                <w:kern w:val="0"/>
              </w:rPr>
              <w:t>2003</w:t>
            </w:r>
          </w:p>
        </w:tc>
        <w:tc>
          <w:tcPr>
            <w:tcW w:w="2340" w:type="dxa"/>
            <w:noWrap/>
            <w:hideMark/>
          </w:tcPr>
          <w:p w14:paraId="740BBF2A" w14:textId="77777777" w:rsidR="00610751" w:rsidRPr="00610751" w:rsidRDefault="00610751" w:rsidP="00610751">
            <w:pPr>
              <w:widowControl/>
              <w:overflowPunct/>
              <w:autoSpaceDE/>
              <w:autoSpaceDN/>
              <w:adjustRightInd/>
              <w:rPr>
                <w:kern w:val="0"/>
              </w:rPr>
            </w:pPr>
            <w:r w:rsidRPr="00610751">
              <w:rPr>
                <w:kern w:val="0"/>
              </w:rPr>
              <w:t>Newburry et al.</w:t>
            </w:r>
          </w:p>
        </w:tc>
        <w:tc>
          <w:tcPr>
            <w:tcW w:w="9090" w:type="dxa"/>
            <w:noWrap/>
            <w:hideMark/>
          </w:tcPr>
          <w:p w14:paraId="01B194C4" w14:textId="77777777" w:rsidR="00610751" w:rsidRPr="00610751" w:rsidRDefault="00610751" w:rsidP="00610751">
            <w:pPr>
              <w:widowControl/>
              <w:overflowPunct/>
              <w:autoSpaceDE/>
              <w:autoSpaceDN/>
              <w:adjustRightInd/>
              <w:rPr>
                <w:kern w:val="0"/>
              </w:rPr>
            </w:pPr>
            <w:r w:rsidRPr="00610751">
              <w:rPr>
                <w:kern w:val="0"/>
              </w:rPr>
              <w:t>Autonomy and effectiveness of equity international joint ventures (IJVs) in China</w:t>
            </w:r>
          </w:p>
        </w:tc>
      </w:tr>
      <w:tr w:rsidR="00610751" w:rsidRPr="00610751" w14:paraId="329A77C6" w14:textId="77777777" w:rsidTr="00DB7B9A">
        <w:trPr>
          <w:trHeight w:val="20"/>
        </w:trPr>
        <w:tc>
          <w:tcPr>
            <w:tcW w:w="810" w:type="dxa"/>
            <w:noWrap/>
            <w:hideMark/>
          </w:tcPr>
          <w:p w14:paraId="0FD5C508" w14:textId="77777777" w:rsidR="00610751" w:rsidRPr="00610751" w:rsidRDefault="00610751" w:rsidP="00610751">
            <w:pPr>
              <w:widowControl/>
              <w:overflowPunct/>
              <w:autoSpaceDE/>
              <w:autoSpaceDN/>
              <w:adjustRightInd/>
              <w:rPr>
                <w:kern w:val="0"/>
              </w:rPr>
            </w:pPr>
            <w:r w:rsidRPr="00610751">
              <w:rPr>
                <w:kern w:val="0"/>
              </w:rPr>
              <w:t>2004</w:t>
            </w:r>
          </w:p>
        </w:tc>
        <w:tc>
          <w:tcPr>
            <w:tcW w:w="2340" w:type="dxa"/>
            <w:noWrap/>
            <w:hideMark/>
          </w:tcPr>
          <w:p w14:paraId="16F4755D" w14:textId="77777777" w:rsidR="00610751" w:rsidRPr="00610751" w:rsidRDefault="00610751" w:rsidP="00610751">
            <w:pPr>
              <w:widowControl/>
              <w:overflowPunct/>
              <w:autoSpaceDE/>
              <w:autoSpaceDN/>
              <w:adjustRightInd/>
              <w:rPr>
                <w:kern w:val="0"/>
              </w:rPr>
            </w:pPr>
            <w:r w:rsidRPr="00610751">
              <w:rPr>
                <w:kern w:val="0"/>
              </w:rPr>
              <w:t>Gomez &amp; Werner</w:t>
            </w:r>
          </w:p>
        </w:tc>
        <w:tc>
          <w:tcPr>
            <w:tcW w:w="9090" w:type="dxa"/>
            <w:noWrap/>
            <w:hideMark/>
          </w:tcPr>
          <w:p w14:paraId="3B471FC4" w14:textId="77777777" w:rsidR="00610751" w:rsidRPr="00610751" w:rsidRDefault="00610751" w:rsidP="00610751">
            <w:pPr>
              <w:widowControl/>
              <w:overflowPunct/>
              <w:autoSpaceDE/>
              <w:autoSpaceDN/>
              <w:adjustRightInd/>
              <w:rPr>
                <w:kern w:val="0"/>
              </w:rPr>
            </w:pPr>
            <w:r w:rsidRPr="00610751">
              <w:rPr>
                <w:kern w:val="0"/>
              </w:rPr>
              <w:t>The effect of institutional and strategic forces on management style in subsidiaries of U.S. MNCs in Mexico</w:t>
            </w:r>
          </w:p>
        </w:tc>
      </w:tr>
      <w:tr w:rsidR="00610751" w:rsidRPr="00610751" w14:paraId="2D6C0CA6" w14:textId="77777777" w:rsidTr="00DB7B9A">
        <w:trPr>
          <w:trHeight w:val="20"/>
        </w:trPr>
        <w:tc>
          <w:tcPr>
            <w:tcW w:w="810" w:type="dxa"/>
            <w:noWrap/>
            <w:hideMark/>
          </w:tcPr>
          <w:p w14:paraId="6AF1AB0A" w14:textId="77777777" w:rsidR="00610751" w:rsidRPr="00610751" w:rsidRDefault="00610751" w:rsidP="00610751">
            <w:pPr>
              <w:widowControl/>
              <w:overflowPunct/>
              <w:autoSpaceDE/>
              <w:autoSpaceDN/>
              <w:adjustRightInd/>
              <w:rPr>
                <w:kern w:val="0"/>
              </w:rPr>
            </w:pPr>
            <w:r w:rsidRPr="00610751">
              <w:rPr>
                <w:kern w:val="0"/>
              </w:rPr>
              <w:t>2004</w:t>
            </w:r>
          </w:p>
        </w:tc>
        <w:tc>
          <w:tcPr>
            <w:tcW w:w="2340" w:type="dxa"/>
            <w:noWrap/>
            <w:hideMark/>
          </w:tcPr>
          <w:p w14:paraId="543B7CBE" w14:textId="77777777" w:rsidR="00610751" w:rsidRPr="00610751" w:rsidRDefault="00610751" w:rsidP="00610751">
            <w:pPr>
              <w:widowControl/>
              <w:overflowPunct/>
              <w:autoSpaceDE/>
              <w:autoSpaceDN/>
              <w:adjustRightInd/>
              <w:rPr>
                <w:kern w:val="0"/>
              </w:rPr>
            </w:pPr>
            <w:r w:rsidRPr="00610751">
              <w:rPr>
                <w:kern w:val="0"/>
              </w:rPr>
              <w:t>Jaw &amp; Liu</w:t>
            </w:r>
          </w:p>
        </w:tc>
        <w:tc>
          <w:tcPr>
            <w:tcW w:w="9090" w:type="dxa"/>
            <w:noWrap/>
            <w:hideMark/>
          </w:tcPr>
          <w:p w14:paraId="092D6443" w14:textId="77777777" w:rsidR="00610751" w:rsidRPr="00610751" w:rsidRDefault="00610751" w:rsidP="00610751">
            <w:pPr>
              <w:widowControl/>
              <w:overflowPunct/>
              <w:autoSpaceDE/>
              <w:autoSpaceDN/>
              <w:adjustRightInd/>
              <w:rPr>
                <w:kern w:val="0"/>
              </w:rPr>
            </w:pPr>
            <w:r w:rsidRPr="00610751">
              <w:rPr>
                <w:kern w:val="0"/>
              </w:rPr>
              <w:t>Towards an integrative framework of strategic international human resource control: the case of Taiwanese subsidiaries in the People's Republic of China</w:t>
            </w:r>
          </w:p>
        </w:tc>
      </w:tr>
      <w:tr w:rsidR="00610751" w:rsidRPr="00610751" w14:paraId="21FFE4F1" w14:textId="77777777" w:rsidTr="00DB7B9A">
        <w:trPr>
          <w:trHeight w:val="20"/>
        </w:trPr>
        <w:tc>
          <w:tcPr>
            <w:tcW w:w="810" w:type="dxa"/>
            <w:noWrap/>
            <w:hideMark/>
          </w:tcPr>
          <w:p w14:paraId="252DF986" w14:textId="77777777" w:rsidR="00610751" w:rsidRPr="00610751" w:rsidRDefault="00610751" w:rsidP="00610751">
            <w:pPr>
              <w:widowControl/>
              <w:overflowPunct/>
              <w:autoSpaceDE/>
              <w:autoSpaceDN/>
              <w:adjustRightInd/>
              <w:rPr>
                <w:kern w:val="0"/>
              </w:rPr>
            </w:pPr>
            <w:r w:rsidRPr="00610751">
              <w:rPr>
                <w:kern w:val="0"/>
              </w:rPr>
              <w:t>2005</w:t>
            </w:r>
          </w:p>
        </w:tc>
        <w:tc>
          <w:tcPr>
            <w:tcW w:w="2340" w:type="dxa"/>
            <w:noWrap/>
            <w:hideMark/>
          </w:tcPr>
          <w:p w14:paraId="6FCA4C83" w14:textId="77777777" w:rsidR="00610751" w:rsidRPr="00610751" w:rsidRDefault="00610751" w:rsidP="00610751">
            <w:pPr>
              <w:widowControl/>
              <w:overflowPunct/>
              <w:autoSpaceDE/>
              <w:autoSpaceDN/>
              <w:adjustRightInd/>
              <w:rPr>
                <w:kern w:val="0"/>
              </w:rPr>
            </w:pPr>
            <w:r w:rsidRPr="00610751">
              <w:rPr>
                <w:kern w:val="0"/>
              </w:rPr>
              <w:t>Gomez &amp; Sanchez</w:t>
            </w:r>
          </w:p>
        </w:tc>
        <w:tc>
          <w:tcPr>
            <w:tcW w:w="9090" w:type="dxa"/>
            <w:noWrap/>
            <w:hideMark/>
          </w:tcPr>
          <w:p w14:paraId="3EE63EB1" w14:textId="77777777" w:rsidR="00610751" w:rsidRPr="00610751" w:rsidRDefault="00610751" w:rsidP="00610751">
            <w:pPr>
              <w:widowControl/>
              <w:overflowPunct/>
              <w:autoSpaceDE/>
              <w:autoSpaceDN/>
              <w:adjustRightInd/>
              <w:rPr>
                <w:kern w:val="0"/>
              </w:rPr>
            </w:pPr>
            <w:r w:rsidRPr="00610751">
              <w:rPr>
                <w:kern w:val="0"/>
              </w:rPr>
              <w:t>Human resource control in MNCs: a study of the factors influencing the use of formal and informal control mechanisms</w:t>
            </w:r>
          </w:p>
        </w:tc>
      </w:tr>
      <w:tr w:rsidR="00610751" w:rsidRPr="00610751" w14:paraId="244D1822" w14:textId="77777777" w:rsidTr="00DB7B9A">
        <w:trPr>
          <w:trHeight w:val="20"/>
        </w:trPr>
        <w:tc>
          <w:tcPr>
            <w:tcW w:w="810" w:type="dxa"/>
            <w:noWrap/>
            <w:hideMark/>
          </w:tcPr>
          <w:p w14:paraId="70FEC6D1" w14:textId="77777777" w:rsidR="00610751" w:rsidRPr="00610751" w:rsidRDefault="00610751" w:rsidP="00610751">
            <w:pPr>
              <w:widowControl/>
              <w:overflowPunct/>
              <w:autoSpaceDE/>
              <w:autoSpaceDN/>
              <w:adjustRightInd/>
              <w:rPr>
                <w:kern w:val="0"/>
              </w:rPr>
            </w:pPr>
            <w:r w:rsidRPr="00610751">
              <w:rPr>
                <w:kern w:val="0"/>
              </w:rPr>
              <w:t>2005</w:t>
            </w:r>
          </w:p>
        </w:tc>
        <w:tc>
          <w:tcPr>
            <w:tcW w:w="2340" w:type="dxa"/>
            <w:noWrap/>
            <w:hideMark/>
          </w:tcPr>
          <w:p w14:paraId="791E34E3" w14:textId="77777777" w:rsidR="00610751" w:rsidRPr="00610751" w:rsidRDefault="00610751" w:rsidP="00610751">
            <w:pPr>
              <w:widowControl/>
              <w:overflowPunct/>
              <w:autoSpaceDE/>
              <w:autoSpaceDN/>
              <w:adjustRightInd/>
              <w:rPr>
                <w:kern w:val="0"/>
              </w:rPr>
            </w:pPr>
            <w:r w:rsidRPr="00610751">
              <w:rPr>
                <w:kern w:val="0"/>
              </w:rPr>
              <w:t>Holtbrügge</w:t>
            </w:r>
          </w:p>
        </w:tc>
        <w:tc>
          <w:tcPr>
            <w:tcW w:w="9090" w:type="dxa"/>
            <w:noWrap/>
            <w:hideMark/>
          </w:tcPr>
          <w:p w14:paraId="16DFD723" w14:textId="77777777" w:rsidR="00610751" w:rsidRPr="00610751" w:rsidRDefault="00610751" w:rsidP="00610751">
            <w:pPr>
              <w:widowControl/>
              <w:overflowPunct/>
              <w:autoSpaceDE/>
              <w:autoSpaceDN/>
              <w:adjustRightInd/>
              <w:rPr>
                <w:kern w:val="0"/>
              </w:rPr>
            </w:pPr>
            <w:r w:rsidRPr="00610751">
              <w:rPr>
                <w:kern w:val="0"/>
              </w:rPr>
              <w:t>Configuration and Co-ordination of Value Activities in German Multinational Corporations</w:t>
            </w:r>
          </w:p>
        </w:tc>
      </w:tr>
      <w:tr w:rsidR="00610751" w:rsidRPr="00610751" w14:paraId="61E59E93" w14:textId="77777777" w:rsidTr="00DB7B9A">
        <w:trPr>
          <w:trHeight w:val="20"/>
        </w:trPr>
        <w:tc>
          <w:tcPr>
            <w:tcW w:w="810" w:type="dxa"/>
            <w:noWrap/>
            <w:hideMark/>
          </w:tcPr>
          <w:p w14:paraId="3CA38F97" w14:textId="77777777" w:rsidR="00610751" w:rsidRPr="00610751" w:rsidRDefault="00610751" w:rsidP="00610751">
            <w:pPr>
              <w:widowControl/>
              <w:overflowPunct/>
              <w:autoSpaceDE/>
              <w:autoSpaceDN/>
              <w:adjustRightInd/>
              <w:rPr>
                <w:kern w:val="0"/>
              </w:rPr>
            </w:pPr>
            <w:r w:rsidRPr="00610751">
              <w:rPr>
                <w:kern w:val="0"/>
              </w:rPr>
              <w:t>2005</w:t>
            </w:r>
          </w:p>
        </w:tc>
        <w:tc>
          <w:tcPr>
            <w:tcW w:w="2340" w:type="dxa"/>
            <w:noWrap/>
            <w:hideMark/>
          </w:tcPr>
          <w:p w14:paraId="69C87962" w14:textId="77777777" w:rsidR="00610751" w:rsidRPr="00610751" w:rsidRDefault="00610751" w:rsidP="00610751">
            <w:pPr>
              <w:widowControl/>
              <w:overflowPunct/>
              <w:autoSpaceDE/>
              <w:autoSpaceDN/>
              <w:adjustRightInd/>
              <w:rPr>
                <w:kern w:val="0"/>
              </w:rPr>
            </w:pPr>
            <w:r w:rsidRPr="00610751">
              <w:rPr>
                <w:kern w:val="0"/>
              </w:rPr>
              <w:t>Persaud</w:t>
            </w:r>
          </w:p>
        </w:tc>
        <w:tc>
          <w:tcPr>
            <w:tcW w:w="9090" w:type="dxa"/>
            <w:noWrap/>
            <w:hideMark/>
          </w:tcPr>
          <w:p w14:paraId="4AE58329" w14:textId="77777777" w:rsidR="00610751" w:rsidRPr="00610751" w:rsidRDefault="00610751" w:rsidP="00610751">
            <w:pPr>
              <w:widowControl/>
              <w:overflowPunct/>
              <w:autoSpaceDE/>
              <w:autoSpaceDN/>
              <w:adjustRightInd/>
              <w:rPr>
                <w:kern w:val="0"/>
              </w:rPr>
            </w:pPr>
            <w:r w:rsidRPr="00610751">
              <w:rPr>
                <w:kern w:val="0"/>
              </w:rPr>
              <w:t>Enhancing Synergistic Innovative Capability in Multinational Corporations: An Empirical Investigation</w:t>
            </w:r>
          </w:p>
        </w:tc>
      </w:tr>
      <w:tr w:rsidR="00610751" w:rsidRPr="00610751" w14:paraId="2FA576BA" w14:textId="77777777" w:rsidTr="00DB7B9A">
        <w:trPr>
          <w:trHeight w:val="20"/>
        </w:trPr>
        <w:tc>
          <w:tcPr>
            <w:tcW w:w="810" w:type="dxa"/>
            <w:noWrap/>
            <w:hideMark/>
          </w:tcPr>
          <w:p w14:paraId="41014FB5" w14:textId="77777777" w:rsidR="00610751" w:rsidRPr="00610751" w:rsidRDefault="00610751" w:rsidP="00610751">
            <w:pPr>
              <w:widowControl/>
              <w:overflowPunct/>
              <w:autoSpaceDE/>
              <w:autoSpaceDN/>
              <w:adjustRightInd/>
              <w:rPr>
                <w:kern w:val="0"/>
              </w:rPr>
            </w:pPr>
            <w:r w:rsidRPr="00610751">
              <w:rPr>
                <w:kern w:val="0"/>
              </w:rPr>
              <w:t>2005</w:t>
            </w:r>
          </w:p>
        </w:tc>
        <w:tc>
          <w:tcPr>
            <w:tcW w:w="2340" w:type="dxa"/>
            <w:noWrap/>
            <w:hideMark/>
          </w:tcPr>
          <w:p w14:paraId="6A5BB894" w14:textId="77777777" w:rsidR="00610751" w:rsidRPr="00610751" w:rsidRDefault="00610751" w:rsidP="00610751">
            <w:pPr>
              <w:widowControl/>
              <w:overflowPunct/>
              <w:autoSpaceDE/>
              <w:autoSpaceDN/>
              <w:adjustRightInd/>
              <w:rPr>
                <w:kern w:val="0"/>
              </w:rPr>
            </w:pPr>
            <w:r w:rsidRPr="00610751">
              <w:rPr>
                <w:kern w:val="0"/>
              </w:rPr>
              <w:t>Venaik et al.</w:t>
            </w:r>
          </w:p>
        </w:tc>
        <w:tc>
          <w:tcPr>
            <w:tcW w:w="9090" w:type="dxa"/>
            <w:noWrap/>
            <w:hideMark/>
          </w:tcPr>
          <w:p w14:paraId="5BC50032" w14:textId="77777777" w:rsidR="00610751" w:rsidRPr="00610751" w:rsidRDefault="00610751" w:rsidP="00610751">
            <w:pPr>
              <w:widowControl/>
              <w:overflowPunct/>
              <w:autoSpaceDE/>
              <w:autoSpaceDN/>
              <w:adjustRightInd/>
              <w:rPr>
                <w:kern w:val="0"/>
              </w:rPr>
            </w:pPr>
            <w:r w:rsidRPr="00610751">
              <w:rPr>
                <w:kern w:val="0"/>
              </w:rPr>
              <w:t>Dual Paths to Performance: The Impact of Global Pressures on MNC Subsidiary Conduct and Performance</w:t>
            </w:r>
          </w:p>
        </w:tc>
      </w:tr>
      <w:tr w:rsidR="00610751" w:rsidRPr="00610751" w14:paraId="42F55BAC" w14:textId="77777777" w:rsidTr="00DB7B9A">
        <w:trPr>
          <w:trHeight w:val="20"/>
        </w:trPr>
        <w:tc>
          <w:tcPr>
            <w:tcW w:w="810" w:type="dxa"/>
            <w:noWrap/>
            <w:hideMark/>
          </w:tcPr>
          <w:p w14:paraId="79C87B02" w14:textId="77777777" w:rsidR="00610751" w:rsidRPr="00610751" w:rsidRDefault="00610751" w:rsidP="00610751">
            <w:pPr>
              <w:widowControl/>
              <w:overflowPunct/>
              <w:autoSpaceDE/>
              <w:autoSpaceDN/>
              <w:adjustRightInd/>
              <w:rPr>
                <w:kern w:val="0"/>
              </w:rPr>
            </w:pPr>
            <w:r w:rsidRPr="00610751">
              <w:rPr>
                <w:kern w:val="0"/>
              </w:rPr>
              <w:t>2006</w:t>
            </w:r>
          </w:p>
        </w:tc>
        <w:tc>
          <w:tcPr>
            <w:tcW w:w="2340" w:type="dxa"/>
            <w:noWrap/>
            <w:hideMark/>
          </w:tcPr>
          <w:p w14:paraId="1B23F9D5" w14:textId="77777777" w:rsidR="00610751" w:rsidRPr="00610751" w:rsidRDefault="00610751" w:rsidP="00610751">
            <w:pPr>
              <w:widowControl/>
              <w:overflowPunct/>
              <w:autoSpaceDE/>
              <w:autoSpaceDN/>
              <w:adjustRightInd/>
              <w:rPr>
                <w:kern w:val="0"/>
              </w:rPr>
            </w:pPr>
            <w:r w:rsidRPr="00610751">
              <w:rPr>
                <w:kern w:val="0"/>
              </w:rPr>
              <w:t>Drogendijk &amp; Slangen</w:t>
            </w:r>
          </w:p>
        </w:tc>
        <w:tc>
          <w:tcPr>
            <w:tcW w:w="9090" w:type="dxa"/>
            <w:noWrap/>
            <w:hideMark/>
          </w:tcPr>
          <w:p w14:paraId="4E342ED4" w14:textId="77777777" w:rsidR="00610751" w:rsidRPr="00610751" w:rsidRDefault="00610751" w:rsidP="00610751">
            <w:pPr>
              <w:widowControl/>
              <w:overflowPunct/>
              <w:autoSpaceDE/>
              <w:autoSpaceDN/>
              <w:adjustRightInd/>
              <w:rPr>
                <w:kern w:val="0"/>
              </w:rPr>
            </w:pPr>
            <w:r w:rsidRPr="00610751">
              <w:rPr>
                <w:kern w:val="0"/>
              </w:rPr>
              <w:t>Hofstede, Schwartz, or managerial perceptions? The effects of different cultural distance measures on establishment mode choices by multinational enterprises</w:t>
            </w:r>
          </w:p>
        </w:tc>
      </w:tr>
      <w:tr w:rsidR="00610751" w:rsidRPr="00610751" w14:paraId="6BCF4111" w14:textId="77777777" w:rsidTr="00DB7B9A">
        <w:trPr>
          <w:trHeight w:val="20"/>
        </w:trPr>
        <w:tc>
          <w:tcPr>
            <w:tcW w:w="810" w:type="dxa"/>
            <w:noWrap/>
            <w:hideMark/>
          </w:tcPr>
          <w:p w14:paraId="59CABB76" w14:textId="77777777" w:rsidR="00610751" w:rsidRPr="00610751" w:rsidRDefault="00610751" w:rsidP="00610751">
            <w:pPr>
              <w:widowControl/>
              <w:overflowPunct/>
              <w:autoSpaceDE/>
              <w:autoSpaceDN/>
              <w:adjustRightInd/>
              <w:rPr>
                <w:kern w:val="0"/>
              </w:rPr>
            </w:pPr>
            <w:r w:rsidRPr="00610751">
              <w:rPr>
                <w:kern w:val="0"/>
              </w:rPr>
              <w:t>2006</w:t>
            </w:r>
          </w:p>
        </w:tc>
        <w:tc>
          <w:tcPr>
            <w:tcW w:w="2340" w:type="dxa"/>
            <w:noWrap/>
            <w:hideMark/>
          </w:tcPr>
          <w:p w14:paraId="51867FDF" w14:textId="77777777" w:rsidR="00610751" w:rsidRPr="00610751" w:rsidRDefault="00610751" w:rsidP="00610751">
            <w:pPr>
              <w:widowControl/>
              <w:overflowPunct/>
              <w:autoSpaceDE/>
              <w:autoSpaceDN/>
              <w:adjustRightInd/>
              <w:rPr>
                <w:kern w:val="0"/>
              </w:rPr>
            </w:pPr>
            <w:r w:rsidRPr="00610751">
              <w:rPr>
                <w:kern w:val="0"/>
              </w:rPr>
              <w:t>Luo</w:t>
            </w:r>
          </w:p>
        </w:tc>
        <w:tc>
          <w:tcPr>
            <w:tcW w:w="9090" w:type="dxa"/>
            <w:noWrap/>
            <w:hideMark/>
          </w:tcPr>
          <w:p w14:paraId="2FE47E55" w14:textId="77777777" w:rsidR="00610751" w:rsidRPr="00610751" w:rsidRDefault="00610751" w:rsidP="00610751">
            <w:pPr>
              <w:widowControl/>
              <w:overflowPunct/>
              <w:autoSpaceDE/>
              <w:autoSpaceDN/>
              <w:adjustRightInd/>
              <w:rPr>
                <w:kern w:val="0"/>
              </w:rPr>
            </w:pPr>
            <w:r w:rsidRPr="00610751">
              <w:rPr>
                <w:kern w:val="0"/>
              </w:rPr>
              <w:t>Autonomy of Foreign R&amp;D Units in an Emerging Market: An Information Processing Perspective</w:t>
            </w:r>
          </w:p>
        </w:tc>
      </w:tr>
      <w:tr w:rsidR="00610751" w:rsidRPr="00610751" w14:paraId="265D03A6" w14:textId="77777777" w:rsidTr="00DB7B9A">
        <w:trPr>
          <w:trHeight w:val="20"/>
        </w:trPr>
        <w:tc>
          <w:tcPr>
            <w:tcW w:w="810" w:type="dxa"/>
            <w:noWrap/>
            <w:hideMark/>
          </w:tcPr>
          <w:p w14:paraId="0900203E" w14:textId="77777777" w:rsidR="00610751" w:rsidRPr="00610751" w:rsidRDefault="00610751" w:rsidP="00610751">
            <w:pPr>
              <w:widowControl/>
              <w:overflowPunct/>
              <w:autoSpaceDE/>
              <w:autoSpaceDN/>
              <w:adjustRightInd/>
              <w:rPr>
                <w:kern w:val="0"/>
              </w:rPr>
            </w:pPr>
            <w:r w:rsidRPr="00610751">
              <w:rPr>
                <w:kern w:val="0"/>
              </w:rPr>
              <w:t>2006</w:t>
            </w:r>
          </w:p>
        </w:tc>
        <w:tc>
          <w:tcPr>
            <w:tcW w:w="2340" w:type="dxa"/>
            <w:noWrap/>
            <w:hideMark/>
          </w:tcPr>
          <w:p w14:paraId="64E18FC3" w14:textId="77777777" w:rsidR="00610751" w:rsidRPr="00610751" w:rsidRDefault="00610751" w:rsidP="00610751">
            <w:pPr>
              <w:widowControl/>
              <w:overflowPunct/>
              <w:autoSpaceDE/>
              <w:autoSpaceDN/>
              <w:adjustRightInd/>
              <w:rPr>
                <w:kern w:val="0"/>
              </w:rPr>
            </w:pPr>
            <w:r w:rsidRPr="00610751">
              <w:rPr>
                <w:kern w:val="0"/>
              </w:rPr>
              <w:t>Myloni et al.</w:t>
            </w:r>
          </w:p>
        </w:tc>
        <w:tc>
          <w:tcPr>
            <w:tcW w:w="9090" w:type="dxa"/>
            <w:noWrap/>
            <w:hideMark/>
          </w:tcPr>
          <w:p w14:paraId="3C55103F" w14:textId="77777777" w:rsidR="00610751" w:rsidRPr="00610751" w:rsidRDefault="00610751" w:rsidP="00610751">
            <w:pPr>
              <w:widowControl/>
              <w:overflowPunct/>
              <w:autoSpaceDE/>
              <w:autoSpaceDN/>
              <w:adjustRightInd/>
              <w:rPr>
                <w:kern w:val="0"/>
              </w:rPr>
            </w:pPr>
            <w:r w:rsidRPr="00610751">
              <w:rPr>
                <w:kern w:val="0"/>
              </w:rPr>
              <w:t>The effect of corporate-level organisational factors on the transfer of human resource management practices: European and US MNCs and their Greek subsidiaries</w:t>
            </w:r>
          </w:p>
        </w:tc>
      </w:tr>
      <w:tr w:rsidR="00610751" w:rsidRPr="00610751" w14:paraId="12D4D8E7" w14:textId="77777777" w:rsidTr="00DB7B9A">
        <w:trPr>
          <w:trHeight w:val="20"/>
        </w:trPr>
        <w:tc>
          <w:tcPr>
            <w:tcW w:w="810" w:type="dxa"/>
            <w:noWrap/>
            <w:hideMark/>
          </w:tcPr>
          <w:p w14:paraId="5961CB13" w14:textId="77777777" w:rsidR="00610751" w:rsidRPr="00610751" w:rsidRDefault="00610751" w:rsidP="00610751">
            <w:pPr>
              <w:widowControl/>
              <w:overflowPunct/>
              <w:autoSpaceDE/>
              <w:autoSpaceDN/>
              <w:adjustRightInd/>
              <w:rPr>
                <w:kern w:val="0"/>
              </w:rPr>
            </w:pPr>
            <w:r w:rsidRPr="00610751">
              <w:rPr>
                <w:kern w:val="0"/>
              </w:rPr>
              <w:t>2006</w:t>
            </w:r>
          </w:p>
        </w:tc>
        <w:tc>
          <w:tcPr>
            <w:tcW w:w="2340" w:type="dxa"/>
            <w:noWrap/>
            <w:hideMark/>
          </w:tcPr>
          <w:p w14:paraId="17B87497" w14:textId="77777777" w:rsidR="00610751" w:rsidRPr="00610751" w:rsidRDefault="00610751" w:rsidP="00610751">
            <w:pPr>
              <w:widowControl/>
              <w:overflowPunct/>
              <w:autoSpaceDE/>
              <w:autoSpaceDN/>
              <w:adjustRightInd/>
              <w:rPr>
                <w:kern w:val="0"/>
              </w:rPr>
            </w:pPr>
            <w:r w:rsidRPr="00610751">
              <w:rPr>
                <w:kern w:val="0"/>
              </w:rPr>
              <w:t>Zellmer-Bruhn &amp; Gibson</w:t>
            </w:r>
          </w:p>
        </w:tc>
        <w:tc>
          <w:tcPr>
            <w:tcW w:w="9090" w:type="dxa"/>
            <w:noWrap/>
            <w:hideMark/>
          </w:tcPr>
          <w:p w14:paraId="1A5D92C9" w14:textId="77777777" w:rsidR="00610751" w:rsidRPr="00610751" w:rsidRDefault="00610751" w:rsidP="00610751">
            <w:pPr>
              <w:widowControl/>
              <w:overflowPunct/>
              <w:autoSpaceDE/>
              <w:autoSpaceDN/>
              <w:adjustRightInd/>
              <w:rPr>
                <w:kern w:val="0"/>
              </w:rPr>
            </w:pPr>
            <w:r w:rsidRPr="00610751">
              <w:rPr>
                <w:kern w:val="0"/>
              </w:rPr>
              <w:t>Multinational Organization Contact: Implications for Team Learning and Performance</w:t>
            </w:r>
          </w:p>
        </w:tc>
      </w:tr>
      <w:tr w:rsidR="00610751" w:rsidRPr="00610751" w14:paraId="1E0B09AC" w14:textId="77777777" w:rsidTr="00DB7B9A">
        <w:trPr>
          <w:trHeight w:val="20"/>
        </w:trPr>
        <w:tc>
          <w:tcPr>
            <w:tcW w:w="810" w:type="dxa"/>
            <w:noWrap/>
            <w:hideMark/>
          </w:tcPr>
          <w:p w14:paraId="0A91CC05" w14:textId="77777777" w:rsidR="00610751" w:rsidRPr="00610751" w:rsidRDefault="00610751" w:rsidP="00610751">
            <w:pPr>
              <w:widowControl/>
              <w:overflowPunct/>
              <w:autoSpaceDE/>
              <w:autoSpaceDN/>
              <w:adjustRightInd/>
              <w:rPr>
                <w:kern w:val="0"/>
              </w:rPr>
            </w:pPr>
            <w:r w:rsidRPr="00610751">
              <w:rPr>
                <w:kern w:val="0"/>
              </w:rPr>
              <w:t>2006</w:t>
            </w:r>
          </w:p>
        </w:tc>
        <w:tc>
          <w:tcPr>
            <w:tcW w:w="2340" w:type="dxa"/>
            <w:noWrap/>
            <w:hideMark/>
          </w:tcPr>
          <w:p w14:paraId="164C94D7" w14:textId="77777777" w:rsidR="00610751" w:rsidRPr="00610751" w:rsidRDefault="00610751" w:rsidP="00610751">
            <w:pPr>
              <w:widowControl/>
              <w:overflowPunct/>
              <w:autoSpaceDE/>
              <w:autoSpaceDN/>
              <w:adjustRightInd/>
              <w:rPr>
                <w:kern w:val="0"/>
              </w:rPr>
            </w:pPr>
            <w:r w:rsidRPr="00610751">
              <w:rPr>
                <w:kern w:val="0"/>
              </w:rPr>
              <w:t>Zhang et al.</w:t>
            </w:r>
          </w:p>
        </w:tc>
        <w:tc>
          <w:tcPr>
            <w:tcW w:w="9090" w:type="dxa"/>
            <w:noWrap/>
            <w:hideMark/>
          </w:tcPr>
          <w:p w14:paraId="12F6B85A" w14:textId="77777777" w:rsidR="00610751" w:rsidRPr="00610751" w:rsidRDefault="00610751" w:rsidP="00610751">
            <w:pPr>
              <w:widowControl/>
              <w:overflowPunct/>
              <w:autoSpaceDE/>
              <w:autoSpaceDN/>
              <w:adjustRightInd/>
              <w:rPr>
                <w:kern w:val="0"/>
              </w:rPr>
            </w:pPr>
            <w:r w:rsidRPr="00610751">
              <w:rPr>
                <w:kern w:val="0"/>
              </w:rPr>
              <w:t>The Paradox of Dueling Identities: The Case of Local Senior Executives in MNC Subsidiaries</w:t>
            </w:r>
          </w:p>
        </w:tc>
      </w:tr>
      <w:tr w:rsidR="00610751" w:rsidRPr="00610751" w14:paraId="57B08200" w14:textId="77777777" w:rsidTr="00DB7B9A">
        <w:trPr>
          <w:trHeight w:val="20"/>
        </w:trPr>
        <w:tc>
          <w:tcPr>
            <w:tcW w:w="810" w:type="dxa"/>
            <w:noWrap/>
            <w:hideMark/>
          </w:tcPr>
          <w:p w14:paraId="287ECF12" w14:textId="77777777" w:rsidR="00610751" w:rsidRPr="00610751" w:rsidRDefault="00610751" w:rsidP="00610751">
            <w:pPr>
              <w:widowControl/>
              <w:overflowPunct/>
              <w:autoSpaceDE/>
              <w:autoSpaceDN/>
              <w:adjustRightInd/>
              <w:rPr>
                <w:kern w:val="0"/>
              </w:rPr>
            </w:pPr>
            <w:r w:rsidRPr="00610751">
              <w:rPr>
                <w:kern w:val="0"/>
              </w:rPr>
              <w:t>2007</w:t>
            </w:r>
          </w:p>
        </w:tc>
        <w:tc>
          <w:tcPr>
            <w:tcW w:w="2340" w:type="dxa"/>
            <w:noWrap/>
            <w:hideMark/>
          </w:tcPr>
          <w:p w14:paraId="23DAB93C" w14:textId="77777777" w:rsidR="00610751" w:rsidRPr="00610751" w:rsidRDefault="00610751" w:rsidP="00610751">
            <w:pPr>
              <w:widowControl/>
              <w:overflowPunct/>
              <w:autoSpaceDE/>
              <w:autoSpaceDN/>
              <w:adjustRightInd/>
              <w:rPr>
                <w:kern w:val="0"/>
              </w:rPr>
            </w:pPr>
            <w:r w:rsidRPr="00610751">
              <w:rPr>
                <w:kern w:val="0"/>
              </w:rPr>
              <w:t>Ambos &amp; Schlegelmilch</w:t>
            </w:r>
          </w:p>
        </w:tc>
        <w:tc>
          <w:tcPr>
            <w:tcW w:w="9090" w:type="dxa"/>
            <w:noWrap/>
            <w:hideMark/>
          </w:tcPr>
          <w:p w14:paraId="19010884" w14:textId="77777777" w:rsidR="00610751" w:rsidRPr="00610751" w:rsidRDefault="00610751" w:rsidP="00610751">
            <w:pPr>
              <w:widowControl/>
              <w:overflowPunct/>
              <w:autoSpaceDE/>
              <w:autoSpaceDN/>
              <w:adjustRightInd/>
              <w:rPr>
                <w:kern w:val="0"/>
              </w:rPr>
            </w:pPr>
            <w:r w:rsidRPr="00610751">
              <w:rPr>
                <w:kern w:val="0"/>
              </w:rPr>
              <w:t>Innovation and Control in the Multinational Firm: A Comparison of Political and Contingency Approaches</w:t>
            </w:r>
          </w:p>
        </w:tc>
      </w:tr>
      <w:tr w:rsidR="00610751" w:rsidRPr="00610751" w14:paraId="346DFC0E" w14:textId="77777777" w:rsidTr="00DB7B9A">
        <w:trPr>
          <w:trHeight w:val="20"/>
        </w:trPr>
        <w:tc>
          <w:tcPr>
            <w:tcW w:w="810" w:type="dxa"/>
            <w:noWrap/>
            <w:hideMark/>
          </w:tcPr>
          <w:p w14:paraId="29780FDF" w14:textId="77777777" w:rsidR="00610751" w:rsidRPr="00610751" w:rsidRDefault="00610751" w:rsidP="00610751">
            <w:pPr>
              <w:widowControl/>
              <w:overflowPunct/>
              <w:autoSpaceDE/>
              <w:autoSpaceDN/>
              <w:adjustRightInd/>
              <w:rPr>
                <w:kern w:val="0"/>
              </w:rPr>
            </w:pPr>
            <w:r w:rsidRPr="00610751">
              <w:rPr>
                <w:kern w:val="0"/>
              </w:rPr>
              <w:t>2007</w:t>
            </w:r>
          </w:p>
        </w:tc>
        <w:tc>
          <w:tcPr>
            <w:tcW w:w="2340" w:type="dxa"/>
            <w:noWrap/>
            <w:hideMark/>
          </w:tcPr>
          <w:p w14:paraId="7E0597A1" w14:textId="77777777" w:rsidR="00610751" w:rsidRPr="00610751" w:rsidRDefault="00610751" w:rsidP="00610751">
            <w:pPr>
              <w:widowControl/>
              <w:overflowPunct/>
              <w:autoSpaceDE/>
              <w:autoSpaceDN/>
              <w:adjustRightInd/>
              <w:rPr>
                <w:kern w:val="0"/>
              </w:rPr>
            </w:pPr>
            <w:r w:rsidRPr="00610751">
              <w:rPr>
                <w:kern w:val="0"/>
              </w:rPr>
              <w:t>Boehe</w:t>
            </w:r>
          </w:p>
        </w:tc>
        <w:tc>
          <w:tcPr>
            <w:tcW w:w="9090" w:type="dxa"/>
            <w:noWrap/>
            <w:hideMark/>
          </w:tcPr>
          <w:p w14:paraId="3796EF7A" w14:textId="77777777" w:rsidR="00610751" w:rsidRPr="00610751" w:rsidRDefault="00610751" w:rsidP="00610751">
            <w:pPr>
              <w:widowControl/>
              <w:overflowPunct/>
              <w:autoSpaceDE/>
              <w:autoSpaceDN/>
              <w:adjustRightInd/>
              <w:rPr>
                <w:kern w:val="0"/>
              </w:rPr>
            </w:pPr>
            <w:r w:rsidRPr="00610751">
              <w:rPr>
                <w:kern w:val="0"/>
              </w:rPr>
              <w:t>Product development in MNC subsidiaries: Local linkages and global interdependencies</w:t>
            </w:r>
          </w:p>
        </w:tc>
      </w:tr>
      <w:tr w:rsidR="00610751" w:rsidRPr="00610751" w14:paraId="1F2D39FE" w14:textId="77777777" w:rsidTr="00DB7B9A">
        <w:trPr>
          <w:trHeight w:val="20"/>
        </w:trPr>
        <w:tc>
          <w:tcPr>
            <w:tcW w:w="810" w:type="dxa"/>
            <w:noWrap/>
            <w:hideMark/>
          </w:tcPr>
          <w:p w14:paraId="7A6B6BAA" w14:textId="77777777" w:rsidR="00610751" w:rsidRPr="00610751" w:rsidRDefault="00610751" w:rsidP="00610751">
            <w:pPr>
              <w:widowControl/>
              <w:overflowPunct/>
              <w:autoSpaceDE/>
              <w:autoSpaceDN/>
              <w:adjustRightInd/>
              <w:rPr>
                <w:kern w:val="0"/>
              </w:rPr>
            </w:pPr>
            <w:r w:rsidRPr="00610751">
              <w:rPr>
                <w:kern w:val="0"/>
              </w:rPr>
              <w:t>2007</w:t>
            </w:r>
          </w:p>
        </w:tc>
        <w:tc>
          <w:tcPr>
            <w:tcW w:w="2340" w:type="dxa"/>
            <w:noWrap/>
            <w:hideMark/>
          </w:tcPr>
          <w:p w14:paraId="060E5D03" w14:textId="77777777" w:rsidR="00610751" w:rsidRPr="00610751" w:rsidRDefault="00610751" w:rsidP="00610751">
            <w:pPr>
              <w:widowControl/>
              <w:overflowPunct/>
              <w:autoSpaceDE/>
              <w:autoSpaceDN/>
              <w:adjustRightInd/>
              <w:rPr>
                <w:kern w:val="0"/>
              </w:rPr>
            </w:pPr>
            <w:r w:rsidRPr="00610751">
              <w:rPr>
                <w:kern w:val="0"/>
              </w:rPr>
              <w:t>Johnston &amp; Menguc</w:t>
            </w:r>
          </w:p>
        </w:tc>
        <w:tc>
          <w:tcPr>
            <w:tcW w:w="9090" w:type="dxa"/>
            <w:noWrap/>
            <w:hideMark/>
          </w:tcPr>
          <w:p w14:paraId="7012E021" w14:textId="77777777" w:rsidR="00610751" w:rsidRPr="00610751" w:rsidRDefault="00610751" w:rsidP="00610751">
            <w:pPr>
              <w:widowControl/>
              <w:overflowPunct/>
              <w:autoSpaceDE/>
              <w:autoSpaceDN/>
              <w:adjustRightInd/>
              <w:rPr>
                <w:kern w:val="0"/>
              </w:rPr>
            </w:pPr>
            <w:r w:rsidRPr="00610751">
              <w:rPr>
                <w:kern w:val="0"/>
              </w:rPr>
              <w:t>Subsidiary size and the level of subsidiary autonomy in multinational corporations: a quadratic model investigation of Australian subsidiaries</w:t>
            </w:r>
          </w:p>
        </w:tc>
      </w:tr>
      <w:tr w:rsidR="00610751" w:rsidRPr="00610751" w14:paraId="6A166397" w14:textId="77777777" w:rsidTr="00DB7B9A">
        <w:trPr>
          <w:trHeight w:val="20"/>
        </w:trPr>
        <w:tc>
          <w:tcPr>
            <w:tcW w:w="810" w:type="dxa"/>
            <w:noWrap/>
            <w:hideMark/>
          </w:tcPr>
          <w:p w14:paraId="25167D3F" w14:textId="77777777" w:rsidR="00610751" w:rsidRPr="00610751" w:rsidRDefault="00610751" w:rsidP="00610751">
            <w:pPr>
              <w:widowControl/>
              <w:overflowPunct/>
              <w:autoSpaceDE/>
              <w:autoSpaceDN/>
              <w:adjustRightInd/>
              <w:rPr>
                <w:kern w:val="0"/>
              </w:rPr>
            </w:pPr>
            <w:r w:rsidRPr="00610751">
              <w:rPr>
                <w:kern w:val="0"/>
              </w:rPr>
              <w:t>2008</w:t>
            </w:r>
          </w:p>
        </w:tc>
        <w:tc>
          <w:tcPr>
            <w:tcW w:w="2340" w:type="dxa"/>
            <w:noWrap/>
            <w:hideMark/>
          </w:tcPr>
          <w:p w14:paraId="6ACFA7A9" w14:textId="77777777" w:rsidR="00610751" w:rsidRPr="00610751" w:rsidRDefault="00610751" w:rsidP="00610751">
            <w:pPr>
              <w:widowControl/>
              <w:overflowPunct/>
              <w:autoSpaceDE/>
              <w:autoSpaceDN/>
              <w:adjustRightInd/>
              <w:rPr>
                <w:kern w:val="0"/>
              </w:rPr>
            </w:pPr>
            <w:r w:rsidRPr="00610751">
              <w:rPr>
                <w:kern w:val="0"/>
              </w:rPr>
              <w:t>Ando et al.</w:t>
            </w:r>
          </w:p>
        </w:tc>
        <w:tc>
          <w:tcPr>
            <w:tcW w:w="9090" w:type="dxa"/>
            <w:noWrap/>
            <w:hideMark/>
          </w:tcPr>
          <w:p w14:paraId="3B5FED10" w14:textId="77777777" w:rsidR="00610751" w:rsidRPr="00610751" w:rsidRDefault="00610751" w:rsidP="00610751">
            <w:pPr>
              <w:widowControl/>
              <w:overflowPunct/>
              <w:autoSpaceDE/>
              <w:autoSpaceDN/>
              <w:adjustRightInd/>
              <w:rPr>
                <w:kern w:val="0"/>
              </w:rPr>
            </w:pPr>
            <w:r w:rsidRPr="00610751">
              <w:rPr>
                <w:kern w:val="0"/>
              </w:rPr>
              <w:t>Parent country nationals or local nationals for executive positions in foreign affiliates: An empirical study of Japanese affiliates in Korea</w:t>
            </w:r>
          </w:p>
        </w:tc>
      </w:tr>
      <w:tr w:rsidR="00610751" w:rsidRPr="00610751" w14:paraId="125B93DC" w14:textId="77777777" w:rsidTr="00DB7B9A">
        <w:trPr>
          <w:trHeight w:val="20"/>
        </w:trPr>
        <w:tc>
          <w:tcPr>
            <w:tcW w:w="810" w:type="dxa"/>
            <w:noWrap/>
            <w:hideMark/>
          </w:tcPr>
          <w:p w14:paraId="77F77D75" w14:textId="77777777" w:rsidR="00610751" w:rsidRPr="00610751" w:rsidRDefault="00610751" w:rsidP="00610751">
            <w:pPr>
              <w:widowControl/>
              <w:overflowPunct/>
              <w:autoSpaceDE/>
              <w:autoSpaceDN/>
              <w:adjustRightInd/>
              <w:rPr>
                <w:kern w:val="0"/>
              </w:rPr>
            </w:pPr>
            <w:r w:rsidRPr="00610751">
              <w:rPr>
                <w:kern w:val="0"/>
              </w:rPr>
              <w:t>2008</w:t>
            </w:r>
          </w:p>
        </w:tc>
        <w:tc>
          <w:tcPr>
            <w:tcW w:w="2340" w:type="dxa"/>
            <w:noWrap/>
            <w:hideMark/>
          </w:tcPr>
          <w:p w14:paraId="6C94D708" w14:textId="77777777" w:rsidR="00610751" w:rsidRPr="00610751" w:rsidRDefault="00610751" w:rsidP="00610751">
            <w:pPr>
              <w:widowControl/>
              <w:overflowPunct/>
              <w:autoSpaceDE/>
              <w:autoSpaceDN/>
              <w:adjustRightInd/>
              <w:rPr>
                <w:kern w:val="0"/>
              </w:rPr>
            </w:pPr>
            <w:r w:rsidRPr="00610751">
              <w:rPr>
                <w:kern w:val="0"/>
              </w:rPr>
              <w:t>Bouquet &amp; Birkinshaw</w:t>
            </w:r>
          </w:p>
        </w:tc>
        <w:tc>
          <w:tcPr>
            <w:tcW w:w="9090" w:type="dxa"/>
            <w:noWrap/>
            <w:hideMark/>
          </w:tcPr>
          <w:p w14:paraId="250A2C8B" w14:textId="77777777" w:rsidR="00610751" w:rsidRPr="00610751" w:rsidRDefault="00610751" w:rsidP="00610751">
            <w:pPr>
              <w:widowControl/>
              <w:overflowPunct/>
              <w:autoSpaceDE/>
              <w:autoSpaceDN/>
              <w:adjustRightInd/>
              <w:rPr>
                <w:kern w:val="0"/>
              </w:rPr>
            </w:pPr>
            <w:r w:rsidRPr="00610751">
              <w:rPr>
                <w:kern w:val="0"/>
              </w:rPr>
              <w:t>Weight versus Voice: How Foreign Subsidiaries Gain Attention from Corporate Headquarters</w:t>
            </w:r>
          </w:p>
        </w:tc>
      </w:tr>
      <w:tr w:rsidR="00610751" w:rsidRPr="00610751" w14:paraId="3FF69636" w14:textId="77777777" w:rsidTr="00DB7B9A">
        <w:trPr>
          <w:trHeight w:val="20"/>
        </w:trPr>
        <w:tc>
          <w:tcPr>
            <w:tcW w:w="810" w:type="dxa"/>
            <w:noWrap/>
            <w:hideMark/>
          </w:tcPr>
          <w:p w14:paraId="5E441DB6" w14:textId="77777777" w:rsidR="00610751" w:rsidRPr="00610751" w:rsidRDefault="00610751" w:rsidP="00610751">
            <w:pPr>
              <w:widowControl/>
              <w:overflowPunct/>
              <w:autoSpaceDE/>
              <w:autoSpaceDN/>
              <w:adjustRightInd/>
              <w:rPr>
                <w:kern w:val="0"/>
              </w:rPr>
            </w:pPr>
            <w:r w:rsidRPr="00610751">
              <w:rPr>
                <w:kern w:val="0"/>
              </w:rPr>
              <w:t>2008</w:t>
            </w:r>
          </w:p>
        </w:tc>
        <w:tc>
          <w:tcPr>
            <w:tcW w:w="2340" w:type="dxa"/>
            <w:noWrap/>
            <w:hideMark/>
          </w:tcPr>
          <w:p w14:paraId="7634B132" w14:textId="77777777" w:rsidR="00610751" w:rsidRPr="00610751" w:rsidRDefault="00610751" w:rsidP="00610751">
            <w:pPr>
              <w:widowControl/>
              <w:overflowPunct/>
              <w:autoSpaceDE/>
              <w:autoSpaceDN/>
              <w:adjustRightInd/>
              <w:rPr>
                <w:kern w:val="0"/>
              </w:rPr>
            </w:pPr>
            <w:r w:rsidRPr="00610751">
              <w:rPr>
                <w:kern w:val="0"/>
              </w:rPr>
              <w:t>Dooms &amp; van Oijen</w:t>
            </w:r>
          </w:p>
        </w:tc>
        <w:tc>
          <w:tcPr>
            <w:tcW w:w="9090" w:type="dxa"/>
            <w:noWrap/>
            <w:hideMark/>
          </w:tcPr>
          <w:p w14:paraId="5E7EC273" w14:textId="77777777" w:rsidR="00610751" w:rsidRPr="00610751" w:rsidRDefault="00610751" w:rsidP="00610751">
            <w:pPr>
              <w:widowControl/>
              <w:overflowPunct/>
              <w:autoSpaceDE/>
              <w:autoSpaceDN/>
              <w:adjustRightInd/>
              <w:rPr>
                <w:kern w:val="0"/>
              </w:rPr>
            </w:pPr>
            <w:r w:rsidRPr="00610751">
              <w:rPr>
                <w:kern w:val="0"/>
              </w:rPr>
              <w:t>The Balance Between Tailoring and Standardizing Control</w:t>
            </w:r>
          </w:p>
        </w:tc>
      </w:tr>
      <w:tr w:rsidR="00610751" w:rsidRPr="00610751" w14:paraId="66750908" w14:textId="77777777" w:rsidTr="00DB7B9A">
        <w:trPr>
          <w:trHeight w:val="20"/>
        </w:trPr>
        <w:tc>
          <w:tcPr>
            <w:tcW w:w="810" w:type="dxa"/>
            <w:noWrap/>
            <w:hideMark/>
          </w:tcPr>
          <w:p w14:paraId="71ED66B0" w14:textId="77777777" w:rsidR="00610751" w:rsidRPr="00610751" w:rsidRDefault="00610751" w:rsidP="00610751">
            <w:pPr>
              <w:widowControl/>
              <w:overflowPunct/>
              <w:autoSpaceDE/>
              <w:autoSpaceDN/>
              <w:adjustRightInd/>
              <w:rPr>
                <w:kern w:val="0"/>
              </w:rPr>
            </w:pPr>
            <w:r w:rsidRPr="00610751">
              <w:rPr>
                <w:kern w:val="0"/>
              </w:rPr>
              <w:t>2008</w:t>
            </w:r>
          </w:p>
        </w:tc>
        <w:tc>
          <w:tcPr>
            <w:tcW w:w="2340" w:type="dxa"/>
            <w:noWrap/>
            <w:hideMark/>
          </w:tcPr>
          <w:p w14:paraId="3B895C4F" w14:textId="77777777" w:rsidR="00610751" w:rsidRPr="00610751" w:rsidRDefault="00610751" w:rsidP="00610751">
            <w:pPr>
              <w:widowControl/>
              <w:overflowPunct/>
              <w:autoSpaceDE/>
              <w:autoSpaceDN/>
              <w:adjustRightInd/>
              <w:rPr>
                <w:kern w:val="0"/>
              </w:rPr>
            </w:pPr>
            <w:r w:rsidRPr="00610751">
              <w:rPr>
                <w:kern w:val="0"/>
              </w:rPr>
              <w:t>Fenton-O'Creevy et al.</w:t>
            </w:r>
          </w:p>
        </w:tc>
        <w:tc>
          <w:tcPr>
            <w:tcW w:w="9090" w:type="dxa"/>
            <w:noWrap/>
            <w:hideMark/>
          </w:tcPr>
          <w:p w14:paraId="1FA70B9B" w14:textId="77777777" w:rsidR="00610751" w:rsidRPr="00610751" w:rsidRDefault="00610751" w:rsidP="00610751">
            <w:pPr>
              <w:widowControl/>
              <w:overflowPunct/>
              <w:autoSpaceDE/>
              <w:autoSpaceDN/>
              <w:adjustRightInd/>
              <w:rPr>
                <w:kern w:val="0"/>
              </w:rPr>
            </w:pPr>
            <w:r w:rsidRPr="00610751">
              <w:rPr>
                <w:kern w:val="0"/>
              </w:rPr>
              <w:t>Human resource management in US subsidiaries in Europe and Australia: centralisation or autonomy?</w:t>
            </w:r>
          </w:p>
        </w:tc>
      </w:tr>
      <w:tr w:rsidR="00610751" w:rsidRPr="00610751" w14:paraId="698BA7E8" w14:textId="77777777" w:rsidTr="00DB7B9A">
        <w:trPr>
          <w:trHeight w:val="20"/>
        </w:trPr>
        <w:tc>
          <w:tcPr>
            <w:tcW w:w="810" w:type="dxa"/>
            <w:noWrap/>
            <w:hideMark/>
          </w:tcPr>
          <w:p w14:paraId="32E85BF0" w14:textId="77777777" w:rsidR="00610751" w:rsidRPr="00610751" w:rsidRDefault="00610751" w:rsidP="00610751">
            <w:pPr>
              <w:widowControl/>
              <w:overflowPunct/>
              <w:autoSpaceDE/>
              <w:autoSpaceDN/>
              <w:adjustRightInd/>
              <w:rPr>
                <w:kern w:val="0"/>
              </w:rPr>
            </w:pPr>
            <w:r w:rsidRPr="00610751">
              <w:rPr>
                <w:kern w:val="0"/>
              </w:rPr>
              <w:t>2008</w:t>
            </w:r>
          </w:p>
        </w:tc>
        <w:tc>
          <w:tcPr>
            <w:tcW w:w="2340" w:type="dxa"/>
            <w:noWrap/>
            <w:hideMark/>
          </w:tcPr>
          <w:p w14:paraId="171BCC79" w14:textId="77777777" w:rsidR="00610751" w:rsidRPr="00610751" w:rsidRDefault="00610751" w:rsidP="00610751">
            <w:pPr>
              <w:widowControl/>
              <w:overflowPunct/>
              <w:autoSpaceDE/>
              <w:autoSpaceDN/>
              <w:adjustRightInd/>
              <w:rPr>
                <w:kern w:val="0"/>
              </w:rPr>
            </w:pPr>
            <w:r w:rsidRPr="00610751">
              <w:rPr>
                <w:kern w:val="0"/>
              </w:rPr>
              <w:t>Fey &amp; Furu</w:t>
            </w:r>
          </w:p>
        </w:tc>
        <w:tc>
          <w:tcPr>
            <w:tcW w:w="9090" w:type="dxa"/>
            <w:noWrap/>
            <w:hideMark/>
          </w:tcPr>
          <w:p w14:paraId="207FFFF9" w14:textId="77777777" w:rsidR="00610751" w:rsidRPr="00610751" w:rsidRDefault="00610751" w:rsidP="00610751">
            <w:pPr>
              <w:widowControl/>
              <w:overflowPunct/>
              <w:autoSpaceDE/>
              <w:autoSpaceDN/>
              <w:adjustRightInd/>
              <w:rPr>
                <w:kern w:val="0"/>
              </w:rPr>
            </w:pPr>
            <w:r w:rsidRPr="00610751">
              <w:rPr>
                <w:kern w:val="0"/>
              </w:rPr>
              <w:t>Top management incentive compensation and knowledge sharing in multinational corporations</w:t>
            </w:r>
          </w:p>
        </w:tc>
      </w:tr>
      <w:tr w:rsidR="00610751" w:rsidRPr="00610751" w14:paraId="0F0CB09F" w14:textId="77777777" w:rsidTr="00DB7B9A">
        <w:trPr>
          <w:trHeight w:val="20"/>
        </w:trPr>
        <w:tc>
          <w:tcPr>
            <w:tcW w:w="810" w:type="dxa"/>
            <w:noWrap/>
            <w:hideMark/>
          </w:tcPr>
          <w:p w14:paraId="2DB54ED1" w14:textId="77777777" w:rsidR="00610751" w:rsidRPr="00610751" w:rsidRDefault="00610751" w:rsidP="00610751">
            <w:pPr>
              <w:widowControl/>
              <w:overflowPunct/>
              <w:autoSpaceDE/>
              <w:autoSpaceDN/>
              <w:adjustRightInd/>
              <w:rPr>
                <w:kern w:val="0"/>
              </w:rPr>
            </w:pPr>
            <w:r w:rsidRPr="00610751">
              <w:rPr>
                <w:kern w:val="0"/>
              </w:rPr>
              <w:t>2008</w:t>
            </w:r>
          </w:p>
        </w:tc>
        <w:tc>
          <w:tcPr>
            <w:tcW w:w="2340" w:type="dxa"/>
            <w:noWrap/>
            <w:hideMark/>
          </w:tcPr>
          <w:p w14:paraId="1F9D721B" w14:textId="77777777" w:rsidR="00610751" w:rsidRPr="00610751" w:rsidRDefault="00610751" w:rsidP="00610751">
            <w:pPr>
              <w:widowControl/>
              <w:overflowPunct/>
              <w:autoSpaceDE/>
              <w:autoSpaceDN/>
              <w:adjustRightInd/>
              <w:rPr>
                <w:kern w:val="0"/>
              </w:rPr>
            </w:pPr>
            <w:r w:rsidRPr="00610751">
              <w:rPr>
                <w:kern w:val="0"/>
              </w:rPr>
              <w:t>Slangen &amp; Hennart</w:t>
            </w:r>
          </w:p>
        </w:tc>
        <w:tc>
          <w:tcPr>
            <w:tcW w:w="9090" w:type="dxa"/>
            <w:noWrap/>
            <w:hideMark/>
          </w:tcPr>
          <w:p w14:paraId="762F48E7" w14:textId="77777777" w:rsidR="00610751" w:rsidRPr="00610751" w:rsidRDefault="00610751" w:rsidP="00610751">
            <w:pPr>
              <w:widowControl/>
              <w:overflowPunct/>
              <w:autoSpaceDE/>
              <w:autoSpaceDN/>
              <w:adjustRightInd/>
              <w:rPr>
                <w:kern w:val="0"/>
              </w:rPr>
            </w:pPr>
            <w:r w:rsidRPr="00610751">
              <w:rPr>
                <w:kern w:val="0"/>
              </w:rPr>
              <w:t>Do multinationals really prefer to enter culturally distant countries through greenfields rather than through acquisitions? The role of parent experience and subsidiary autonomy</w:t>
            </w:r>
          </w:p>
        </w:tc>
      </w:tr>
      <w:tr w:rsidR="00610751" w:rsidRPr="00610751" w14:paraId="5A8CD3D8" w14:textId="77777777" w:rsidTr="00DB7B9A">
        <w:trPr>
          <w:trHeight w:val="20"/>
        </w:trPr>
        <w:tc>
          <w:tcPr>
            <w:tcW w:w="810" w:type="dxa"/>
            <w:noWrap/>
            <w:hideMark/>
          </w:tcPr>
          <w:p w14:paraId="74E06A0C" w14:textId="77777777" w:rsidR="00610751" w:rsidRPr="00610751" w:rsidRDefault="00610751" w:rsidP="00610751">
            <w:pPr>
              <w:widowControl/>
              <w:overflowPunct/>
              <w:autoSpaceDE/>
              <w:autoSpaceDN/>
              <w:adjustRightInd/>
              <w:rPr>
                <w:kern w:val="0"/>
              </w:rPr>
            </w:pPr>
            <w:r w:rsidRPr="00610751">
              <w:rPr>
                <w:kern w:val="0"/>
              </w:rPr>
              <w:t>2008</w:t>
            </w:r>
          </w:p>
        </w:tc>
        <w:tc>
          <w:tcPr>
            <w:tcW w:w="2340" w:type="dxa"/>
            <w:noWrap/>
            <w:hideMark/>
          </w:tcPr>
          <w:p w14:paraId="60514797" w14:textId="77777777" w:rsidR="00610751" w:rsidRPr="00610751" w:rsidRDefault="00610751" w:rsidP="00610751">
            <w:pPr>
              <w:widowControl/>
              <w:overflowPunct/>
              <w:autoSpaceDE/>
              <w:autoSpaceDN/>
              <w:adjustRightInd/>
              <w:rPr>
                <w:kern w:val="0"/>
              </w:rPr>
            </w:pPr>
            <w:r w:rsidRPr="00610751">
              <w:rPr>
                <w:kern w:val="0"/>
              </w:rPr>
              <w:t>Slangen &amp; Hennart</w:t>
            </w:r>
          </w:p>
        </w:tc>
        <w:tc>
          <w:tcPr>
            <w:tcW w:w="9090" w:type="dxa"/>
            <w:noWrap/>
            <w:hideMark/>
          </w:tcPr>
          <w:p w14:paraId="2934682A" w14:textId="77777777" w:rsidR="00610751" w:rsidRPr="00610751" w:rsidRDefault="00610751" w:rsidP="00610751">
            <w:pPr>
              <w:widowControl/>
              <w:overflowPunct/>
              <w:autoSpaceDE/>
              <w:autoSpaceDN/>
              <w:adjustRightInd/>
              <w:rPr>
                <w:kern w:val="0"/>
              </w:rPr>
            </w:pPr>
            <w:r w:rsidRPr="00610751">
              <w:rPr>
                <w:kern w:val="0"/>
              </w:rPr>
              <w:t>Do Foreign Greenfields Outperform Foreign Acquisitions or Vice Versa? An Institutional Perspective</w:t>
            </w:r>
          </w:p>
        </w:tc>
      </w:tr>
      <w:tr w:rsidR="00610751" w:rsidRPr="00610751" w14:paraId="0EAB6BC3" w14:textId="77777777" w:rsidTr="00DB7B9A">
        <w:trPr>
          <w:trHeight w:val="20"/>
        </w:trPr>
        <w:tc>
          <w:tcPr>
            <w:tcW w:w="810" w:type="dxa"/>
            <w:noWrap/>
            <w:hideMark/>
          </w:tcPr>
          <w:p w14:paraId="67A7F556" w14:textId="77777777" w:rsidR="00610751" w:rsidRPr="00610751" w:rsidRDefault="00610751" w:rsidP="00610751">
            <w:pPr>
              <w:widowControl/>
              <w:overflowPunct/>
              <w:autoSpaceDE/>
              <w:autoSpaceDN/>
              <w:adjustRightInd/>
              <w:rPr>
                <w:kern w:val="0"/>
              </w:rPr>
            </w:pPr>
            <w:r w:rsidRPr="00610751">
              <w:rPr>
                <w:kern w:val="0"/>
              </w:rPr>
              <w:t>2008</w:t>
            </w:r>
          </w:p>
        </w:tc>
        <w:tc>
          <w:tcPr>
            <w:tcW w:w="2340" w:type="dxa"/>
            <w:noWrap/>
            <w:hideMark/>
          </w:tcPr>
          <w:p w14:paraId="317BC55A" w14:textId="77777777" w:rsidR="00610751" w:rsidRPr="00610751" w:rsidRDefault="00610751" w:rsidP="00610751">
            <w:pPr>
              <w:widowControl/>
              <w:overflowPunct/>
              <w:autoSpaceDE/>
              <w:autoSpaceDN/>
              <w:adjustRightInd/>
              <w:rPr>
                <w:kern w:val="0"/>
              </w:rPr>
            </w:pPr>
            <w:r w:rsidRPr="00610751">
              <w:rPr>
                <w:kern w:val="0"/>
              </w:rPr>
              <w:t>Takeuchi et al.</w:t>
            </w:r>
          </w:p>
        </w:tc>
        <w:tc>
          <w:tcPr>
            <w:tcW w:w="9090" w:type="dxa"/>
            <w:noWrap/>
            <w:hideMark/>
          </w:tcPr>
          <w:p w14:paraId="744ED0C1" w14:textId="77777777" w:rsidR="00610751" w:rsidRPr="00610751" w:rsidRDefault="00610751" w:rsidP="00610751">
            <w:pPr>
              <w:widowControl/>
              <w:overflowPunct/>
              <w:autoSpaceDE/>
              <w:autoSpaceDN/>
              <w:adjustRightInd/>
              <w:rPr>
                <w:kern w:val="0"/>
              </w:rPr>
            </w:pPr>
            <w:r w:rsidRPr="00610751">
              <w:rPr>
                <w:kern w:val="0"/>
              </w:rPr>
              <w:t>When Does Decision Autonomy Increase Expatriate Managers' Adjustment? An Empirical Test</w:t>
            </w:r>
          </w:p>
        </w:tc>
      </w:tr>
      <w:tr w:rsidR="00610751" w:rsidRPr="00610751" w14:paraId="31B817AF" w14:textId="77777777" w:rsidTr="00DB7B9A">
        <w:trPr>
          <w:trHeight w:val="20"/>
        </w:trPr>
        <w:tc>
          <w:tcPr>
            <w:tcW w:w="810" w:type="dxa"/>
            <w:noWrap/>
            <w:hideMark/>
          </w:tcPr>
          <w:p w14:paraId="6151BDD4" w14:textId="77777777" w:rsidR="00610751" w:rsidRPr="00610751" w:rsidRDefault="00610751" w:rsidP="00610751">
            <w:pPr>
              <w:widowControl/>
              <w:overflowPunct/>
              <w:autoSpaceDE/>
              <w:autoSpaceDN/>
              <w:adjustRightInd/>
              <w:rPr>
                <w:kern w:val="0"/>
              </w:rPr>
            </w:pPr>
            <w:r w:rsidRPr="00610751">
              <w:rPr>
                <w:kern w:val="0"/>
              </w:rPr>
              <w:t>2009</w:t>
            </w:r>
          </w:p>
        </w:tc>
        <w:tc>
          <w:tcPr>
            <w:tcW w:w="2340" w:type="dxa"/>
            <w:noWrap/>
            <w:hideMark/>
          </w:tcPr>
          <w:p w14:paraId="17EC4B61" w14:textId="77777777" w:rsidR="00610751" w:rsidRPr="00610751" w:rsidRDefault="00610751" w:rsidP="00610751">
            <w:pPr>
              <w:widowControl/>
              <w:overflowPunct/>
              <w:autoSpaceDE/>
              <w:autoSpaceDN/>
              <w:adjustRightInd/>
              <w:rPr>
                <w:kern w:val="0"/>
              </w:rPr>
            </w:pPr>
            <w:r w:rsidRPr="00610751">
              <w:rPr>
                <w:kern w:val="0"/>
              </w:rPr>
              <w:t>Law et al.</w:t>
            </w:r>
          </w:p>
        </w:tc>
        <w:tc>
          <w:tcPr>
            <w:tcW w:w="9090" w:type="dxa"/>
            <w:noWrap/>
            <w:hideMark/>
          </w:tcPr>
          <w:p w14:paraId="5F148827" w14:textId="77777777" w:rsidR="00610751" w:rsidRPr="00610751" w:rsidRDefault="00610751" w:rsidP="00610751">
            <w:pPr>
              <w:widowControl/>
              <w:overflowPunct/>
              <w:autoSpaceDE/>
              <w:autoSpaceDN/>
              <w:adjustRightInd/>
              <w:rPr>
                <w:kern w:val="0"/>
              </w:rPr>
            </w:pPr>
            <w:r w:rsidRPr="00610751">
              <w:rPr>
                <w:kern w:val="0"/>
              </w:rPr>
              <w:t>The antecedents and consequences of successful localization</w:t>
            </w:r>
          </w:p>
        </w:tc>
      </w:tr>
      <w:tr w:rsidR="00610751" w:rsidRPr="00610751" w14:paraId="6DE403A1" w14:textId="77777777" w:rsidTr="00DB7B9A">
        <w:trPr>
          <w:trHeight w:val="20"/>
        </w:trPr>
        <w:tc>
          <w:tcPr>
            <w:tcW w:w="810" w:type="dxa"/>
            <w:noWrap/>
            <w:hideMark/>
          </w:tcPr>
          <w:p w14:paraId="7E717467" w14:textId="77777777" w:rsidR="00610751" w:rsidRPr="00610751" w:rsidRDefault="00610751" w:rsidP="00610751">
            <w:pPr>
              <w:widowControl/>
              <w:overflowPunct/>
              <w:autoSpaceDE/>
              <w:autoSpaceDN/>
              <w:adjustRightInd/>
              <w:rPr>
                <w:kern w:val="0"/>
              </w:rPr>
            </w:pPr>
            <w:r w:rsidRPr="00610751">
              <w:rPr>
                <w:kern w:val="0"/>
              </w:rPr>
              <w:t>2009</w:t>
            </w:r>
          </w:p>
        </w:tc>
        <w:tc>
          <w:tcPr>
            <w:tcW w:w="2340" w:type="dxa"/>
            <w:noWrap/>
            <w:hideMark/>
          </w:tcPr>
          <w:p w14:paraId="618B9FD5" w14:textId="77777777" w:rsidR="00610751" w:rsidRPr="00610751" w:rsidRDefault="00610751" w:rsidP="00610751">
            <w:pPr>
              <w:widowControl/>
              <w:overflowPunct/>
              <w:autoSpaceDE/>
              <w:autoSpaceDN/>
              <w:adjustRightInd/>
              <w:rPr>
                <w:kern w:val="0"/>
              </w:rPr>
            </w:pPr>
            <w:r w:rsidRPr="00610751">
              <w:rPr>
                <w:kern w:val="0"/>
              </w:rPr>
              <w:t>Lovett et al.</w:t>
            </w:r>
          </w:p>
        </w:tc>
        <w:tc>
          <w:tcPr>
            <w:tcW w:w="9090" w:type="dxa"/>
            <w:noWrap/>
            <w:hideMark/>
          </w:tcPr>
          <w:p w14:paraId="447F9781" w14:textId="77777777" w:rsidR="00610751" w:rsidRPr="00610751" w:rsidRDefault="00610751" w:rsidP="00610751">
            <w:pPr>
              <w:widowControl/>
              <w:overflowPunct/>
              <w:autoSpaceDE/>
              <w:autoSpaceDN/>
              <w:adjustRightInd/>
              <w:rPr>
                <w:kern w:val="0"/>
              </w:rPr>
            </w:pPr>
            <w:r w:rsidRPr="00610751">
              <w:rPr>
                <w:kern w:val="0"/>
              </w:rPr>
              <w:t>Parental control: A study of U.S. subsidiaries in Mexico</w:t>
            </w:r>
          </w:p>
        </w:tc>
      </w:tr>
      <w:tr w:rsidR="00610751" w:rsidRPr="00610751" w14:paraId="5D49EBA7" w14:textId="77777777" w:rsidTr="00DB7B9A">
        <w:trPr>
          <w:trHeight w:val="20"/>
        </w:trPr>
        <w:tc>
          <w:tcPr>
            <w:tcW w:w="810" w:type="dxa"/>
            <w:noWrap/>
            <w:hideMark/>
          </w:tcPr>
          <w:p w14:paraId="5F6C3A89" w14:textId="77777777" w:rsidR="00610751" w:rsidRPr="00610751" w:rsidRDefault="00610751" w:rsidP="00610751">
            <w:pPr>
              <w:widowControl/>
              <w:overflowPunct/>
              <w:autoSpaceDE/>
              <w:autoSpaceDN/>
              <w:adjustRightInd/>
              <w:rPr>
                <w:kern w:val="0"/>
              </w:rPr>
            </w:pPr>
            <w:r w:rsidRPr="00610751">
              <w:rPr>
                <w:kern w:val="0"/>
              </w:rPr>
              <w:t>2009</w:t>
            </w:r>
          </w:p>
        </w:tc>
        <w:tc>
          <w:tcPr>
            <w:tcW w:w="2340" w:type="dxa"/>
            <w:noWrap/>
            <w:hideMark/>
          </w:tcPr>
          <w:p w14:paraId="560E8E22" w14:textId="77777777" w:rsidR="00610751" w:rsidRPr="00610751" w:rsidRDefault="00610751" w:rsidP="00610751">
            <w:pPr>
              <w:widowControl/>
              <w:overflowPunct/>
              <w:autoSpaceDE/>
              <w:autoSpaceDN/>
              <w:adjustRightInd/>
              <w:rPr>
                <w:kern w:val="0"/>
              </w:rPr>
            </w:pPr>
            <w:r w:rsidRPr="00610751">
              <w:rPr>
                <w:kern w:val="0"/>
              </w:rPr>
              <w:t>Noorderhaven &amp; Harzing</w:t>
            </w:r>
          </w:p>
        </w:tc>
        <w:tc>
          <w:tcPr>
            <w:tcW w:w="9090" w:type="dxa"/>
            <w:noWrap/>
            <w:hideMark/>
          </w:tcPr>
          <w:p w14:paraId="076F8B91" w14:textId="77777777" w:rsidR="00610751" w:rsidRPr="00610751" w:rsidRDefault="00610751" w:rsidP="00610751">
            <w:pPr>
              <w:widowControl/>
              <w:overflowPunct/>
              <w:autoSpaceDE/>
              <w:autoSpaceDN/>
              <w:adjustRightInd/>
              <w:rPr>
                <w:kern w:val="0"/>
              </w:rPr>
            </w:pPr>
            <w:r w:rsidRPr="00610751">
              <w:rPr>
                <w:kern w:val="0"/>
              </w:rPr>
              <w:t>Knowledge-sharing and social interaction within MNEs</w:t>
            </w:r>
          </w:p>
        </w:tc>
      </w:tr>
      <w:tr w:rsidR="00610751" w:rsidRPr="00610751" w14:paraId="63EBA907" w14:textId="77777777" w:rsidTr="00DB7B9A">
        <w:trPr>
          <w:trHeight w:val="20"/>
        </w:trPr>
        <w:tc>
          <w:tcPr>
            <w:tcW w:w="810" w:type="dxa"/>
            <w:noWrap/>
            <w:hideMark/>
          </w:tcPr>
          <w:p w14:paraId="77E2456C" w14:textId="77777777" w:rsidR="00610751" w:rsidRPr="00610751" w:rsidRDefault="00610751" w:rsidP="00610751">
            <w:pPr>
              <w:widowControl/>
              <w:overflowPunct/>
              <w:autoSpaceDE/>
              <w:autoSpaceDN/>
              <w:adjustRightInd/>
              <w:rPr>
                <w:kern w:val="0"/>
              </w:rPr>
            </w:pPr>
            <w:r w:rsidRPr="00610751">
              <w:rPr>
                <w:kern w:val="0"/>
              </w:rPr>
              <w:t>2009</w:t>
            </w:r>
          </w:p>
        </w:tc>
        <w:tc>
          <w:tcPr>
            <w:tcW w:w="2340" w:type="dxa"/>
            <w:noWrap/>
            <w:hideMark/>
          </w:tcPr>
          <w:p w14:paraId="3E8E45AF" w14:textId="77777777" w:rsidR="00610751" w:rsidRPr="00610751" w:rsidRDefault="00610751" w:rsidP="00610751">
            <w:pPr>
              <w:widowControl/>
              <w:overflowPunct/>
              <w:autoSpaceDE/>
              <w:autoSpaceDN/>
              <w:adjustRightInd/>
              <w:rPr>
                <w:kern w:val="0"/>
              </w:rPr>
            </w:pPr>
            <w:r w:rsidRPr="00610751">
              <w:rPr>
                <w:kern w:val="0"/>
              </w:rPr>
              <w:t>Williams &amp; van Triest</w:t>
            </w:r>
          </w:p>
        </w:tc>
        <w:tc>
          <w:tcPr>
            <w:tcW w:w="9090" w:type="dxa"/>
            <w:noWrap/>
            <w:hideMark/>
          </w:tcPr>
          <w:p w14:paraId="73141161" w14:textId="77777777" w:rsidR="00610751" w:rsidRPr="00610751" w:rsidRDefault="00610751" w:rsidP="00610751">
            <w:pPr>
              <w:widowControl/>
              <w:overflowPunct/>
              <w:autoSpaceDE/>
              <w:autoSpaceDN/>
              <w:adjustRightInd/>
              <w:rPr>
                <w:kern w:val="0"/>
              </w:rPr>
            </w:pPr>
            <w:r w:rsidRPr="00610751">
              <w:rPr>
                <w:kern w:val="0"/>
              </w:rPr>
              <w:t>The impact of corporate and national cultures on decentralization in multinational corporations</w:t>
            </w:r>
          </w:p>
        </w:tc>
      </w:tr>
      <w:tr w:rsidR="00610751" w:rsidRPr="00610751" w14:paraId="065520E8" w14:textId="77777777" w:rsidTr="00DB7B9A">
        <w:trPr>
          <w:trHeight w:val="20"/>
        </w:trPr>
        <w:tc>
          <w:tcPr>
            <w:tcW w:w="810" w:type="dxa"/>
            <w:noWrap/>
            <w:hideMark/>
          </w:tcPr>
          <w:p w14:paraId="62C055DF" w14:textId="77777777" w:rsidR="00610751" w:rsidRPr="00610751" w:rsidRDefault="00610751" w:rsidP="00610751">
            <w:pPr>
              <w:widowControl/>
              <w:overflowPunct/>
              <w:autoSpaceDE/>
              <w:autoSpaceDN/>
              <w:adjustRightInd/>
              <w:rPr>
                <w:kern w:val="0"/>
              </w:rPr>
            </w:pPr>
            <w:r w:rsidRPr="00610751">
              <w:rPr>
                <w:kern w:val="0"/>
              </w:rPr>
              <w:t>2010</w:t>
            </w:r>
          </w:p>
        </w:tc>
        <w:tc>
          <w:tcPr>
            <w:tcW w:w="2340" w:type="dxa"/>
            <w:noWrap/>
            <w:hideMark/>
          </w:tcPr>
          <w:p w14:paraId="07AB2E2C" w14:textId="77777777" w:rsidR="00610751" w:rsidRPr="00610751" w:rsidRDefault="00610751" w:rsidP="00610751">
            <w:pPr>
              <w:widowControl/>
              <w:overflowPunct/>
              <w:autoSpaceDE/>
              <w:autoSpaceDN/>
              <w:adjustRightInd/>
              <w:rPr>
                <w:kern w:val="0"/>
              </w:rPr>
            </w:pPr>
            <w:r w:rsidRPr="00610751">
              <w:rPr>
                <w:kern w:val="0"/>
              </w:rPr>
              <w:t>Ambos &amp;  Birkinshaw</w:t>
            </w:r>
          </w:p>
        </w:tc>
        <w:tc>
          <w:tcPr>
            <w:tcW w:w="9090" w:type="dxa"/>
            <w:noWrap/>
            <w:hideMark/>
          </w:tcPr>
          <w:p w14:paraId="4D16FF83" w14:textId="77777777" w:rsidR="00610751" w:rsidRPr="00610751" w:rsidRDefault="00610751" w:rsidP="00610751">
            <w:pPr>
              <w:widowControl/>
              <w:overflowPunct/>
              <w:autoSpaceDE/>
              <w:autoSpaceDN/>
              <w:adjustRightInd/>
              <w:rPr>
                <w:kern w:val="0"/>
              </w:rPr>
            </w:pPr>
            <w:r w:rsidRPr="00610751">
              <w:rPr>
                <w:kern w:val="0"/>
              </w:rPr>
              <w:t>Headquarters’ Attention and Its Effect on Subsidiary Performance</w:t>
            </w:r>
          </w:p>
        </w:tc>
      </w:tr>
      <w:tr w:rsidR="00610751" w:rsidRPr="00610751" w14:paraId="3A8C2BAE" w14:textId="77777777" w:rsidTr="00DB7B9A">
        <w:trPr>
          <w:trHeight w:val="20"/>
        </w:trPr>
        <w:tc>
          <w:tcPr>
            <w:tcW w:w="810" w:type="dxa"/>
            <w:noWrap/>
            <w:hideMark/>
          </w:tcPr>
          <w:p w14:paraId="0ADC0F5E" w14:textId="77777777" w:rsidR="00610751" w:rsidRPr="00610751" w:rsidRDefault="00610751" w:rsidP="00610751">
            <w:pPr>
              <w:widowControl/>
              <w:overflowPunct/>
              <w:autoSpaceDE/>
              <w:autoSpaceDN/>
              <w:adjustRightInd/>
              <w:rPr>
                <w:kern w:val="0"/>
              </w:rPr>
            </w:pPr>
            <w:r w:rsidRPr="00610751">
              <w:rPr>
                <w:kern w:val="0"/>
              </w:rPr>
              <w:t>2010</w:t>
            </w:r>
          </w:p>
        </w:tc>
        <w:tc>
          <w:tcPr>
            <w:tcW w:w="2340" w:type="dxa"/>
            <w:noWrap/>
            <w:hideMark/>
          </w:tcPr>
          <w:p w14:paraId="37464DA2" w14:textId="77777777" w:rsidR="00610751" w:rsidRPr="00610751" w:rsidRDefault="00610751" w:rsidP="00610751">
            <w:pPr>
              <w:widowControl/>
              <w:overflowPunct/>
              <w:autoSpaceDE/>
              <w:autoSpaceDN/>
              <w:adjustRightInd/>
              <w:rPr>
                <w:kern w:val="0"/>
              </w:rPr>
            </w:pPr>
            <w:r w:rsidRPr="00610751">
              <w:rPr>
                <w:kern w:val="0"/>
              </w:rPr>
              <w:t>Amobs et al.</w:t>
            </w:r>
          </w:p>
        </w:tc>
        <w:tc>
          <w:tcPr>
            <w:tcW w:w="9090" w:type="dxa"/>
            <w:noWrap/>
            <w:hideMark/>
          </w:tcPr>
          <w:p w14:paraId="1F1D1A71" w14:textId="77777777" w:rsidR="00610751" w:rsidRPr="00610751" w:rsidRDefault="00610751" w:rsidP="00610751">
            <w:pPr>
              <w:widowControl/>
              <w:overflowPunct/>
              <w:autoSpaceDE/>
              <w:autoSpaceDN/>
              <w:adjustRightInd/>
              <w:rPr>
                <w:kern w:val="0"/>
              </w:rPr>
            </w:pPr>
            <w:r w:rsidRPr="00610751">
              <w:rPr>
                <w:kern w:val="0"/>
              </w:rPr>
              <w:t>What are the consequences of initiative-taking in multinational subsidiaries?</w:t>
            </w:r>
          </w:p>
        </w:tc>
      </w:tr>
      <w:tr w:rsidR="00610751" w:rsidRPr="00610751" w14:paraId="457756EF" w14:textId="77777777" w:rsidTr="00DB7B9A">
        <w:trPr>
          <w:trHeight w:val="20"/>
        </w:trPr>
        <w:tc>
          <w:tcPr>
            <w:tcW w:w="810" w:type="dxa"/>
            <w:noWrap/>
            <w:hideMark/>
          </w:tcPr>
          <w:p w14:paraId="2E7488C1" w14:textId="77777777" w:rsidR="00610751" w:rsidRPr="00610751" w:rsidRDefault="00610751" w:rsidP="00610751">
            <w:pPr>
              <w:widowControl/>
              <w:overflowPunct/>
              <w:autoSpaceDE/>
              <w:autoSpaceDN/>
              <w:adjustRightInd/>
              <w:rPr>
                <w:kern w:val="0"/>
              </w:rPr>
            </w:pPr>
            <w:r w:rsidRPr="00610751">
              <w:rPr>
                <w:kern w:val="0"/>
              </w:rPr>
              <w:t>2010</w:t>
            </w:r>
          </w:p>
        </w:tc>
        <w:tc>
          <w:tcPr>
            <w:tcW w:w="2340" w:type="dxa"/>
            <w:noWrap/>
            <w:hideMark/>
          </w:tcPr>
          <w:p w14:paraId="47AF2616" w14:textId="77777777" w:rsidR="00610751" w:rsidRPr="00610751" w:rsidRDefault="00610751" w:rsidP="00610751">
            <w:pPr>
              <w:widowControl/>
              <w:overflowPunct/>
              <w:autoSpaceDE/>
              <w:autoSpaceDN/>
              <w:adjustRightInd/>
              <w:rPr>
                <w:kern w:val="0"/>
              </w:rPr>
            </w:pPr>
            <w:r w:rsidRPr="00610751">
              <w:rPr>
                <w:kern w:val="0"/>
              </w:rPr>
              <w:t>Chen et al.</w:t>
            </w:r>
          </w:p>
        </w:tc>
        <w:tc>
          <w:tcPr>
            <w:tcW w:w="9090" w:type="dxa"/>
            <w:noWrap/>
            <w:hideMark/>
          </w:tcPr>
          <w:p w14:paraId="2554E8E5" w14:textId="77777777" w:rsidR="00610751" w:rsidRPr="00610751" w:rsidRDefault="00610751" w:rsidP="00610751">
            <w:pPr>
              <w:widowControl/>
              <w:overflowPunct/>
              <w:autoSpaceDE/>
              <w:autoSpaceDN/>
              <w:adjustRightInd/>
              <w:rPr>
                <w:kern w:val="0"/>
              </w:rPr>
            </w:pPr>
            <w:r w:rsidRPr="00610751">
              <w:rPr>
                <w:kern w:val="0"/>
              </w:rPr>
              <w:t>Host-country policies and MNE management control in IJVs: Evidence from China</w:t>
            </w:r>
          </w:p>
        </w:tc>
      </w:tr>
      <w:tr w:rsidR="00610751" w:rsidRPr="00610751" w14:paraId="5585F4DB" w14:textId="77777777" w:rsidTr="00DB7B9A">
        <w:trPr>
          <w:trHeight w:val="20"/>
        </w:trPr>
        <w:tc>
          <w:tcPr>
            <w:tcW w:w="810" w:type="dxa"/>
            <w:noWrap/>
            <w:hideMark/>
          </w:tcPr>
          <w:p w14:paraId="0E4EDC14" w14:textId="77777777" w:rsidR="00610751" w:rsidRPr="00610751" w:rsidRDefault="00610751" w:rsidP="00610751">
            <w:pPr>
              <w:widowControl/>
              <w:overflowPunct/>
              <w:autoSpaceDE/>
              <w:autoSpaceDN/>
              <w:adjustRightInd/>
              <w:rPr>
                <w:kern w:val="0"/>
              </w:rPr>
            </w:pPr>
            <w:r w:rsidRPr="00610751">
              <w:rPr>
                <w:kern w:val="0"/>
              </w:rPr>
              <w:t>2010</w:t>
            </w:r>
          </w:p>
        </w:tc>
        <w:tc>
          <w:tcPr>
            <w:tcW w:w="2340" w:type="dxa"/>
            <w:noWrap/>
            <w:hideMark/>
          </w:tcPr>
          <w:p w14:paraId="025DA929" w14:textId="77777777" w:rsidR="00610751" w:rsidRPr="00610751" w:rsidRDefault="00610751" w:rsidP="00610751">
            <w:pPr>
              <w:widowControl/>
              <w:overflowPunct/>
              <w:autoSpaceDE/>
              <w:autoSpaceDN/>
              <w:adjustRightInd/>
              <w:rPr>
                <w:kern w:val="0"/>
              </w:rPr>
            </w:pPr>
            <w:r w:rsidRPr="00610751">
              <w:rPr>
                <w:kern w:val="0"/>
              </w:rPr>
              <w:t>Dossi &amp; Patelli</w:t>
            </w:r>
          </w:p>
        </w:tc>
        <w:tc>
          <w:tcPr>
            <w:tcW w:w="9090" w:type="dxa"/>
            <w:noWrap/>
            <w:hideMark/>
          </w:tcPr>
          <w:p w14:paraId="5E2F3EB8" w14:textId="77777777" w:rsidR="00610751" w:rsidRPr="00610751" w:rsidRDefault="00610751" w:rsidP="00610751">
            <w:pPr>
              <w:widowControl/>
              <w:overflowPunct/>
              <w:autoSpaceDE/>
              <w:autoSpaceDN/>
              <w:adjustRightInd/>
              <w:rPr>
                <w:kern w:val="0"/>
              </w:rPr>
            </w:pPr>
            <w:r w:rsidRPr="00610751">
              <w:rPr>
                <w:kern w:val="0"/>
              </w:rPr>
              <w:t>You Learn from What You Measure: Financial and Nonfinancial Performance Measures in Multinational Companies</w:t>
            </w:r>
          </w:p>
        </w:tc>
      </w:tr>
      <w:tr w:rsidR="00610751" w:rsidRPr="00610751" w14:paraId="21706C85" w14:textId="77777777" w:rsidTr="00DB7B9A">
        <w:trPr>
          <w:trHeight w:val="20"/>
        </w:trPr>
        <w:tc>
          <w:tcPr>
            <w:tcW w:w="810" w:type="dxa"/>
            <w:noWrap/>
            <w:hideMark/>
          </w:tcPr>
          <w:p w14:paraId="0F0F6880" w14:textId="77777777" w:rsidR="00610751" w:rsidRPr="00610751" w:rsidRDefault="00610751" w:rsidP="00610751">
            <w:pPr>
              <w:widowControl/>
              <w:overflowPunct/>
              <w:autoSpaceDE/>
              <w:autoSpaceDN/>
              <w:adjustRightInd/>
              <w:rPr>
                <w:kern w:val="0"/>
              </w:rPr>
            </w:pPr>
            <w:r w:rsidRPr="00610751">
              <w:rPr>
                <w:kern w:val="0"/>
              </w:rPr>
              <w:t>2010</w:t>
            </w:r>
          </w:p>
        </w:tc>
        <w:tc>
          <w:tcPr>
            <w:tcW w:w="2340" w:type="dxa"/>
            <w:noWrap/>
            <w:hideMark/>
          </w:tcPr>
          <w:p w14:paraId="5D28C267" w14:textId="77777777" w:rsidR="00610751" w:rsidRPr="00610751" w:rsidRDefault="00610751" w:rsidP="00610751">
            <w:pPr>
              <w:widowControl/>
              <w:overflowPunct/>
              <w:autoSpaceDE/>
              <w:autoSpaceDN/>
              <w:adjustRightInd/>
              <w:rPr>
                <w:kern w:val="0"/>
              </w:rPr>
            </w:pPr>
            <w:r w:rsidRPr="00610751">
              <w:rPr>
                <w:kern w:val="0"/>
              </w:rPr>
              <w:t>Scott et al.</w:t>
            </w:r>
          </w:p>
        </w:tc>
        <w:tc>
          <w:tcPr>
            <w:tcW w:w="9090" w:type="dxa"/>
            <w:noWrap/>
            <w:hideMark/>
          </w:tcPr>
          <w:p w14:paraId="7FB6C354" w14:textId="77777777" w:rsidR="00610751" w:rsidRPr="00610751" w:rsidRDefault="00610751" w:rsidP="00610751">
            <w:pPr>
              <w:widowControl/>
              <w:overflowPunct/>
              <w:autoSpaceDE/>
              <w:autoSpaceDN/>
              <w:adjustRightInd/>
              <w:rPr>
                <w:kern w:val="0"/>
              </w:rPr>
            </w:pPr>
            <w:r w:rsidRPr="00610751">
              <w:rPr>
                <w:kern w:val="0"/>
              </w:rPr>
              <w:t>Developing subsidiary contribution to the MNC—Subsidiary entrepreneurship and strategy creativity</w:t>
            </w:r>
          </w:p>
        </w:tc>
      </w:tr>
      <w:tr w:rsidR="00610751" w:rsidRPr="00610751" w14:paraId="158783F6" w14:textId="77777777" w:rsidTr="00DB7B9A">
        <w:trPr>
          <w:trHeight w:val="20"/>
        </w:trPr>
        <w:tc>
          <w:tcPr>
            <w:tcW w:w="810" w:type="dxa"/>
            <w:noWrap/>
            <w:hideMark/>
          </w:tcPr>
          <w:p w14:paraId="70FFFFA8" w14:textId="77777777" w:rsidR="00610751" w:rsidRPr="00610751" w:rsidRDefault="00610751" w:rsidP="00610751">
            <w:pPr>
              <w:widowControl/>
              <w:overflowPunct/>
              <w:autoSpaceDE/>
              <w:autoSpaceDN/>
              <w:adjustRightInd/>
              <w:rPr>
                <w:kern w:val="0"/>
              </w:rPr>
            </w:pPr>
            <w:r w:rsidRPr="00610751">
              <w:rPr>
                <w:kern w:val="0"/>
              </w:rPr>
              <w:t>2010</w:t>
            </w:r>
          </w:p>
        </w:tc>
        <w:tc>
          <w:tcPr>
            <w:tcW w:w="2340" w:type="dxa"/>
            <w:noWrap/>
            <w:hideMark/>
          </w:tcPr>
          <w:p w14:paraId="27FFCBF7" w14:textId="77777777" w:rsidR="00610751" w:rsidRPr="00610751" w:rsidRDefault="00610751" w:rsidP="00610751">
            <w:pPr>
              <w:widowControl/>
              <w:overflowPunct/>
              <w:autoSpaceDE/>
              <w:autoSpaceDN/>
              <w:adjustRightInd/>
              <w:rPr>
                <w:kern w:val="0"/>
              </w:rPr>
            </w:pPr>
            <w:r w:rsidRPr="00610751">
              <w:rPr>
                <w:kern w:val="0"/>
              </w:rPr>
              <w:t>Tran et al.</w:t>
            </w:r>
          </w:p>
        </w:tc>
        <w:tc>
          <w:tcPr>
            <w:tcW w:w="9090" w:type="dxa"/>
            <w:noWrap/>
            <w:hideMark/>
          </w:tcPr>
          <w:p w14:paraId="1B4086FE" w14:textId="77777777" w:rsidR="00610751" w:rsidRPr="00610751" w:rsidRDefault="00610751" w:rsidP="00610751">
            <w:pPr>
              <w:widowControl/>
              <w:overflowPunct/>
              <w:autoSpaceDE/>
              <w:autoSpaceDN/>
              <w:adjustRightInd/>
              <w:rPr>
                <w:kern w:val="0"/>
              </w:rPr>
            </w:pPr>
            <w:r w:rsidRPr="00610751">
              <w:rPr>
                <w:kern w:val="0"/>
              </w:rPr>
              <w:t>The Effect of Quantity, Quality and Timing of Headquarters-initiated Knowledge Flows on Subsidiary Performance</w:t>
            </w:r>
          </w:p>
        </w:tc>
      </w:tr>
      <w:tr w:rsidR="00610751" w:rsidRPr="00610751" w14:paraId="1558DB1E" w14:textId="77777777" w:rsidTr="00DB7B9A">
        <w:trPr>
          <w:trHeight w:val="20"/>
        </w:trPr>
        <w:tc>
          <w:tcPr>
            <w:tcW w:w="810" w:type="dxa"/>
            <w:noWrap/>
            <w:hideMark/>
          </w:tcPr>
          <w:p w14:paraId="0ADE2500" w14:textId="77777777" w:rsidR="00610751" w:rsidRPr="00610751" w:rsidRDefault="00610751" w:rsidP="00610751">
            <w:pPr>
              <w:widowControl/>
              <w:overflowPunct/>
              <w:autoSpaceDE/>
              <w:autoSpaceDN/>
              <w:adjustRightInd/>
              <w:rPr>
                <w:kern w:val="0"/>
              </w:rPr>
            </w:pPr>
            <w:r w:rsidRPr="00610751">
              <w:rPr>
                <w:kern w:val="0"/>
              </w:rPr>
              <w:t>2011</w:t>
            </w:r>
          </w:p>
        </w:tc>
        <w:tc>
          <w:tcPr>
            <w:tcW w:w="2340" w:type="dxa"/>
            <w:noWrap/>
            <w:hideMark/>
          </w:tcPr>
          <w:p w14:paraId="073E200F" w14:textId="77777777" w:rsidR="00610751" w:rsidRPr="00610751" w:rsidRDefault="00610751" w:rsidP="00610751">
            <w:pPr>
              <w:widowControl/>
              <w:overflowPunct/>
              <w:autoSpaceDE/>
              <w:autoSpaceDN/>
              <w:adjustRightInd/>
              <w:rPr>
                <w:kern w:val="0"/>
              </w:rPr>
            </w:pPr>
            <w:r w:rsidRPr="00610751">
              <w:rPr>
                <w:kern w:val="0"/>
              </w:rPr>
              <w:t>Ambos et al.</w:t>
            </w:r>
          </w:p>
        </w:tc>
        <w:tc>
          <w:tcPr>
            <w:tcW w:w="9090" w:type="dxa"/>
            <w:noWrap/>
            <w:hideMark/>
          </w:tcPr>
          <w:p w14:paraId="7560959F" w14:textId="77777777" w:rsidR="00610751" w:rsidRPr="00610751" w:rsidRDefault="00610751" w:rsidP="00610751">
            <w:pPr>
              <w:widowControl/>
              <w:overflowPunct/>
              <w:autoSpaceDE/>
              <w:autoSpaceDN/>
              <w:adjustRightInd/>
              <w:rPr>
                <w:kern w:val="0"/>
              </w:rPr>
            </w:pPr>
            <w:r w:rsidRPr="00610751">
              <w:rPr>
                <w:kern w:val="0"/>
              </w:rPr>
              <w:t>A Dynamic Perspective on Subsidiary Autonomy</w:t>
            </w:r>
          </w:p>
        </w:tc>
      </w:tr>
      <w:tr w:rsidR="00610751" w:rsidRPr="00610751" w14:paraId="32BA0F74" w14:textId="77777777" w:rsidTr="00DB7B9A">
        <w:trPr>
          <w:trHeight w:val="20"/>
        </w:trPr>
        <w:tc>
          <w:tcPr>
            <w:tcW w:w="810" w:type="dxa"/>
            <w:noWrap/>
            <w:hideMark/>
          </w:tcPr>
          <w:p w14:paraId="0CDAC62C" w14:textId="77777777" w:rsidR="00610751" w:rsidRPr="00610751" w:rsidRDefault="00610751" w:rsidP="00610751">
            <w:pPr>
              <w:widowControl/>
              <w:overflowPunct/>
              <w:autoSpaceDE/>
              <w:autoSpaceDN/>
              <w:adjustRightInd/>
              <w:rPr>
                <w:kern w:val="0"/>
              </w:rPr>
            </w:pPr>
            <w:r w:rsidRPr="00610751">
              <w:rPr>
                <w:kern w:val="0"/>
              </w:rPr>
              <w:t>2011</w:t>
            </w:r>
          </w:p>
        </w:tc>
        <w:tc>
          <w:tcPr>
            <w:tcW w:w="2340" w:type="dxa"/>
            <w:noWrap/>
            <w:hideMark/>
          </w:tcPr>
          <w:p w14:paraId="3FF14945" w14:textId="77777777" w:rsidR="00610751" w:rsidRPr="00610751" w:rsidRDefault="00610751" w:rsidP="00610751">
            <w:pPr>
              <w:widowControl/>
              <w:overflowPunct/>
              <w:autoSpaceDE/>
              <w:autoSpaceDN/>
              <w:adjustRightInd/>
              <w:rPr>
                <w:kern w:val="0"/>
              </w:rPr>
            </w:pPr>
            <w:r w:rsidRPr="00610751">
              <w:rPr>
                <w:kern w:val="0"/>
              </w:rPr>
              <w:t>Ecker et al.</w:t>
            </w:r>
          </w:p>
        </w:tc>
        <w:tc>
          <w:tcPr>
            <w:tcW w:w="9090" w:type="dxa"/>
            <w:noWrap/>
            <w:hideMark/>
          </w:tcPr>
          <w:p w14:paraId="2694BA41" w14:textId="77777777" w:rsidR="00610751" w:rsidRPr="00610751" w:rsidRDefault="00610751" w:rsidP="00610751">
            <w:pPr>
              <w:widowControl/>
              <w:overflowPunct/>
              <w:autoSpaceDE/>
              <w:autoSpaceDN/>
              <w:adjustRightInd/>
              <w:rPr>
                <w:kern w:val="0"/>
              </w:rPr>
            </w:pPr>
            <w:r w:rsidRPr="00610751">
              <w:rPr>
                <w:kern w:val="0"/>
              </w:rPr>
              <w:t>Management Control and the Decentralization of R&amp;D</w:t>
            </w:r>
          </w:p>
        </w:tc>
      </w:tr>
      <w:tr w:rsidR="00610751" w:rsidRPr="00610751" w14:paraId="3D79E55C" w14:textId="77777777" w:rsidTr="00DB7B9A">
        <w:trPr>
          <w:trHeight w:val="20"/>
        </w:trPr>
        <w:tc>
          <w:tcPr>
            <w:tcW w:w="810" w:type="dxa"/>
            <w:noWrap/>
            <w:hideMark/>
          </w:tcPr>
          <w:p w14:paraId="26EFA5B1" w14:textId="77777777" w:rsidR="00610751" w:rsidRPr="00610751" w:rsidRDefault="00610751" w:rsidP="00610751">
            <w:pPr>
              <w:widowControl/>
              <w:overflowPunct/>
              <w:autoSpaceDE/>
              <w:autoSpaceDN/>
              <w:adjustRightInd/>
              <w:rPr>
                <w:kern w:val="0"/>
              </w:rPr>
            </w:pPr>
            <w:r w:rsidRPr="00610751">
              <w:rPr>
                <w:kern w:val="0"/>
              </w:rPr>
              <w:t>2011</w:t>
            </w:r>
          </w:p>
        </w:tc>
        <w:tc>
          <w:tcPr>
            <w:tcW w:w="2340" w:type="dxa"/>
            <w:noWrap/>
            <w:hideMark/>
          </w:tcPr>
          <w:p w14:paraId="52B434E4" w14:textId="77777777" w:rsidR="00610751" w:rsidRPr="00610751" w:rsidRDefault="00610751" w:rsidP="00610751">
            <w:pPr>
              <w:widowControl/>
              <w:overflowPunct/>
              <w:autoSpaceDE/>
              <w:autoSpaceDN/>
              <w:adjustRightInd/>
              <w:rPr>
                <w:kern w:val="0"/>
              </w:rPr>
            </w:pPr>
            <w:r w:rsidRPr="00610751">
              <w:rPr>
                <w:kern w:val="0"/>
              </w:rPr>
              <w:t>Keupp et al.</w:t>
            </w:r>
          </w:p>
        </w:tc>
        <w:tc>
          <w:tcPr>
            <w:tcW w:w="9090" w:type="dxa"/>
            <w:noWrap/>
            <w:hideMark/>
          </w:tcPr>
          <w:p w14:paraId="665DF481" w14:textId="77777777" w:rsidR="00610751" w:rsidRPr="00610751" w:rsidRDefault="00610751" w:rsidP="00610751">
            <w:pPr>
              <w:widowControl/>
              <w:overflowPunct/>
              <w:autoSpaceDE/>
              <w:autoSpaceDN/>
              <w:adjustRightInd/>
              <w:rPr>
                <w:kern w:val="0"/>
              </w:rPr>
            </w:pPr>
            <w:r w:rsidRPr="00610751">
              <w:rPr>
                <w:kern w:val="0"/>
              </w:rPr>
              <w:t>Achieving Subsidiary Integration in International Innovation by Managerial Tools</w:t>
            </w:r>
          </w:p>
        </w:tc>
      </w:tr>
      <w:tr w:rsidR="00610751" w:rsidRPr="00610751" w14:paraId="57813A88" w14:textId="77777777" w:rsidTr="00DB7B9A">
        <w:trPr>
          <w:trHeight w:val="20"/>
        </w:trPr>
        <w:tc>
          <w:tcPr>
            <w:tcW w:w="810" w:type="dxa"/>
            <w:noWrap/>
            <w:hideMark/>
          </w:tcPr>
          <w:p w14:paraId="0860D4DD" w14:textId="77777777" w:rsidR="00610751" w:rsidRPr="00610751" w:rsidRDefault="00610751" w:rsidP="00610751">
            <w:pPr>
              <w:widowControl/>
              <w:overflowPunct/>
              <w:autoSpaceDE/>
              <w:autoSpaceDN/>
              <w:adjustRightInd/>
              <w:rPr>
                <w:kern w:val="0"/>
              </w:rPr>
            </w:pPr>
            <w:r w:rsidRPr="00610751">
              <w:rPr>
                <w:kern w:val="0"/>
              </w:rPr>
              <w:t>2011</w:t>
            </w:r>
          </w:p>
        </w:tc>
        <w:tc>
          <w:tcPr>
            <w:tcW w:w="2340" w:type="dxa"/>
            <w:noWrap/>
            <w:hideMark/>
          </w:tcPr>
          <w:p w14:paraId="05D2DEFB" w14:textId="77777777" w:rsidR="00610751" w:rsidRPr="00610751" w:rsidRDefault="00610751" w:rsidP="00610751">
            <w:pPr>
              <w:widowControl/>
              <w:overflowPunct/>
              <w:autoSpaceDE/>
              <w:autoSpaceDN/>
              <w:adjustRightInd/>
              <w:rPr>
                <w:kern w:val="0"/>
              </w:rPr>
            </w:pPr>
            <w:r w:rsidRPr="00610751">
              <w:rPr>
                <w:kern w:val="0"/>
              </w:rPr>
              <w:t>Nell et al.</w:t>
            </w:r>
          </w:p>
        </w:tc>
        <w:tc>
          <w:tcPr>
            <w:tcW w:w="9090" w:type="dxa"/>
            <w:noWrap/>
            <w:hideMark/>
          </w:tcPr>
          <w:p w14:paraId="05C0FB9C" w14:textId="77777777" w:rsidR="00610751" w:rsidRPr="00610751" w:rsidRDefault="00610751" w:rsidP="00610751">
            <w:pPr>
              <w:widowControl/>
              <w:overflowPunct/>
              <w:autoSpaceDE/>
              <w:autoSpaceDN/>
              <w:adjustRightInd/>
              <w:rPr>
                <w:kern w:val="0"/>
              </w:rPr>
            </w:pPr>
            <w:r w:rsidRPr="00610751">
              <w:rPr>
                <w:kern w:val="0"/>
              </w:rPr>
              <w:t>The MNC as an externally embedded organization: An investigation of embeddedness overlap in local subsidiary networks</w:t>
            </w:r>
          </w:p>
        </w:tc>
      </w:tr>
      <w:tr w:rsidR="00610751" w:rsidRPr="00610751" w14:paraId="205FAB4A" w14:textId="77777777" w:rsidTr="00DB7B9A">
        <w:trPr>
          <w:trHeight w:val="20"/>
        </w:trPr>
        <w:tc>
          <w:tcPr>
            <w:tcW w:w="810" w:type="dxa"/>
            <w:noWrap/>
            <w:hideMark/>
          </w:tcPr>
          <w:p w14:paraId="13AF495A" w14:textId="77777777" w:rsidR="00610751" w:rsidRPr="00610751" w:rsidRDefault="00610751" w:rsidP="00610751">
            <w:pPr>
              <w:widowControl/>
              <w:overflowPunct/>
              <w:autoSpaceDE/>
              <w:autoSpaceDN/>
              <w:adjustRightInd/>
              <w:rPr>
                <w:kern w:val="0"/>
              </w:rPr>
            </w:pPr>
            <w:r w:rsidRPr="00610751">
              <w:rPr>
                <w:kern w:val="0"/>
              </w:rPr>
              <w:t>2011</w:t>
            </w:r>
          </w:p>
        </w:tc>
        <w:tc>
          <w:tcPr>
            <w:tcW w:w="2340" w:type="dxa"/>
            <w:noWrap/>
            <w:hideMark/>
          </w:tcPr>
          <w:p w14:paraId="469DC249" w14:textId="77777777" w:rsidR="00610751" w:rsidRPr="00610751" w:rsidRDefault="00610751" w:rsidP="00610751">
            <w:pPr>
              <w:widowControl/>
              <w:overflowPunct/>
              <w:autoSpaceDE/>
              <w:autoSpaceDN/>
              <w:adjustRightInd/>
              <w:rPr>
                <w:kern w:val="0"/>
              </w:rPr>
            </w:pPr>
            <w:r w:rsidRPr="00610751">
              <w:rPr>
                <w:kern w:val="0"/>
              </w:rPr>
              <w:t>Rabbiosi</w:t>
            </w:r>
          </w:p>
        </w:tc>
        <w:tc>
          <w:tcPr>
            <w:tcW w:w="9090" w:type="dxa"/>
            <w:noWrap/>
            <w:hideMark/>
          </w:tcPr>
          <w:p w14:paraId="2D333407" w14:textId="77777777" w:rsidR="00610751" w:rsidRPr="00610751" w:rsidRDefault="00610751" w:rsidP="00610751">
            <w:pPr>
              <w:widowControl/>
              <w:overflowPunct/>
              <w:autoSpaceDE/>
              <w:autoSpaceDN/>
              <w:adjustRightInd/>
              <w:rPr>
                <w:kern w:val="0"/>
              </w:rPr>
            </w:pPr>
            <w:r w:rsidRPr="00610751">
              <w:rPr>
                <w:kern w:val="0"/>
              </w:rPr>
              <w:t>Subsidiary roles and reverse knowledge transfer: An investigation of the effects of coordination mechanisms</w:t>
            </w:r>
          </w:p>
        </w:tc>
      </w:tr>
      <w:tr w:rsidR="00610751" w:rsidRPr="00610751" w14:paraId="0778D494" w14:textId="77777777" w:rsidTr="00DB7B9A">
        <w:trPr>
          <w:trHeight w:val="20"/>
        </w:trPr>
        <w:tc>
          <w:tcPr>
            <w:tcW w:w="810" w:type="dxa"/>
            <w:noWrap/>
            <w:hideMark/>
          </w:tcPr>
          <w:p w14:paraId="113AF8F2" w14:textId="77777777" w:rsidR="00610751" w:rsidRPr="00610751" w:rsidRDefault="00610751" w:rsidP="00610751">
            <w:pPr>
              <w:widowControl/>
              <w:overflowPunct/>
              <w:autoSpaceDE/>
              <w:autoSpaceDN/>
              <w:adjustRightInd/>
              <w:rPr>
                <w:kern w:val="0"/>
              </w:rPr>
            </w:pPr>
            <w:r w:rsidRPr="00610751">
              <w:rPr>
                <w:kern w:val="0"/>
              </w:rPr>
              <w:t>2011</w:t>
            </w:r>
          </w:p>
        </w:tc>
        <w:tc>
          <w:tcPr>
            <w:tcW w:w="2340" w:type="dxa"/>
            <w:noWrap/>
            <w:hideMark/>
          </w:tcPr>
          <w:p w14:paraId="1E6D2532" w14:textId="77777777" w:rsidR="00610751" w:rsidRPr="00610751" w:rsidRDefault="00610751" w:rsidP="00610751">
            <w:pPr>
              <w:widowControl/>
              <w:overflowPunct/>
              <w:autoSpaceDE/>
              <w:autoSpaceDN/>
              <w:adjustRightInd/>
              <w:rPr>
                <w:kern w:val="0"/>
              </w:rPr>
            </w:pPr>
            <w:r w:rsidRPr="00610751">
              <w:rPr>
                <w:kern w:val="0"/>
              </w:rPr>
              <w:t>Schüler-Zhou &amp; Schüller</w:t>
            </w:r>
          </w:p>
        </w:tc>
        <w:tc>
          <w:tcPr>
            <w:tcW w:w="9090" w:type="dxa"/>
            <w:noWrap/>
            <w:hideMark/>
          </w:tcPr>
          <w:p w14:paraId="5C38BB5D" w14:textId="77777777" w:rsidR="00610751" w:rsidRPr="00610751" w:rsidRDefault="00610751" w:rsidP="00610751">
            <w:pPr>
              <w:widowControl/>
              <w:overflowPunct/>
              <w:autoSpaceDE/>
              <w:autoSpaceDN/>
              <w:adjustRightInd/>
              <w:rPr>
                <w:kern w:val="0"/>
              </w:rPr>
            </w:pPr>
            <w:r w:rsidRPr="00610751">
              <w:rPr>
                <w:kern w:val="0"/>
              </w:rPr>
              <w:t>An Empirical Study of Chinese Subsidiaries' Decision-Making Autonomy in Germany</w:t>
            </w:r>
          </w:p>
        </w:tc>
      </w:tr>
      <w:tr w:rsidR="00610751" w:rsidRPr="00610751" w14:paraId="588535F5" w14:textId="77777777" w:rsidTr="00DB7B9A">
        <w:trPr>
          <w:trHeight w:val="20"/>
        </w:trPr>
        <w:tc>
          <w:tcPr>
            <w:tcW w:w="810" w:type="dxa"/>
            <w:noWrap/>
            <w:hideMark/>
          </w:tcPr>
          <w:p w14:paraId="417FD38F" w14:textId="77777777" w:rsidR="00610751" w:rsidRPr="00610751" w:rsidRDefault="00610751" w:rsidP="00610751">
            <w:pPr>
              <w:widowControl/>
              <w:overflowPunct/>
              <w:autoSpaceDE/>
              <w:autoSpaceDN/>
              <w:adjustRightInd/>
              <w:rPr>
                <w:kern w:val="0"/>
              </w:rPr>
            </w:pPr>
            <w:r w:rsidRPr="00610751">
              <w:rPr>
                <w:kern w:val="0"/>
              </w:rPr>
              <w:t>2011</w:t>
            </w:r>
          </w:p>
        </w:tc>
        <w:tc>
          <w:tcPr>
            <w:tcW w:w="2340" w:type="dxa"/>
            <w:noWrap/>
            <w:hideMark/>
          </w:tcPr>
          <w:p w14:paraId="5FE3EBB7" w14:textId="77777777" w:rsidR="00610751" w:rsidRPr="00610751" w:rsidRDefault="00610751" w:rsidP="00610751">
            <w:pPr>
              <w:widowControl/>
              <w:overflowPunct/>
              <w:autoSpaceDE/>
              <w:autoSpaceDN/>
              <w:adjustRightInd/>
              <w:rPr>
                <w:kern w:val="0"/>
              </w:rPr>
            </w:pPr>
            <w:r w:rsidRPr="00610751">
              <w:rPr>
                <w:kern w:val="0"/>
              </w:rPr>
              <w:t>Tseng</w:t>
            </w:r>
          </w:p>
        </w:tc>
        <w:tc>
          <w:tcPr>
            <w:tcW w:w="9090" w:type="dxa"/>
            <w:noWrap/>
            <w:hideMark/>
          </w:tcPr>
          <w:p w14:paraId="45D6B25B" w14:textId="77777777" w:rsidR="00610751" w:rsidRPr="00610751" w:rsidRDefault="00610751" w:rsidP="00610751">
            <w:pPr>
              <w:widowControl/>
              <w:overflowPunct/>
              <w:autoSpaceDE/>
              <w:autoSpaceDN/>
              <w:adjustRightInd/>
              <w:rPr>
                <w:kern w:val="0"/>
              </w:rPr>
            </w:pPr>
            <w:r w:rsidRPr="00610751">
              <w:rPr>
                <w:kern w:val="0"/>
              </w:rPr>
              <w:t>Subsidiaries' local linkage characteristics and R&amp;D assignments in a small developing economy</w:t>
            </w:r>
          </w:p>
        </w:tc>
      </w:tr>
      <w:tr w:rsidR="00610751" w:rsidRPr="00610751" w14:paraId="0BB8B3A5" w14:textId="77777777" w:rsidTr="00DB7B9A">
        <w:trPr>
          <w:trHeight w:val="20"/>
        </w:trPr>
        <w:tc>
          <w:tcPr>
            <w:tcW w:w="810" w:type="dxa"/>
            <w:noWrap/>
            <w:hideMark/>
          </w:tcPr>
          <w:p w14:paraId="0973DD3C" w14:textId="77777777" w:rsidR="00610751" w:rsidRPr="00610751" w:rsidRDefault="00610751" w:rsidP="00610751">
            <w:pPr>
              <w:widowControl/>
              <w:overflowPunct/>
              <w:autoSpaceDE/>
              <w:autoSpaceDN/>
              <w:adjustRightInd/>
              <w:rPr>
                <w:kern w:val="0"/>
              </w:rPr>
            </w:pPr>
            <w:r w:rsidRPr="00610751">
              <w:rPr>
                <w:kern w:val="0"/>
              </w:rPr>
              <w:t>2012</w:t>
            </w:r>
          </w:p>
        </w:tc>
        <w:tc>
          <w:tcPr>
            <w:tcW w:w="2340" w:type="dxa"/>
            <w:noWrap/>
            <w:hideMark/>
          </w:tcPr>
          <w:p w14:paraId="3CFB097C" w14:textId="77777777" w:rsidR="00610751" w:rsidRPr="00610751" w:rsidRDefault="00610751" w:rsidP="00610751">
            <w:pPr>
              <w:widowControl/>
              <w:overflowPunct/>
              <w:autoSpaceDE/>
              <w:autoSpaceDN/>
              <w:adjustRightInd/>
              <w:rPr>
                <w:kern w:val="0"/>
              </w:rPr>
            </w:pPr>
            <w:r w:rsidRPr="00610751">
              <w:rPr>
                <w:kern w:val="0"/>
              </w:rPr>
              <w:t>Cheng &amp; Yu</w:t>
            </w:r>
          </w:p>
        </w:tc>
        <w:tc>
          <w:tcPr>
            <w:tcW w:w="9090" w:type="dxa"/>
            <w:noWrap/>
            <w:hideMark/>
          </w:tcPr>
          <w:p w14:paraId="05A7A6DA" w14:textId="77777777" w:rsidR="00610751" w:rsidRPr="00610751" w:rsidRDefault="00610751" w:rsidP="00610751">
            <w:pPr>
              <w:widowControl/>
              <w:overflowPunct/>
              <w:autoSpaceDE/>
              <w:autoSpaceDN/>
              <w:adjustRightInd/>
              <w:rPr>
                <w:kern w:val="0"/>
              </w:rPr>
            </w:pPr>
            <w:r w:rsidRPr="00610751">
              <w:rPr>
                <w:kern w:val="0"/>
              </w:rPr>
              <w:t>Adoption of Practices by Subsidiaries and Institutional Interaction within Internationalised Small- and Medium-Sized Enterprises</w:t>
            </w:r>
          </w:p>
        </w:tc>
      </w:tr>
      <w:tr w:rsidR="00610751" w:rsidRPr="00610751" w14:paraId="7380B86F" w14:textId="77777777" w:rsidTr="00DB7B9A">
        <w:trPr>
          <w:trHeight w:val="20"/>
        </w:trPr>
        <w:tc>
          <w:tcPr>
            <w:tcW w:w="810" w:type="dxa"/>
            <w:noWrap/>
            <w:hideMark/>
          </w:tcPr>
          <w:p w14:paraId="47D06821" w14:textId="77777777" w:rsidR="00610751" w:rsidRPr="00610751" w:rsidRDefault="00610751" w:rsidP="00610751">
            <w:pPr>
              <w:widowControl/>
              <w:overflowPunct/>
              <w:autoSpaceDE/>
              <w:autoSpaceDN/>
              <w:adjustRightInd/>
              <w:rPr>
                <w:kern w:val="0"/>
              </w:rPr>
            </w:pPr>
            <w:r w:rsidRPr="00610751">
              <w:rPr>
                <w:kern w:val="0"/>
              </w:rPr>
              <w:t>2012</w:t>
            </w:r>
          </w:p>
        </w:tc>
        <w:tc>
          <w:tcPr>
            <w:tcW w:w="2340" w:type="dxa"/>
            <w:noWrap/>
            <w:hideMark/>
          </w:tcPr>
          <w:p w14:paraId="213793C1" w14:textId="77777777" w:rsidR="00610751" w:rsidRPr="00610751" w:rsidRDefault="00610751" w:rsidP="00610751">
            <w:pPr>
              <w:widowControl/>
              <w:overflowPunct/>
              <w:autoSpaceDE/>
              <w:autoSpaceDN/>
              <w:adjustRightInd/>
              <w:rPr>
                <w:kern w:val="0"/>
              </w:rPr>
            </w:pPr>
            <w:r w:rsidRPr="00610751">
              <w:rPr>
                <w:kern w:val="0"/>
              </w:rPr>
              <w:t>Foley et al.</w:t>
            </w:r>
          </w:p>
        </w:tc>
        <w:tc>
          <w:tcPr>
            <w:tcW w:w="9090" w:type="dxa"/>
            <w:noWrap/>
            <w:hideMark/>
          </w:tcPr>
          <w:p w14:paraId="6C2C1DD0" w14:textId="77777777" w:rsidR="00610751" w:rsidRPr="00610751" w:rsidRDefault="00610751" w:rsidP="00610751">
            <w:pPr>
              <w:widowControl/>
              <w:overflowPunct/>
              <w:autoSpaceDE/>
              <w:autoSpaceDN/>
              <w:adjustRightInd/>
              <w:rPr>
                <w:kern w:val="0"/>
              </w:rPr>
            </w:pPr>
            <w:r w:rsidRPr="00610751">
              <w:rPr>
                <w:kern w:val="0"/>
              </w:rPr>
              <w:t>The adoption of high performance work systems in foreign subsidiaries</w:t>
            </w:r>
          </w:p>
        </w:tc>
      </w:tr>
      <w:tr w:rsidR="00610751" w:rsidRPr="00610751" w14:paraId="42B261AF" w14:textId="77777777" w:rsidTr="00DB7B9A">
        <w:trPr>
          <w:trHeight w:val="20"/>
        </w:trPr>
        <w:tc>
          <w:tcPr>
            <w:tcW w:w="810" w:type="dxa"/>
            <w:noWrap/>
            <w:hideMark/>
          </w:tcPr>
          <w:p w14:paraId="2C306E8A" w14:textId="77777777" w:rsidR="00610751" w:rsidRPr="00610751" w:rsidRDefault="00610751" w:rsidP="00610751">
            <w:pPr>
              <w:widowControl/>
              <w:overflowPunct/>
              <w:autoSpaceDE/>
              <w:autoSpaceDN/>
              <w:adjustRightInd/>
              <w:rPr>
                <w:kern w:val="0"/>
              </w:rPr>
            </w:pPr>
            <w:r w:rsidRPr="00610751">
              <w:rPr>
                <w:kern w:val="0"/>
              </w:rPr>
              <w:t>2012</w:t>
            </w:r>
          </w:p>
        </w:tc>
        <w:tc>
          <w:tcPr>
            <w:tcW w:w="2340" w:type="dxa"/>
            <w:noWrap/>
            <w:hideMark/>
          </w:tcPr>
          <w:p w14:paraId="590D737B" w14:textId="77777777" w:rsidR="00610751" w:rsidRPr="00610751" w:rsidRDefault="00610751" w:rsidP="00610751">
            <w:pPr>
              <w:widowControl/>
              <w:overflowPunct/>
              <w:autoSpaceDE/>
              <w:autoSpaceDN/>
              <w:adjustRightInd/>
              <w:rPr>
                <w:kern w:val="0"/>
              </w:rPr>
            </w:pPr>
            <w:r w:rsidRPr="00610751">
              <w:rPr>
                <w:kern w:val="0"/>
              </w:rPr>
              <w:t>Mahlendorf et al.</w:t>
            </w:r>
          </w:p>
        </w:tc>
        <w:tc>
          <w:tcPr>
            <w:tcW w:w="9090" w:type="dxa"/>
            <w:noWrap/>
            <w:hideMark/>
          </w:tcPr>
          <w:p w14:paraId="74141D3B" w14:textId="77777777" w:rsidR="00610751" w:rsidRPr="00610751" w:rsidRDefault="00610751" w:rsidP="00610751">
            <w:pPr>
              <w:widowControl/>
              <w:overflowPunct/>
              <w:autoSpaceDE/>
              <w:autoSpaceDN/>
              <w:adjustRightInd/>
              <w:rPr>
                <w:kern w:val="0"/>
              </w:rPr>
            </w:pPr>
            <w:r w:rsidRPr="00610751">
              <w:rPr>
                <w:kern w:val="0"/>
              </w:rPr>
              <w:t>Influencing foreign subsidiary decisions through headquarter performance measurement systems</w:t>
            </w:r>
          </w:p>
        </w:tc>
      </w:tr>
      <w:tr w:rsidR="00610751" w:rsidRPr="00610751" w14:paraId="66CEE024" w14:textId="77777777" w:rsidTr="00DB7B9A">
        <w:trPr>
          <w:trHeight w:val="20"/>
        </w:trPr>
        <w:tc>
          <w:tcPr>
            <w:tcW w:w="810" w:type="dxa"/>
            <w:noWrap/>
            <w:hideMark/>
          </w:tcPr>
          <w:p w14:paraId="505A5D26" w14:textId="77777777" w:rsidR="00610751" w:rsidRPr="00610751" w:rsidRDefault="00610751" w:rsidP="00610751">
            <w:pPr>
              <w:widowControl/>
              <w:overflowPunct/>
              <w:autoSpaceDE/>
              <w:autoSpaceDN/>
              <w:adjustRightInd/>
              <w:rPr>
                <w:kern w:val="0"/>
              </w:rPr>
            </w:pPr>
            <w:r w:rsidRPr="00610751">
              <w:rPr>
                <w:kern w:val="0"/>
              </w:rPr>
              <w:t>2012</w:t>
            </w:r>
          </w:p>
        </w:tc>
        <w:tc>
          <w:tcPr>
            <w:tcW w:w="2340" w:type="dxa"/>
            <w:noWrap/>
            <w:hideMark/>
          </w:tcPr>
          <w:p w14:paraId="35B46E32" w14:textId="77777777" w:rsidR="00610751" w:rsidRPr="00610751" w:rsidRDefault="00610751" w:rsidP="00610751">
            <w:pPr>
              <w:widowControl/>
              <w:overflowPunct/>
              <w:autoSpaceDE/>
              <w:autoSpaceDN/>
              <w:adjustRightInd/>
              <w:rPr>
                <w:kern w:val="0"/>
              </w:rPr>
            </w:pPr>
            <w:r w:rsidRPr="00610751">
              <w:rPr>
                <w:kern w:val="0"/>
              </w:rPr>
              <w:t>Ngo et al.</w:t>
            </w:r>
          </w:p>
        </w:tc>
        <w:tc>
          <w:tcPr>
            <w:tcW w:w="9090" w:type="dxa"/>
            <w:noWrap/>
            <w:hideMark/>
          </w:tcPr>
          <w:p w14:paraId="65F44383" w14:textId="77777777" w:rsidR="00610751" w:rsidRPr="00610751" w:rsidRDefault="00610751" w:rsidP="00610751">
            <w:pPr>
              <w:widowControl/>
              <w:overflowPunct/>
              <w:autoSpaceDE/>
              <w:autoSpaceDN/>
              <w:adjustRightInd/>
              <w:rPr>
                <w:kern w:val="0"/>
              </w:rPr>
            </w:pPr>
            <w:r w:rsidRPr="00610751">
              <w:rPr>
                <w:kern w:val="0"/>
              </w:rPr>
              <w:t>Human Resource Flexibility in Foreign Subsidiaries: An Empirical Investigation in Hong Kong</w:t>
            </w:r>
          </w:p>
        </w:tc>
      </w:tr>
      <w:tr w:rsidR="00610751" w:rsidRPr="00610751" w14:paraId="57925107" w14:textId="77777777" w:rsidTr="00DB7B9A">
        <w:trPr>
          <w:trHeight w:val="20"/>
        </w:trPr>
        <w:tc>
          <w:tcPr>
            <w:tcW w:w="810" w:type="dxa"/>
            <w:noWrap/>
            <w:hideMark/>
          </w:tcPr>
          <w:p w14:paraId="29799FF8" w14:textId="77777777" w:rsidR="00610751" w:rsidRPr="00610751" w:rsidRDefault="00610751" w:rsidP="00610751">
            <w:pPr>
              <w:widowControl/>
              <w:overflowPunct/>
              <w:autoSpaceDE/>
              <w:autoSpaceDN/>
              <w:adjustRightInd/>
              <w:rPr>
                <w:kern w:val="0"/>
              </w:rPr>
            </w:pPr>
            <w:r w:rsidRPr="00610751">
              <w:rPr>
                <w:kern w:val="0"/>
              </w:rPr>
              <w:t>2012</w:t>
            </w:r>
          </w:p>
        </w:tc>
        <w:tc>
          <w:tcPr>
            <w:tcW w:w="2340" w:type="dxa"/>
            <w:noWrap/>
            <w:hideMark/>
          </w:tcPr>
          <w:p w14:paraId="39FAAD3C" w14:textId="77777777" w:rsidR="00610751" w:rsidRPr="00610751" w:rsidRDefault="00610751" w:rsidP="00610751">
            <w:pPr>
              <w:widowControl/>
              <w:overflowPunct/>
              <w:autoSpaceDE/>
              <w:autoSpaceDN/>
              <w:adjustRightInd/>
              <w:rPr>
                <w:kern w:val="0"/>
              </w:rPr>
            </w:pPr>
            <w:r w:rsidRPr="00610751">
              <w:rPr>
                <w:kern w:val="0"/>
              </w:rPr>
              <w:t>Raziq et al.</w:t>
            </w:r>
          </w:p>
        </w:tc>
        <w:tc>
          <w:tcPr>
            <w:tcW w:w="9090" w:type="dxa"/>
            <w:noWrap/>
            <w:hideMark/>
          </w:tcPr>
          <w:p w14:paraId="60D49CDA" w14:textId="77777777" w:rsidR="00610751" w:rsidRPr="00610751" w:rsidRDefault="00610751" w:rsidP="00610751">
            <w:pPr>
              <w:widowControl/>
              <w:overflowPunct/>
              <w:autoSpaceDE/>
              <w:autoSpaceDN/>
              <w:adjustRightInd/>
              <w:rPr>
                <w:kern w:val="0"/>
              </w:rPr>
            </w:pPr>
            <w:r w:rsidRPr="00610751">
              <w:rPr>
                <w:kern w:val="0"/>
              </w:rPr>
              <w:t>Subsidiary initiatives and subsidiary autonomy: Evidence from New Zealand and Brazil</w:t>
            </w:r>
          </w:p>
        </w:tc>
      </w:tr>
      <w:tr w:rsidR="00610751" w:rsidRPr="00610751" w14:paraId="7C50309A" w14:textId="77777777" w:rsidTr="00DB7B9A">
        <w:trPr>
          <w:trHeight w:val="20"/>
        </w:trPr>
        <w:tc>
          <w:tcPr>
            <w:tcW w:w="810" w:type="dxa"/>
            <w:noWrap/>
            <w:hideMark/>
          </w:tcPr>
          <w:p w14:paraId="233B60B9" w14:textId="77777777" w:rsidR="00610751" w:rsidRPr="00610751" w:rsidRDefault="00610751" w:rsidP="00610751">
            <w:pPr>
              <w:widowControl/>
              <w:overflowPunct/>
              <w:autoSpaceDE/>
              <w:autoSpaceDN/>
              <w:adjustRightInd/>
              <w:rPr>
                <w:kern w:val="0"/>
              </w:rPr>
            </w:pPr>
            <w:r w:rsidRPr="00610751">
              <w:rPr>
                <w:kern w:val="0"/>
              </w:rPr>
              <w:t>2013</w:t>
            </w:r>
          </w:p>
        </w:tc>
        <w:tc>
          <w:tcPr>
            <w:tcW w:w="2340" w:type="dxa"/>
            <w:noWrap/>
            <w:hideMark/>
          </w:tcPr>
          <w:p w14:paraId="37FA5141" w14:textId="77777777" w:rsidR="00610751" w:rsidRPr="00610751" w:rsidRDefault="00610751" w:rsidP="00610751">
            <w:pPr>
              <w:widowControl/>
              <w:overflowPunct/>
              <w:autoSpaceDE/>
              <w:autoSpaceDN/>
              <w:adjustRightInd/>
              <w:rPr>
                <w:kern w:val="0"/>
              </w:rPr>
            </w:pPr>
            <w:r w:rsidRPr="00610751">
              <w:rPr>
                <w:kern w:val="0"/>
              </w:rPr>
              <w:t>Chiao &amp; Ying</w:t>
            </w:r>
          </w:p>
        </w:tc>
        <w:tc>
          <w:tcPr>
            <w:tcW w:w="9090" w:type="dxa"/>
            <w:noWrap/>
            <w:hideMark/>
          </w:tcPr>
          <w:p w14:paraId="190BFF5C" w14:textId="77777777" w:rsidR="00610751" w:rsidRPr="00610751" w:rsidRDefault="00610751" w:rsidP="00610751">
            <w:pPr>
              <w:widowControl/>
              <w:overflowPunct/>
              <w:autoSpaceDE/>
              <w:autoSpaceDN/>
              <w:adjustRightInd/>
              <w:rPr>
                <w:kern w:val="0"/>
              </w:rPr>
            </w:pPr>
            <w:r w:rsidRPr="00610751">
              <w:rPr>
                <w:kern w:val="0"/>
              </w:rPr>
              <w:t>Network effect and subsidiary autonomy in multinational corporations: An investigation of Taiwanese subsidiaries</w:t>
            </w:r>
          </w:p>
        </w:tc>
      </w:tr>
      <w:tr w:rsidR="00610751" w:rsidRPr="00610751" w14:paraId="0EB5E8A7" w14:textId="77777777" w:rsidTr="00DB7B9A">
        <w:trPr>
          <w:trHeight w:val="20"/>
        </w:trPr>
        <w:tc>
          <w:tcPr>
            <w:tcW w:w="810" w:type="dxa"/>
            <w:noWrap/>
            <w:hideMark/>
          </w:tcPr>
          <w:p w14:paraId="2B658F63" w14:textId="77777777" w:rsidR="00610751" w:rsidRPr="00610751" w:rsidRDefault="00610751" w:rsidP="00610751">
            <w:pPr>
              <w:widowControl/>
              <w:overflowPunct/>
              <w:autoSpaceDE/>
              <w:autoSpaceDN/>
              <w:adjustRightInd/>
              <w:rPr>
                <w:kern w:val="0"/>
              </w:rPr>
            </w:pPr>
            <w:r w:rsidRPr="00610751">
              <w:rPr>
                <w:kern w:val="0"/>
              </w:rPr>
              <w:t>2013</w:t>
            </w:r>
          </w:p>
        </w:tc>
        <w:tc>
          <w:tcPr>
            <w:tcW w:w="2340" w:type="dxa"/>
            <w:noWrap/>
            <w:hideMark/>
          </w:tcPr>
          <w:p w14:paraId="723AA426" w14:textId="77777777" w:rsidR="00610751" w:rsidRPr="00610751" w:rsidRDefault="00610751" w:rsidP="00610751">
            <w:pPr>
              <w:widowControl/>
              <w:overflowPunct/>
              <w:autoSpaceDE/>
              <w:autoSpaceDN/>
              <w:adjustRightInd/>
              <w:rPr>
                <w:kern w:val="0"/>
              </w:rPr>
            </w:pPr>
            <w:r w:rsidRPr="00610751">
              <w:rPr>
                <w:kern w:val="0"/>
              </w:rPr>
              <w:t>Li et al.</w:t>
            </w:r>
          </w:p>
        </w:tc>
        <w:tc>
          <w:tcPr>
            <w:tcW w:w="9090" w:type="dxa"/>
            <w:noWrap/>
            <w:hideMark/>
          </w:tcPr>
          <w:p w14:paraId="4EB8482E" w14:textId="77777777" w:rsidR="00610751" w:rsidRPr="00610751" w:rsidRDefault="00610751" w:rsidP="00610751">
            <w:pPr>
              <w:widowControl/>
              <w:overflowPunct/>
              <w:autoSpaceDE/>
              <w:autoSpaceDN/>
              <w:adjustRightInd/>
              <w:rPr>
                <w:kern w:val="0"/>
              </w:rPr>
            </w:pPr>
            <w:r w:rsidRPr="00610751">
              <w:rPr>
                <w:kern w:val="0"/>
              </w:rPr>
              <w:t>Can locally-recruited R&amp;D personnel significantly contribute to multinational subsidiary innovation in an emerging economy?</w:t>
            </w:r>
          </w:p>
        </w:tc>
      </w:tr>
      <w:tr w:rsidR="00610751" w:rsidRPr="00610751" w14:paraId="5C52B104" w14:textId="77777777" w:rsidTr="00DB7B9A">
        <w:trPr>
          <w:trHeight w:val="20"/>
        </w:trPr>
        <w:tc>
          <w:tcPr>
            <w:tcW w:w="810" w:type="dxa"/>
            <w:noWrap/>
            <w:hideMark/>
          </w:tcPr>
          <w:p w14:paraId="73AAFD45" w14:textId="77777777" w:rsidR="00610751" w:rsidRPr="00610751" w:rsidRDefault="00610751" w:rsidP="00610751">
            <w:pPr>
              <w:widowControl/>
              <w:overflowPunct/>
              <w:autoSpaceDE/>
              <w:autoSpaceDN/>
              <w:adjustRightInd/>
              <w:rPr>
                <w:kern w:val="0"/>
              </w:rPr>
            </w:pPr>
            <w:r w:rsidRPr="00610751">
              <w:rPr>
                <w:kern w:val="0"/>
              </w:rPr>
              <w:t>2013</w:t>
            </w:r>
          </w:p>
        </w:tc>
        <w:tc>
          <w:tcPr>
            <w:tcW w:w="2340" w:type="dxa"/>
            <w:noWrap/>
            <w:hideMark/>
          </w:tcPr>
          <w:p w14:paraId="01C33F86" w14:textId="77777777" w:rsidR="00610751" w:rsidRPr="00610751" w:rsidRDefault="00610751" w:rsidP="00610751">
            <w:pPr>
              <w:widowControl/>
              <w:overflowPunct/>
              <w:autoSpaceDE/>
              <w:autoSpaceDN/>
              <w:adjustRightInd/>
              <w:rPr>
                <w:kern w:val="0"/>
              </w:rPr>
            </w:pPr>
            <w:r w:rsidRPr="00610751">
              <w:rPr>
                <w:kern w:val="0"/>
              </w:rPr>
              <w:t>Nell &amp; Ambos</w:t>
            </w:r>
          </w:p>
        </w:tc>
        <w:tc>
          <w:tcPr>
            <w:tcW w:w="9090" w:type="dxa"/>
            <w:noWrap/>
            <w:hideMark/>
          </w:tcPr>
          <w:p w14:paraId="3A68AA1B" w14:textId="77777777" w:rsidR="00610751" w:rsidRPr="00610751" w:rsidRDefault="00610751" w:rsidP="00610751">
            <w:pPr>
              <w:widowControl/>
              <w:overflowPunct/>
              <w:autoSpaceDE/>
              <w:autoSpaceDN/>
              <w:adjustRightInd/>
              <w:rPr>
                <w:kern w:val="0"/>
              </w:rPr>
            </w:pPr>
            <w:r w:rsidRPr="00610751">
              <w:rPr>
                <w:kern w:val="0"/>
              </w:rPr>
              <w:t>Parenting Advantage in the MNC: An Embeddedness Perspective on the Value Added by Headquarters</w:t>
            </w:r>
          </w:p>
        </w:tc>
      </w:tr>
      <w:tr w:rsidR="00610751" w:rsidRPr="00610751" w14:paraId="4A132E77" w14:textId="77777777" w:rsidTr="00DB7B9A">
        <w:trPr>
          <w:trHeight w:val="20"/>
        </w:trPr>
        <w:tc>
          <w:tcPr>
            <w:tcW w:w="810" w:type="dxa"/>
            <w:noWrap/>
            <w:hideMark/>
          </w:tcPr>
          <w:p w14:paraId="6B5DC3D0" w14:textId="77777777" w:rsidR="00610751" w:rsidRPr="00610751" w:rsidRDefault="00610751" w:rsidP="00610751">
            <w:pPr>
              <w:widowControl/>
              <w:overflowPunct/>
              <w:autoSpaceDE/>
              <w:autoSpaceDN/>
              <w:adjustRightInd/>
              <w:rPr>
                <w:kern w:val="0"/>
              </w:rPr>
            </w:pPr>
            <w:r w:rsidRPr="00610751">
              <w:rPr>
                <w:kern w:val="0"/>
              </w:rPr>
              <w:t>2013</w:t>
            </w:r>
          </w:p>
        </w:tc>
        <w:tc>
          <w:tcPr>
            <w:tcW w:w="2340" w:type="dxa"/>
            <w:noWrap/>
            <w:hideMark/>
          </w:tcPr>
          <w:p w14:paraId="072DE8D8" w14:textId="77777777" w:rsidR="00610751" w:rsidRPr="00610751" w:rsidRDefault="00610751" w:rsidP="00610751">
            <w:pPr>
              <w:widowControl/>
              <w:overflowPunct/>
              <w:autoSpaceDE/>
              <w:autoSpaceDN/>
              <w:adjustRightInd/>
              <w:rPr>
                <w:kern w:val="0"/>
              </w:rPr>
            </w:pPr>
            <w:r w:rsidRPr="00610751">
              <w:rPr>
                <w:kern w:val="0"/>
              </w:rPr>
              <w:t>Slangen</w:t>
            </w:r>
          </w:p>
        </w:tc>
        <w:tc>
          <w:tcPr>
            <w:tcW w:w="9090" w:type="dxa"/>
            <w:noWrap/>
            <w:hideMark/>
          </w:tcPr>
          <w:p w14:paraId="074A57B3" w14:textId="77777777" w:rsidR="00610751" w:rsidRPr="00610751" w:rsidRDefault="00610751" w:rsidP="00610751">
            <w:pPr>
              <w:widowControl/>
              <w:overflowPunct/>
              <w:autoSpaceDE/>
              <w:autoSpaceDN/>
              <w:adjustRightInd/>
              <w:rPr>
                <w:kern w:val="0"/>
              </w:rPr>
            </w:pPr>
            <w:r w:rsidRPr="00610751">
              <w:rPr>
                <w:kern w:val="0"/>
              </w:rPr>
              <w:t>Greenfield or Acquisition Entry? The Roles of Policy Uncertainty and MNE Legitimacy in Host Countries</w:t>
            </w:r>
          </w:p>
        </w:tc>
      </w:tr>
      <w:tr w:rsidR="00610751" w:rsidRPr="00610751" w14:paraId="4FBF1ADA" w14:textId="77777777" w:rsidTr="00DB7B9A">
        <w:trPr>
          <w:trHeight w:val="20"/>
        </w:trPr>
        <w:tc>
          <w:tcPr>
            <w:tcW w:w="810" w:type="dxa"/>
            <w:noWrap/>
            <w:hideMark/>
          </w:tcPr>
          <w:p w14:paraId="5CEA6D29" w14:textId="77777777" w:rsidR="00610751" w:rsidRPr="00610751" w:rsidRDefault="00610751" w:rsidP="00610751">
            <w:pPr>
              <w:widowControl/>
              <w:overflowPunct/>
              <w:autoSpaceDE/>
              <w:autoSpaceDN/>
              <w:adjustRightInd/>
              <w:rPr>
                <w:kern w:val="0"/>
              </w:rPr>
            </w:pPr>
            <w:r w:rsidRPr="00610751">
              <w:rPr>
                <w:kern w:val="0"/>
              </w:rPr>
              <w:t>2013</w:t>
            </w:r>
          </w:p>
        </w:tc>
        <w:tc>
          <w:tcPr>
            <w:tcW w:w="2340" w:type="dxa"/>
            <w:noWrap/>
            <w:hideMark/>
          </w:tcPr>
          <w:p w14:paraId="286AA73F" w14:textId="77777777" w:rsidR="00610751" w:rsidRPr="00610751" w:rsidRDefault="00610751" w:rsidP="00610751">
            <w:pPr>
              <w:widowControl/>
              <w:overflowPunct/>
              <w:autoSpaceDE/>
              <w:autoSpaceDN/>
              <w:adjustRightInd/>
              <w:rPr>
                <w:kern w:val="0"/>
              </w:rPr>
            </w:pPr>
            <w:r w:rsidRPr="00610751">
              <w:rPr>
                <w:kern w:val="0"/>
              </w:rPr>
              <w:t>Verbeke et al.</w:t>
            </w:r>
          </w:p>
        </w:tc>
        <w:tc>
          <w:tcPr>
            <w:tcW w:w="9090" w:type="dxa"/>
            <w:noWrap/>
            <w:hideMark/>
          </w:tcPr>
          <w:p w14:paraId="1E9EDE33" w14:textId="77777777" w:rsidR="00610751" w:rsidRPr="00610751" w:rsidRDefault="00610751" w:rsidP="00610751">
            <w:pPr>
              <w:widowControl/>
              <w:overflowPunct/>
              <w:autoSpaceDE/>
              <w:autoSpaceDN/>
              <w:adjustRightInd/>
              <w:rPr>
                <w:kern w:val="0"/>
              </w:rPr>
            </w:pPr>
            <w:r w:rsidRPr="00610751">
              <w:rPr>
                <w:kern w:val="0"/>
              </w:rPr>
              <w:t>Procedural Justice, Not Absorptive Capacity, Matters in Multinational Enterprise ICT Transfers</w:t>
            </w:r>
          </w:p>
        </w:tc>
      </w:tr>
      <w:tr w:rsidR="00610751" w:rsidRPr="00610751" w14:paraId="63FDB951" w14:textId="77777777" w:rsidTr="00DB7B9A">
        <w:trPr>
          <w:trHeight w:val="20"/>
        </w:trPr>
        <w:tc>
          <w:tcPr>
            <w:tcW w:w="810" w:type="dxa"/>
            <w:noWrap/>
            <w:hideMark/>
          </w:tcPr>
          <w:p w14:paraId="7175EC3E" w14:textId="77777777" w:rsidR="00610751" w:rsidRPr="00610751" w:rsidRDefault="00610751" w:rsidP="00610751">
            <w:pPr>
              <w:widowControl/>
              <w:overflowPunct/>
              <w:autoSpaceDE/>
              <w:autoSpaceDN/>
              <w:adjustRightInd/>
              <w:rPr>
                <w:kern w:val="0"/>
              </w:rPr>
            </w:pPr>
            <w:r w:rsidRPr="00610751">
              <w:rPr>
                <w:kern w:val="0"/>
              </w:rPr>
              <w:t>2013</w:t>
            </w:r>
          </w:p>
        </w:tc>
        <w:tc>
          <w:tcPr>
            <w:tcW w:w="2340" w:type="dxa"/>
            <w:noWrap/>
            <w:hideMark/>
          </w:tcPr>
          <w:p w14:paraId="53F4F890" w14:textId="77777777" w:rsidR="00610751" w:rsidRPr="00610751" w:rsidRDefault="00610751" w:rsidP="00610751">
            <w:pPr>
              <w:widowControl/>
              <w:overflowPunct/>
              <w:autoSpaceDE/>
              <w:autoSpaceDN/>
              <w:adjustRightInd/>
              <w:rPr>
                <w:kern w:val="0"/>
              </w:rPr>
            </w:pPr>
            <w:r w:rsidRPr="00610751">
              <w:rPr>
                <w:kern w:val="0"/>
              </w:rPr>
              <w:t>Zhan &amp; Chen</w:t>
            </w:r>
          </w:p>
        </w:tc>
        <w:tc>
          <w:tcPr>
            <w:tcW w:w="9090" w:type="dxa"/>
            <w:noWrap/>
            <w:hideMark/>
          </w:tcPr>
          <w:p w14:paraId="77F097D5" w14:textId="77777777" w:rsidR="00610751" w:rsidRPr="00610751" w:rsidRDefault="00610751" w:rsidP="00610751">
            <w:pPr>
              <w:widowControl/>
              <w:overflowPunct/>
              <w:autoSpaceDE/>
              <w:autoSpaceDN/>
              <w:adjustRightInd/>
              <w:rPr>
                <w:kern w:val="0"/>
              </w:rPr>
            </w:pPr>
            <w:r w:rsidRPr="00610751">
              <w:rPr>
                <w:kern w:val="0"/>
              </w:rPr>
              <w:t>Dynamic capability and IJV performance: The effect of exploitation and exploration capabilities</w:t>
            </w:r>
          </w:p>
        </w:tc>
      </w:tr>
      <w:tr w:rsidR="00610751" w:rsidRPr="00610751" w14:paraId="63ED196F" w14:textId="77777777" w:rsidTr="00DB7B9A">
        <w:trPr>
          <w:trHeight w:val="20"/>
        </w:trPr>
        <w:tc>
          <w:tcPr>
            <w:tcW w:w="810" w:type="dxa"/>
            <w:noWrap/>
            <w:hideMark/>
          </w:tcPr>
          <w:p w14:paraId="17BB4AD8" w14:textId="77777777" w:rsidR="00610751" w:rsidRPr="00610751" w:rsidRDefault="00610751" w:rsidP="00610751">
            <w:pPr>
              <w:widowControl/>
              <w:overflowPunct/>
              <w:autoSpaceDE/>
              <w:autoSpaceDN/>
              <w:adjustRightInd/>
              <w:rPr>
                <w:kern w:val="0"/>
              </w:rPr>
            </w:pPr>
            <w:r w:rsidRPr="00610751">
              <w:rPr>
                <w:kern w:val="0"/>
              </w:rPr>
              <w:t>2014</w:t>
            </w:r>
          </w:p>
        </w:tc>
        <w:tc>
          <w:tcPr>
            <w:tcW w:w="2340" w:type="dxa"/>
            <w:noWrap/>
            <w:hideMark/>
          </w:tcPr>
          <w:p w14:paraId="073301F6" w14:textId="77777777" w:rsidR="00610751" w:rsidRPr="00610751" w:rsidRDefault="00610751" w:rsidP="00610751">
            <w:pPr>
              <w:widowControl/>
              <w:overflowPunct/>
              <w:autoSpaceDE/>
              <w:autoSpaceDN/>
              <w:adjustRightInd/>
              <w:rPr>
                <w:kern w:val="0"/>
              </w:rPr>
            </w:pPr>
            <w:r w:rsidRPr="00610751">
              <w:rPr>
                <w:kern w:val="0"/>
              </w:rPr>
              <w:t>Chen et al.</w:t>
            </w:r>
          </w:p>
        </w:tc>
        <w:tc>
          <w:tcPr>
            <w:tcW w:w="9090" w:type="dxa"/>
            <w:noWrap/>
            <w:hideMark/>
          </w:tcPr>
          <w:p w14:paraId="4ADEE467" w14:textId="77777777" w:rsidR="00610751" w:rsidRPr="00610751" w:rsidRDefault="00610751" w:rsidP="00610751">
            <w:pPr>
              <w:widowControl/>
              <w:overflowPunct/>
              <w:autoSpaceDE/>
              <w:autoSpaceDN/>
              <w:adjustRightInd/>
              <w:rPr>
                <w:kern w:val="0"/>
              </w:rPr>
            </w:pPr>
            <w:r w:rsidRPr="00610751">
              <w:rPr>
                <w:kern w:val="0"/>
              </w:rPr>
              <w:t>Strategic Orientation, Foreign Parent Control, and Differentiation Capability Building of International Joint Ventures in an Emerging Market</w:t>
            </w:r>
          </w:p>
        </w:tc>
      </w:tr>
      <w:tr w:rsidR="00610751" w:rsidRPr="00610751" w14:paraId="42E3D7D6" w14:textId="77777777" w:rsidTr="00DB7B9A">
        <w:trPr>
          <w:trHeight w:val="20"/>
        </w:trPr>
        <w:tc>
          <w:tcPr>
            <w:tcW w:w="810" w:type="dxa"/>
            <w:noWrap/>
            <w:hideMark/>
          </w:tcPr>
          <w:p w14:paraId="19F5A53F" w14:textId="77777777" w:rsidR="00610751" w:rsidRPr="00610751" w:rsidRDefault="00610751" w:rsidP="00610751">
            <w:pPr>
              <w:widowControl/>
              <w:overflowPunct/>
              <w:autoSpaceDE/>
              <w:autoSpaceDN/>
              <w:adjustRightInd/>
              <w:rPr>
                <w:kern w:val="0"/>
              </w:rPr>
            </w:pPr>
            <w:r w:rsidRPr="00610751">
              <w:rPr>
                <w:kern w:val="0"/>
              </w:rPr>
              <w:t>2014</w:t>
            </w:r>
          </w:p>
        </w:tc>
        <w:tc>
          <w:tcPr>
            <w:tcW w:w="2340" w:type="dxa"/>
            <w:noWrap/>
            <w:hideMark/>
          </w:tcPr>
          <w:p w14:paraId="7FD12744" w14:textId="77777777" w:rsidR="00610751" w:rsidRPr="00610751" w:rsidRDefault="00610751" w:rsidP="00610751">
            <w:pPr>
              <w:widowControl/>
              <w:overflowPunct/>
              <w:autoSpaceDE/>
              <w:autoSpaceDN/>
              <w:adjustRightInd/>
              <w:rPr>
                <w:kern w:val="0"/>
              </w:rPr>
            </w:pPr>
            <w:r w:rsidRPr="00610751">
              <w:rPr>
                <w:kern w:val="0"/>
              </w:rPr>
              <w:t>Crespo et al.</w:t>
            </w:r>
          </w:p>
        </w:tc>
        <w:tc>
          <w:tcPr>
            <w:tcW w:w="9090" w:type="dxa"/>
            <w:noWrap/>
            <w:hideMark/>
          </w:tcPr>
          <w:p w14:paraId="15DC638D" w14:textId="77777777" w:rsidR="00610751" w:rsidRPr="00610751" w:rsidRDefault="00610751" w:rsidP="00610751">
            <w:pPr>
              <w:widowControl/>
              <w:overflowPunct/>
              <w:autoSpaceDE/>
              <w:autoSpaceDN/>
              <w:adjustRightInd/>
              <w:rPr>
                <w:kern w:val="0"/>
              </w:rPr>
            </w:pPr>
            <w:r w:rsidRPr="00610751">
              <w:rPr>
                <w:kern w:val="0"/>
              </w:rPr>
              <w:t>The performance effects of vertical and horizontal subsidiary knowledge outflows in multinational corporations</w:t>
            </w:r>
          </w:p>
        </w:tc>
      </w:tr>
      <w:tr w:rsidR="00610751" w:rsidRPr="00610751" w14:paraId="2CEAEA9D" w14:textId="77777777" w:rsidTr="00DB7B9A">
        <w:trPr>
          <w:trHeight w:val="20"/>
        </w:trPr>
        <w:tc>
          <w:tcPr>
            <w:tcW w:w="810" w:type="dxa"/>
            <w:noWrap/>
            <w:hideMark/>
          </w:tcPr>
          <w:p w14:paraId="39DC0EC0" w14:textId="77777777" w:rsidR="00610751" w:rsidRPr="00610751" w:rsidRDefault="00610751" w:rsidP="00610751">
            <w:pPr>
              <w:widowControl/>
              <w:overflowPunct/>
              <w:autoSpaceDE/>
              <w:autoSpaceDN/>
              <w:adjustRightInd/>
              <w:rPr>
                <w:kern w:val="0"/>
              </w:rPr>
            </w:pPr>
            <w:r w:rsidRPr="00610751">
              <w:rPr>
                <w:kern w:val="0"/>
              </w:rPr>
              <w:t>2014</w:t>
            </w:r>
          </w:p>
        </w:tc>
        <w:tc>
          <w:tcPr>
            <w:tcW w:w="2340" w:type="dxa"/>
            <w:noWrap/>
            <w:hideMark/>
          </w:tcPr>
          <w:p w14:paraId="4A2EA5B4" w14:textId="77777777" w:rsidR="00610751" w:rsidRPr="00610751" w:rsidRDefault="00610751" w:rsidP="00610751">
            <w:pPr>
              <w:widowControl/>
              <w:overflowPunct/>
              <w:autoSpaceDE/>
              <w:autoSpaceDN/>
              <w:adjustRightInd/>
              <w:rPr>
                <w:kern w:val="0"/>
              </w:rPr>
            </w:pPr>
            <w:r w:rsidRPr="00610751">
              <w:rPr>
                <w:kern w:val="0"/>
              </w:rPr>
              <w:t>Hombrug &amp; Prigge</w:t>
            </w:r>
          </w:p>
        </w:tc>
        <w:tc>
          <w:tcPr>
            <w:tcW w:w="9090" w:type="dxa"/>
            <w:noWrap/>
            <w:hideMark/>
          </w:tcPr>
          <w:p w14:paraId="7A97CEF1" w14:textId="77777777" w:rsidR="00610751" w:rsidRPr="00610751" w:rsidRDefault="00610751" w:rsidP="00610751">
            <w:pPr>
              <w:widowControl/>
              <w:overflowPunct/>
              <w:autoSpaceDE/>
              <w:autoSpaceDN/>
              <w:adjustRightInd/>
              <w:rPr>
                <w:kern w:val="0"/>
              </w:rPr>
            </w:pPr>
            <w:r w:rsidRPr="00610751">
              <w:rPr>
                <w:kern w:val="0"/>
              </w:rPr>
              <w:t>Exploring Subsidiary Desire for Autonomy: A Conceptual Framework and Empirical Findings</w:t>
            </w:r>
          </w:p>
        </w:tc>
      </w:tr>
      <w:tr w:rsidR="00610751" w:rsidRPr="00610751" w14:paraId="1F7DA374" w14:textId="77777777" w:rsidTr="00DB7B9A">
        <w:trPr>
          <w:trHeight w:val="20"/>
        </w:trPr>
        <w:tc>
          <w:tcPr>
            <w:tcW w:w="810" w:type="dxa"/>
            <w:noWrap/>
            <w:hideMark/>
          </w:tcPr>
          <w:p w14:paraId="4B3754A3" w14:textId="77777777" w:rsidR="00610751" w:rsidRPr="00610751" w:rsidRDefault="00610751" w:rsidP="00610751">
            <w:pPr>
              <w:widowControl/>
              <w:overflowPunct/>
              <w:autoSpaceDE/>
              <w:autoSpaceDN/>
              <w:adjustRightInd/>
              <w:rPr>
                <w:kern w:val="0"/>
              </w:rPr>
            </w:pPr>
            <w:r w:rsidRPr="00610751">
              <w:rPr>
                <w:kern w:val="0"/>
              </w:rPr>
              <w:t>2014</w:t>
            </w:r>
          </w:p>
        </w:tc>
        <w:tc>
          <w:tcPr>
            <w:tcW w:w="2340" w:type="dxa"/>
            <w:noWrap/>
            <w:hideMark/>
          </w:tcPr>
          <w:p w14:paraId="24B6D59F" w14:textId="77777777" w:rsidR="00610751" w:rsidRPr="00610751" w:rsidRDefault="00610751" w:rsidP="00610751">
            <w:pPr>
              <w:widowControl/>
              <w:overflowPunct/>
              <w:autoSpaceDE/>
              <w:autoSpaceDN/>
              <w:adjustRightInd/>
              <w:rPr>
                <w:kern w:val="0"/>
              </w:rPr>
            </w:pPr>
            <w:r w:rsidRPr="00610751">
              <w:rPr>
                <w:kern w:val="0"/>
              </w:rPr>
              <w:t>Kawai &amp; Strange</w:t>
            </w:r>
          </w:p>
        </w:tc>
        <w:tc>
          <w:tcPr>
            <w:tcW w:w="9090" w:type="dxa"/>
            <w:noWrap/>
            <w:hideMark/>
          </w:tcPr>
          <w:p w14:paraId="152DF787" w14:textId="77777777" w:rsidR="00610751" w:rsidRPr="00610751" w:rsidRDefault="00610751" w:rsidP="00610751">
            <w:pPr>
              <w:widowControl/>
              <w:overflowPunct/>
              <w:autoSpaceDE/>
              <w:autoSpaceDN/>
              <w:adjustRightInd/>
              <w:rPr>
                <w:kern w:val="0"/>
              </w:rPr>
            </w:pPr>
            <w:r w:rsidRPr="00610751">
              <w:rPr>
                <w:kern w:val="0"/>
              </w:rPr>
              <w:t>Subsidiary autonomy and performance in Japanese multinationals in Europe</w:t>
            </w:r>
          </w:p>
        </w:tc>
      </w:tr>
      <w:tr w:rsidR="00610751" w:rsidRPr="00610751" w14:paraId="375C1264" w14:textId="77777777" w:rsidTr="00DB7B9A">
        <w:trPr>
          <w:trHeight w:val="20"/>
        </w:trPr>
        <w:tc>
          <w:tcPr>
            <w:tcW w:w="810" w:type="dxa"/>
            <w:noWrap/>
            <w:hideMark/>
          </w:tcPr>
          <w:p w14:paraId="31F44F77" w14:textId="77777777" w:rsidR="00610751" w:rsidRPr="00610751" w:rsidRDefault="00610751" w:rsidP="00610751">
            <w:pPr>
              <w:widowControl/>
              <w:overflowPunct/>
              <w:autoSpaceDE/>
              <w:autoSpaceDN/>
              <w:adjustRightInd/>
              <w:rPr>
                <w:kern w:val="0"/>
              </w:rPr>
            </w:pPr>
            <w:r w:rsidRPr="00610751">
              <w:rPr>
                <w:kern w:val="0"/>
              </w:rPr>
              <w:t>2014</w:t>
            </w:r>
          </w:p>
        </w:tc>
        <w:tc>
          <w:tcPr>
            <w:tcW w:w="2340" w:type="dxa"/>
            <w:noWrap/>
            <w:hideMark/>
          </w:tcPr>
          <w:p w14:paraId="04995629" w14:textId="77777777" w:rsidR="00610751" w:rsidRPr="00610751" w:rsidRDefault="00610751" w:rsidP="00610751">
            <w:pPr>
              <w:widowControl/>
              <w:overflowPunct/>
              <w:autoSpaceDE/>
              <w:autoSpaceDN/>
              <w:adjustRightInd/>
              <w:rPr>
                <w:kern w:val="0"/>
              </w:rPr>
            </w:pPr>
            <w:r w:rsidRPr="00610751">
              <w:rPr>
                <w:kern w:val="0"/>
              </w:rPr>
              <w:t>Manolopoulos</w:t>
            </w:r>
          </w:p>
        </w:tc>
        <w:tc>
          <w:tcPr>
            <w:tcW w:w="9090" w:type="dxa"/>
            <w:noWrap/>
            <w:hideMark/>
          </w:tcPr>
          <w:p w14:paraId="098B12C7" w14:textId="77777777" w:rsidR="00610751" w:rsidRPr="00610751" w:rsidRDefault="00610751" w:rsidP="00610751">
            <w:pPr>
              <w:widowControl/>
              <w:overflowPunct/>
              <w:autoSpaceDE/>
              <w:autoSpaceDN/>
              <w:adjustRightInd/>
              <w:rPr>
                <w:kern w:val="0"/>
              </w:rPr>
            </w:pPr>
            <w:r w:rsidRPr="00610751">
              <w:rPr>
                <w:kern w:val="0"/>
              </w:rPr>
              <w:t>Sources of funding for decentralized R&amp;D activity: effects of MNE subsidiaries’ entry choice and laboratory roles</w:t>
            </w:r>
          </w:p>
        </w:tc>
      </w:tr>
      <w:tr w:rsidR="00610751" w:rsidRPr="00610751" w14:paraId="17F2E386" w14:textId="77777777" w:rsidTr="00DB7B9A">
        <w:trPr>
          <w:trHeight w:val="20"/>
        </w:trPr>
        <w:tc>
          <w:tcPr>
            <w:tcW w:w="810" w:type="dxa"/>
            <w:noWrap/>
            <w:hideMark/>
          </w:tcPr>
          <w:p w14:paraId="623A65B6" w14:textId="77777777" w:rsidR="00610751" w:rsidRPr="00610751" w:rsidRDefault="00610751" w:rsidP="00610751">
            <w:pPr>
              <w:widowControl/>
              <w:overflowPunct/>
              <w:autoSpaceDE/>
              <w:autoSpaceDN/>
              <w:adjustRightInd/>
              <w:rPr>
                <w:kern w:val="0"/>
              </w:rPr>
            </w:pPr>
            <w:r w:rsidRPr="00610751">
              <w:rPr>
                <w:kern w:val="0"/>
              </w:rPr>
              <w:t>2014</w:t>
            </w:r>
          </w:p>
        </w:tc>
        <w:tc>
          <w:tcPr>
            <w:tcW w:w="2340" w:type="dxa"/>
            <w:noWrap/>
            <w:hideMark/>
          </w:tcPr>
          <w:p w14:paraId="755CD9B8" w14:textId="77777777" w:rsidR="00610751" w:rsidRPr="00610751" w:rsidRDefault="00610751" w:rsidP="00610751">
            <w:pPr>
              <w:widowControl/>
              <w:overflowPunct/>
              <w:autoSpaceDE/>
              <w:autoSpaceDN/>
              <w:adjustRightInd/>
              <w:rPr>
                <w:kern w:val="0"/>
              </w:rPr>
            </w:pPr>
            <w:r w:rsidRPr="00610751">
              <w:rPr>
                <w:kern w:val="0"/>
              </w:rPr>
              <w:t>Meyer &amp; Estrin</w:t>
            </w:r>
          </w:p>
        </w:tc>
        <w:tc>
          <w:tcPr>
            <w:tcW w:w="9090" w:type="dxa"/>
            <w:noWrap/>
            <w:hideMark/>
          </w:tcPr>
          <w:p w14:paraId="0619698C" w14:textId="77777777" w:rsidR="00610751" w:rsidRPr="00610751" w:rsidRDefault="00610751" w:rsidP="00610751">
            <w:pPr>
              <w:widowControl/>
              <w:overflowPunct/>
              <w:autoSpaceDE/>
              <w:autoSpaceDN/>
              <w:adjustRightInd/>
              <w:rPr>
                <w:kern w:val="0"/>
              </w:rPr>
            </w:pPr>
            <w:r w:rsidRPr="00610751">
              <w:rPr>
                <w:kern w:val="0"/>
              </w:rPr>
              <w:t>Local Context and Global Strategy: Extending the Integration Responsiveness Framework to Subsidiary Strategy</w:t>
            </w:r>
          </w:p>
        </w:tc>
      </w:tr>
      <w:tr w:rsidR="00610751" w:rsidRPr="00610751" w14:paraId="1E10299D" w14:textId="77777777" w:rsidTr="00DB7B9A">
        <w:trPr>
          <w:trHeight w:val="20"/>
        </w:trPr>
        <w:tc>
          <w:tcPr>
            <w:tcW w:w="810" w:type="dxa"/>
            <w:noWrap/>
            <w:hideMark/>
          </w:tcPr>
          <w:p w14:paraId="5C0F3FFA" w14:textId="77777777" w:rsidR="00610751" w:rsidRPr="00610751" w:rsidRDefault="00610751" w:rsidP="00610751">
            <w:pPr>
              <w:widowControl/>
              <w:overflowPunct/>
              <w:autoSpaceDE/>
              <w:autoSpaceDN/>
              <w:adjustRightInd/>
              <w:rPr>
                <w:kern w:val="0"/>
              </w:rPr>
            </w:pPr>
            <w:r w:rsidRPr="00610751">
              <w:rPr>
                <w:kern w:val="0"/>
              </w:rPr>
              <w:t>2014</w:t>
            </w:r>
          </w:p>
        </w:tc>
        <w:tc>
          <w:tcPr>
            <w:tcW w:w="2340" w:type="dxa"/>
            <w:noWrap/>
            <w:hideMark/>
          </w:tcPr>
          <w:p w14:paraId="501651C8" w14:textId="77777777" w:rsidR="00610751" w:rsidRPr="00610751" w:rsidRDefault="00610751" w:rsidP="00610751">
            <w:pPr>
              <w:widowControl/>
              <w:overflowPunct/>
              <w:autoSpaceDE/>
              <w:autoSpaceDN/>
              <w:adjustRightInd/>
              <w:rPr>
                <w:kern w:val="0"/>
              </w:rPr>
            </w:pPr>
            <w:r w:rsidRPr="00610751">
              <w:rPr>
                <w:kern w:val="0"/>
              </w:rPr>
              <w:t>Mudambi et al.</w:t>
            </w:r>
          </w:p>
        </w:tc>
        <w:tc>
          <w:tcPr>
            <w:tcW w:w="9090" w:type="dxa"/>
            <w:noWrap/>
            <w:hideMark/>
          </w:tcPr>
          <w:p w14:paraId="034C3815" w14:textId="77777777" w:rsidR="00610751" w:rsidRPr="00610751" w:rsidRDefault="00610751" w:rsidP="00610751">
            <w:pPr>
              <w:widowControl/>
              <w:overflowPunct/>
              <w:autoSpaceDE/>
              <w:autoSpaceDN/>
              <w:adjustRightInd/>
              <w:rPr>
                <w:kern w:val="0"/>
              </w:rPr>
            </w:pPr>
            <w:r w:rsidRPr="00610751">
              <w:rPr>
                <w:kern w:val="0"/>
              </w:rPr>
              <w:t>How subsidiaries gain power in multinational corporations</w:t>
            </w:r>
          </w:p>
        </w:tc>
      </w:tr>
      <w:tr w:rsidR="00610751" w:rsidRPr="00610751" w14:paraId="0FCB1E5A" w14:textId="77777777" w:rsidTr="00DB7B9A">
        <w:trPr>
          <w:trHeight w:val="20"/>
        </w:trPr>
        <w:tc>
          <w:tcPr>
            <w:tcW w:w="810" w:type="dxa"/>
            <w:noWrap/>
            <w:hideMark/>
          </w:tcPr>
          <w:p w14:paraId="6D19376A" w14:textId="77777777" w:rsidR="00610751" w:rsidRPr="00610751" w:rsidRDefault="00610751" w:rsidP="00610751">
            <w:pPr>
              <w:widowControl/>
              <w:overflowPunct/>
              <w:autoSpaceDE/>
              <w:autoSpaceDN/>
              <w:adjustRightInd/>
              <w:rPr>
                <w:kern w:val="0"/>
              </w:rPr>
            </w:pPr>
            <w:r w:rsidRPr="00610751">
              <w:rPr>
                <w:kern w:val="0"/>
              </w:rPr>
              <w:t>2014</w:t>
            </w:r>
          </w:p>
        </w:tc>
        <w:tc>
          <w:tcPr>
            <w:tcW w:w="2340" w:type="dxa"/>
            <w:noWrap/>
            <w:hideMark/>
          </w:tcPr>
          <w:p w14:paraId="7B6FC402" w14:textId="77777777" w:rsidR="00610751" w:rsidRPr="00610751" w:rsidRDefault="00610751" w:rsidP="00610751">
            <w:pPr>
              <w:widowControl/>
              <w:overflowPunct/>
              <w:autoSpaceDE/>
              <w:autoSpaceDN/>
              <w:adjustRightInd/>
              <w:rPr>
                <w:kern w:val="0"/>
              </w:rPr>
            </w:pPr>
            <w:r w:rsidRPr="00610751">
              <w:rPr>
                <w:kern w:val="0"/>
              </w:rPr>
              <w:t>Richter</w:t>
            </w:r>
          </w:p>
        </w:tc>
        <w:tc>
          <w:tcPr>
            <w:tcW w:w="9090" w:type="dxa"/>
            <w:noWrap/>
            <w:hideMark/>
          </w:tcPr>
          <w:p w14:paraId="09BF6D27" w14:textId="77777777" w:rsidR="00610751" w:rsidRPr="00610751" w:rsidRDefault="00610751" w:rsidP="00610751">
            <w:pPr>
              <w:widowControl/>
              <w:overflowPunct/>
              <w:autoSpaceDE/>
              <w:autoSpaceDN/>
              <w:adjustRightInd/>
              <w:rPr>
                <w:kern w:val="0"/>
              </w:rPr>
            </w:pPr>
            <w:r w:rsidRPr="00610751">
              <w:rPr>
                <w:kern w:val="0"/>
              </w:rPr>
              <w:t>Information Costs in International Business: Analyzing the Effects of Economies of Scale, Cultural Diversity and Decentralization</w:t>
            </w:r>
          </w:p>
        </w:tc>
      </w:tr>
      <w:tr w:rsidR="00610751" w:rsidRPr="00610751" w14:paraId="7347D147" w14:textId="77777777" w:rsidTr="00DB7B9A">
        <w:trPr>
          <w:trHeight w:val="20"/>
        </w:trPr>
        <w:tc>
          <w:tcPr>
            <w:tcW w:w="810" w:type="dxa"/>
            <w:noWrap/>
            <w:hideMark/>
          </w:tcPr>
          <w:p w14:paraId="7E582A79" w14:textId="77777777" w:rsidR="00610751" w:rsidRPr="00610751" w:rsidRDefault="00610751" w:rsidP="00610751">
            <w:pPr>
              <w:widowControl/>
              <w:overflowPunct/>
              <w:autoSpaceDE/>
              <w:autoSpaceDN/>
              <w:adjustRightInd/>
              <w:rPr>
                <w:kern w:val="0"/>
              </w:rPr>
            </w:pPr>
            <w:r w:rsidRPr="00610751">
              <w:rPr>
                <w:kern w:val="0"/>
              </w:rPr>
              <w:t>2014</w:t>
            </w:r>
          </w:p>
        </w:tc>
        <w:tc>
          <w:tcPr>
            <w:tcW w:w="2340" w:type="dxa"/>
            <w:noWrap/>
            <w:hideMark/>
          </w:tcPr>
          <w:p w14:paraId="1762649D" w14:textId="77777777" w:rsidR="00610751" w:rsidRPr="00610751" w:rsidRDefault="00610751" w:rsidP="00610751">
            <w:pPr>
              <w:widowControl/>
              <w:overflowPunct/>
              <w:autoSpaceDE/>
              <w:autoSpaceDN/>
              <w:adjustRightInd/>
              <w:rPr>
                <w:kern w:val="0"/>
              </w:rPr>
            </w:pPr>
            <w:r w:rsidRPr="00610751">
              <w:rPr>
                <w:kern w:val="0"/>
              </w:rPr>
              <w:t>Sartor &amp; Beamish</w:t>
            </w:r>
          </w:p>
        </w:tc>
        <w:tc>
          <w:tcPr>
            <w:tcW w:w="9090" w:type="dxa"/>
            <w:noWrap/>
            <w:hideMark/>
          </w:tcPr>
          <w:p w14:paraId="34BA89DE" w14:textId="77777777" w:rsidR="00610751" w:rsidRPr="00610751" w:rsidRDefault="00610751" w:rsidP="00610751">
            <w:pPr>
              <w:widowControl/>
              <w:overflowPunct/>
              <w:autoSpaceDE/>
              <w:autoSpaceDN/>
              <w:adjustRightInd/>
              <w:rPr>
                <w:kern w:val="0"/>
              </w:rPr>
            </w:pPr>
            <w:r w:rsidRPr="00610751">
              <w:rPr>
                <w:kern w:val="0"/>
              </w:rPr>
              <w:t>Offshoring innovation to emerging markets: Organizational control and informal Institutional distance</w:t>
            </w:r>
          </w:p>
        </w:tc>
      </w:tr>
      <w:tr w:rsidR="00610751" w:rsidRPr="00610751" w14:paraId="34464DF9" w14:textId="77777777" w:rsidTr="00DB7B9A">
        <w:trPr>
          <w:trHeight w:val="20"/>
        </w:trPr>
        <w:tc>
          <w:tcPr>
            <w:tcW w:w="810" w:type="dxa"/>
            <w:noWrap/>
            <w:hideMark/>
          </w:tcPr>
          <w:p w14:paraId="25348383" w14:textId="77777777" w:rsidR="00610751" w:rsidRPr="00610751" w:rsidRDefault="00610751" w:rsidP="00610751">
            <w:pPr>
              <w:widowControl/>
              <w:overflowPunct/>
              <w:autoSpaceDE/>
              <w:autoSpaceDN/>
              <w:adjustRightInd/>
              <w:rPr>
                <w:kern w:val="0"/>
              </w:rPr>
            </w:pPr>
            <w:r w:rsidRPr="00610751">
              <w:rPr>
                <w:kern w:val="0"/>
              </w:rPr>
              <w:t>2014</w:t>
            </w:r>
          </w:p>
        </w:tc>
        <w:tc>
          <w:tcPr>
            <w:tcW w:w="2340" w:type="dxa"/>
            <w:noWrap/>
            <w:hideMark/>
          </w:tcPr>
          <w:p w14:paraId="6AA5EFA9" w14:textId="77777777" w:rsidR="00610751" w:rsidRPr="00610751" w:rsidRDefault="00610751" w:rsidP="00610751">
            <w:pPr>
              <w:widowControl/>
              <w:overflowPunct/>
              <w:autoSpaceDE/>
              <w:autoSpaceDN/>
              <w:adjustRightInd/>
              <w:rPr>
                <w:kern w:val="0"/>
              </w:rPr>
            </w:pPr>
            <w:r w:rsidRPr="00610751">
              <w:rPr>
                <w:kern w:val="0"/>
              </w:rPr>
              <w:t>Schomaker &amp; Zaheer</w:t>
            </w:r>
          </w:p>
        </w:tc>
        <w:tc>
          <w:tcPr>
            <w:tcW w:w="9090" w:type="dxa"/>
            <w:noWrap/>
            <w:hideMark/>
          </w:tcPr>
          <w:p w14:paraId="7AE813A3" w14:textId="77777777" w:rsidR="00610751" w:rsidRPr="00610751" w:rsidRDefault="00610751" w:rsidP="00610751">
            <w:pPr>
              <w:widowControl/>
              <w:overflowPunct/>
              <w:autoSpaceDE/>
              <w:autoSpaceDN/>
              <w:adjustRightInd/>
              <w:rPr>
                <w:kern w:val="0"/>
              </w:rPr>
            </w:pPr>
            <w:r w:rsidRPr="00610751">
              <w:rPr>
                <w:kern w:val="0"/>
              </w:rPr>
              <w:t>The Role of Language in Knowledge Transfer to Geographically Dispersed Manufacturing Operations</w:t>
            </w:r>
          </w:p>
        </w:tc>
      </w:tr>
      <w:tr w:rsidR="00610751" w:rsidRPr="00610751" w14:paraId="2DDA3D86" w14:textId="77777777" w:rsidTr="00DB7B9A">
        <w:trPr>
          <w:trHeight w:val="20"/>
        </w:trPr>
        <w:tc>
          <w:tcPr>
            <w:tcW w:w="810" w:type="dxa"/>
            <w:noWrap/>
            <w:hideMark/>
          </w:tcPr>
          <w:p w14:paraId="082A29BE" w14:textId="77777777" w:rsidR="00610751" w:rsidRPr="00610751" w:rsidRDefault="00610751" w:rsidP="00610751">
            <w:pPr>
              <w:widowControl/>
              <w:overflowPunct/>
              <w:autoSpaceDE/>
              <w:autoSpaceDN/>
              <w:adjustRightInd/>
              <w:rPr>
                <w:kern w:val="0"/>
              </w:rPr>
            </w:pPr>
            <w:r w:rsidRPr="00610751">
              <w:rPr>
                <w:kern w:val="0"/>
              </w:rPr>
              <w:t>2014</w:t>
            </w:r>
          </w:p>
        </w:tc>
        <w:tc>
          <w:tcPr>
            <w:tcW w:w="2340" w:type="dxa"/>
            <w:noWrap/>
            <w:hideMark/>
          </w:tcPr>
          <w:p w14:paraId="54902129" w14:textId="77777777" w:rsidR="00610751" w:rsidRPr="00610751" w:rsidRDefault="00610751" w:rsidP="00610751">
            <w:pPr>
              <w:widowControl/>
              <w:overflowPunct/>
              <w:autoSpaceDE/>
              <w:autoSpaceDN/>
              <w:adjustRightInd/>
              <w:rPr>
                <w:kern w:val="0"/>
              </w:rPr>
            </w:pPr>
            <w:r w:rsidRPr="00610751">
              <w:rPr>
                <w:kern w:val="0"/>
              </w:rPr>
              <w:t>Wang et al.</w:t>
            </w:r>
          </w:p>
        </w:tc>
        <w:tc>
          <w:tcPr>
            <w:tcW w:w="9090" w:type="dxa"/>
            <w:noWrap/>
            <w:hideMark/>
          </w:tcPr>
          <w:p w14:paraId="3854F225" w14:textId="77777777" w:rsidR="00610751" w:rsidRPr="00610751" w:rsidRDefault="00610751" w:rsidP="00610751">
            <w:pPr>
              <w:widowControl/>
              <w:overflowPunct/>
              <w:autoSpaceDE/>
              <w:autoSpaceDN/>
              <w:adjustRightInd/>
              <w:rPr>
                <w:kern w:val="0"/>
              </w:rPr>
            </w:pPr>
            <w:r w:rsidRPr="00610751">
              <w:rPr>
                <w:kern w:val="0"/>
              </w:rPr>
              <w:t>Autonomy delegation to foreign subsidiaries an enabling mechanism for emerging-market multinationals</w:t>
            </w:r>
          </w:p>
        </w:tc>
      </w:tr>
      <w:tr w:rsidR="00610751" w:rsidRPr="00610751" w14:paraId="0F8D9E1B" w14:textId="77777777" w:rsidTr="00DB7B9A">
        <w:trPr>
          <w:trHeight w:val="20"/>
        </w:trPr>
        <w:tc>
          <w:tcPr>
            <w:tcW w:w="810" w:type="dxa"/>
            <w:noWrap/>
            <w:hideMark/>
          </w:tcPr>
          <w:p w14:paraId="28770D7B" w14:textId="77777777" w:rsidR="00610751" w:rsidRPr="00610751" w:rsidRDefault="00610751" w:rsidP="00610751">
            <w:pPr>
              <w:widowControl/>
              <w:overflowPunct/>
              <w:autoSpaceDE/>
              <w:autoSpaceDN/>
              <w:adjustRightInd/>
              <w:rPr>
                <w:kern w:val="0"/>
              </w:rPr>
            </w:pPr>
            <w:r w:rsidRPr="00610751">
              <w:rPr>
                <w:kern w:val="0"/>
              </w:rPr>
              <w:t>2015</w:t>
            </w:r>
          </w:p>
        </w:tc>
        <w:tc>
          <w:tcPr>
            <w:tcW w:w="2340" w:type="dxa"/>
            <w:noWrap/>
            <w:hideMark/>
          </w:tcPr>
          <w:p w14:paraId="7A4CEC51" w14:textId="77777777" w:rsidR="00610751" w:rsidRPr="00610751" w:rsidRDefault="00610751" w:rsidP="00610751">
            <w:pPr>
              <w:widowControl/>
              <w:overflowPunct/>
              <w:autoSpaceDE/>
              <w:autoSpaceDN/>
              <w:adjustRightInd/>
              <w:rPr>
                <w:kern w:val="0"/>
              </w:rPr>
            </w:pPr>
            <w:r w:rsidRPr="00610751">
              <w:rPr>
                <w:kern w:val="0"/>
              </w:rPr>
              <w:t>de Jong et al.</w:t>
            </w:r>
          </w:p>
        </w:tc>
        <w:tc>
          <w:tcPr>
            <w:tcW w:w="9090" w:type="dxa"/>
            <w:noWrap/>
            <w:hideMark/>
          </w:tcPr>
          <w:p w14:paraId="7412C7F3" w14:textId="77777777" w:rsidR="00610751" w:rsidRPr="00610751" w:rsidRDefault="00610751" w:rsidP="00610751">
            <w:pPr>
              <w:widowControl/>
              <w:overflowPunct/>
              <w:autoSpaceDE/>
              <w:autoSpaceDN/>
              <w:adjustRightInd/>
              <w:rPr>
                <w:kern w:val="0"/>
              </w:rPr>
            </w:pPr>
            <w:r w:rsidRPr="00610751">
              <w:rPr>
                <w:kern w:val="0"/>
              </w:rPr>
              <w:t>Does country context distance determine subsidiary decision-making autonomy? Theory and evidence from European transition economies</w:t>
            </w:r>
          </w:p>
        </w:tc>
      </w:tr>
      <w:tr w:rsidR="00610751" w:rsidRPr="00610751" w14:paraId="3B2FCA31" w14:textId="77777777" w:rsidTr="00DB7B9A">
        <w:trPr>
          <w:trHeight w:val="20"/>
        </w:trPr>
        <w:tc>
          <w:tcPr>
            <w:tcW w:w="810" w:type="dxa"/>
            <w:noWrap/>
            <w:hideMark/>
          </w:tcPr>
          <w:p w14:paraId="46F729C8" w14:textId="77777777" w:rsidR="00610751" w:rsidRPr="00610751" w:rsidRDefault="00610751" w:rsidP="00610751">
            <w:pPr>
              <w:widowControl/>
              <w:overflowPunct/>
              <w:autoSpaceDE/>
              <w:autoSpaceDN/>
              <w:adjustRightInd/>
              <w:rPr>
                <w:kern w:val="0"/>
              </w:rPr>
            </w:pPr>
            <w:r w:rsidRPr="00610751">
              <w:rPr>
                <w:kern w:val="0"/>
              </w:rPr>
              <w:t>2015</w:t>
            </w:r>
          </w:p>
        </w:tc>
        <w:tc>
          <w:tcPr>
            <w:tcW w:w="2340" w:type="dxa"/>
            <w:noWrap/>
            <w:hideMark/>
          </w:tcPr>
          <w:p w14:paraId="130AAB6F" w14:textId="77777777" w:rsidR="00610751" w:rsidRPr="00610751" w:rsidRDefault="00610751" w:rsidP="00610751">
            <w:pPr>
              <w:widowControl/>
              <w:overflowPunct/>
              <w:autoSpaceDE/>
              <w:autoSpaceDN/>
              <w:adjustRightInd/>
              <w:rPr>
                <w:kern w:val="0"/>
              </w:rPr>
            </w:pPr>
            <w:r w:rsidRPr="00610751">
              <w:rPr>
                <w:kern w:val="0"/>
              </w:rPr>
              <w:t>Durand &amp; Jacqueminet</w:t>
            </w:r>
          </w:p>
        </w:tc>
        <w:tc>
          <w:tcPr>
            <w:tcW w:w="9090" w:type="dxa"/>
            <w:noWrap/>
            <w:hideMark/>
          </w:tcPr>
          <w:p w14:paraId="1B5F89A2" w14:textId="77777777" w:rsidR="00610751" w:rsidRPr="00610751" w:rsidRDefault="00610751" w:rsidP="00610751">
            <w:pPr>
              <w:widowControl/>
              <w:overflowPunct/>
              <w:autoSpaceDE/>
              <w:autoSpaceDN/>
              <w:adjustRightInd/>
              <w:rPr>
                <w:kern w:val="0"/>
              </w:rPr>
            </w:pPr>
            <w:r w:rsidRPr="00610751">
              <w:rPr>
                <w:kern w:val="0"/>
              </w:rPr>
              <w:t>Peer conformity, attention, and heterogeneous implementation of practices in MNEs</w:t>
            </w:r>
          </w:p>
        </w:tc>
      </w:tr>
      <w:tr w:rsidR="00610751" w:rsidRPr="00610751" w14:paraId="5DE44AC7" w14:textId="77777777" w:rsidTr="00DB7B9A">
        <w:trPr>
          <w:trHeight w:val="20"/>
        </w:trPr>
        <w:tc>
          <w:tcPr>
            <w:tcW w:w="810" w:type="dxa"/>
            <w:noWrap/>
            <w:hideMark/>
          </w:tcPr>
          <w:p w14:paraId="336C9870" w14:textId="77777777" w:rsidR="00610751" w:rsidRPr="00610751" w:rsidRDefault="00610751" w:rsidP="00610751">
            <w:pPr>
              <w:widowControl/>
              <w:overflowPunct/>
              <w:autoSpaceDE/>
              <w:autoSpaceDN/>
              <w:adjustRightInd/>
              <w:rPr>
                <w:kern w:val="0"/>
              </w:rPr>
            </w:pPr>
            <w:r w:rsidRPr="00610751">
              <w:rPr>
                <w:kern w:val="0"/>
              </w:rPr>
              <w:t>2015</w:t>
            </w:r>
          </w:p>
        </w:tc>
        <w:tc>
          <w:tcPr>
            <w:tcW w:w="2340" w:type="dxa"/>
            <w:noWrap/>
            <w:hideMark/>
          </w:tcPr>
          <w:p w14:paraId="6820C3F9" w14:textId="77777777" w:rsidR="00610751" w:rsidRPr="00610751" w:rsidRDefault="00610751" w:rsidP="00610751">
            <w:pPr>
              <w:widowControl/>
              <w:overflowPunct/>
              <w:autoSpaceDE/>
              <w:autoSpaceDN/>
              <w:adjustRightInd/>
              <w:rPr>
                <w:kern w:val="0"/>
              </w:rPr>
            </w:pPr>
            <w:r w:rsidRPr="00610751">
              <w:rPr>
                <w:kern w:val="0"/>
              </w:rPr>
              <w:t>Hemmert et al.</w:t>
            </w:r>
          </w:p>
        </w:tc>
        <w:tc>
          <w:tcPr>
            <w:tcW w:w="9090" w:type="dxa"/>
            <w:noWrap/>
            <w:hideMark/>
          </w:tcPr>
          <w:p w14:paraId="4C0B05A4" w14:textId="77777777" w:rsidR="00610751" w:rsidRPr="00610751" w:rsidRDefault="00610751" w:rsidP="00610751">
            <w:pPr>
              <w:widowControl/>
              <w:overflowPunct/>
              <w:autoSpaceDE/>
              <w:autoSpaceDN/>
              <w:adjustRightInd/>
              <w:rPr>
                <w:kern w:val="0"/>
              </w:rPr>
            </w:pPr>
            <w:r w:rsidRPr="00610751">
              <w:rPr>
                <w:kern w:val="0"/>
              </w:rPr>
              <w:t>What drives the R&amp;D capacity growth of foreign subsidiaries? A study of MNE subsidiaries in Korea</w:t>
            </w:r>
          </w:p>
        </w:tc>
      </w:tr>
      <w:tr w:rsidR="00610751" w:rsidRPr="00610751" w14:paraId="6D5320EF" w14:textId="77777777" w:rsidTr="00DB7B9A">
        <w:trPr>
          <w:trHeight w:val="20"/>
        </w:trPr>
        <w:tc>
          <w:tcPr>
            <w:tcW w:w="810" w:type="dxa"/>
            <w:noWrap/>
            <w:hideMark/>
          </w:tcPr>
          <w:p w14:paraId="1A15AB35" w14:textId="77777777" w:rsidR="00610751" w:rsidRPr="00610751" w:rsidRDefault="00610751" w:rsidP="00610751">
            <w:pPr>
              <w:widowControl/>
              <w:overflowPunct/>
              <w:autoSpaceDE/>
              <w:autoSpaceDN/>
              <w:adjustRightInd/>
              <w:rPr>
                <w:kern w:val="0"/>
              </w:rPr>
            </w:pPr>
            <w:r w:rsidRPr="00610751">
              <w:rPr>
                <w:kern w:val="0"/>
              </w:rPr>
              <w:t>2015</w:t>
            </w:r>
          </w:p>
        </w:tc>
        <w:tc>
          <w:tcPr>
            <w:tcW w:w="2340" w:type="dxa"/>
            <w:noWrap/>
            <w:hideMark/>
          </w:tcPr>
          <w:p w14:paraId="4C55CDD8" w14:textId="77777777" w:rsidR="00610751" w:rsidRPr="00610751" w:rsidRDefault="00610751" w:rsidP="00610751">
            <w:pPr>
              <w:widowControl/>
              <w:overflowPunct/>
              <w:autoSpaceDE/>
              <w:autoSpaceDN/>
              <w:adjustRightInd/>
              <w:rPr>
                <w:kern w:val="0"/>
              </w:rPr>
            </w:pPr>
            <w:r w:rsidRPr="00610751">
              <w:rPr>
                <w:kern w:val="0"/>
              </w:rPr>
              <w:t>Huang et al.</w:t>
            </w:r>
          </w:p>
        </w:tc>
        <w:tc>
          <w:tcPr>
            <w:tcW w:w="9090" w:type="dxa"/>
            <w:noWrap/>
            <w:hideMark/>
          </w:tcPr>
          <w:p w14:paraId="12C6BD26" w14:textId="77777777" w:rsidR="00610751" w:rsidRPr="00610751" w:rsidRDefault="00610751" w:rsidP="00610751">
            <w:pPr>
              <w:widowControl/>
              <w:overflowPunct/>
              <w:autoSpaceDE/>
              <w:autoSpaceDN/>
              <w:adjustRightInd/>
              <w:rPr>
                <w:kern w:val="0"/>
              </w:rPr>
            </w:pPr>
            <w:r w:rsidRPr="00610751">
              <w:rPr>
                <w:kern w:val="0"/>
              </w:rPr>
              <w:t>Reexamining the relationship between control mechanisms and international joint venture performance: The mediating roles of perceived value gap and information asymmetry</w:t>
            </w:r>
          </w:p>
        </w:tc>
      </w:tr>
      <w:tr w:rsidR="00610751" w:rsidRPr="00610751" w14:paraId="5999D440" w14:textId="77777777" w:rsidTr="00DB7B9A">
        <w:trPr>
          <w:trHeight w:val="20"/>
        </w:trPr>
        <w:tc>
          <w:tcPr>
            <w:tcW w:w="810" w:type="dxa"/>
            <w:noWrap/>
            <w:hideMark/>
          </w:tcPr>
          <w:p w14:paraId="292371A1" w14:textId="77777777" w:rsidR="00610751" w:rsidRPr="00610751" w:rsidRDefault="00610751" w:rsidP="00610751">
            <w:pPr>
              <w:widowControl/>
              <w:overflowPunct/>
              <w:autoSpaceDE/>
              <w:autoSpaceDN/>
              <w:adjustRightInd/>
              <w:rPr>
                <w:kern w:val="0"/>
              </w:rPr>
            </w:pPr>
            <w:r w:rsidRPr="00610751">
              <w:rPr>
                <w:kern w:val="0"/>
              </w:rPr>
              <w:t>2015</w:t>
            </w:r>
          </w:p>
        </w:tc>
        <w:tc>
          <w:tcPr>
            <w:tcW w:w="2340" w:type="dxa"/>
            <w:noWrap/>
            <w:hideMark/>
          </w:tcPr>
          <w:p w14:paraId="4FCAEA41" w14:textId="77777777" w:rsidR="00610751" w:rsidRPr="00610751" w:rsidRDefault="00610751" w:rsidP="00610751">
            <w:pPr>
              <w:widowControl/>
              <w:overflowPunct/>
              <w:autoSpaceDE/>
              <w:autoSpaceDN/>
              <w:adjustRightInd/>
              <w:rPr>
                <w:kern w:val="0"/>
              </w:rPr>
            </w:pPr>
            <w:r w:rsidRPr="00610751">
              <w:rPr>
                <w:kern w:val="0"/>
              </w:rPr>
              <w:t>Nguyen &amp; Rugman</w:t>
            </w:r>
          </w:p>
        </w:tc>
        <w:tc>
          <w:tcPr>
            <w:tcW w:w="9090" w:type="dxa"/>
            <w:noWrap/>
            <w:hideMark/>
          </w:tcPr>
          <w:p w14:paraId="3689A55E" w14:textId="77777777" w:rsidR="00610751" w:rsidRPr="00610751" w:rsidRDefault="00610751" w:rsidP="00610751">
            <w:pPr>
              <w:widowControl/>
              <w:overflowPunct/>
              <w:autoSpaceDE/>
              <w:autoSpaceDN/>
              <w:adjustRightInd/>
              <w:rPr>
                <w:kern w:val="0"/>
              </w:rPr>
            </w:pPr>
            <w:r w:rsidRPr="00610751">
              <w:rPr>
                <w:kern w:val="0"/>
              </w:rPr>
              <w:t>Internal equity financing and the performance of multinational subsidiaries in emerging economies</w:t>
            </w:r>
          </w:p>
        </w:tc>
      </w:tr>
      <w:tr w:rsidR="00610751" w:rsidRPr="00610751" w14:paraId="1FCEA364" w14:textId="77777777" w:rsidTr="00DB7B9A">
        <w:trPr>
          <w:trHeight w:val="20"/>
        </w:trPr>
        <w:tc>
          <w:tcPr>
            <w:tcW w:w="810" w:type="dxa"/>
            <w:noWrap/>
            <w:hideMark/>
          </w:tcPr>
          <w:p w14:paraId="7D707190" w14:textId="77777777" w:rsidR="00610751" w:rsidRPr="00610751" w:rsidRDefault="00610751" w:rsidP="00610751">
            <w:pPr>
              <w:widowControl/>
              <w:overflowPunct/>
              <w:autoSpaceDE/>
              <w:autoSpaceDN/>
              <w:adjustRightInd/>
              <w:rPr>
                <w:kern w:val="0"/>
              </w:rPr>
            </w:pPr>
            <w:r w:rsidRPr="00610751">
              <w:rPr>
                <w:kern w:val="0"/>
              </w:rPr>
              <w:t>2016</w:t>
            </w:r>
          </w:p>
        </w:tc>
        <w:tc>
          <w:tcPr>
            <w:tcW w:w="2340" w:type="dxa"/>
            <w:noWrap/>
            <w:hideMark/>
          </w:tcPr>
          <w:p w14:paraId="5DC1AB1B" w14:textId="77777777" w:rsidR="00610751" w:rsidRPr="00610751" w:rsidRDefault="00610751" w:rsidP="00610751">
            <w:pPr>
              <w:widowControl/>
              <w:overflowPunct/>
              <w:autoSpaceDE/>
              <w:autoSpaceDN/>
              <w:adjustRightInd/>
              <w:rPr>
                <w:kern w:val="0"/>
              </w:rPr>
            </w:pPr>
            <w:r w:rsidRPr="00610751">
              <w:rPr>
                <w:kern w:val="0"/>
              </w:rPr>
              <w:t>Ahlvik et al.</w:t>
            </w:r>
          </w:p>
        </w:tc>
        <w:tc>
          <w:tcPr>
            <w:tcW w:w="9090" w:type="dxa"/>
            <w:noWrap/>
            <w:hideMark/>
          </w:tcPr>
          <w:p w14:paraId="69CE0625" w14:textId="77777777" w:rsidR="00610751" w:rsidRPr="00610751" w:rsidRDefault="00610751" w:rsidP="00610751">
            <w:pPr>
              <w:widowControl/>
              <w:overflowPunct/>
              <w:autoSpaceDE/>
              <w:autoSpaceDN/>
              <w:adjustRightInd/>
              <w:rPr>
                <w:kern w:val="0"/>
              </w:rPr>
            </w:pPr>
            <w:r w:rsidRPr="00610751">
              <w:rPr>
                <w:kern w:val="0"/>
              </w:rPr>
              <w:t>Aligning corporate transfer intentions and subsidiary HRM practice implementation in multinational corporations</w:t>
            </w:r>
          </w:p>
        </w:tc>
      </w:tr>
      <w:tr w:rsidR="00610751" w:rsidRPr="00610751" w14:paraId="135164D1" w14:textId="77777777" w:rsidTr="00DB7B9A">
        <w:trPr>
          <w:trHeight w:val="20"/>
        </w:trPr>
        <w:tc>
          <w:tcPr>
            <w:tcW w:w="810" w:type="dxa"/>
            <w:noWrap/>
            <w:hideMark/>
          </w:tcPr>
          <w:p w14:paraId="555F0706" w14:textId="77777777" w:rsidR="00610751" w:rsidRPr="00610751" w:rsidRDefault="00610751" w:rsidP="00610751">
            <w:pPr>
              <w:widowControl/>
              <w:overflowPunct/>
              <w:autoSpaceDE/>
              <w:autoSpaceDN/>
              <w:adjustRightInd/>
              <w:rPr>
                <w:kern w:val="0"/>
              </w:rPr>
            </w:pPr>
            <w:r w:rsidRPr="00610751">
              <w:rPr>
                <w:kern w:val="0"/>
              </w:rPr>
              <w:t>2016</w:t>
            </w:r>
          </w:p>
        </w:tc>
        <w:tc>
          <w:tcPr>
            <w:tcW w:w="2340" w:type="dxa"/>
            <w:noWrap/>
            <w:hideMark/>
          </w:tcPr>
          <w:p w14:paraId="399D46E6" w14:textId="77777777" w:rsidR="00610751" w:rsidRPr="00610751" w:rsidRDefault="00610751" w:rsidP="00610751">
            <w:pPr>
              <w:widowControl/>
              <w:overflowPunct/>
              <w:autoSpaceDE/>
              <w:autoSpaceDN/>
              <w:adjustRightInd/>
              <w:rPr>
                <w:kern w:val="0"/>
              </w:rPr>
            </w:pPr>
            <w:r w:rsidRPr="00610751">
              <w:rPr>
                <w:kern w:val="0"/>
              </w:rPr>
              <w:t>Li et al.</w:t>
            </w:r>
          </w:p>
        </w:tc>
        <w:tc>
          <w:tcPr>
            <w:tcW w:w="9090" w:type="dxa"/>
            <w:noWrap/>
            <w:hideMark/>
          </w:tcPr>
          <w:p w14:paraId="61B5B799" w14:textId="77777777" w:rsidR="00610751" w:rsidRPr="00610751" w:rsidRDefault="00610751" w:rsidP="00610751">
            <w:pPr>
              <w:widowControl/>
              <w:overflowPunct/>
              <w:autoSpaceDE/>
              <w:autoSpaceDN/>
              <w:adjustRightInd/>
              <w:rPr>
                <w:kern w:val="0"/>
              </w:rPr>
            </w:pPr>
            <w:r w:rsidRPr="00610751">
              <w:rPr>
                <w:kern w:val="0"/>
              </w:rPr>
              <w:t>Institutional distance and the quality of the headquarters–subsidiary relationship: The moderating role of the institutionalization of headquarters’ practices in subsidiaries</w:t>
            </w:r>
          </w:p>
        </w:tc>
      </w:tr>
      <w:tr w:rsidR="00610751" w:rsidRPr="00610751" w14:paraId="1D47233E" w14:textId="77777777" w:rsidTr="00DB7B9A">
        <w:trPr>
          <w:trHeight w:val="20"/>
        </w:trPr>
        <w:tc>
          <w:tcPr>
            <w:tcW w:w="810" w:type="dxa"/>
            <w:noWrap/>
            <w:hideMark/>
          </w:tcPr>
          <w:p w14:paraId="34955F8C" w14:textId="77777777" w:rsidR="00610751" w:rsidRPr="00610751" w:rsidRDefault="00610751" w:rsidP="00610751">
            <w:pPr>
              <w:widowControl/>
              <w:overflowPunct/>
              <w:autoSpaceDE/>
              <w:autoSpaceDN/>
              <w:adjustRightInd/>
              <w:rPr>
                <w:kern w:val="0"/>
              </w:rPr>
            </w:pPr>
            <w:r w:rsidRPr="00610751">
              <w:rPr>
                <w:kern w:val="0"/>
              </w:rPr>
              <w:t>2016</w:t>
            </w:r>
          </w:p>
        </w:tc>
        <w:tc>
          <w:tcPr>
            <w:tcW w:w="2340" w:type="dxa"/>
            <w:noWrap/>
            <w:hideMark/>
          </w:tcPr>
          <w:p w14:paraId="617F4B7C" w14:textId="77777777" w:rsidR="00610751" w:rsidRPr="00610751" w:rsidRDefault="00610751" w:rsidP="00610751">
            <w:pPr>
              <w:widowControl/>
              <w:overflowPunct/>
              <w:autoSpaceDE/>
              <w:autoSpaceDN/>
              <w:adjustRightInd/>
              <w:rPr>
                <w:kern w:val="0"/>
              </w:rPr>
            </w:pPr>
            <w:r w:rsidRPr="00610751">
              <w:rPr>
                <w:kern w:val="0"/>
              </w:rPr>
              <w:t>Liu et al.</w:t>
            </w:r>
          </w:p>
        </w:tc>
        <w:tc>
          <w:tcPr>
            <w:tcW w:w="9090" w:type="dxa"/>
            <w:noWrap/>
            <w:hideMark/>
          </w:tcPr>
          <w:p w14:paraId="6B7FB4C7" w14:textId="77777777" w:rsidR="00610751" w:rsidRPr="00610751" w:rsidRDefault="00610751" w:rsidP="00610751">
            <w:pPr>
              <w:widowControl/>
              <w:overflowPunct/>
              <w:autoSpaceDE/>
              <w:autoSpaceDN/>
              <w:adjustRightInd/>
              <w:rPr>
                <w:kern w:val="0"/>
              </w:rPr>
            </w:pPr>
            <w:r w:rsidRPr="00610751">
              <w:rPr>
                <w:kern w:val="0"/>
              </w:rPr>
              <w:t>The delicate balance: Managing technology adoption and creation in multinational affiliates in an emerging economy</w:t>
            </w:r>
          </w:p>
        </w:tc>
      </w:tr>
      <w:tr w:rsidR="00610751" w:rsidRPr="00610751" w14:paraId="04E54FF6" w14:textId="77777777" w:rsidTr="00DB7B9A">
        <w:trPr>
          <w:trHeight w:val="20"/>
        </w:trPr>
        <w:tc>
          <w:tcPr>
            <w:tcW w:w="810" w:type="dxa"/>
            <w:noWrap/>
            <w:hideMark/>
          </w:tcPr>
          <w:p w14:paraId="4D1FB932" w14:textId="77777777" w:rsidR="00610751" w:rsidRPr="00610751" w:rsidRDefault="00610751" w:rsidP="00610751">
            <w:pPr>
              <w:widowControl/>
              <w:overflowPunct/>
              <w:autoSpaceDE/>
              <w:autoSpaceDN/>
              <w:adjustRightInd/>
              <w:rPr>
                <w:kern w:val="0"/>
              </w:rPr>
            </w:pPr>
            <w:r w:rsidRPr="00610751">
              <w:rPr>
                <w:kern w:val="0"/>
              </w:rPr>
              <w:t>2016</w:t>
            </w:r>
          </w:p>
        </w:tc>
        <w:tc>
          <w:tcPr>
            <w:tcW w:w="2340" w:type="dxa"/>
            <w:noWrap/>
            <w:hideMark/>
          </w:tcPr>
          <w:p w14:paraId="55108B6E" w14:textId="77777777" w:rsidR="00610751" w:rsidRPr="00610751" w:rsidRDefault="00610751" w:rsidP="00610751">
            <w:pPr>
              <w:widowControl/>
              <w:overflowPunct/>
              <w:autoSpaceDE/>
              <w:autoSpaceDN/>
              <w:adjustRightInd/>
              <w:rPr>
                <w:kern w:val="0"/>
              </w:rPr>
            </w:pPr>
            <w:r w:rsidRPr="00610751">
              <w:rPr>
                <w:kern w:val="0"/>
              </w:rPr>
              <w:t>Oki</w:t>
            </w:r>
          </w:p>
        </w:tc>
        <w:tc>
          <w:tcPr>
            <w:tcW w:w="9090" w:type="dxa"/>
            <w:noWrap/>
            <w:hideMark/>
          </w:tcPr>
          <w:p w14:paraId="76C1D3BF" w14:textId="77777777" w:rsidR="00610751" w:rsidRPr="00610751" w:rsidRDefault="00610751" w:rsidP="00610751">
            <w:pPr>
              <w:widowControl/>
              <w:overflowPunct/>
              <w:autoSpaceDE/>
              <w:autoSpaceDN/>
              <w:adjustRightInd/>
              <w:rPr>
                <w:kern w:val="0"/>
              </w:rPr>
            </w:pPr>
            <w:r w:rsidRPr="00610751">
              <w:rPr>
                <w:kern w:val="0"/>
              </w:rPr>
              <w:t>Subsidiary Autonomy and Factory Performance in Japanese Manufacturing Subsidiaries in Thailand</w:t>
            </w:r>
          </w:p>
        </w:tc>
      </w:tr>
      <w:tr w:rsidR="00610751" w:rsidRPr="00610751" w14:paraId="61D899D7" w14:textId="77777777" w:rsidTr="00DB7B9A">
        <w:trPr>
          <w:trHeight w:val="20"/>
        </w:trPr>
        <w:tc>
          <w:tcPr>
            <w:tcW w:w="810" w:type="dxa"/>
            <w:noWrap/>
            <w:hideMark/>
          </w:tcPr>
          <w:p w14:paraId="6C39305C" w14:textId="77777777" w:rsidR="00610751" w:rsidRPr="00610751" w:rsidRDefault="00610751" w:rsidP="00610751">
            <w:pPr>
              <w:widowControl/>
              <w:overflowPunct/>
              <w:autoSpaceDE/>
              <w:autoSpaceDN/>
              <w:adjustRightInd/>
              <w:rPr>
                <w:kern w:val="0"/>
              </w:rPr>
            </w:pPr>
            <w:r w:rsidRPr="00610751">
              <w:rPr>
                <w:kern w:val="0"/>
              </w:rPr>
              <w:t>2016</w:t>
            </w:r>
          </w:p>
        </w:tc>
        <w:tc>
          <w:tcPr>
            <w:tcW w:w="2340" w:type="dxa"/>
            <w:noWrap/>
            <w:hideMark/>
          </w:tcPr>
          <w:p w14:paraId="690128C3" w14:textId="77777777" w:rsidR="00610751" w:rsidRPr="00610751" w:rsidRDefault="00610751" w:rsidP="00610751">
            <w:pPr>
              <w:widowControl/>
              <w:overflowPunct/>
              <w:autoSpaceDE/>
              <w:autoSpaceDN/>
              <w:adjustRightInd/>
              <w:rPr>
                <w:kern w:val="0"/>
              </w:rPr>
            </w:pPr>
            <w:r w:rsidRPr="00610751">
              <w:rPr>
                <w:kern w:val="0"/>
              </w:rPr>
              <w:t xml:space="preserve">Palmíe et al. </w:t>
            </w:r>
          </w:p>
        </w:tc>
        <w:tc>
          <w:tcPr>
            <w:tcW w:w="9090" w:type="dxa"/>
            <w:noWrap/>
            <w:hideMark/>
          </w:tcPr>
          <w:p w14:paraId="6C85BE0B" w14:textId="77777777" w:rsidR="00610751" w:rsidRPr="00610751" w:rsidRDefault="00610751" w:rsidP="00610751">
            <w:pPr>
              <w:widowControl/>
              <w:overflowPunct/>
              <w:autoSpaceDE/>
              <w:autoSpaceDN/>
              <w:adjustRightInd/>
              <w:rPr>
                <w:kern w:val="0"/>
              </w:rPr>
            </w:pPr>
            <w:r w:rsidRPr="00610751">
              <w:rPr>
                <w:kern w:val="0"/>
              </w:rPr>
              <w:t>Coordination mechanisms for international innovation in SMEs: effects on time-to-market and R&amp;D task complexity as a moderator</w:t>
            </w:r>
          </w:p>
        </w:tc>
      </w:tr>
      <w:tr w:rsidR="00610751" w:rsidRPr="00610751" w14:paraId="460BEC56" w14:textId="77777777" w:rsidTr="00DB7B9A">
        <w:trPr>
          <w:trHeight w:val="20"/>
        </w:trPr>
        <w:tc>
          <w:tcPr>
            <w:tcW w:w="810" w:type="dxa"/>
            <w:noWrap/>
            <w:hideMark/>
          </w:tcPr>
          <w:p w14:paraId="4D92B209" w14:textId="77777777" w:rsidR="00610751" w:rsidRPr="00610751" w:rsidRDefault="00610751" w:rsidP="00610751">
            <w:pPr>
              <w:widowControl/>
              <w:overflowPunct/>
              <w:autoSpaceDE/>
              <w:autoSpaceDN/>
              <w:adjustRightInd/>
              <w:rPr>
                <w:kern w:val="0"/>
              </w:rPr>
            </w:pPr>
            <w:r w:rsidRPr="00610751">
              <w:rPr>
                <w:kern w:val="0"/>
              </w:rPr>
              <w:t>2016</w:t>
            </w:r>
          </w:p>
        </w:tc>
        <w:tc>
          <w:tcPr>
            <w:tcW w:w="2340" w:type="dxa"/>
            <w:noWrap/>
            <w:hideMark/>
          </w:tcPr>
          <w:p w14:paraId="0FC4D073" w14:textId="77777777" w:rsidR="00610751" w:rsidRPr="00610751" w:rsidRDefault="00610751" w:rsidP="00610751">
            <w:pPr>
              <w:widowControl/>
              <w:overflowPunct/>
              <w:autoSpaceDE/>
              <w:autoSpaceDN/>
              <w:adjustRightInd/>
              <w:rPr>
                <w:kern w:val="0"/>
              </w:rPr>
            </w:pPr>
            <w:r w:rsidRPr="00610751">
              <w:rPr>
                <w:kern w:val="0"/>
              </w:rPr>
              <w:t>Puck et al.</w:t>
            </w:r>
          </w:p>
        </w:tc>
        <w:tc>
          <w:tcPr>
            <w:tcW w:w="9090" w:type="dxa"/>
            <w:noWrap/>
            <w:hideMark/>
          </w:tcPr>
          <w:p w14:paraId="0C7D82B4" w14:textId="77777777" w:rsidR="00610751" w:rsidRPr="00610751" w:rsidRDefault="00610751" w:rsidP="00610751">
            <w:pPr>
              <w:widowControl/>
              <w:overflowPunct/>
              <w:autoSpaceDE/>
              <w:autoSpaceDN/>
              <w:adjustRightInd/>
              <w:rPr>
                <w:kern w:val="0"/>
              </w:rPr>
            </w:pPr>
            <w:r w:rsidRPr="00610751">
              <w:rPr>
                <w:kern w:val="0"/>
              </w:rPr>
              <w:t>Ownership mode, cultural distance, and the extent of parent firms’ strategic control over subsidiaries in the PRC</w:t>
            </w:r>
          </w:p>
        </w:tc>
      </w:tr>
      <w:tr w:rsidR="00610751" w:rsidRPr="00610751" w14:paraId="188C85E1" w14:textId="77777777" w:rsidTr="00DB7B9A">
        <w:trPr>
          <w:trHeight w:val="20"/>
        </w:trPr>
        <w:tc>
          <w:tcPr>
            <w:tcW w:w="810" w:type="dxa"/>
            <w:noWrap/>
            <w:hideMark/>
          </w:tcPr>
          <w:p w14:paraId="52767AE1" w14:textId="77777777" w:rsidR="00610751" w:rsidRPr="00610751" w:rsidRDefault="00610751" w:rsidP="00610751">
            <w:pPr>
              <w:widowControl/>
              <w:overflowPunct/>
              <w:autoSpaceDE/>
              <w:autoSpaceDN/>
              <w:adjustRightInd/>
              <w:rPr>
                <w:kern w:val="0"/>
              </w:rPr>
            </w:pPr>
            <w:r w:rsidRPr="00610751">
              <w:rPr>
                <w:kern w:val="0"/>
              </w:rPr>
              <w:t>2016</w:t>
            </w:r>
          </w:p>
        </w:tc>
        <w:tc>
          <w:tcPr>
            <w:tcW w:w="2340" w:type="dxa"/>
            <w:noWrap/>
            <w:hideMark/>
          </w:tcPr>
          <w:p w14:paraId="2654E933" w14:textId="77777777" w:rsidR="00610751" w:rsidRPr="00610751" w:rsidRDefault="00610751" w:rsidP="00610751">
            <w:pPr>
              <w:widowControl/>
              <w:overflowPunct/>
              <w:autoSpaceDE/>
              <w:autoSpaceDN/>
              <w:adjustRightInd/>
              <w:rPr>
                <w:kern w:val="0"/>
              </w:rPr>
            </w:pPr>
            <w:r w:rsidRPr="00610751">
              <w:rPr>
                <w:kern w:val="0"/>
              </w:rPr>
              <w:t>Santangelo et al.</w:t>
            </w:r>
          </w:p>
        </w:tc>
        <w:tc>
          <w:tcPr>
            <w:tcW w:w="9090" w:type="dxa"/>
            <w:noWrap/>
            <w:hideMark/>
          </w:tcPr>
          <w:p w14:paraId="22830CBD" w14:textId="77777777" w:rsidR="00610751" w:rsidRPr="00610751" w:rsidRDefault="00610751" w:rsidP="00610751">
            <w:pPr>
              <w:widowControl/>
              <w:overflowPunct/>
              <w:autoSpaceDE/>
              <w:autoSpaceDN/>
              <w:adjustRightInd/>
              <w:rPr>
                <w:kern w:val="0"/>
              </w:rPr>
            </w:pPr>
            <w:r w:rsidRPr="00610751">
              <w:rPr>
                <w:kern w:val="0"/>
              </w:rPr>
              <w:t>MNE Subsidiaries Outsourcing and Insourcing of R&amp;D: The Role of Local Institutions</w:t>
            </w:r>
          </w:p>
        </w:tc>
      </w:tr>
      <w:tr w:rsidR="00610751" w:rsidRPr="00610751" w14:paraId="1DFDCD49" w14:textId="77777777" w:rsidTr="00DB7B9A">
        <w:trPr>
          <w:trHeight w:val="20"/>
        </w:trPr>
        <w:tc>
          <w:tcPr>
            <w:tcW w:w="810" w:type="dxa"/>
            <w:noWrap/>
            <w:hideMark/>
          </w:tcPr>
          <w:p w14:paraId="61F8CCB2" w14:textId="77777777" w:rsidR="00610751" w:rsidRPr="00610751" w:rsidRDefault="00610751" w:rsidP="00610751">
            <w:pPr>
              <w:widowControl/>
              <w:overflowPunct/>
              <w:autoSpaceDE/>
              <w:autoSpaceDN/>
              <w:adjustRightInd/>
              <w:rPr>
                <w:kern w:val="0"/>
              </w:rPr>
            </w:pPr>
            <w:r w:rsidRPr="00610751">
              <w:rPr>
                <w:kern w:val="0"/>
              </w:rPr>
              <w:t>2016</w:t>
            </w:r>
          </w:p>
        </w:tc>
        <w:tc>
          <w:tcPr>
            <w:tcW w:w="2340" w:type="dxa"/>
            <w:noWrap/>
            <w:hideMark/>
          </w:tcPr>
          <w:p w14:paraId="20D1BF34" w14:textId="77777777" w:rsidR="00610751" w:rsidRPr="00610751" w:rsidRDefault="00610751" w:rsidP="00610751">
            <w:pPr>
              <w:widowControl/>
              <w:overflowPunct/>
              <w:autoSpaceDE/>
              <w:autoSpaceDN/>
              <w:adjustRightInd/>
              <w:rPr>
                <w:kern w:val="0"/>
              </w:rPr>
            </w:pPr>
            <w:r w:rsidRPr="00610751">
              <w:rPr>
                <w:kern w:val="0"/>
              </w:rPr>
              <w:t>Singh et al.</w:t>
            </w:r>
          </w:p>
        </w:tc>
        <w:tc>
          <w:tcPr>
            <w:tcW w:w="9090" w:type="dxa"/>
            <w:noWrap/>
            <w:hideMark/>
          </w:tcPr>
          <w:p w14:paraId="29A0EF01" w14:textId="77777777" w:rsidR="00610751" w:rsidRPr="00610751" w:rsidRDefault="00610751" w:rsidP="00610751">
            <w:pPr>
              <w:widowControl/>
              <w:overflowPunct/>
              <w:autoSpaceDE/>
              <w:autoSpaceDN/>
              <w:adjustRightInd/>
              <w:rPr>
                <w:kern w:val="0"/>
              </w:rPr>
            </w:pPr>
            <w:r w:rsidRPr="00610751">
              <w:rPr>
                <w:kern w:val="0"/>
              </w:rPr>
              <w:t>Control mechanisms of MNEs: an empirical study</w:t>
            </w:r>
          </w:p>
        </w:tc>
      </w:tr>
      <w:tr w:rsidR="00610751" w:rsidRPr="00610751" w14:paraId="11653201" w14:textId="77777777" w:rsidTr="00DB7B9A">
        <w:trPr>
          <w:trHeight w:val="20"/>
        </w:trPr>
        <w:tc>
          <w:tcPr>
            <w:tcW w:w="810" w:type="dxa"/>
            <w:noWrap/>
            <w:hideMark/>
          </w:tcPr>
          <w:p w14:paraId="2CB92DC8" w14:textId="77777777" w:rsidR="00610751" w:rsidRPr="00610751" w:rsidRDefault="00610751" w:rsidP="00610751">
            <w:pPr>
              <w:widowControl/>
              <w:overflowPunct/>
              <w:autoSpaceDE/>
              <w:autoSpaceDN/>
              <w:adjustRightInd/>
              <w:rPr>
                <w:kern w:val="0"/>
              </w:rPr>
            </w:pPr>
            <w:r w:rsidRPr="00610751">
              <w:rPr>
                <w:kern w:val="0"/>
              </w:rPr>
              <w:t>2017</w:t>
            </w:r>
          </w:p>
        </w:tc>
        <w:tc>
          <w:tcPr>
            <w:tcW w:w="2340" w:type="dxa"/>
            <w:noWrap/>
            <w:hideMark/>
          </w:tcPr>
          <w:p w14:paraId="571E1757" w14:textId="77777777" w:rsidR="00610751" w:rsidRPr="00610751" w:rsidRDefault="00610751" w:rsidP="00610751">
            <w:pPr>
              <w:widowControl/>
              <w:overflowPunct/>
              <w:autoSpaceDE/>
              <w:autoSpaceDN/>
              <w:adjustRightInd/>
              <w:rPr>
                <w:kern w:val="0"/>
              </w:rPr>
            </w:pPr>
            <w:r w:rsidRPr="00610751">
              <w:rPr>
                <w:kern w:val="0"/>
              </w:rPr>
              <w:t>Lazarova et al.</w:t>
            </w:r>
          </w:p>
        </w:tc>
        <w:tc>
          <w:tcPr>
            <w:tcW w:w="9090" w:type="dxa"/>
            <w:noWrap/>
            <w:hideMark/>
          </w:tcPr>
          <w:p w14:paraId="38723B99" w14:textId="77777777" w:rsidR="00610751" w:rsidRPr="00610751" w:rsidRDefault="00610751" w:rsidP="00610751">
            <w:pPr>
              <w:widowControl/>
              <w:overflowPunct/>
              <w:autoSpaceDE/>
              <w:autoSpaceDN/>
              <w:adjustRightInd/>
              <w:rPr>
                <w:kern w:val="0"/>
              </w:rPr>
            </w:pPr>
            <w:r w:rsidRPr="00610751">
              <w:rPr>
                <w:kern w:val="0"/>
              </w:rPr>
              <w:t>Locals know best? Subsidiary HR autonomy and subsidiary performance</w:t>
            </w:r>
          </w:p>
        </w:tc>
      </w:tr>
      <w:tr w:rsidR="00610751" w:rsidRPr="00610751" w14:paraId="294F4DD8" w14:textId="77777777" w:rsidTr="00DB7B9A">
        <w:trPr>
          <w:trHeight w:val="20"/>
        </w:trPr>
        <w:tc>
          <w:tcPr>
            <w:tcW w:w="810" w:type="dxa"/>
            <w:noWrap/>
            <w:hideMark/>
          </w:tcPr>
          <w:p w14:paraId="723C0689" w14:textId="77777777" w:rsidR="00610751" w:rsidRPr="00610751" w:rsidRDefault="00610751" w:rsidP="00610751">
            <w:pPr>
              <w:widowControl/>
              <w:overflowPunct/>
              <w:autoSpaceDE/>
              <w:autoSpaceDN/>
              <w:adjustRightInd/>
              <w:rPr>
                <w:kern w:val="0"/>
              </w:rPr>
            </w:pPr>
            <w:r w:rsidRPr="00610751">
              <w:rPr>
                <w:kern w:val="0"/>
              </w:rPr>
              <w:t>2017</w:t>
            </w:r>
          </w:p>
        </w:tc>
        <w:tc>
          <w:tcPr>
            <w:tcW w:w="2340" w:type="dxa"/>
            <w:noWrap/>
            <w:hideMark/>
          </w:tcPr>
          <w:p w14:paraId="03D39C20" w14:textId="77777777" w:rsidR="00610751" w:rsidRPr="00610751" w:rsidRDefault="00610751" w:rsidP="00610751">
            <w:pPr>
              <w:widowControl/>
              <w:overflowPunct/>
              <w:autoSpaceDE/>
              <w:autoSpaceDN/>
              <w:adjustRightInd/>
              <w:rPr>
                <w:kern w:val="0"/>
              </w:rPr>
            </w:pPr>
            <w:r w:rsidRPr="00610751">
              <w:rPr>
                <w:kern w:val="0"/>
              </w:rPr>
              <w:t>Sarabi et al.</w:t>
            </w:r>
          </w:p>
        </w:tc>
        <w:tc>
          <w:tcPr>
            <w:tcW w:w="9090" w:type="dxa"/>
            <w:noWrap/>
            <w:hideMark/>
          </w:tcPr>
          <w:p w14:paraId="68192FE5" w14:textId="77777777" w:rsidR="00610751" w:rsidRPr="00610751" w:rsidRDefault="00610751" w:rsidP="00610751">
            <w:pPr>
              <w:widowControl/>
              <w:overflowPunct/>
              <w:autoSpaceDE/>
              <w:autoSpaceDN/>
              <w:adjustRightInd/>
              <w:rPr>
                <w:kern w:val="0"/>
              </w:rPr>
            </w:pPr>
            <w:r w:rsidRPr="00610751">
              <w:rPr>
                <w:kern w:val="0"/>
              </w:rPr>
              <w:t>Is inpatriate assignment experience a ticket to the top of a foreign subsidiary? The moderating effect of subsidiary context</w:t>
            </w:r>
          </w:p>
        </w:tc>
      </w:tr>
      <w:tr w:rsidR="00610751" w:rsidRPr="00610751" w14:paraId="378CAE17" w14:textId="77777777" w:rsidTr="00DB7B9A">
        <w:trPr>
          <w:trHeight w:val="20"/>
        </w:trPr>
        <w:tc>
          <w:tcPr>
            <w:tcW w:w="810" w:type="dxa"/>
            <w:noWrap/>
            <w:hideMark/>
          </w:tcPr>
          <w:p w14:paraId="626A0F4A" w14:textId="77777777" w:rsidR="00610751" w:rsidRPr="00610751" w:rsidRDefault="00610751" w:rsidP="00610751">
            <w:pPr>
              <w:widowControl/>
              <w:overflowPunct/>
              <w:autoSpaceDE/>
              <w:autoSpaceDN/>
              <w:adjustRightInd/>
              <w:rPr>
                <w:kern w:val="0"/>
              </w:rPr>
            </w:pPr>
            <w:r w:rsidRPr="00610751">
              <w:rPr>
                <w:kern w:val="0"/>
              </w:rPr>
              <w:t>2017</w:t>
            </w:r>
          </w:p>
        </w:tc>
        <w:tc>
          <w:tcPr>
            <w:tcW w:w="2340" w:type="dxa"/>
            <w:noWrap/>
            <w:hideMark/>
          </w:tcPr>
          <w:p w14:paraId="19D97016" w14:textId="77777777" w:rsidR="00610751" w:rsidRPr="00610751" w:rsidRDefault="00610751" w:rsidP="00610751">
            <w:pPr>
              <w:widowControl/>
              <w:overflowPunct/>
              <w:autoSpaceDE/>
              <w:autoSpaceDN/>
              <w:adjustRightInd/>
              <w:rPr>
                <w:kern w:val="0"/>
              </w:rPr>
            </w:pPr>
            <w:r w:rsidRPr="00610751">
              <w:rPr>
                <w:kern w:val="0"/>
              </w:rPr>
              <w:t>Sengul &amp; Obloj</w:t>
            </w:r>
          </w:p>
        </w:tc>
        <w:tc>
          <w:tcPr>
            <w:tcW w:w="9090" w:type="dxa"/>
            <w:noWrap/>
            <w:hideMark/>
          </w:tcPr>
          <w:p w14:paraId="45ADCC8A" w14:textId="77777777" w:rsidR="00610751" w:rsidRPr="00610751" w:rsidRDefault="00610751" w:rsidP="00610751">
            <w:pPr>
              <w:widowControl/>
              <w:overflowPunct/>
              <w:autoSpaceDE/>
              <w:autoSpaceDN/>
              <w:adjustRightInd/>
              <w:rPr>
                <w:kern w:val="0"/>
              </w:rPr>
            </w:pPr>
            <w:r w:rsidRPr="00610751">
              <w:rPr>
                <w:kern w:val="0"/>
              </w:rPr>
              <w:t>Better Safe Than Sorry: Subsidiary Performance Feedback and Internal Governance in Multiunit Firms</w:t>
            </w:r>
          </w:p>
        </w:tc>
      </w:tr>
      <w:tr w:rsidR="00610751" w:rsidRPr="00610751" w14:paraId="6290EECC" w14:textId="77777777" w:rsidTr="00DB7B9A">
        <w:trPr>
          <w:trHeight w:val="20"/>
        </w:trPr>
        <w:tc>
          <w:tcPr>
            <w:tcW w:w="810" w:type="dxa"/>
            <w:noWrap/>
            <w:hideMark/>
          </w:tcPr>
          <w:p w14:paraId="2AFF67AC" w14:textId="77777777" w:rsidR="00610751" w:rsidRPr="00610751" w:rsidRDefault="00610751" w:rsidP="00610751">
            <w:pPr>
              <w:widowControl/>
              <w:overflowPunct/>
              <w:autoSpaceDE/>
              <w:autoSpaceDN/>
              <w:adjustRightInd/>
              <w:rPr>
                <w:kern w:val="0"/>
              </w:rPr>
            </w:pPr>
            <w:r w:rsidRPr="00610751">
              <w:rPr>
                <w:kern w:val="0"/>
              </w:rPr>
              <w:t>2017</w:t>
            </w:r>
          </w:p>
        </w:tc>
        <w:tc>
          <w:tcPr>
            <w:tcW w:w="2340" w:type="dxa"/>
            <w:noWrap/>
            <w:hideMark/>
          </w:tcPr>
          <w:p w14:paraId="2338F79F" w14:textId="77777777" w:rsidR="00610751" w:rsidRPr="00610751" w:rsidRDefault="00610751" w:rsidP="00610751">
            <w:pPr>
              <w:widowControl/>
              <w:overflowPunct/>
              <w:autoSpaceDE/>
              <w:autoSpaceDN/>
              <w:adjustRightInd/>
              <w:rPr>
                <w:kern w:val="0"/>
              </w:rPr>
            </w:pPr>
            <w:r w:rsidRPr="00610751">
              <w:rPr>
                <w:kern w:val="0"/>
              </w:rPr>
              <w:t>Tao et al.</w:t>
            </w:r>
          </w:p>
        </w:tc>
        <w:tc>
          <w:tcPr>
            <w:tcW w:w="9090" w:type="dxa"/>
            <w:noWrap/>
            <w:hideMark/>
          </w:tcPr>
          <w:p w14:paraId="5B8042D6" w14:textId="77777777" w:rsidR="00610751" w:rsidRPr="00610751" w:rsidRDefault="00610751" w:rsidP="00610751">
            <w:pPr>
              <w:widowControl/>
              <w:overflowPunct/>
              <w:autoSpaceDE/>
              <w:autoSpaceDN/>
              <w:adjustRightInd/>
              <w:rPr>
                <w:kern w:val="0"/>
              </w:rPr>
            </w:pPr>
            <w:r w:rsidRPr="00610751">
              <w:rPr>
                <w:kern w:val="0"/>
              </w:rPr>
              <w:t>Expatriates, subsidiary autonomy and the overseas subsidiary performance of MNEs from an emerging economy</w:t>
            </w:r>
          </w:p>
        </w:tc>
      </w:tr>
      <w:tr w:rsidR="00610751" w:rsidRPr="00610751" w14:paraId="09662ABC" w14:textId="77777777" w:rsidTr="00DB7B9A">
        <w:trPr>
          <w:trHeight w:val="20"/>
        </w:trPr>
        <w:tc>
          <w:tcPr>
            <w:tcW w:w="810" w:type="dxa"/>
            <w:noWrap/>
            <w:hideMark/>
          </w:tcPr>
          <w:p w14:paraId="6D25E6E4"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6217B069" w14:textId="77777777" w:rsidR="00610751" w:rsidRPr="00610751" w:rsidRDefault="00610751" w:rsidP="00610751">
            <w:pPr>
              <w:widowControl/>
              <w:overflowPunct/>
              <w:autoSpaceDE/>
              <w:autoSpaceDN/>
              <w:adjustRightInd/>
              <w:rPr>
                <w:kern w:val="0"/>
              </w:rPr>
            </w:pPr>
            <w:r w:rsidRPr="00610751">
              <w:rPr>
                <w:kern w:val="0"/>
              </w:rPr>
              <w:t>Ambos et al.</w:t>
            </w:r>
          </w:p>
        </w:tc>
        <w:tc>
          <w:tcPr>
            <w:tcW w:w="9090" w:type="dxa"/>
            <w:noWrap/>
            <w:hideMark/>
          </w:tcPr>
          <w:p w14:paraId="41D7A873" w14:textId="77777777" w:rsidR="00610751" w:rsidRPr="00610751" w:rsidRDefault="00610751" w:rsidP="00610751">
            <w:pPr>
              <w:widowControl/>
              <w:overflowPunct/>
              <w:autoSpaceDE/>
              <w:autoSpaceDN/>
              <w:adjustRightInd/>
              <w:rPr>
                <w:kern w:val="0"/>
              </w:rPr>
            </w:pPr>
            <w:r w:rsidRPr="00610751">
              <w:rPr>
                <w:kern w:val="0"/>
              </w:rPr>
              <w:t>Unravelling agency relations inside the MNC: The roles of socialization, goal conflicts and second principals in headquarters-subsidiary relationships</w:t>
            </w:r>
          </w:p>
        </w:tc>
      </w:tr>
      <w:tr w:rsidR="00610751" w:rsidRPr="00610751" w14:paraId="3D504844" w14:textId="77777777" w:rsidTr="00DB7B9A">
        <w:trPr>
          <w:trHeight w:val="20"/>
        </w:trPr>
        <w:tc>
          <w:tcPr>
            <w:tcW w:w="810" w:type="dxa"/>
            <w:noWrap/>
            <w:hideMark/>
          </w:tcPr>
          <w:p w14:paraId="2F821171"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2BE3D6CC" w14:textId="77777777" w:rsidR="00610751" w:rsidRPr="00610751" w:rsidRDefault="00610751" w:rsidP="00610751">
            <w:pPr>
              <w:widowControl/>
              <w:overflowPunct/>
              <w:autoSpaceDE/>
              <w:autoSpaceDN/>
              <w:adjustRightInd/>
              <w:rPr>
                <w:kern w:val="0"/>
              </w:rPr>
            </w:pPr>
            <w:r w:rsidRPr="00610751">
              <w:rPr>
                <w:kern w:val="0"/>
              </w:rPr>
              <w:t>Asakawa et al.</w:t>
            </w:r>
          </w:p>
        </w:tc>
        <w:tc>
          <w:tcPr>
            <w:tcW w:w="9090" w:type="dxa"/>
            <w:noWrap/>
            <w:hideMark/>
          </w:tcPr>
          <w:p w14:paraId="5EB4132B" w14:textId="77777777" w:rsidR="00610751" w:rsidRPr="00610751" w:rsidRDefault="00610751" w:rsidP="00610751">
            <w:pPr>
              <w:widowControl/>
              <w:overflowPunct/>
              <w:autoSpaceDE/>
              <w:autoSpaceDN/>
              <w:adjustRightInd/>
              <w:rPr>
                <w:kern w:val="0"/>
              </w:rPr>
            </w:pPr>
            <w:r w:rsidRPr="00610751">
              <w:rPr>
                <w:kern w:val="0"/>
              </w:rPr>
              <w:t>Internal embeddedness, geographic distance, and global knowledge sourcing by overseas subsidiaries</w:t>
            </w:r>
          </w:p>
        </w:tc>
      </w:tr>
      <w:tr w:rsidR="00610751" w:rsidRPr="00610751" w14:paraId="15AFCB7D" w14:textId="77777777" w:rsidTr="00DB7B9A">
        <w:trPr>
          <w:trHeight w:val="20"/>
        </w:trPr>
        <w:tc>
          <w:tcPr>
            <w:tcW w:w="810" w:type="dxa"/>
            <w:noWrap/>
            <w:hideMark/>
          </w:tcPr>
          <w:p w14:paraId="4BF124E8"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7D21A7B4" w14:textId="77777777" w:rsidR="00610751" w:rsidRPr="00610751" w:rsidRDefault="00610751" w:rsidP="00610751">
            <w:pPr>
              <w:widowControl/>
              <w:overflowPunct/>
              <w:autoSpaceDE/>
              <w:autoSpaceDN/>
              <w:adjustRightInd/>
              <w:rPr>
                <w:kern w:val="0"/>
              </w:rPr>
            </w:pPr>
            <w:r w:rsidRPr="00610751">
              <w:rPr>
                <w:kern w:val="0"/>
              </w:rPr>
              <w:t>Beugelsdijk &amp; Jindra</w:t>
            </w:r>
          </w:p>
        </w:tc>
        <w:tc>
          <w:tcPr>
            <w:tcW w:w="9090" w:type="dxa"/>
            <w:noWrap/>
            <w:hideMark/>
          </w:tcPr>
          <w:p w14:paraId="0F2B92EA" w14:textId="77777777" w:rsidR="00610751" w:rsidRPr="00610751" w:rsidRDefault="00610751" w:rsidP="00610751">
            <w:pPr>
              <w:widowControl/>
              <w:overflowPunct/>
              <w:autoSpaceDE/>
              <w:autoSpaceDN/>
              <w:adjustRightInd/>
              <w:rPr>
                <w:kern w:val="0"/>
              </w:rPr>
            </w:pPr>
            <w:r w:rsidRPr="00610751">
              <w:rPr>
                <w:kern w:val="0"/>
              </w:rPr>
              <w:t>Product innovation and decision-making autonomy in subsidiaries of multinational companies</w:t>
            </w:r>
          </w:p>
        </w:tc>
      </w:tr>
      <w:tr w:rsidR="00610751" w:rsidRPr="00610751" w14:paraId="354E1F2C" w14:textId="77777777" w:rsidTr="00DB7B9A">
        <w:trPr>
          <w:trHeight w:val="20"/>
        </w:trPr>
        <w:tc>
          <w:tcPr>
            <w:tcW w:w="810" w:type="dxa"/>
            <w:noWrap/>
            <w:hideMark/>
          </w:tcPr>
          <w:p w14:paraId="141E41E5"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67D2AC9B" w14:textId="77777777" w:rsidR="00610751" w:rsidRPr="00610751" w:rsidRDefault="00610751" w:rsidP="00610751">
            <w:pPr>
              <w:widowControl/>
              <w:overflowPunct/>
              <w:autoSpaceDE/>
              <w:autoSpaceDN/>
              <w:adjustRightInd/>
              <w:rPr>
                <w:kern w:val="0"/>
              </w:rPr>
            </w:pPr>
            <w:r w:rsidRPr="00610751">
              <w:rPr>
                <w:kern w:val="0"/>
              </w:rPr>
              <w:t>Kim et al.</w:t>
            </w:r>
          </w:p>
        </w:tc>
        <w:tc>
          <w:tcPr>
            <w:tcW w:w="9090" w:type="dxa"/>
            <w:noWrap/>
            <w:hideMark/>
          </w:tcPr>
          <w:p w14:paraId="18349BEA" w14:textId="77777777" w:rsidR="00610751" w:rsidRPr="00610751" w:rsidRDefault="00610751" w:rsidP="00610751">
            <w:pPr>
              <w:widowControl/>
              <w:overflowPunct/>
              <w:autoSpaceDE/>
              <w:autoSpaceDN/>
              <w:adjustRightInd/>
              <w:rPr>
                <w:kern w:val="0"/>
              </w:rPr>
            </w:pPr>
            <w:r w:rsidRPr="00610751">
              <w:rPr>
                <w:kern w:val="0"/>
              </w:rPr>
              <w:t>Stakeholder influence, institutional duality, and CSR involvement of MNC subsidiaries</w:t>
            </w:r>
          </w:p>
        </w:tc>
      </w:tr>
      <w:tr w:rsidR="00610751" w:rsidRPr="00610751" w14:paraId="666C587E" w14:textId="77777777" w:rsidTr="00DB7B9A">
        <w:trPr>
          <w:trHeight w:val="20"/>
        </w:trPr>
        <w:tc>
          <w:tcPr>
            <w:tcW w:w="810" w:type="dxa"/>
            <w:noWrap/>
            <w:hideMark/>
          </w:tcPr>
          <w:p w14:paraId="110EB98C"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7CF0EC2C" w14:textId="77777777" w:rsidR="00610751" w:rsidRPr="00610751" w:rsidRDefault="00610751" w:rsidP="00610751">
            <w:pPr>
              <w:widowControl/>
              <w:overflowPunct/>
              <w:autoSpaceDE/>
              <w:autoSpaceDN/>
              <w:adjustRightInd/>
              <w:rPr>
                <w:kern w:val="0"/>
              </w:rPr>
            </w:pPr>
            <w:r w:rsidRPr="00610751">
              <w:rPr>
                <w:kern w:val="0"/>
              </w:rPr>
              <w:t>Nguyen &amp; Almodóvar</w:t>
            </w:r>
          </w:p>
        </w:tc>
        <w:tc>
          <w:tcPr>
            <w:tcW w:w="9090" w:type="dxa"/>
            <w:noWrap/>
            <w:hideMark/>
          </w:tcPr>
          <w:p w14:paraId="41A15CA7" w14:textId="77777777" w:rsidR="00610751" w:rsidRPr="00610751" w:rsidRDefault="00610751" w:rsidP="00610751">
            <w:pPr>
              <w:widowControl/>
              <w:overflowPunct/>
              <w:autoSpaceDE/>
              <w:autoSpaceDN/>
              <w:adjustRightInd/>
              <w:rPr>
                <w:kern w:val="0"/>
              </w:rPr>
            </w:pPr>
            <w:r w:rsidRPr="00610751">
              <w:rPr>
                <w:kern w:val="0"/>
              </w:rPr>
              <w:t>Export intensity of foreign subsidiaries of multinational enterprises: The role of trade finance availability</w:t>
            </w:r>
          </w:p>
        </w:tc>
      </w:tr>
      <w:tr w:rsidR="00610751" w:rsidRPr="00610751" w14:paraId="774DADDE" w14:textId="77777777" w:rsidTr="00DB7B9A">
        <w:trPr>
          <w:trHeight w:val="20"/>
        </w:trPr>
        <w:tc>
          <w:tcPr>
            <w:tcW w:w="810" w:type="dxa"/>
            <w:noWrap/>
            <w:hideMark/>
          </w:tcPr>
          <w:p w14:paraId="658BD434"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4058C773" w14:textId="77777777" w:rsidR="00610751" w:rsidRPr="00610751" w:rsidRDefault="00610751" w:rsidP="00610751">
            <w:pPr>
              <w:widowControl/>
              <w:overflowPunct/>
              <w:autoSpaceDE/>
              <w:autoSpaceDN/>
              <w:adjustRightInd/>
              <w:rPr>
                <w:kern w:val="0"/>
              </w:rPr>
            </w:pPr>
            <w:r w:rsidRPr="00610751">
              <w:rPr>
                <w:kern w:val="0"/>
              </w:rPr>
              <w:t>Nuruzzaman et al.</w:t>
            </w:r>
          </w:p>
        </w:tc>
        <w:tc>
          <w:tcPr>
            <w:tcW w:w="9090" w:type="dxa"/>
            <w:noWrap/>
            <w:hideMark/>
          </w:tcPr>
          <w:p w14:paraId="28E86A95" w14:textId="77777777" w:rsidR="00610751" w:rsidRPr="00610751" w:rsidRDefault="00610751" w:rsidP="00610751">
            <w:pPr>
              <w:widowControl/>
              <w:overflowPunct/>
              <w:autoSpaceDE/>
              <w:autoSpaceDN/>
              <w:adjustRightInd/>
              <w:rPr>
                <w:kern w:val="0"/>
              </w:rPr>
            </w:pPr>
            <w:r w:rsidRPr="00610751">
              <w:rPr>
                <w:kern w:val="0"/>
              </w:rPr>
              <w:t>A microfoundations approach to studying innovation in multinational subsidiaries</w:t>
            </w:r>
          </w:p>
        </w:tc>
      </w:tr>
      <w:tr w:rsidR="00610751" w:rsidRPr="00610751" w14:paraId="2685E590" w14:textId="77777777" w:rsidTr="00DB7B9A">
        <w:trPr>
          <w:trHeight w:val="20"/>
        </w:trPr>
        <w:tc>
          <w:tcPr>
            <w:tcW w:w="810" w:type="dxa"/>
            <w:noWrap/>
            <w:hideMark/>
          </w:tcPr>
          <w:p w14:paraId="7A141262"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6F1239CD" w14:textId="77777777" w:rsidR="00610751" w:rsidRPr="00610751" w:rsidRDefault="00610751" w:rsidP="00610751">
            <w:pPr>
              <w:widowControl/>
              <w:overflowPunct/>
              <w:autoSpaceDE/>
              <w:autoSpaceDN/>
              <w:adjustRightInd/>
              <w:rPr>
                <w:kern w:val="0"/>
              </w:rPr>
            </w:pPr>
            <w:r w:rsidRPr="00610751">
              <w:rPr>
                <w:kern w:val="0"/>
              </w:rPr>
              <w:t>Pu &amp; Soh</w:t>
            </w:r>
          </w:p>
        </w:tc>
        <w:tc>
          <w:tcPr>
            <w:tcW w:w="9090" w:type="dxa"/>
            <w:noWrap/>
            <w:hideMark/>
          </w:tcPr>
          <w:p w14:paraId="29406596" w14:textId="77777777" w:rsidR="00610751" w:rsidRPr="00610751" w:rsidRDefault="00610751" w:rsidP="00610751">
            <w:pPr>
              <w:widowControl/>
              <w:overflowPunct/>
              <w:autoSpaceDE/>
              <w:autoSpaceDN/>
              <w:adjustRightInd/>
              <w:rPr>
                <w:kern w:val="0"/>
              </w:rPr>
            </w:pPr>
            <w:r w:rsidRPr="00610751">
              <w:rPr>
                <w:kern w:val="0"/>
              </w:rPr>
              <w:t>The role of dual embeddedness and organizational learning in subsidiary development</w:t>
            </w:r>
          </w:p>
        </w:tc>
      </w:tr>
      <w:tr w:rsidR="00610751" w:rsidRPr="00610751" w14:paraId="52A20782" w14:textId="77777777" w:rsidTr="00DB7B9A">
        <w:trPr>
          <w:trHeight w:val="20"/>
        </w:trPr>
        <w:tc>
          <w:tcPr>
            <w:tcW w:w="810" w:type="dxa"/>
            <w:noWrap/>
            <w:hideMark/>
          </w:tcPr>
          <w:p w14:paraId="79C49662"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05CA1BFA" w14:textId="77777777" w:rsidR="00610751" w:rsidRPr="00610751" w:rsidRDefault="00610751" w:rsidP="00610751">
            <w:pPr>
              <w:widowControl/>
              <w:overflowPunct/>
              <w:autoSpaceDE/>
              <w:autoSpaceDN/>
              <w:adjustRightInd/>
              <w:rPr>
                <w:kern w:val="0"/>
              </w:rPr>
            </w:pPr>
            <w:r w:rsidRPr="00610751">
              <w:rPr>
                <w:kern w:val="0"/>
              </w:rPr>
              <w:t>Rabbiosi &amp; Santangelo</w:t>
            </w:r>
          </w:p>
        </w:tc>
        <w:tc>
          <w:tcPr>
            <w:tcW w:w="9090" w:type="dxa"/>
            <w:noWrap/>
            <w:hideMark/>
          </w:tcPr>
          <w:p w14:paraId="359FE85D" w14:textId="77777777" w:rsidR="00610751" w:rsidRPr="00610751" w:rsidRDefault="00610751" w:rsidP="00610751">
            <w:pPr>
              <w:widowControl/>
              <w:overflowPunct/>
              <w:autoSpaceDE/>
              <w:autoSpaceDN/>
              <w:adjustRightInd/>
              <w:rPr>
                <w:kern w:val="0"/>
              </w:rPr>
            </w:pPr>
            <w:r w:rsidRPr="00610751">
              <w:rPr>
                <w:kern w:val="0"/>
              </w:rPr>
              <w:t>Host country corruption and the organization of HQ–subsidiary relationships</w:t>
            </w:r>
          </w:p>
        </w:tc>
      </w:tr>
      <w:tr w:rsidR="00610751" w:rsidRPr="00610751" w14:paraId="50EA7F95" w14:textId="77777777" w:rsidTr="00DB7B9A">
        <w:trPr>
          <w:trHeight w:val="20"/>
        </w:trPr>
        <w:tc>
          <w:tcPr>
            <w:tcW w:w="810" w:type="dxa"/>
            <w:noWrap/>
            <w:hideMark/>
          </w:tcPr>
          <w:p w14:paraId="2D06EA42"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7D55AC42" w14:textId="77777777" w:rsidR="00610751" w:rsidRPr="00610751" w:rsidRDefault="00610751" w:rsidP="00610751">
            <w:pPr>
              <w:widowControl/>
              <w:overflowPunct/>
              <w:autoSpaceDE/>
              <w:autoSpaceDN/>
              <w:adjustRightInd/>
              <w:rPr>
                <w:kern w:val="0"/>
              </w:rPr>
            </w:pPr>
            <w:r w:rsidRPr="00610751">
              <w:rPr>
                <w:kern w:val="0"/>
              </w:rPr>
              <w:t>Santangelo et al.</w:t>
            </w:r>
          </w:p>
        </w:tc>
        <w:tc>
          <w:tcPr>
            <w:tcW w:w="9090" w:type="dxa"/>
            <w:noWrap/>
            <w:hideMark/>
          </w:tcPr>
          <w:p w14:paraId="5ABE485A" w14:textId="77777777" w:rsidR="00610751" w:rsidRPr="00610751" w:rsidRDefault="00610751" w:rsidP="00610751">
            <w:pPr>
              <w:widowControl/>
              <w:overflowPunct/>
              <w:autoSpaceDE/>
              <w:autoSpaceDN/>
              <w:adjustRightInd/>
              <w:rPr>
                <w:kern w:val="0"/>
              </w:rPr>
            </w:pPr>
            <w:r w:rsidRPr="00610751">
              <w:rPr>
                <w:kern w:val="0"/>
              </w:rPr>
              <w:t>Institutional antecedents of subsidiary external embeddedness: Coping with regulatory competitive constraints</w:t>
            </w:r>
          </w:p>
        </w:tc>
      </w:tr>
      <w:tr w:rsidR="00610751" w:rsidRPr="00610751" w14:paraId="531A82B6" w14:textId="77777777" w:rsidTr="00DB7B9A">
        <w:trPr>
          <w:trHeight w:val="20"/>
        </w:trPr>
        <w:tc>
          <w:tcPr>
            <w:tcW w:w="810" w:type="dxa"/>
            <w:noWrap/>
            <w:hideMark/>
          </w:tcPr>
          <w:p w14:paraId="4F2D5DA1"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1A6DD5EA" w14:textId="77777777" w:rsidR="00610751" w:rsidRPr="00610751" w:rsidRDefault="00610751" w:rsidP="00610751">
            <w:pPr>
              <w:widowControl/>
              <w:overflowPunct/>
              <w:autoSpaceDE/>
              <w:autoSpaceDN/>
              <w:adjustRightInd/>
              <w:rPr>
                <w:kern w:val="0"/>
              </w:rPr>
            </w:pPr>
            <w:r w:rsidRPr="00610751">
              <w:rPr>
                <w:kern w:val="0"/>
              </w:rPr>
              <w:t>Valentino et al.</w:t>
            </w:r>
          </w:p>
        </w:tc>
        <w:tc>
          <w:tcPr>
            <w:tcW w:w="9090" w:type="dxa"/>
            <w:noWrap/>
            <w:hideMark/>
          </w:tcPr>
          <w:p w14:paraId="02B41F1E" w14:textId="77777777" w:rsidR="00610751" w:rsidRPr="00610751" w:rsidRDefault="00610751" w:rsidP="00610751">
            <w:pPr>
              <w:widowControl/>
              <w:overflowPunct/>
              <w:autoSpaceDE/>
              <w:autoSpaceDN/>
              <w:adjustRightInd/>
              <w:rPr>
                <w:kern w:val="0"/>
              </w:rPr>
            </w:pPr>
            <w:r w:rsidRPr="00610751">
              <w:rPr>
                <w:kern w:val="0"/>
              </w:rPr>
              <w:t>Establishment modes and network relationships of foreign subsidiaries</w:t>
            </w:r>
          </w:p>
        </w:tc>
      </w:tr>
      <w:tr w:rsidR="00610751" w:rsidRPr="00610751" w14:paraId="546E7E30" w14:textId="77777777" w:rsidTr="00DB7B9A">
        <w:trPr>
          <w:trHeight w:val="20"/>
        </w:trPr>
        <w:tc>
          <w:tcPr>
            <w:tcW w:w="810" w:type="dxa"/>
            <w:noWrap/>
            <w:hideMark/>
          </w:tcPr>
          <w:p w14:paraId="3B155E88"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3DD84CCA" w14:textId="77777777" w:rsidR="00610751" w:rsidRPr="00610751" w:rsidRDefault="00610751" w:rsidP="00610751">
            <w:pPr>
              <w:widowControl/>
              <w:overflowPunct/>
              <w:autoSpaceDE/>
              <w:autoSpaceDN/>
              <w:adjustRightInd/>
              <w:rPr>
                <w:kern w:val="0"/>
              </w:rPr>
            </w:pPr>
            <w:r w:rsidRPr="00610751">
              <w:rPr>
                <w:kern w:val="0"/>
              </w:rPr>
              <w:t>Villar et al.</w:t>
            </w:r>
          </w:p>
        </w:tc>
        <w:tc>
          <w:tcPr>
            <w:tcW w:w="9090" w:type="dxa"/>
            <w:noWrap/>
            <w:hideMark/>
          </w:tcPr>
          <w:p w14:paraId="2E06C2DE" w14:textId="77777777" w:rsidR="00610751" w:rsidRPr="00610751" w:rsidRDefault="00610751" w:rsidP="00610751">
            <w:pPr>
              <w:widowControl/>
              <w:overflowPunct/>
              <w:autoSpaceDE/>
              <w:autoSpaceDN/>
              <w:adjustRightInd/>
              <w:rPr>
                <w:kern w:val="0"/>
              </w:rPr>
            </w:pPr>
            <w:r w:rsidRPr="00610751">
              <w:rPr>
                <w:kern w:val="0"/>
              </w:rPr>
              <w:t>Subsidiary-specific advantages for inter-regional expansion: The role of intermediate units</w:t>
            </w:r>
          </w:p>
        </w:tc>
      </w:tr>
      <w:tr w:rsidR="00610751" w:rsidRPr="00610751" w14:paraId="7D91CD3A" w14:textId="77777777" w:rsidTr="00DB7B9A">
        <w:trPr>
          <w:trHeight w:val="20"/>
        </w:trPr>
        <w:tc>
          <w:tcPr>
            <w:tcW w:w="810" w:type="dxa"/>
            <w:noWrap/>
            <w:hideMark/>
          </w:tcPr>
          <w:p w14:paraId="2DEBD27A" w14:textId="77777777" w:rsidR="00610751" w:rsidRPr="00610751" w:rsidRDefault="00610751" w:rsidP="00610751">
            <w:pPr>
              <w:widowControl/>
              <w:overflowPunct/>
              <w:autoSpaceDE/>
              <w:autoSpaceDN/>
              <w:adjustRightInd/>
              <w:rPr>
                <w:kern w:val="0"/>
              </w:rPr>
            </w:pPr>
            <w:r w:rsidRPr="00610751">
              <w:rPr>
                <w:kern w:val="0"/>
              </w:rPr>
              <w:t>2018</w:t>
            </w:r>
          </w:p>
        </w:tc>
        <w:tc>
          <w:tcPr>
            <w:tcW w:w="2340" w:type="dxa"/>
            <w:noWrap/>
            <w:hideMark/>
          </w:tcPr>
          <w:p w14:paraId="4AF66065" w14:textId="77777777" w:rsidR="00610751" w:rsidRPr="00610751" w:rsidRDefault="00610751" w:rsidP="00610751">
            <w:pPr>
              <w:widowControl/>
              <w:overflowPunct/>
              <w:autoSpaceDE/>
              <w:autoSpaceDN/>
              <w:adjustRightInd/>
              <w:rPr>
                <w:kern w:val="0"/>
              </w:rPr>
            </w:pPr>
            <w:r w:rsidRPr="00610751">
              <w:rPr>
                <w:kern w:val="0"/>
              </w:rPr>
              <w:t>Weng &amp; Cheng</w:t>
            </w:r>
          </w:p>
        </w:tc>
        <w:tc>
          <w:tcPr>
            <w:tcW w:w="9090" w:type="dxa"/>
            <w:noWrap/>
            <w:hideMark/>
          </w:tcPr>
          <w:p w14:paraId="68DCE6DE" w14:textId="77777777" w:rsidR="00610751" w:rsidRPr="00610751" w:rsidRDefault="00610751" w:rsidP="00610751">
            <w:pPr>
              <w:widowControl/>
              <w:overflowPunct/>
              <w:autoSpaceDE/>
              <w:autoSpaceDN/>
              <w:adjustRightInd/>
              <w:rPr>
                <w:kern w:val="0"/>
              </w:rPr>
            </w:pPr>
            <w:r w:rsidRPr="00610751">
              <w:rPr>
                <w:kern w:val="0"/>
              </w:rPr>
              <w:t>The more, the merrier? How a subsidiary's organizational identification with the MNE affects its initiative</w:t>
            </w:r>
          </w:p>
        </w:tc>
      </w:tr>
      <w:tr w:rsidR="00610751" w:rsidRPr="00610751" w14:paraId="059E79E5" w14:textId="77777777" w:rsidTr="00DB7B9A">
        <w:trPr>
          <w:trHeight w:val="20"/>
        </w:trPr>
        <w:tc>
          <w:tcPr>
            <w:tcW w:w="810" w:type="dxa"/>
            <w:noWrap/>
            <w:hideMark/>
          </w:tcPr>
          <w:p w14:paraId="5D7B3091" w14:textId="77777777" w:rsidR="00610751" w:rsidRPr="00610751" w:rsidRDefault="00610751" w:rsidP="00610751">
            <w:pPr>
              <w:widowControl/>
              <w:overflowPunct/>
              <w:autoSpaceDE/>
              <w:autoSpaceDN/>
              <w:adjustRightInd/>
              <w:rPr>
                <w:kern w:val="0"/>
              </w:rPr>
            </w:pPr>
            <w:r w:rsidRPr="00610751">
              <w:rPr>
                <w:kern w:val="0"/>
              </w:rPr>
              <w:t>2019</w:t>
            </w:r>
          </w:p>
        </w:tc>
        <w:tc>
          <w:tcPr>
            <w:tcW w:w="2340" w:type="dxa"/>
            <w:noWrap/>
            <w:hideMark/>
          </w:tcPr>
          <w:p w14:paraId="5A030650" w14:textId="77777777" w:rsidR="00610751" w:rsidRPr="00610751" w:rsidRDefault="00610751" w:rsidP="00610751">
            <w:pPr>
              <w:widowControl/>
              <w:overflowPunct/>
              <w:autoSpaceDE/>
              <w:autoSpaceDN/>
              <w:adjustRightInd/>
              <w:rPr>
                <w:kern w:val="0"/>
              </w:rPr>
            </w:pPr>
            <w:r w:rsidRPr="00610751">
              <w:rPr>
                <w:kern w:val="0"/>
              </w:rPr>
              <w:t>Alexiou et al.</w:t>
            </w:r>
          </w:p>
        </w:tc>
        <w:tc>
          <w:tcPr>
            <w:tcW w:w="9090" w:type="dxa"/>
            <w:noWrap/>
            <w:hideMark/>
          </w:tcPr>
          <w:p w14:paraId="41160A85" w14:textId="77777777" w:rsidR="00610751" w:rsidRPr="00610751" w:rsidRDefault="00610751" w:rsidP="00610751">
            <w:pPr>
              <w:widowControl/>
              <w:overflowPunct/>
              <w:autoSpaceDE/>
              <w:autoSpaceDN/>
              <w:adjustRightInd/>
              <w:rPr>
                <w:kern w:val="0"/>
              </w:rPr>
            </w:pPr>
            <w:r w:rsidRPr="00610751">
              <w:rPr>
                <w:kern w:val="0"/>
              </w:rPr>
              <w:t>Productive organizational energy mediates the impact of organizational structure on absorptive capacity</w:t>
            </w:r>
          </w:p>
        </w:tc>
      </w:tr>
      <w:tr w:rsidR="00610751" w:rsidRPr="00610751" w14:paraId="7C4FBCD7" w14:textId="77777777" w:rsidTr="00DB7B9A">
        <w:trPr>
          <w:trHeight w:val="20"/>
        </w:trPr>
        <w:tc>
          <w:tcPr>
            <w:tcW w:w="810" w:type="dxa"/>
            <w:noWrap/>
            <w:hideMark/>
          </w:tcPr>
          <w:p w14:paraId="2BB6F70C" w14:textId="77777777" w:rsidR="00610751" w:rsidRPr="00610751" w:rsidRDefault="00610751" w:rsidP="00610751">
            <w:pPr>
              <w:widowControl/>
              <w:overflowPunct/>
              <w:autoSpaceDE/>
              <w:autoSpaceDN/>
              <w:adjustRightInd/>
              <w:rPr>
                <w:kern w:val="0"/>
              </w:rPr>
            </w:pPr>
            <w:r w:rsidRPr="00610751">
              <w:rPr>
                <w:kern w:val="0"/>
              </w:rPr>
              <w:t>2019</w:t>
            </w:r>
          </w:p>
        </w:tc>
        <w:tc>
          <w:tcPr>
            <w:tcW w:w="2340" w:type="dxa"/>
            <w:noWrap/>
            <w:hideMark/>
          </w:tcPr>
          <w:p w14:paraId="25304B52" w14:textId="77777777" w:rsidR="00610751" w:rsidRPr="00610751" w:rsidRDefault="00610751" w:rsidP="00610751">
            <w:pPr>
              <w:widowControl/>
              <w:overflowPunct/>
              <w:autoSpaceDE/>
              <w:autoSpaceDN/>
              <w:adjustRightInd/>
              <w:rPr>
                <w:kern w:val="0"/>
              </w:rPr>
            </w:pPr>
            <w:r w:rsidRPr="00610751">
              <w:rPr>
                <w:kern w:val="0"/>
              </w:rPr>
              <w:t>Chen et al.</w:t>
            </w:r>
          </w:p>
        </w:tc>
        <w:tc>
          <w:tcPr>
            <w:tcW w:w="9090" w:type="dxa"/>
            <w:noWrap/>
            <w:hideMark/>
          </w:tcPr>
          <w:p w14:paraId="48C658F6" w14:textId="77777777" w:rsidR="00610751" w:rsidRPr="00610751" w:rsidRDefault="00610751" w:rsidP="00610751">
            <w:pPr>
              <w:widowControl/>
              <w:overflowPunct/>
              <w:autoSpaceDE/>
              <w:autoSpaceDN/>
              <w:adjustRightInd/>
              <w:rPr>
                <w:kern w:val="0"/>
              </w:rPr>
            </w:pPr>
            <w:r w:rsidRPr="00610751">
              <w:rPr>
                <w:kern w:val="0"/>
              </w:rPr>
              <w:t>Entrepreneurial Orientation in Multinational Corporations: Antecedents and Effects</w:t>
            </w:r>
          </w:p>
        </w:tc>
      </w:tr>
      <w:tr w:rsidR="00610751" w:rsidRPr="00610751" w14:paraId="5C59C946" w14:textId="77777777" w:rsidTr="00DB7B9A">
        <w:trPr>
          <w:trHeight w:val="20"/>
        </w:trPr>
        <w:tc>
          <w:tcPr>
            <w:tcW w:w="810" w:type="dxa"/>
            <w:noWrap/>
            <w:hideMark/>
          </w:tcPr>
          <w:p w14:paraId="1A0C7E64" w14:textId="77777777" w:rsidR="00610751" w:rsidRPr="00610751" w:rsidRDefault="00610751" w:rsidP="00610751">
            <w:pPr>
              <w:widowControl/>
              <w:overflowPunct/>
              <w:autoSpaceDE/>
              <w:autoSpaceDN/>
              <w:adjustRightInd/>
              <w:rPr>
                <w:kern w:val="0"/>
              </w:rPr>
            </w:pPr>
            <w:r w:rsidRPr="00610751">
              <w:rPr>
                <w:kern w:val="0"/>
              </w:rPr>
              <w:t>2019</w:t>
            </w:r>
          </w:p>
        </w:tc>
        <w:tc>
          <w:tcPr>
            <w:tcW w:w="2340" w:type="dxa"/>
            <w:noWrap/>
            <w:hideMark/>
          </w:tcPr>
          <w:p w14:paraId="6C598696" w14:textId="77777777" w:rsidR="00610751" w:rsidRPr="00610751" w:rsidRDefault="00610751" w:rsidP="00610751">
            <w:pPr>
              <w:widowControl/>
              <w:overflowPunct/>
              <w:autoSpaceDE/>
              <w:autoSpaceDN/>
              <w:adjustRightInd/>
              <w:rPr>
                <w:kern w:val="0"/>
              </w:rPr>
            </w:pPr>
            <w:r w:rsidRPr="00610751">
              <w:rPr>
                <w:kern w:val="0"/>
              </w:rPr>
              <w:t>Hakala et al.</w:t>
            </w:r>
          </w:p>
        </w:tc>
        <w:tc>
          <w:tcPr>
            <w:tcW w:w="9090" w:type="dxa"/>
            <w:noWrap/>
            <w:hideMark/>
          </w:tcPr>
          <w:p w14:paraId="418D148A" w14:textId="77777777" w:rsidR="00610751" w:rsidRPr="00610751" w:rsidRDefault="00610751" w:rsidP="00610751">
            <w:pPr>
              <w:widowControl/>
              <w:overflowPunct/>
              <w:autoSpaceDE/>
              <w:autoSpaceDN/>
              <w:adjustRightInd/>
              <w:rPr>
                <w:kern w:val="0"/>
              </w:rPr>
            </w:pPr>
            <w:r w:rsidRPr="00610751">
              <w:rPr>
                <w:kern w:val="0"/>
              </w:rPr>
              <w:t>Entrepreneurial Orientation and International New Entry: The Moderating Role of Autonomy and Structures in Subsidiaries</w:t>
            </w:r>
          </w:p>
        </w:tc>
      </w:tr>
      <w:tr w:rsidR="00610751" w:rsidRPr="00610751" w14:paraId="0BB99A93" w14:textId="77777777" w:rsidTr="00DB7B9A">
        <w:trPr>
          <w:trHeight w:val="20"/>
        </w:trPr>
        <w:tc>
          <w:tcPr>
            <w:tcW w:w="810" w:type="dxa"/>
            <w:noWrap/>
            <w:hideMark/>
          </w:tcPr>
          <w:p w14:paraId="7B8B65C8" w14:textId="77777777" w:rsidR="00610751" w:rsidRPr="00610751" w:rsidRDefault="00610751" w:rsidP="00610751">
            <w:pPr>
              <w:widowControl/>
              <w:overflowPunct/>
              <w:autoSpaceDE/>
              <w:autoSpaceDN/>
              <w:adjustRightInd/>
              <w:rPr>
                <w:kern w:val="0"/>
              </w:rPr>
            </w:pPr>
            <w:r w:rsidRPr="00610751">
              <w:rPr>
                <w:kern w:val="0"/>
              </w:rPr>
              <w:t>2019</w:t>
            </w:r>
          </w:p>
        </w:tc>
        <w:tc>
          <w:tcPr>
            <w:tcW w:w="2340" w:type="dxa"/>
            <w:noWrap/>
            <w:hideMark/>
          </w:tcPr>
          <w:p w14:paraId="2DCCA451" w14:textId="77777777" w:rsidR="00610751" w:rsidRPr="00610751" w:rsidRDefault="00610751" w:rsidP="00610751">
            <w:pPr>
              <w:widowControl/>
              <w:overflowPunct/>
              <w:autoSpaceDE/>
              <w:autoSpaceDN/>
              <w:adjustRightInd/>
              <w:rPr>
                <w:kern w:val="0"/>
              </w:rPr>
            </w:pPr>
            <w:r w:rsidRPr="00610751">
              <w:rPr>
                <w:kern w:val="0"/>
              </w:rPr>
              <w:t>Kingkaew &amp; Dahms</w:t>
            </w:r>
          </w:p>
        </w:tc>
        <w:tc>
          <w:tcPr>
            <w:tcW w:w="9090" w:type="dxa"/>
            <w:noWrap/>
            <w:hideMark/>
          </w:tcPr>
          <w:p w14:paraId="1EC8783E" w14:textId="77777777" w:rsidR="00610751" w:rsidRPr="00610751" w:rsidRDefault="00610751" w:rsidP="00610751">
            <w:pPr>
              <w:widowControl/>
              <w:overflowPunct/>
              <w:autoSpaceDE/>
              <w:autoSpaceDN/>
              <w:adjustRightInd/>
              <w:rPr>
                <w:kern w:val="0"/>
              </w:rPr>
            </w:pPr>
            <w:r w:rsidRPr="00610751">
              <w:rPr>
                <w:kern w:val="0"/>
              </w:rPr>
              <w:t>Explaining autonomy variations across value-chain activities in foreign-owned subsidiaries</w:t>
            </w:r>
          </w:p>
        </w:tc>
      </w:tr>
      <w:tr w:rsidR="00610751" w:rsidRPr="00610751" w14:paraId="32851635" w14:textId="77777777" w:rsidTr="00DB7B9A">
        <w:trPr>
          <w:trHeight w:val="20"/>
        </w:trPr>
        <w:tc>
          <w:tcPr>
            <w:tcW w:w="810" w:type="dxa"/>
            <w:noWrap/>
            <w:hideMark/>
          </w:tcPr>
          <w:p w14:paraId="6A6BA7C8" w14:textId="77777777" w:rsidR="00610751" w:rsidRPr="00610751" w:rsidRDefault="00610751" w:rsidP="00610751">
            <w:pPr>
              <w:widowControl/>
              <w:overflowPunct/>
              <w:autoSpaceDE/>
              <w:autoSpaceDN/>
              <w:adjustRightInd/>
              <w:rPr>
                <w:kern w:val="0"/>
              </w:rPr>
            </w:pPr>
            <w:r w:rsidRPr="00610751">
              <w:rPr>
                <w:kern w:val="0"/>
              </w:rPr>
              <w:t>2019</w:t>
            </w:r>
          </w:p>
        </w:tc>
        <w:tc>
          <w:tcPr>
            <w:tcW w:w="2340" w:type="dxa"/>
            <w:noWrap/>
            <w:hideMark/>
          </w:tcPr>
          <w:p w14:paraId="3F108E34" w14:textId="77777777" w:rsidR="00610751" w:rsidRPr="00610751" w:rsidRDefault="00610751" w:rsidP="00610751">
            <w:pPr>
              <w:widowControl/>
              <w:overflowPunct/>
              <w:autoSpaceDE/>
              <w:autoSpaceDN/>
              <w:adjustRightInd/>
              <w:rPr>
                <w:kern w:val="0"/>
              </w:rPr>
            </w:pPr>
            <w:r w:rsidRPr="00610751">
              <w:rPr>
                <w:kern w:val="0"/>
              </w:rPr>
              <w:t>Lunnan et al.</w:t>
            </w:r>
          </w:p>
        </w:tc>
        <w:tc>
          <w:tcPr>
            <w:tcW w:w="9090" w:type="dxa"/>
            <w:noWrap/>
            <w:hideMark/>
          </w:tcPr>
          <w:p w14:paraId="792C45F7" w14:textId="77777777" w:rsidR="00610751" w:rsidRPr="00610751" w:rsidRDefault="00610751" w:rsidP="00610751">
            <w:pPr>
              <w:widowControl/>
              <w:overflowPunct/>
              <w:autoSpaceDE/>
              <w:autoSpaceDN/>
              <w:adjustRightInd/>
              <w:rPr>
                <w:kern w:val="0"/>
              </w:rPr>
            </w:pPr>
            <w:r w:rsidRPr="00610751">
              <w:rPr>
                <w:kern w:val="0"/>
              </w:rPr>
              <w:t>Dealing with headquarters in the multinational corporation: a subsidiary perspective on organizing costs</w:t>
            </w:r>
          </w:p>
        </w:tc>
      </w:tr>
      <w:tr w:rsidR="00610751" w:rsidRPr="00610751" w14:paraId="5874DC17" w14:textId="77777777" w:rsidTr="00DB7B9A">
        <w:trPr>
          <w:trHeight w:val="20"/>
        </w:trPr>
        <w:tc>
          <w:tcPr>
            <w:tcW w:w="810" w:type="dxa"/>
            <w:noWrap/>
            <w:hideMark/>
          </w:tcPr>
          <w:p w14:paraId="36B1C44C" w14:textId="77777777" w:rsidR="00610751" w:rsidRPr="00610751" w:rsidRDefault="00610751" w:rsidP="00610751">
            <w:pPr>
              <w:widowControl/>
              <w:overflowPunct/>
              <w:autoSpaceDE/>
              <w:autoSpaceDN/>
              <w:adjustRightInd/>
              <w:rPr>
                <w:kern w:val="0"/>
              </w:rPr>
            </w:pPr>
            <w:r w:rsidRPr="00610751">
              <w:rPr>
                <w:kern w:val="0"/>
              </w:rPr>
              <w:t>2019</w:t>
            </w:r>
          </w:p>
        </w:tc>
        <w:tc>
          <w:tcPr>
            <w:tcW w:w="2340" w:type="dxa"/>
            <w:noWrap/>
            <w:hideMark/>
          </w:tcPr>
          <w:p w14:paraId="5CC477AA" w14:textId="77777777" w:rsidR="00610751" w:rsidRPr="00610751" w:rsidRDefault="00610751" w:rsidP="00610751">
            <w:pPr>
              <w:widowControl/>
              <w:overflowPunct/>
              <w:autoSpaceDE/>
              <w:autoSpaceDN/>
              <w:adjustRightInd/>
              <w:rPr>
                <w:kern w:val="0"/>
              </w:rPr>
            </w:pPr>
            <w:r w:rsidRPr="00610751">
              <w:rPr>
                <w:kern w:val="0"/>
              </w:rPr>
              <w:t>Yu et al.</w:t>
            </w:r>
          </w:p>
        </w:tc>
        <w:tc>
          <w:tcPr>
            <w:tcW w:w="9090" w:type="dxa"/>
            <w:noWrap/>
            <w:hideMark/>
          </w:tcPr>
          <w:p w14:paraId="782FAFB6" w14:textId="77777777" w:rsidR="00610751" w:rsidRPr="00610751" w:rsidRDefault="00610751" w:rsidP="00610751">
            <w:pPr>
              <w:widowControl/>
              <w:overflowPunct/>
              <w:autoSpaceDE/>
              <w:autoSpaceDN/>
              <w:adjustRightInd/>
              <w:rPr>
                <w:kern w:val="0"/>
              </w:rPr>
            </w:pPr>
            <w:r w:rsidRPr="00610751">
              <w:rPr>
                <w:kern w:val="0"/>
              </w:rPr>
              <w:t>Does attention from headquarters influence subsidiary behavior? A social psychological perspective</w:t>
            </w:r>
          </w:p>
        </w:tc>
      </w:tr>
      <w:tr w:rsidR="00610751" w:rsidRPr="00610751" w14:paraId="53A8D94C" w14:textId="77777777" w:rsidTr="00DB7B9A">
        <w:trPr>
          <w:trHeight w:val="20"/>
        </w:trPr>
        <w:tc>
          <w:tcPr>
            <w:tcW w:w="810" w:type="dxa"/>
            <w:noWrap/>
            <w:hideMark/>
          </w:tcPr>
          <w:p w14:paraId="162C4BAE" w14:textId="77777777" w:rsidR="00610751" w:rsidRPr="00610751" w:rsidRDefault="00610751" w:rsidP="00610751">
            <w:pPr>
              <w:widowControl/>
              <w:overflowPunct/>
              <w:autoSpaceDE/>
              <w:autoSpaceDN/>
              <w:adjustRightInd/>
              <w:rPr>
                <w:kern w:val="0"/>
              </w:rPr>
            </w:pPr>
            <w:r w:rsidRPr="00610751">
              <w:rPr>
                <w:kern w:val="0"/>
              </w:rPr>
              <w:t>2020</w:t>
            </w:r>
          </w:p>
        </w:tc>
        <w:tc>
          <w:tcPr>
            <w:tcW w:w="2340" w:type="dxa"/>
            <w:noWrap/>
            <w:hideMark/>
          </w:tcPr>
          <w:p w14:paraId="3C600636" w14:textId="77777777" w:rsidR="00610751" w:rsidRPr="00610751" w:rsidRDefault="00610751" w:rsidP="00610751">
            <w:pPr>
              <w:widowControl/>
              <w:overflowPunct/>
              <w:autoSpaceDE/>
              <w:autoSpaceDN/>
              <w:adjustRightInd/>
              <w:rPr>
                <w:kern w:val="0"/>
              </w:rPr>
            </w:pPr>
            <w:r w:rsidRPr="00610751">
              <w:rPr>
                <w:kern w:val="0"/>
              </w:rPr>
              <w:t>Sarabi et al.</w:t>
            </w:r>
          </w:p>
        </w:tc>
        <w:tc>
          <w:tcPr>
            <w:tcW w:w="9090" w:type="dxa"/>
            <w:noWrap/>
            <w:hideMark/>
          </w:tcPr>
          <w:p w14:paraId="4ADB21B4" w14:textId="77777777" w:rsidR="00610751" w:rsidRPr="00610751" w:rsidRDefault="00610751" w:rsidP="00610751">
            <w:pPr>
              <w:widowControl/>
              <w:overflowPunct/>
              <w:autoSpaceDE/>
              <w:autoSpaceDN/>
              <w:adjustRightInd/>
              <w:rPr>
                <w:kern w:val="0"/>
              </w:rPr>
            </w:pPr>
            <w:r w:rsidRPr="00610751">
              <w:rPr>
                <w:kern w:val="0"/>
              </w:rPr>
              <w:t>Entrepreneurial leadership and MNE subsidiary performance: The moderating role of subsidiary context</w:t>
            </w:r>
          </w:p>
        </w:tc>
      </w:tr>
      <w:tr w:rsidR="00610751" w:rsidRPr="00610751" w14:paraId="27D3D784" w14:textId="77777777" w:rsidTr="00DB7B9A">
        <w:trPr>
          <w:trHeight w:val="20"/>
        </w:trPr>
        <w:tc>
          <w:tcPr>
            <w:tcW w:w="810" w:type="dxa"/>
            <w:noWrap/>
            <w:hideMark/>
          </w:tcPr>
          <w:p w14:paraId="0FA50976" w14:textId="77777777" w:rsidR="00610751" w:rsidRPr="00610751" w:rsidRDefault="00610751" w:rsidP="00610751">
            <w:pPr>
              <w:widowControl/>
              <w:overflowPunct/>
              <w:autoSpaceDE/>
              <w:autoSpaceDN/>
              <w:adjustRightInd/>
              <w:rPr>
                <w:kern w:val="0"/>
              </w:rPr>
            </w:pPr>
            <w:r w:rsidRPr="00610751">
              <w:rPr>
                <w:kern w:val="0"/>
              </w:rPr>
              <w:t>2020</w:t>
            </w:r>
          </w:p>
        </w:tc>
        <w:tc>
          <w:tcPr>
            <w:tcW w:w="2340" w:type="dxa"/>
            <w:noWrap/>
            <w:hideMark/>
          </w:tcPr>
          <w:p w14:paraId="4968A6F8" w14:textId="77777777" w:rsidR="00610751" w:rsidRPr="00610751" w:rsidRDefault="00610751" w:rsidP="00610751">
            <w:pPr>
              <w:widowControl/>
              <w:overflowPunct/>
              <w:autoSpaceDE/>
              <w:autoSpaceDN/>
              <w:adjustRightInd/>
              <w:rPr>
                <w:kern w:val="0"/>
              </w:rPr>
            </w:pPr>
            <w:r w:rsidRPr="00610751">
              <w:rPr>
                <w:kern w:val="0"/>
              </w:rPr>
              <w:t>Scott-Kennel &amp; Saittakari</w:t>
            </w:r>
          </w:p>
        </w:tc>
        <w:tc>
          <w:tcPr>
            <w:tcW w:w="9090" w:type="dxa"/>
            <w:noWrap/>
            <w:hideMark/>
          </w:tcPr>
          <w:p w14:paraId="4EDA4D49" w14:textId="77777777" w:rsidR="00610751" w:rsidRPr="00610751" w:rsidRDefault="00610751" w:rsidP="00610751">
            <w:pPr>
              <w:widowControl/>
              <w:overflowPunct/>
              <w:autoSpaceDE/>
              <w:autoSpaceDN/>
              <w:adjustRightInd/>
              <w:rPr>
                <w:kern w:val="0"/>
              </w:rPr>
            </w:pPr>
            <w:r w:rsidRPr="00610751">
              <w:rPr>
                <w:kern w:val="0"/>
              </w:rPr>
              <w:t>Sourcing or sharing in MNE networks? National headquarters and foreign subsidiaries as knowledge conduits in SMOPECs</w:t>
            </w:r>
          </w:p>
        </w:tc>
      </w:tr>
    </w:tbl>
    <w:p w14:paraId="04FFAF4F" w14:textId="77777777" w:rsidR="00610751" w:rsidRPr="00610751" w:rsidRDefault="00610751" w:rsidP="00610751">
      <w:pPr>
        <w:widowControl/>
        <w:overflowPunct/>
        <w:autoSpaceDE/>
        <w:autoSpaceDN/>
        <w:adjustRightInd/>
        <w:ind w:left="720"/>
        <w:jc w:val="center"/>
        <w:rPr>
          <w:kern w:val="0"/>
          <w:sz w:val="24"/>
          <w:szCs w:val="24"/>
        </w:rPr>
      </w:pPr>
    </w:p>
    <w:p w14:paraId="5FF520B2" w14:textId="77777777" w:rsidR="00610751" w:rsidRPr="00610751" w:rsidRDefault="00610751" w:rsidP="00610751">
      <w:pPr>
        <w:widowControl/>
        <w:overflowPunct/>
        <w:autoSpaceDE/>
        <w:autoSpaceDN/>
        <w:adjustRightInd/>
        <w:rPr>
          <w:kern w:val="0"/>
          <w:sz w:val="24"/>
          <w:szCs w:val="24"/>
        </w:rPr>
      </w:pPr>
      <w:r w:rsidRPr="00610751">
        <w:rPr>
          <w:kern w:val="0"/>
          <w:sz w:val="24"/>
          <w:szCs w:val="24"/>
        </w:rPr>
        <w:br w:type="page"/>
      </w:r>
    </w:p>
    <w:p w14:paraId="59F432F1" w14:textId="77777777" w:rsidR="00610751" w:rsidRPr="00610751" w:rsidRDefault="00610751" w:rsidP="00610751">
      <w:pPr>
        <w:widowControl/>
        <w:overflowPunct/>
        <w:autoSpaceDE/>
        <w:autoSpaceDN/>
        <w:adjustRightInd/>
        <w:ind w:left="720"/>
        <w:jc w:val="center"/>
        <w:rPr>
          <w:kern w:val="0"/>
          <w:sz w:val="24"/>
          <w:szCs w:val="24"/>
        </w:rPr>
      </w:pPr>
      <w:r w:rsidRPr="00610751">
        <w:rPr>
          <w:kern w:val="0"/>
          <w:sz w:val="24"/>
          <w:szCs w:val="24"/>
        </w:rPr>
        <w:t>Appendix B. Additional tables</w:t>
      </w:r>
    </w:p>
    <w:p w14:paraId="08531F12" w14:textId="77777777" w:rsidR="00610751" w:rsidRPr="00610751" w:rsidRDefault="00610751" w:rsidP="00610751">
      <w:pPr>
        <w:widowControl/>
        <w:overflowPunct/>
        <w:autoSpaceDE/>
        <w:autoSpaceDN/>
        <w:adjustRightInd/>
        <w:ind w:left="720"/>
        <w:rPr>
          <w:kern w:val="0"/>
          <w:sz w:val="24"/>
          <w:szCs w:val="24"/>
        </w:rPr>
      </w:pPr>
    </w:p>
    <w:p w14:paraId="77DBAF02" w14:textId="77777777" w:rsidR="00610751" w:rsidRPr="00610751" w:rsidRDefault="00610751" w:rsidP="00610751">
      <w:pPr>
        <w:widowControl/>
        <w:overflowPunct/>
        <w:autoSpaceDE/>
        <w:autoSpaceDN/>
        <w:adjustRightInd/>
        <w:ind w:left="720"/>
        <w:rPr>
          <w:kern w:val="0"/>
          <w:sz w:val="24"/>
          <w:szCs w:val="24"/>
        </w:rPr>
      </w:pPr>
      <w:r w:rsidRPr="00610751">
        <w:rPr>
          <w:kern w:val="0"/>
          <w:sz w:val="24"/>
          <w:szCs w:val="24"/>
        </w:rPr>
        <w:t xml:space="preserve">Table 1B. Common operationalizations of the autonomy construct </w:t>
      </w:r>
    </w:p>
    <w:p w14:paraId="41D5C5C7" w14:textId="77777777" w:rsidR="00610751" w:rsidRPr="00610751" w:rsidRDefault="00610751" w:rsidP="00610751">
      <w:pPr>
        <w:widowControl/>
        <w:overflowPunct/>
        <w:autoSpaceDE/>
        <w:autoSpaceDN/>
        <w:adjustRightInd/>
        <w:rPr>
          <w:kern w:val="0"/>
          <w:sz w:val="22"/>
          <w:szCs w:val="22"/>
        </w:rPr>
      </w:pPr>
    </w:p>
    <w:tbl>
      <w:tblPr>
        <w:tblW w:w="12293"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170"/>
        <w:gridCol w:w="1440"/>
        <w:gridCol w:w="5760"/>
        <w:gridCol w:w="2250"/>
      </w:tblGrid>
      <w:tr w:rsidR="00610751" w:rsidRPr="00610751" w14:paraId="23CFD666" w14:textId="77777777" w:rsidTr="00DB7B9A">
        <w:trPr>
          <w:trHeight w:val="20"/>
        </w:trPr>
        <w:tc>
          <w:tcPr>
            <w:tcW w:w="1673" w:type="dxa"/>
            <w:shd w:val="clear" w:color="auto" w:fill="F2F2F2" w:themeFill="background1" w:themeFillShade="F2"/>
            <w:noWrap/>
            <w:vAlign w:val="center"/>
            <w:hideMark/>
          </w:tcPr>
          <w:p w14:paraId="41114C6B" w14:textId="77777777" w:rsidR="00610751" w:rsidRPr="00610751" w:rsidRDefault="00610751" w:rsidP="00610751">
            <w:pPr>
              <w:widowControl/>
              <w:overflowPunct/>
              <w:autoSpaceDE/>
              <w:autoSpaceDN/>
              <w:adjustRightInd/>
              <w:rPr>
                <w:kern w:val="0"/>
              </w:rPr>
            </w:pPr>
            <w:r w:rsidRPr="00610751">
              <w:rPr>
                <w:kern w:val="0"/>
              </w:rPr>
              <w:t>Study</w:t>
            </w:r>
          </w:p>
        </w:tc>
        <w:tc>
          <w:tcPr>
            <w:tcW w:w="1170" w:type="dxa"/>
            <w:shd w:val="clear" w:color="auto" w:fill="F2F2F2" w:themeFill="background1" w:themeFillShade="F2"/>
            <w:noWrap/>
            <w:vAlign w:val="center"/>
            <w:hideMark/>
          </w:tcPr>
          <w:p w14:paraId="4FAD78A4" w14:textId="77777777" w:rsidR="00610751" w:rsidRPr="00610751" w:rsidRDefault="00610751" w:rsidP="00610751">
            <w:pPr>
              <w:widowControl/>
              <w:overflowPunct/>
              <w:autoSpaceDE/>
              <w:autoSpaceDN/>
              <w:adjustRightInd/>
              <w:jc w:val="center"/>
              <w:rPr>
                <w:kern w:val="0"/>
              </w:rPr>
            </w:pPr>
            <w:r w:rsidRPr="00610751">
              <w:rPr>
                <w:kern w:val="0"/>
              </w:rPr>
              <w:t xml:space="preserve">Citations </w:t>
            </w:r>
            <w:r w:rsidRPr="00610751">
              <w:rPr>
                <w:kern w:val="0"/>
                <w:vertAlign w:val="superscript"/>
              </w:rPr>
              <w:t>A</w:t>
            </w:r>
          </w:p>
        </w:tc>
        <w:tc>
          <w:tcPr>
            <w:tcW w:w="1440" w:type="dxa"/>
            <w:shd w:val="clear" w:color="auto" w:fill="F2F2F2" w:themeFill="background1" w:themeFillShade="F2"/>
            <w:noWrap/>
            <w:vAlign w:val="center"/>
            <w:hideMark/>
          </w:tcPr>
          <w:p w14:paraId="4CFA0844" w14:textId="77777777" w:rsidR="00610751" w:rsidRPr="00610751" w:rsidRDefault="00610751" w:rsidP="00610751">
            <w:pPr>
              <w:widowControl/>
              <w:overflowPunct/>
              <w:autoSpaceDE/>
              <w:autoSpaceDN/>
              <w:adjustRightInd/>
              <w:rPr>
                <w:kern w:val="0"/>
              </w:rPr>
            </w:pPr>
            <w:r w:rsidRPr="00610751">
              <w:rPr>
                <w:kern w:val="0"/>
              </w:rPr>
              <w:t>Label</w:t>
            </w:r>
          </w:p>
        </w:tc>
        <w:tc>
          <w:tcPr>
            <w:tcW w:w="5760" w:type="dxa"/>
            <w:shd w:val="clear" w:color="auto" w:fill="F2F2F2" w:themeFill="background1" w:themeFillShade="F2"/>
            <w:noWrap/>
            <w:vAlign w:val="center"/>
            <w:hideMark/>
          </w:tcPr>
          <w:p w14:paraId="2F1BE6A1" w14:textId="77777777" w:rsidR="00610751" w:rsidRPr="00610751" w:rsidRDefault="00610751" w:rsidP="00610751">
            <w:pPr>
              <w:widowControl/>
              <w:overflowPunct/>
              <w:autoSpaceDE/>
              <w:autoSpaceDN/>
              <w:adjustRightInd/>
              <w:rPr>
                <w:kern w:val="0"/>
              </w:rPr>
            </w:pPr>
            <w:r w:rsidRPr="00610751">
              <w:rPr>
                <w:kern w:val="0"/>
              </w:rPr>
              <w:t>Operationalization</w:t>
            </w:r>
          </w:p>
        </w:tc>
        <w:tc>
          <w:tcPr>
            <w:tcW w:w="2250" w:type="dxa"/>
            <w:shd w:val="clear" w:color="auto" w:fill="F2F2F2" w:themeFill="background1" w:themeFillShade="F2"/>
            <w:noWrap/>
            <w:vAlign w:val="center"/>
            <w:hideMark/>
          </w:tcPr>
          <w:p w14:paraId="5C6B84BB" w14:textId="77777777" w:rsidR="00610751" w:rsidRPr="00610751" w:rsidRDefault="00610751" w:rsidP="00610751">
            <w:pPr>
              <w:widowControl/>
              <w:overflowPunct/>
              <w:autoSpaceDE/>
              <w:autoSpaceDN/>
              <w:adjustRightInd/>
              <w:rPr>
                <w:kern w:val="0"/>
              </w:rPr>
            </w:pPr>
            <w:r w:rsidRPr="00610751">
              <w:rPr>
                <w:kern w:val="0"/>
              </w:rPr>
              <w:t>Select literature</w:t>
            </w:r>
          </w:p>
        </w:tc>
      </w:tr>
      <w:tr w:rsidR="00610751" w:rsidRPr="00610751" w14:paraId="3CF76EDF" w14:textId="77777777" w:rsidTr="00DB7B9A">
        <w:trPr>
          <w:trHeight w:val="20"/>
        </w:trPr>
        <w:tc>
          <w:tcPr>
            <w:tcW w:w="1673" w:type="dxa"/>
            <w:shd w:val="clear" w:color="auto" w:fill="auto"/>
            <w:noWrap/>
            <w:vAlign w:val="center"/>
            <w:hideMark/>
          </w:tcPr>
          <w:p w14:paraId="7760C012" w14:textId="77777777" w:rsidR="00610751" w:rsidRPr="00610751" w:rsidRDefault="00610751" w:rsidP="00610751">
            <w:pPr>
              <w:widowControl/>
              <w:overflowPunct/>
              <w:autoSpaceDE/>
              <w:autoSpaceDN/>
              <w:adjustRightInd/>
              <w:rPr>
                <w:kern w:val="0"/>
              </w:rPr>
            </w:pPr>
            <w:r w:rsidRPr="00610751">
              <w:rPr>
                <w:kern w:val="0"/>
              </w:rPr>
              <w:t>Bartlett &amp; Ghoshal (1988)</w:t>
            </w:r>
          </w:p>
        </w:tc>
        <w:tc>
          <w:tcPr>
            <w:tcW w:w="1170" w:type="dxa"/>
            <w:shd w:val="clear" w:color="auto" w:fill="auto"/>
            <w:noWrap/>
            <w:vAlign w:val="center"/>
            <w:hideMark/>
          </w:tcPr>
          <w:p w14:paraId="55B57B82" w14:textId="77777777" w:rsidR="00610751" w:rsidRPr="00610751" w:rsidRDefault="00610751" w:rsidP="00610751">
            <w:pPr>
              <w:widowControl/>
              <w:overflowPunct/>
              <w:autoSpaceDE/>
              <w:autoSpaceDN/>
              <w:adjustRightInd/>
              <w:jc w:val="center"/>
              <w:rPr>
                <w:kern w:val="0"/>
              </w:rPr>
            </w:pPr>
            <w:r w:rsidRPr="00610751">
              <w:rPr>
                <w:kern w:val="0"/>
              </w:rPr>
              <w:t>1,130</w:t>
            </w:r>
          </w:p>
        </w:tc>
        <w:tc>
          <w:tcPr>
            <w:tcW w:w="1440" w:type="dxa"/>
            <w:shd w:val="clear" w:color="auto" w:fill="auto"/>
            <w:vAlign w:val="center"/>
            <w:hideMark/>
          </w:tcPr>
          <w:p w14:paraId="2E500591" w14:textId="77777777" w:rsidR="00610751" w:rsidRPr="00610751" w:rsidRDefault="00610751" w:rsidP="00610751">
            <w:pPr>
              <w:widowControl/>
              <w:overflowPunct/>
              <w:autoSpaceDE/>
              <w:autoSpaceDN/>
              <w:adjustRightInd/>
              <w:rPr>
                <w:kern w:val="0"/>
              </w:rPr>
            </w:pPr>
            <w:r w:rsidRPr="00610751">
              <w:rPr>
                <w:kern w:val="0"/>
              </w:rPr>
              <w:t>Autonomy</w:t>
            </w:r>
          </w:p>
        </w:tc>
        <w:tc>
          <w:tcPr>
            <w:tcW w:w="5760" w:type="dxa"/>
            <w:shd w:val="clear" w:color="auto" w:fill="auto"/>
            <w:vAlign w:val="center"/>
            <w:hideMark/>
          </w:tcPr>
          <w:p w14:paraId="4EF24F43" w14:textId="77777777" w:rsidR="00610751" w:rsidRPr="00610751" w:rsidRDefault="00610751" w:rsidP="00610751">
            <w:pPr>
              <w:widowControl/>
              <w:overflowPunct/>
              <w:autoSpaceDE/>
              <w:autoSpaceDN/>
              <w:adjustRightInd/>
              <w:rPr>
                <w:kern w:val="0"/>
              </w:rPr>
            </w:pPr>
            <w:r w:rsidRPr="00610751">
              <w:rPr>
                <w:kern w:val="0"/>
              </w:rPr>
              <w:t>(1) Introduction of a new product; (2) product modifications; (3) process modifications; (4) organizational restructuring; (5) recruitment and promotion; (6) career development plans.</w:t>
            </w:r>
          </w:p>
        </w:tc>
        <w:tc>
          <w:tcPr>
            <w:tcW w:w="2250" w:type="dxa"/>
            <w:shd w:val="clear" w:color="auto" w:fill="auto"/>
            <w:vAlign w:val="center"/>
            <w:hideMark/>
          </w:tcPr>
          <w:p w14:paraId="40D79109" w14:textId="77777777" w:rsidR="00610751" w:rsidRPr="00610751" w:rsidRDefault="00610751" w:rsidP="00610751">
            <w:pPr>
              <w:widowControl/>
              <w:overflowPunct/>
              <w:autoSpaceDE/>
              <w:autoSpaceDN/>
              <w:adjustRightInd/>
              <w:rPr>
                <w:kern w:val="0"/>
              </w:rPr>
            </w:pPr>
            <w:r w:rsidRPr="00610751">
              <w:rPr>
                <w:kern w:val="0"/>
              </w:rPr>
              <w:t>Ghoshal et al. (1994)</w:t>
            </w:r>
          </w:p>
          <w:p w14:paraId="28E3DBFD" w14:textId="77777777" w:rsidR="00610751" w:rsidRPr="00610751" w:rsidRDefault="00610751" w:rsidP="00610751">
            <w:pPr>
              <w:widowControl/>
              <w:overflowPunct/>
              <w:autoSpaceDE/>
              <w:autoSpaceDN/>
              <w:adjustRightInd/>
              <w:rPr>
                <w:kern w:val="0"/>
              </w:rPr>
            </w:pPr>
            <w:r w:rsidRPr="00610751">
              <w:rPr>
                <w:kern w:val="0"/>
              </w:rPr>
              <w:t>Kostova &amp; Roth (2002)</w:t>
            </w:r>
          </w:p>
          <w:p w14:paraId="487B4AF5" w14:textId="77777777" w:rsidR="00610751" w:rsidRPr="00610751" w:rsidRDefault="00610751" w:rsidP="00610751">
            <w:pPr>
              <w:widowControl/>
              <w:overflowPunct/>
              <w:autoSpaceDE/>
              <w:autoSpaceDN/>
              <w:adjustRightInd/>
              <w:rPr>
                <w:kern w:val="0"/>
              </w:rPr>
            </w:pPr>
            <w:r w:rsidRPr="00610751">
              <w:rPr>
                <w:kern w:val="0"/>
              </w:rPr>
              <w:t>Takeuchi et al. (2008)</w:t>
            </w:r>
          </w:p>
        </w:tc>
      </w:tr>
      <w:tr w:rsidR="00610751" w:rsidRPr="00610751" w14:paraId="225F924C" w14:textId="77777777" w:rsidTr="00DB7B9A">
        <w:trPr>
          <w:trHeight w:val="20"/>
        </w:trPr>
        <w:tc>
          <w:tcPr>
            <w:tcW w:w="1673" w:type="dxa"/>
            <w:shd w:val="clear" w:color="auto" w:fill="auto"/>
            <w:noWrap/>
            <w:vAlign w:val="center"/>
            <w:hideMark/>
          </w:tcPr>
          <w:p w14:paraId="7B6540FE" w14:textId="77777777" w:rsidR="00610751" w:rsidRPr="00610751" w:rsidRDefault="00610751" w:rsidP="00610751">
            <w:pPr>
              <w:widowControl/>
              <w:overflowPunct/>
              <w:autoSpaceDE/>
              <w:autoSpaceDN/>
              <w:adjustRightInd/>
              <w:rPr>
                <w:kern w:val="0"/>
              </w:rPr>
            </w:pPr>
            <w:r w:rsidRPr="00610751">
              <w:rPr>
                <w:kern w:val="0"/>
              </w:rPr>
              <w:t>Jarillo &amp; Martinez (1990)</w:t>
            </w:r>
          </w:p>
        </w:tc>
        <w:tc>
          <w:tcPr>
            <w:tcW w:w="1170" w:type="dxa"/>
            <w:shd w:val="clear" w:color="auto" w:fill="auto"/>
            <w:noWrap/>
            <w:vAlign w:val="center"/>
            <w:hideMark/>
          </w:tcPr>
          <w:p w14:paraId="767B4442" w14:textId="77777777" w:rsidR="00610751" w:rsidRPr="00610751" w:rsidRDefault="00610751" w:rsidP="00610751">
            <w:pPr>
              <w:widowControl/>
              <w:overflowPunct/>
              <w:autoSpaceDE/>
              <w:autoSpaceDN/>
              <w:adjustRightInd/>
              <w:jc w:val="center"/>
              <w:rPr>
                <w:kern w:val="0"/>
              </w:rPr>
            </w:pPr>
            <w:r w:rsidRPr="00610751">
              <w:rPr>
                <w:kern w:val="0"/>
              </w:rPr>
              <w:t>563</w:t>
            </w:r>
          </w:p>
        </w:tc>
        <w:tc>
          <w:tcPr>
            <w:tcW w:w="1440" w:type="dxa"/>
            <w:shd w:val="clear" w:color="auto" w:fill="auto"/>
            <w:vAlign w:val="center"/>
            <w:hideMark/>
          </w:tcPr>
          <w:p w14:paraId="71F69F12" w14:textId="77777777" w:rsidR="00610751" w:rsidRPr="00610751" w:rsidRDefault="00610751" w:rsidP="00610751">
            <w:pPr>
              <w:widowControl/>
              <w:overflowPunct/>
              <w:autoSpaceDE/>
              <w:autoSpaceDN/>
              <w:adjustRightInd/>
              <w:rPr>
                <w:kern w:val="0"/>
              </w:rPr>
            </w:pPr>
            <w:r w:rsidRPr="00610751">
              <w:rPr>
                <w:kern w:val="0"/>
              </w:rPr>
              <w:t>Autonomy</w:t>
            </w:r>
          </w:p>
        </w:tc>
        <w:tc>
          <w:tcPr>
            <w:tcW w:w="5760" w:type="dxa"/>
            <w:shd w:val="clear" w:color="auto" w:fill="auto"/>
            <w:vAlign w:val="center"/>
            <w:hideMark/>
          </w:tcPr>
          <w:p w14:paraId="1D416290" w14:textId="77777777" w:rsidR="00610751" w:rsidRPr="00610751" w:rsidRDefault="00610751" w:rsidP="00610751">
            <w:pPr>
              <w:widowControl/>
              <w:overflowPunct/>
              <w:autoSpaceDE/>
              <w:autoSpaceDN/>
              <w:adjustRightInd/>
              <w:rPr>
                <w:kern w:val="0"/>
              </w:rPr>
            </w:pPr>
            <w:r w:rsidRPr="00610751">
              <w:rPr>
                <w:kern w:val="0"/>
              </w:rPr>
              <w:t xml:space="preserve">(1) Purchasing; (2) manufacturing; (3) R&amp;D; (4) marketing. </w:t>
            </w:r>
          </w:p>
        </w:tc>
        <w:tc>
          <w:tcPr>
            <w:tcW w:w="2250" w:type="dxa"/>
            <w:shd w:val="clear" w:color="auto" w:fill="auto"/>
            <w:vAlign w:val="center"/>
            <w:hideMark/>
          </w:tcPr>
          <w:p w14:paraId="706EECE0" w14:textId="77777777" w:rsidR="00610751" w:rsidRPr="00610751" w:rsidRDefault="00610751" w:rsidP="00610751">
            <w:pPr>
              <w:widowControl/>
              <w:overflowPunct/>
              <w:autoSpaceDE/>
              <w:autoSpaceDN/>
              <w:adjustRightInd/>
              <w:rPr>
                <w:kern w:val="0"/>
              </w:rPr>
            </w:pPr>
            <w:r w:rsidRPr="00610751">
              <w:rPr>
                <w:kern w:val="0"/>
              </w:rPr>
              <w:t>Harzing (2002)</w:t>
            </w:r>
          </w:p>
          <w:p w14:paraId="6A8240EA" w14:textId="77777777" w:rsidR="00610751" w:rsidRPr="00610751" w:rsidRDefault="00610751" w:rsidP="00610751">
            <w:pPr>
              <w:widowControl/>
              <w:overflowPunct/>
              <w:autoSpaceDE/>
              <w:autoSpaceDN/>
              <w:adjustRightInd/>
              <w:rPr>
                <w:kern w:val="0"/>
              </w:rPr>
            </w:pPr>
            <w:r w:rsidRPr="00610751">
              <w:rPr>
                <w:kern w:val="0"/>
              </w:rPr>
              <w:t>Phene &amp; Almeida (2008)</w:t>
            </w:r>
          </w:p>
          <w:p w14:paraId="22012E72" w14:textId="77777777" w:rsidR="00610751" w:rsidRPr="00610751" w:rsidRDefault="00610751" w:rsidP="00610751">
            <w:pPr>
              <w:widowControl/>
              <w:overflowPunct/>
              <w:autoSpaceDE/>
              <w:autoSpaceDN/>
              <w:adjustRightInd/>
              <w:rPr>
                <w:kern w:val="0"/>
              </w:rPr>
            </w:pPr>
            <w:r w:rsidRPr="00610751">
              <w:rPr>
                <w:kern w:val="0"/>
              </w:rPr>
              <w:t>Ahlvik et al. (2016)</w:t>
            </w:r>
          </w:p>
        </w:tc>
      </w:tr>
      <w:tr w:rsidR="00610751" w:rsidRPr="00610751" w14:paraId="6CB0D957" w14:textId="77777777" w:rsidTr="00DB7B9A">
        <w:trPr>
          <w:trHeight w:val="20"/>
        </w:trPr>
        <w:tc>
          <w:tcPr>
            <w:tcW w:w="1673" w:type="dxa"/>
            <w:shd w:val="clear" w:color="auto" w:fill="auto"/>
            <w:noWrap/>
            <w:vAlign w:val="center"/>
            <w:hideMark/>
          </w:tcPr>
          <w:p w14:paraId="477C4101" w14:textId="77777777" w:rsidR="00610751" w:rsidRPr="00610751" w:rsidRDefault="00610751" w:rsidP="00610751">
            <w:pPr>
              <w:widowControl/>
              <w:overflowPunct/>
              <w:autoSpaceDE/>
              <w:autoSpaceDN/>
              <w:adjustRightInd/>
              <w:rPr>
                <w:kern w:val="0"/>
              </w:rPr>
            </w:pPr>
            <w:r w:rsidRPr="00610751">
              <w:rPr>
                <w:kern w:val="0"/>
              </w:rPr>
              <w:t>Roth &amp; Morrison (1992)</w:t>
            </w:r>
          </w:p>
        </w:tc>
        <w:tc>
          <w:tcPr>
            <w:tcW w:w="1170" w:type="dxa"/>
            <w:shd w:val="clear" w:color="auto" w:fill="auto"/>
            <w:noWrap/>
            <w:vAlign w:val="center"/>
            <w:hideMark/>
          </w:tcPr>
          <w:p w14:paraId="04D6A393" w14:textId="77777777" w:rsidR="00610751" w:rsidRPr="00610751" w:rsidRDefault="00610751" w:rsidP="00610751">
            <w:pPr>
              <w:widowControl/>
              <w:overflowPunct/>
              <w:autoSpaceDE/>
              <w:autoSpaceDN/>
              <w:adjustRightInd/>
              <w:jc w:val="center"/>
              <w:rPr>
                <w:kern w:val="0"/>
              </w:rPr>
            </w:pPr>
            <w:r w:rsidRPr="00610751">
              <w:rPr>
                <w:kern w:val="0"/>
              </w:rPr>
              <w:t>684</w:t>
            </w:r>
          </w:p>
        </w:tc>
        <w:tc>
          <w:tcPr>
            <w:tcW w:w="1440" w:type="dxa"/>
            <w:shd w:val="clear" w:color="auto" w:fill="auto"/>
            <w:vAlign w:val="center"/>
            <w:hideMark/>
          </w:tcPr>
          <w:p w14:paraId="394DFA92" w14:textId="77777777" w:rsidR="00610751" w:rsidRPr="00610751" w:rsidRDefault="00610751" w:rsidP="00610751">
            <w:pPr>
              <w:widowControl/>
              <w:overflowPunct/>
              <w:autoSpaceDE/>
              <w:autoSpaceDN/>
              <w:adjustRightInd/>
              <w:rPr>
                <w:kern w:val="0"/>
              </w:rPr>
            </w:pPr>
            <w:r w:rsidRPr="00610751">
              <w:rPr>
                <w:kern w:val="0"/>
              </w:rPr>
              <w:t>Configuration</w:t>
            </w:r>
          </w:p>
        </w:tc>
        <w:tc>
          <w:tcPr>
            <w:tcW w:w="5760" w:type="dxa"/>
            <w:shd w:val="clear" w:color="auto" w:fill="auto"/>
            <w:vAlign w:val="center"/>
            <w:hideMark/>
          </w:tcPr>
          <w:p w14:paraId="7F928768" w14:textId="77777777" w:rsidR="00610751" w:rsidRPr="00610751" w:rsidRDefault="00610751" w:rsidP="00610751">
            <w:pPr>
              <w:widowControl/>
              <w:overflowPunct/>
              <w:autoSpaceDE/>
              <w:autoSpaceDN/>
              <w:adjustRightInd/>
              <w:rPr>
                <w:kern w:val="0"/>
              </w:rPr>
            </w:pPr>
            <w:r w:rsidRPr="00610751">
              <w:rPr>
                <w:kern w:val="0"/>
              </w:rPr>
              <w:t>(1) Manufacturing operations; (2) raw materials procurement; (3) product/process research and development; (4) accounting/legal activities; (5) government and public relations; (6) human resource management; (7) product distribution; (8) customer service; (9) product promotion and advertising; (10) information systems and data processing; (11) sales activities; (12) cash flow management; (13) raising and managing capital.</w:t>
            </w:r>
          </w:p>
        </w:tc>
        <w:tc>
          <w:tcPr>
            <w:tcW w:w="2250" w:type="dxa"/>
            <w:shd w:val="clear" w:color="auto" w:fill="auto"/>
            <w:vAlign w:val="center"/>
            <w:hideMark/>
          </w:tcPr>
          <w:p w14:paraId="33618EDA" w14:textId="77777777" w:rsidR="00610751" w:rsidRPr="00610751" w:rsidRDefault="00610751" w:rsidP="00610751">
            <w:pPr>
              <w:widowControl/>
              <w:overflowPunct/>
              <w:autoSpaceDE/>
              <w:autoSpaceDN/>
              <w:adjustRightInd/>
              <w:rPr>
                <w:kern w:val="0"/>
              </w:rPr>
            </w:pPr>
            <w:r w:rsidRPr="00610751">
              <w:rPr>
                <w:kern w:val="0"/>
              </w:rPr>
              <w:t>Birkinshaw et al. (1998)</w:t>
            </w:r>
          </w:p>
          <w:p w14:paraId="40B21497" w14:textId="77777777" w:rsidR="00610751" w:rsidRPr="00610751" w:rsidRDefault="00610751" w:rsidP="00610751">
            <w:pPr>
              <w:widowControl/>
              <w:overflowPunct/>
              <w:autoSpaceDE/>
              <w:autoSpaceDN/>
              <w:adjustRightInd/>
              <w:rPr>
                <w:kern w:val="0"/>
              </w:rPr>
            </w:pPr>
            <w:r w:rsidRPr="00610751">
              <w:rPr>
                <w:kern w:val="0"/>
              </w:rPr>
              <w:t>Foss &amp; Pedersen (2002)</w:t>
            </w:r>
          </w:p>
          <w:p w14:paraId="0ACCC511" w14:textId="77777777" w:rsidR="00610751" w:rsidRPr="00610751" w:rsidRDefault="00610751" w:rsidP="00610751">
            <w:pPr>
              <w:widowControl/>
              <w:overflowPunct/>
              <w:autoSpaceDE/>
              <w:autoSpaceDN/>
              <w:adjustRightInd/>
              <w:rPr>
                <w:kern w:val="0"/>
              </w:rPr>
            </w:pPr>
            <w:r w:rsidRPr="00610751">
              <w:rPr>
                <w:kern w:val="0"/>
              </w:rPr>
              <w:t>Ambos et al. (2010)</w:t>
            </w:r>
          </w:p>
        </w:tc>
      </w:tr>
      <w:tr w:rsidR="00610751" w:rsidRPr="00610751" w14:paraId="3C9B864F" w14:textId="77777777" w:rsidTr="00DB7B9A">
        <w:trPr>
          <w:trHeight w:val="20"/>
        </w:trPr>
        <w:tc>
          <w:tcPr>
            <w:tcW w:w="1673" w:type="dxa"/>
            <w:shd w:val="clear" w:color="auto" w:fill="auto"/>
            <w:noWrap/>
            <w:vAlign w:val="center"/>
            <w:hideMark/>
          </w:tcPr>
          <w:p w14:paraId="578ED956" w14:textId="77777777" w:rsidR="00610751" w:rsidRPr="00610751" w:rsidRDefault="00610751" w:rsidP="00610751">
            <w:pPr>
              <w:widowControl/>
              <w:overflowPunct/>
              <w:autoSpaceDE/>
              <w:autoSpaceDN/>
              <w:adjustRightInd/>
              <w:rPr>
                <w:kern w:val="0"/>
              </w:rPr>
            </w:pPr>
            <w:r w:rsidRPr="00610751">
              <w:rPr>
                <w:kern w:val="0"/>
              </w:rPr>
              <w:t>Taggart (1997)</w:t>
            </w:r>
          </w:p>
        </w:tc>
        <w:tc>
          <w:tcPr>
            <w:tcW w:w="1170" w:type="dxa"/>
            <w:shd w:val="clear" w:color="auto" w:fill="auto"/>
            <w:noWrap/>
            <w:vAlign w:val="center"/>
            <w:hideMark/>
          </w:tcPr>
          <w:p w14:paraId="1E34A677" w14:textId="77777777" w:rsidR="00610751" w:rsidRPr="00610751" w:rsidRDefault="00610751" w:rsidP="00610751">
            <w:pPr>
              <w:widowControl/>
              <w:overflowPunct/>
              <w:autoSpaceDE/>
              <w:autoSpaceDN/>
              <w:adjustRightInd/>
              <w:jc w:val="center"/>
              <w:rPr>
                <w:kern w:val="0"/>
              </w:rPr>
            </w:pPr>
            <w:r w:rsidRPr="00610751">
              <w:rPr>
                <w:kern w:val="0"/>
              </w:rPr>
              <w:t>373</w:t>
            </w:r>
          </w:p>
        </w:tc>
        <w:tc>
          <w:tcPr>
            <w:tcW w:w="1440" w:type="dxa"/>
            <w:shd w:val="clear" w:color="auto" w:fill="auto"/>
            <w:vAlign w:val="center"/>
            <w:hideMark/>
          </w:tcPr>
          <w:p w14:paraId="64E2DE1F" w14:textId="77777777" w:rsidR="00610751" w:rsidRPr="00610751" w:rsidRDefault="00610751" w:rsidP="00610751">
            <w:pPr>
              <w:widowControl/>
              <w:overflowPunct/>
              <w:autoSpaceDE/>
              <w:autoSpaceDN/>
              <w:adjustRightInd/>
              <w:rPr>
                <w:kern w:val="0"/>
              </w:rPr>
            </w:pPr>
            <w:r w:rsidRPr="00610751">
              <w:rPr>
                <w:kern w:val="0"/>
              </w:rPr>
              <w:t>Autonomy</w:t>
            </w:r>
          </w:p>
        </w:tc>
        <w:tc>
          <w:tcPr>
            <w:tcW w:w="5760" w:type="dxa"/>
            <w:shd w:val="clear" w:color="auto" w:fill="auto"/>
            <w:vAlign w:val="center"/>
            <w:hideMark/>
          </w:tcPr>
          <w:p w14:paraId="6E70429F" w14:textId="77777777" w:rsidR="00610751" w:rsidRPr="00610751" w:rsidRDefault="00610751" w:rsidP="00610751">
            <w:pPr>
              <w:widowControl/>
              <w:overflowPunct/>
              <w:autoSpaceDE/>
              <w:autoSpaceDN/>
              <w:adjustRightInd/>
              <w:rPr>
                <w:kern w:val="0"/>
              </w:rPr>
            </w:pPr>
            <w:r w:rsidRPr="00610751">
              <w:rPr>
                <w:kern w:val="0"/>
              </w:rPr>
              <w:t>(1) Market area decisions; (2) product range supplied; (3) advertising and promotions; (4) R&amp;D; (5) production; (6) manufacturing technology.</w:t>
            </w:r>
          </w:p>
        </w:tc>
        <w:tc>
          <w:tcPr>
            <w:tcW w:w="2250" w:type="dxa"/>
            <w:shd w:val="clear" w:color="auto" w:fill="auto"/>
            <w:vAlign w:val="center"/>
            <w:hideMark/>
          </w:tcPr>
          <w:p w14:paraId="63B8B529" w14:textId="77777777" w:rsidR="00610751" w:rsidRPr="00610751" w:rsidRDefault="00610751" w:rsidP="00610751">
            <w:pPr>
              <w:widowControl/>
              <w:overflowPunct/>
              <w:autoSpaceDE/>
              <w:autoSpaceDN/>
              <w:adjustRightInd/>
              <w:rPr>
                <w:kern w:val="0"/>
              </w:rPr>
            </w:pPr>
            <w:r w:rsidRPr="00610751">
              <w:rPr>
                <w:kern w:val="0"/>
              </w:rPr>
              <w:t>Taggart (1998)</w:t>
            </w:r>
          </w:p>
          <w:p w14:paraId="400AD936" w14:textId="77777777" w:rsidR="00610751" w:rsidRPr="00610751" w:rsidRDefault="00610751" w:rsidP="00610751">
            <w:pPr>
              <w:widowControl/>
              <w:overflowPunct/>
              <w:autoSpaceDE/>
              <w:autoSpaceDN/>
              <w:adjustRightInd/>
              <w:rPr>
                <w:kern w:val="0"/>
              </w:rPr>
            </w:pPr>
            <w:r w:rsidRPr="00610751">
              <w:rPr>
                <w:kern w:val="0"/>
              </w:rPr>
              <w:t>Fey &amp; Furu (2008)</w:t>
            </w:r>
          </w:p>
          <w:p w14:paraId="7B3BB4FF" w14:textId="77777777" w:rsidR="00610751" w:rsidRPr="00610751" w:rsidRDefault="00610751" w:rsidP="00610751">
            <w:pPr>
              <w:widowControl/>
              <w:overflowPunct/>
              <w:autoSpaceDE/>
              <w:autoSpaceDN/>
              <w:adjustRightInd/>
              <w:rPr>
                <w:kern w:val="0"/>
              </w:rPr>
            </w:pPr>
            <w:r w:rsidRPr="00610751">
              <w:rPr>
                <w:kern w:val="0"/>
              </w:rPr>
              <w:t>Li et al. (2013)</w:t>
            </w:r>
          </w:p>
        </w:tc>
      </w:tr>
      <w:tr w:rsidR="00610751" w:rsidRPr="00610751" w14:paraId="728E1D53" w14:textId="77777777" w:rsidTr="00DB7B9A">
        <w:trPr>
          <w:trHeight w:val="20"/>
        </w:trPr>
        <w:tc>
          <w:tcPr>
            <w:tcW w:w="1673" w:type="dxa"/>
            <w:shd w:val="clear" w:color="auto" w:fill="auto"/>
            <w:noWrap/>
            <w:vAlign w:val="center"/>
            <w:hideMark/>
          </w:tcPr>
          <w:p w14:paraId="357C5F4A" w14:textId="77777777" w:rsidR="00610751" w:rsidRPr="00610751" w:rsidRDefault="00610751" w:rsidP="00610751">
            <w:pPr>
              <w:widowControl/>
              <w:overflowPunct/>
              <w:autoSpaceDE/>
              <w:autoSpaceDN/>
              <w:adjustRightInd/>
              <w:rPr>
                <w:kern w:val="0"/>
              </w:rPr>
            </w:pPr>
            <w:r w:rsidRPr="00610751">
              <w:rPr>
                <w:kern w:val="0"/>
              </w:rPr>
              <w:t>Nobel &amp; Birkinshaw (1998)</w:t>
            </w:r>
          </w:p>
        </w:tc>
        <w:tc>
          <w:tcPr>
            <w:tcW w:w="1170" w:type="dxa"/>
            <w:shd w:val="clear" w:color="auto" w:fill="auto"/>
            <w:noWrap/>
            <w:vAlign w:val="center"/>
            <w:hideMark/>
          </w:tcPr>
          <w:p w14:paraId="7F606482" w14:textId="77777777" w:rsidR="00610751" w:rsidRPr="00610751" w:rsidRDefault="00610751" w:rsidP="00610751">
            <w:pPr>
              <w:widowControl/>
              <w:overflowPunct/>
              <w:autoSpaceDE/>
              <w:autoSpaceDN/>
              <w:adjustRightInd/>
              <w:jc w:val="center"/>
              <w:rPr>
                <w:kern w:val="0"/>
              </w:rPr>
            </w:pPr>
            <w:r w:rsidRPr="00610751">
              <w:rPr>
                <w:kern w:val="0"/>
              </w:rPr>
              <w:t>746</w:t>
            </w:r>
          </w:p>
        </w:tc>
        <w:tc>
          <w:tcPr>
            <w:tcW w:w="1440" w:type="dxa"/>
            <w:shd w:val="clear" w:color="auto" w:fill="auto"/>
            <w:vAlign w:val="center"/>
            <w:hideMark/>
          </w:tcPr>
          <w:p w14:paraId="2FFCCC22" w14:textId="77777777" w:rsidR="00610751" w:rsidRPr="00610751" w:rsidRDefault="00610751" w:rsidP="00610751">
            <w:pPr>
              <w:widowControl/>
              <w:overflowPunct/>
              <w:autoSpaceDE/>
              <w:autoSpaceDN/>
              <w:adjustRightInd/>
              <w:rPr>
                <w:kern w:val="0"/>
              </w:rPr>
            </w:pPr>
            <w:r w:rsidRPr="00610751">
              <w:rPr>
                <w:kern w:val="0"/>
              </w:rPr>
              <w:t xml:space="preserve">Centralization </w:t>
            </w:r>
          </w:p>
        </w:tc>
        <w:tc>
          <w:tcPr>
            <w:tcW w:w="5760" w:type="dxa"/>
            <w:shd w:val="clear" w:color="auto" w:fill="auto"/>
            <w:vAlign w:val="center"/>
            <w:hideMark/>
          </w:tcPr>
          <w:p w14:paraId="10300667" w14:textId="77777777" w:rsidR="00610751" w:rsidRPr="00610751" w:rsidRDefault="00610751" w:rsidP="00610751">
            <w:pPr>
              <w:widowControl/>
              <w:overflowPunct/>
              <w:autoSpaceDE/>
              <w:autoSpaceDN/>
              <w:adjustRightInd/>
              <w:rPr>
                <w:kern w:val="0"/>
              </w:rPr>
            </w:pPr>
            <w:r w:rsidRPr="00610751">
              <w:rPr>
                <w:kern w:val="0"/>
              </w:rPr>
              <w:t>(1) Direction of R&amp;D; (2) which new R&amp;D projects to pursue; (3) documentation standards and norms; (4) R&amp;D budget; (5) hiring and firing; (6) cooperation with other units; (7) cooperation with external firms or organizations; (8) training programs; (9) salaries; (10) transfer of personnel.</w:t>
            </w:r>
          </w:p>
        </w:tc>
        <w:tc>
          <w:tcPr>
            <w:tcW w:w="2250" w:type="dxa"/>
            <w:shd w:val="clear" w:color="auto" w:fill="auto"/>
            <w:vAlign w:val="center"/>
            <w:hideMark/>
          </w:tcPr>
          <w:p w14:paraId="1D724CED" w14:textId="77777777" w:rsidR="00610751" w:rsidRPr="00610751" w:rsidRDefault="00610751" w:rsidP="00610751">
            <w:pPr>
              <w:widowControl/>
              <w:overflowPunct/>
              <w:autoSpaceDE/>
              <w:autoSpaceDN/>
              <w:adjustRightInd/>
              <w:rPr>
                <w:kern w:val="0"/>
              </w:rPr>
            </w:pPr>
            <w:r w:rsidRPr="00610751">
              <w:rPr>
                <w:kern w:val="0"/>
              </w:rPr>
              <w:t>Luo (2006)</w:t>
            </w:r>
          </w:p>
          <w:p w14:paraId="44FDD9B8" w14:textId="77777777" w:rsidR="00610751" w:rsidRPr="00610751" w:rsidRDefault="00610751" w:rsidP="00610751">
            <w:pPr>
              <w:widowControl/>
              <w:overflowPunct/>
              <w:autoSpaceDE/>
              <w:autoSpaceDN/>
              <w:adjustRightInd/>
              <w:rPr>
                <w:kern w:val="0"/>
              </w:rPr>
            </w:pPr>
            <w:r w:rsidRPr="00610751">
              <w:rPr>
                <w:kern w:val="0"/>
              </w:rPr>
              <w:t>Zhang et al. (2006)</w:t>
            </w:r>
          </w:p>
          <w:p w14:paraId="59963578" w14:textId="77777777" w:rsidR="00610751" w:rsidRPr="00610751" w:rsidRDefault="00610751" w:rsidP="00610751">
            <w:pPr>
              <w:widowControl/>
              <w:overflowPunct/>
              <w:autoSpaceDE/>
              <w:autoSpaceDN/>
              <w:adjustRightInd/>
              <w:rPr>
                <w:kern w:val="0"/>
              </w:rPr>
            </w:pPr>
            <w:r w:rsidRPr="00610751">
              <w:rPr>
                <w:kern w:val="0"/>
              </w:rPr>
              <w:t>Keupp et al. (2011)</w:t>
            </w:r>
          </w:p>
        </w:tc>
      </w:tr>
    </w:tbl>
    <w:p w14:paraId="5107E619" w14:textId="77777777" w:rsidR="00610751" w:rsidRPr="00610751" w:rsidRDefault="00610751" w:rsidP="00610751">
      <w:pPr>
        <w:widowControl/>
        <w:overflowPunct/>
        <w:autoSpaceDE/>
        <w:autoSpaceDN/>
        <w:adjustRightInd/>
        <w:ind w:left="720" w:right="-90"/>
        <w:jc w:val="both"/>
        <w:rPr>
          <w:kern w:val="0"/>
        </w:rPr>
      </w:pPr>
      <w:r w:rsidRPr="00610751">
        <w:rPr>
          <w:kern w:val="0"/>
        </w:rPr>
        <w:t>Notes: A = Citation count taken from Google Scholar as of November 2020; The list is not exhaustive, although more recent operationalizations build on the ones presented here; some of the literature in this table is not included in the reference list but is available upon request.</w:t>
      </w:r>
    </w:p>
    <w:p w14:paraId="37132B1E" w14:textId="77777777" w:rsidR="00610751" w:rsidRPr="00610751" w:rsidRDefault="00610751" w:rsidP="00610751">
      <w:pPr>
        <w:widowControl/>
        <w:overflowPunct/>
        <w:autoSpaceDE/>
        <w:autoSpaceDN/>
        <w:adjustRightInd/>
        <w:ind w:left="720"/>
        <w:rPr>
          <w:kern w:val="0"/>
          <w:sz w:val="22"/>
          <w:szCs w:val="22"/>
        </w:rPr>
      </w:pPr>
      <w:r w:rsidRPr="00610751">
        <w:rPr>
          <w:kern w:val="0"/>
          <w:sz w:val="22"/>
          <w:szCs w:val="22"/>
        </w:rPr>
        <w:br w:type="page"/>
      </w:r>
    </w:p>
    <w:p w14:paraId="7569F629" w14:textId="77777777" w:rsidR="00610751" w:rsidRPr="00610751" w:rsidRDefault="00610751" w:rsidP="00610751">
      <w:pPr>
        <w:widowControl/>
        <w:overflowPunct/>
        <w:autoSpaceDE/>
        <w:autoSpaceDN/>
        <w:adjustRightInd/>
        <w:ind w:left="720"/>
        <w:rPr>
          <w:kern w:val="0"/>
          <w:sz w:val="24"/>
          <w:szCs w:val="24"/>
        </w:rPr>
      </w:pPr>
      <w:r w:rsidRPr="00610751">
        <w:rPr>
          <w:kern w:val="0"/>
          <w:sz w:val="24"/>
          <w:szCs w:val="24"/>
        </w:rPr>
        <w:t>Table 2B. Meta-analytic correlation matrix</w:t>
      </w:r>
    </w:p>
    <w:p w14:paraId="7D15820B" w14:textId="77777777" w:rsidR="00610751" w:rsidRPr="00610751" w:rsidRDefault="00610751" w:rsidP="00610751">
      <w:pPr>
        <w:widowControl/>
        <w:overflowPunct/>
        <w:autoSpaceDE/>
        <w:autoSpaceDN/>
        <w:adjustRightInd/>
        <w:rPr>
          <w:kern w:val="0"/>
          <w:sz w:val="24"/>
          <w:szCs w:val="24"/>
        </w:rPr>
      </w:pPr>
    </w:p>
    <w:tbl>
      <w:tblPr>
        <w:tblW w:w="11936" w:type="dxa"/>
        <w:tblInd w:w="695" w:type="dxa"/>
        <w:tblLook w:val="04A0" w:firstRow="1" w:lastRow="0" w:firstColumn="1" w:lastColumn="0" w:noHBand="0" w:noVBand="1"/>
      </w:tblPr>
      <w:tblGrid>
        <w:gridCol w:w="416"/>
        <w:gridCol w:w="2304"/>
        <w:gridCol w:w="1152"/>
        <w:gridCol w:w="1152"/>
        <w:gridCol w:w="1152"/>
        <w:gridCol w:w="1152"/>
        <w:gridCol w:w="1152"/>
        <w:gridCol w:w="1152"/>
        <w:gridCol w:w="1152"/>
        <w:gridCol w:w="1152"/>
      </w:tblGrid>
      <w:tr w:rsidR="00610751" w:rsidRPr="00610751" w14:paraId="20A6D578" w14:textId="77777777" w:rsidTr="00DB7B9A">
        <w:trPr>
          <w:trHeight w:val="20"/>
        </w:trPr>
        <w:tc>
          <w:tcPr>
            <w:tcW w:w="416" w:type="dxa"/>
            <w:tcBorders>
              <w:top w:val="single" w:sz="4" w:space="0" w:color="auto"/>
              <w:left w:val="nil"/>
              <w:bottom w:val="single" w:sz="4" w:space="0" w:color="auto"/>
              <w:right w:val="nil"/>
            </w:tcBorders>
            <w:shd w:val="clear" w:color="auto" w:fill="auto"/>
            <w:noWrap/>
            <w:vAlign w:val="bottom"/>
            <w:hideMark/>
          </w:tcPr>
          <w:p w14:paraId="3D2AE9A4" w14:textId="77777777" w:rsidR="00610751" w:rsidRPr="00610751" w:rsidRDefault="00610751" w:rsidP="00610751">
            <w:pPr>
              <w:widowControl/>
              <w:overflowPunct/>
              <w:autoSpaceDE/>
              <w:autoSpaceDN/>
              <w:adjustRightInd/>
              <w:rPr>
                <w:kern w:val="0"/>
              </w:rPr>
            </w:pPr>
          </w:p>
        </w:tc>
        <w:tc>
          <w:tcPr>
            <w:tcW w:w="2304" w:type="dxa"/>
            <w:tcBorders>
              <w:top w:val="single" w:sz="4" w:space="0" w:color="auto"/>
              <w:left w:val="nil"/>
              <w:bottom w:val="single" w:sz="4" w:space="0" w:color="auto"/>
              <w:right w:val="nil"/>
            </w:tcBorders>
            <w:shd w:val="clear" w:color="auto" w:fill="auto"/>
            <w:noWrap/>
            <w:vAlign w:val="bottom"/>
            <w:hideMark/>
          </w:tcPr>
          <w:p w14:paraId="325205FB" w14:textId="77777777" w:rsidR="00610751" w:rsidRPr="00610751" w:rsidRDefault="00610751" w:rsidP="00610751">
            <w:pPr>
              <w:widowControl/>
              <w:overflowPunct/>
              <w:autoSpaceDE/>
              <w:autoSpaceDN/>
              <w:adjustRightInd/>
              <w:rPr>
                <w:color w:val="000000"/>
                <w:kern w:val="0"/>
              </w:rPr>
            </w:pPr>
            <w:r w:rsidRPr="00610751">
              <w:rPr>
                <w:color w:val="000000"/>
                <w:kern w:val="0"/>
              </w:rPr>
              <w:t>Variable</w:t>
            </w:r>
          </w:p>
        </w:tc>
        <w:tc>
          <w:tcPr>
            <w:tcW w:w="1152" w:type="dxa"/>
            <w:tcBorders>
              <w:top w:val="single" w:sz="4" w:space="0" w:color="auto"/>
              <w:left w:val="nil"/>
              <w:bottom w:val="single" w:sz="4" w:space="0" w:color="auto"/>
              <w:right w:val="nil"/>
            </w:tcBorders>
            <w:shd w:val="clear" w:color="auto" w:fill="auto"/>
            <w:noWrap/>
            <w:vAlign w:val="center"/>
            <w:hideMark/>
          </w:tcPr>
          <w:p w14:paraId="0FBC3A04"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w:t>
            </w:r>
          </w:p>
        </w:tc>
        <w:tc>
          <w:tcPr>
            <w:tcW w:w="1152" w:type="dxa"/>
            <w:tcBorders>
              <w:top w:val="single" w:sz="4" w:space="0" w:color="auto"/>
              <w:left w:val="nil"/>
              <w:bottom w:val="single" w:sz="4" w:space="0" w:color="auto"/>
              <w:right w:val="nil"/>
            </w:tcBorders>
            <w:shd w:val="clear" w:color="auto" w:fill="auto"/>
            <w:noWrap/>
            <w:vAlign w:val="center"/>
            <w:hideMark/>
          </w:tcPr>
          <w:p w14:paraId="430A5809"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2</w:t>
            </w:r>
          </w:p>
        </w:tc>
        <w:tc>
          <w:tcPr>
            <w:tcW w:w="1152" w:type="dxa"/>
            <w:tcBorders>
              <w:top w:val="single" w:sz="4" w:space="0" w:color="auto"/>
              <w:left w:val="nil"/>
              <w:bottom w:val="single" w:sz="4" w:space="0" w:color="auto"/>
              <w:right w:val="nil"/>
            </w:tcBorders>
            <w:shd w:val="clear" w:color="auto" w:fill="auto"/>
            <w:noWrap/>
            <w:vAlign w:val="center"/>
            <w:hideMark/>
          </w:tcPr>
          <w:p w14:paraId="7EE02E0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w:t>
            </w:r>
          </w:p>
        </w:tc>
        <w:tc>
          <w:tcPr>
            <w:tcW w:w="1152" w:type="dxa"/>
            <w:tcBorders>
              <w:top w:val="single" w:sz="4" w:space="0" w:color="auto"/>
              <w:left w:val="nil"/>
              <w:bottom w:val="single" w:sz="4" w:space="0" w:color="auto"/>
              <w:right w:val="nil"/>
            </w:tcBorders>
            <w:shd w:val="clear" w:color="auto" w:fill="auto"/>
            <w:noWrap/>
            <w:vAlign w:val="center"/>
            <w:hideMark/>
          </w:tcPr>
          <w:p w14:paraId="7952BDC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4</w:t>
            </w:r>
          </w:p>
        </w:tc>
        <w:tc>
          <w:tcPr>
            <w:tcW w:w="1152" w:type="dxa"/>
            <w:tcBorders>
              <w:top w:val="single" w:sz="4" w:space="0" w:color="auto"/>
              <w:left w:val="nil"/>
              <w:bottom w:val="single" w:sz="4" w:space="0" w:color="auto"/>
              <w:right w:val="nil"/>
            </w:tcBorders>
            <w:shd w:val="clear" w:color="auto" w:fill="auto"/>
            <w:noWrap/>
            <w:vAlign w:val="center"/>
            <w:hideMark/>
          </w:tcPr>
          <w:p w14:paraId="764833A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5</w:t>
            </w:r>
          </w:p>
        </w:tc>
        <w:tc>
          <w:tcPr>
            <w:tcW w:w="1152" w:type="dxa"/>
            <w:tcBorders>
              <w:top w:val="single" w:sz="4" w:space="0" w:color="auto"/>
              <w:left w:val="nil"/>
              <w:bottom w:val="single" w:sz="4" w:space="0" w:color="auto"/>
              <w:right w:val="nil"/>
            </w:tcBorders>
            <w:shd w:val="clear" w:color="auto" w:fill="auto"/>
            <w:noWrap/>
            <w:vAlign w:val="center"/>
            <w:hideMark/>
          </w:tcPr>
          <w:p w14:paraId="4AF30B00"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6</w:t>
            </w:r>
          </w:p>
        </w:tc>
        <w:tc>
          <w:tcPr>
            <w:tcW w:w="1152" w:type="dxa"/>
            <w:tcBorders>
              <w:top w:val="single" w:sz="4" w:space="0" w:color="auto"/>
              <w:left w:val="nil"/>
              <w:bottom w:val="single" w:sz="4" w:space="0" w:color="auto"/>
              <w:right w:val="nil"/>
            </w:tcBorders>
            <w:shd w:val="clear" w:color="auto" w:fill="auto"/>
            <w:noWrap/>
            <w:vAlign w:val="center"/>
            <w:hideMark/>
          </w:tcPr>
          <w:p w14:paraId="68F9DDC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7</w:t>
            </w:r>
          </w:p>
        </w:tc>
        <w:tc>
          <w:tcPr>
            <w:tcW w:w="1152" w:type="dxa"/>
            <w:tcBorders>
              <w:top w:val="single" w:sz="4" w:space="0" w:color="auto"/>
              <w:left w:val="nil"/>
              <w:bottom w:val="single" w:sz="4" w:space="0" w:color="auto"/>
              <w:right w:val="nil"/>
            </w:tcBorders>
            <w:shd w:val="clear" w:color="auto" w:fill="auto"/>
            <w:noWrap/>
            <w:vAlign w:val="center"/>
            <w:hideMark/>
          </w:tcPr>
          <w:p w14:paraId="54BE393E"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8</w:t>
            </w:r>
          </w:p>
        </w:tc>
      </w:tr>
      <w:tr w:rsidR="00610751" w:rsidRPr="00610751" w14:paraId="7FCCD05E" w14:textId="77777777" w:rsidTr="00DB7B9A">
        <w:trPr>
          <w:trHeight w:val="20"/>
        </w:trPr>
        <w:tc>
          <w:tcPr>
            <w:tcW w:w="416" w:type="dxa"/>
            <w:tcBorders>
              <w:top w:val="single" w:sz="4" w:space="0" w:color="auto"/>
              <w:left w:val="nil"/>
              <w:bottom w:val="nil"/>
              <w:right w:val="nil"/>
            </w:tcBorders>
            <w:shd w:val="clear" w:color="auto" w:fill="auto"/>
            <w:noWrap/>
            <w:vAlign w:val="bottom"/>
            <w:hideMark/>
          </w:tcPr>
          <w:p w14:paraId="3B581D2F"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1</w:t>
            </w:r>
          </w:p>
        </w:tc>
        <w:tc>
          <w:tcPr>
            <w:tcW w:w="2304" w:type="dxa"/>
            <w:tcBorders>
              <w:top w:val="single" w:sz="4" w:space="0" w:color="auto"/>
              <w:left w:val="nil"/>
              <w:bottom w:val="nil"/>
              <w:right w:val="nil"/>
            </w:tcBorders>
            <w:shd w:val="clear" w:color="auto" w:fill="auto"/>
            <w:noWrap/>
            <w:vAlign w:val="bottom"/>
            <w:hideMark/>
          </w:tcPr>
          <w:p w14:paraId="3E645D94" w14:textId="77777777" w:rsidR="00610751" w:rsidRPr="00610751" w:rsidRDefault="00610751" w:rsidP="00610751">
            <w:pPr>
              <w:widowControl/>
              <w:overflowPunct/>
              <w:autoSpaceDE/>
              <w:autoSpaceDN/>
              <w:adjustRightInd/>
              <w:rPr>
                <w:color w:val="000000"/>
                <w:kern w:val="0"/>
              </w:rPr>
            </w:pPr>
            <w:r w:rsidRPr="00610751">
              <w:rPr>
                <w:color w:val="000000"/>
                <w:kern w:val="0"/>
              </w:rPr>
              <w:t>Subsidiary autonomy</w:t>
            </w:r>
          </w:p>
        </w:tc>
        <w:tc>
          <w:tcPr>
            <w:tcW w:w="1152" w:type="dxa"/>
            <w:tcBorders>
              <w:top w:val="single" w:sz="4" w:space="0" w:color="auto"/>
              <w:left w:val="nil"/>
              <w:bottom w:val="nil"/>
              <w:right w:val="nil"/>
            </w:tcBorders>
            <w:shd w:val="clear" w:color="auto" w:fill="auto"/>
            <w:noWrap/>
            <w:vAlign w:val="center"/>
            <w:hideMark/>
          </w:tcPr>
          <w:p w14:paraId="2B66D7E0"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c>
          <w:tcPr>
            <w:tcW w:w="1152" w:type="dxa"/>
            <w:tcBorders>
              <w:top w:val="single" w:sz="4" w:space="0" w:color="auto"/>
              <w:left w:val="nil"/>
              <w:bottom w:val="nil"/>
              <w:right w:val="nil"/>
            </w:tcBorders>
            <w:shd w:val="clear" w:color="auto" w:fill="auto"/>
            <w:noWrap/>
            <w:vAlign w:val="center"/>
            <w:hideMark/>
          </w:tcPr>
          <w:p w14:paraId="23746F70"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33 (5754)</w:t>
            </w:r>
          </w:p>
        </w:tc>
        <w:tc>
          <w:tcPr>
            <w:tcW w:w="1152" w:type="dxa"/>
            <w:tcBorders>
              <w:top w:val="single" w:sz="4" w:space="0" w:color="auto"/>
              <w:left w:val="nil"/>
              <w:bottom w:val="nil"/>
              <w:right w:val="nil"/>
            </w:tcBorders>
            <w:shd w:val="clear" w:color="auto" w:fill="auto"/>
            <w:noWrap/>
            <w:vAlign w:val="center"/>
            <w:hideMark/>
          </w:tcPr>
          <w:p w14:paraId="44E3E4F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20 (3679)</w:t>
            </w:r>
          </w:p>
        </w:tc>
        <w:tc>
          <w:tcPr>
            <w:tcW w:w="1152" w:type="dxa"/>
            <w:tcBorders>
              <w:top w:val="single" w:sz="4" w:space="0" w:color="auto"/>
              <w:left w:val="nil"/>
              <w:bottom w:val="nil"/>
              <w:right w:val="nil"/>
            </w:tcBorders>
            <w:shd w:val="clear" w:color="auto" w:fill="auto"/>
            <w:noWrap/>
            <w:vAlign w:val="center"/>
            <w:hideMark/>
          </w:tcPr>
          <w:p w14:paraId="75D3CA4B"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54 (12160)</w:t>
            </w:r>
          </w:p>
        </w:tc>
        <w:tc>
          <w:tcPr>
            <w:tcW w:w="1152" w:type="dxa"/>
            <w:tcBorders>
              <w:top w:val="single" w:sz="4" w:space="0" w:color="auto"/>
              <w:left w:val="nil"/>
              <w:bottom w:val="nil"/>
              <w:right w:val="nil"/>
            </w:tcBorders>
            <w:shd w:val="clear" w:color="auto" w:fill="auto"/>
            <w:noWrap/>
            <w:vAlign w:val="center"/>
            <w:hideMark/>
          </w:tcPr>
          <w:p w14:paraId="5904950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29 (8821)</w:t>
            </w:r>
          </w:p>
        </w:tc>
        <w:tc>
          <w:tcPr>
            <w:tcW w:w="1152" w:type="dxa"/>
            <w:tcBorders>
              <w:top w:val="single" w:sz="4" w:space="0" w:color="auto"/>
              <w:left w:val="nil"/>
              <w:bottom w:val="nil"/>
              <w:right w:val="nil"/>
            </w:tcBorders>
            <w:shd w:val="clear" w:color="auto" w:fill="auto"/>
            <w:noWrap/>
            <w:vAlign w:val="center"/>
            <w:hideMark/>
          </w:tcPr>
          <w:p w14:paraId="1FD6426E"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15 (2689)</w:t>
            </w:r>
          </w:p>
        </w:tc>
        <w:tc>
          <w:tcPr>
            <w:tcW w:w="1152" w:type="dxa"/>
            <w:tcBorders>
              <w:top w:val="single" w:sz="4" w:space="0" w:color="auto"/>
              <w:left w:val="nil"/>
              <w:bottom w:val="nil"/>
              <w:right w:val="nil"/>
            </w:tcBorders>
            <w:shd w:val="clear" w:color="auto" w:fill="auto"/>
            <w:noWrap/>
            <w:vAlign w:val="center"/>
            <w:hideMark/>
          </w:tcPr>
          <w:p w14:paraId="79BF265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24 (3320)</w:t>
            </w:r>
          </w:p>
        </w:tc>
        <w:tc>
          <w:tcPr>
            <w:tcW w:w="1152" w:type="dxa"/>
            <w:tcBorders>
              <w:top w:val="single" w:sz="4" w:space="0" w:color="auto"/>
              <w:left w:val="nil"/>
              <w:bottom w:val="nil"/>
              <w:right w:val="nil"/>
            </w:tcBorders>
            <w:shd w:val="clear" w:color="auto" w:fill="auto"/>
            <w:noWrap/>
            <w:vAlign w:val="center"/>
            <w:hideMark/>
          </w:tcPr>
          <w:p w14:paraId="352FA4A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37 (10527)</w:t>
            </w:r>
          </w:p>
        </w:tc>
      </w:tr>
      <w:tr w:rsidR="00610751" w:rsidRPr="00610751" w14:paraId="3FCFC820" w14:textId="77777777" w:rsidTr="00DB7B9A">
        <w:trPr>
          <w:trHeight w:val="20"/>
        </w:trPr>
        <w:tc>
          <w:tcPr>
            <w:tcW w:w="416" w:type="dxa"/>
            <w:tcBorders>
              <w:top w:val="nil"/>
              <w:left w:val="nil"/>
              <w:bottom w:val="nil"/>
              <w:right w:val="nil"/>
            </w:tcBorders>
            <w:shd w:val="clear" w:color="auto" w:fill="auto"/>
            <w:noWrap/>
            <w:vAlign w:val="bottom"/>
            <w:hideMark/>
          </w:tcPr>
          <w:p w14:paraId="6F629258"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2</w:t>
            </w:r>
          </w:p>
        </w:tc>
        <w:tc>
          <w:tcPr>
            <w:tcW w:w="2304" w:type="dxa"/>
            <w:tcBorders>
              <w:top w:val="nil"/>
              <w:left w:val="nil"/>
              <w:bottom w:val="nil"/>
              <w:right w:val="nil"/>
            </w:tcBorders>
            <w:shd w:val="clear" w:color="auto" w:fill="auto"/>
            <w:noWrap/>
            <w:vAlign w:val="bottom"/>
            <w:hideMark/>
          </w:tcPr>
          <w:p w14:paraId="33951EE6" w14:textId="77777777" w:rsidR="00610751" w:rsidRPr="00610751" w:rsidRDefault="00610751" w:rsidP="00610751">
            <w:pPr>
              <w:widowControl/>
              <w:overflowPunct/>
              <w:autoSpaceDE/>
              <w:autoSpaceDN/>
              <w:adjustRightInd/>
              <w:rPr>
                <w:color w:val="000000"/>
                <w:kern w:val="0"/>
              </w:rPr>
            </w:pPr>
            <w:r w:rsidRPr="00610751">
              <w:rPr>
                <w:color w:val="000000"/>
                <w:kern w:val="0"/>
              </w:rPr>
              <w:t>Goal alignment</w:t>
            </w:r>
          </w:p>
        </w:tc>
        <w:tc>
          <w:tcPr>
            <w:tcW w:w="1152" w:type="dxa"/>
            <w:tcBorders>
              <w:top w:val="nil"/>
              <w:left w:val="nil"/>
              <w:bottom w:val="nil"/>
              <w:right w:val="nil"/>
            </w:tcBorders>
            <w:shd w:val="clear" w:color="auto" w:fill="auto"/>
            <w:noWrap/>
            <w:vAlign w:val="center"/>
            <w:hideMark/>
          </w:tcPr>
          <w:p w14:paraId="7ACF2AC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-0.047</w:t>
            </w:r>
          </w:p>
        </w:tc>
        <w:tc>
          <w:tcPr>
            <w:tcW w:w="1152" w:type="dxa"/>
            <w:tcBorders>
              <w:top w:val="nil"/>
              <w:left w:val="nil"/>
              <w:bottom w:val="nil"/>
              <w:right w:val="nil"/>
            </w:tcBorders>
            <w:shd w:val="clear" w:color="auto" w:fill="auto"/>
            <w:noWrap/>
            <w:vAlign w:val="center"/>
            <w:hideMark/>
          </w:tcPr>
          <w:p w14:paraId="78AA0516"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c>
          <w:tcPr>
            <w:tcW w:w="1152" w:type="dxa"/>
            <w:tcBorders>
              <w:top w:val="nil"/>
              <w:left w:val="nil"/>
              <w:bottom w:val="nil"/>
              <w:right w:val="nil"/>
            </w:tcBorders>
            <w:shd w:val="clear" w:color="auto" w:fill="auto"/>
            <w:noWrap/>
            <w:vAlign w:val="center"/>
            <w:hideMark/>
          </w:tcPr>
          <w:p w14:paraId="2D921EB2"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4 (700)</w:t>
            </w:r>
          </w:p>
        </w:tc>
        <w:tc>
          <w:tcPr>
            <w:tcW w:w="1152" w:type="dxa"/>
            <w:tcBorders>
              <w:top w:val="nil"/>
              <w:left w:val="nil"/>
              <w:bottom w:val="nil"/>
              <w:right w:val="nil"/>
            </w:tcBorders>
            <w:shd w:val="clear" w:color="auto" w:fill="auto"/>
            <w:noWrap/>
            <w:vAlign w:val="center"/>
            <w:hideMark/>
          </w:tcPr>
          <w:p w14:paraId="59B0565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11 (1769)</w:t>
            </w:r>
          </w:p>
        </w:tc>
        <w:tc>
          <w:tcPr>
            <w:tcW w:w="1152" w:type="dxa"/>
            <w:tcBorders>
              <w:top w:val="nil"/>
              <w:left w:val="nil"/>
              <w:bottom w:val="nil"/>
              <w:right w:val="nil"/>
            </w:tcBorders>
            <w:shd w:val="clear" w:color="auto" w:fill="auto"/>
            <w:noWrap/>
            <w:vAlign w:val="center"/>
            <w:hideMark/>
          </w:tcPr>
          <w:p w14:paraId="5CEC88D0"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5 (1367)</w:t>
            </w:r>
          </w:p>
        </w:tc>
        <w:tc>
          <w:tcPr>
            <w:tcW w:w="1152" w:type="dxa"/>
            <w:tcBorders>
              <w:top w:val="nil"/>
              <w:left w:val="nil"/>
              <w:bottom w:val="nil"/>
              <w:right w:val="nil"/>
            </w:tcBorders>
            <w:shd w:val="clear" w:color="auto" w:fill="auto"/>
            <w:noWrap/>
            <w:vAlign w:val="center"/>
            <w:hideMark/>
          </w:tcPr>
          <w:p w14:paraId="79498B8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6 (1335)</w:t>
            </w:r>
          </w:p>
        </w:tc>
        <w:tc>
          <w:tcPr>
            <w:tcW w:w="1152" w:type="dxa"/>
            <w:tcBorders>
              <w:top w:val="nil"/>
              <w:left w:val="nil"/>
              <w:bottom w:val="nil"/>
              <w:right w:val="nil"/>
            </w:tcBorders>
            <w:shd w:val="clear" w:color="auto" w:fill="auto"/>
            <w:noWrap/>
            <w:vAlign w:val="center"/>
            <w:hideMark/>
          </w:tcPr>
          <w:p w14:paraId="157A661B"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4 (433)</w:t>
            </w:r>
          </w:p>
        </w:tc>
        <w:tc>
          <w:tcPr>
            <w:tcW w:w="1152" w:type="dxa"/>
            <w:tcBorders>
              <w:top w:val="nil"/>
              <w:left w:val="nil"/>
              <w:bottom w:val="nil"/>
              <w:right w:val="nil"/>
            </w:tcBorders>
            <w:shd w:val="clear" w:color="auto" w:fill="auto"/>
            <w:noWrap/>
            <w:vAlign w:val="center"/>
            <w:hideMark/>
          </w:tcPr>
          <w:p w14:paraId="13ABC5CB"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7 (1529)</w:t>
            </w:r>
          </w:p>
        </w:tc>
      </w:tr>
      <w:tr w:rsidR="00610751" w:rsidRPr="00610751" w14:paraId="0EDCC4E5" w14:textId="77777777" w:rsidTr="00DB7B9A">
        <w:trPr>
          <w:trHeight w:val="20"/>
        </w:trPr>
        <w:tc>
          <w:tcPr>
            <w:tcW w:w="416" w:type="dxa"/>
            <w:tcBorders>
              <w:top w:val="nil"/>
              <w:left w:val="nil"/>
              <w:bottom w:val="nil"/>
              <w:right w:val="nil"/>
            </w:tcBorders>
            <w:shd w:val="clear" w:color="auto" w:fill="auto"/>
            <w:noWrap/>
            <w:vAlign w:val="bottom"/>
            <w:hideMark/>
          </w:tcPr>
          <w:p w14:paraId="213D4320"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3</w:t>
            </w:r>
          </w:p>
        </w:tc>
        <w:tc>
          <w:tcPr>
            <w:tcW w:w="2304" w:type="dxa"/>
            <w:tcBorders>
              <w:top w:val="nil"/>
              <w:left w:val="nil"/>
              <w:bottom w:val="nil"/>
              <w:right w:val="nil"/>
            </w:tcBorders>
            <w:shd w:val="clear" w:color="auto" w:fill="auto"/>
            <w:noWrap/>
            <w:vAlign w:val="bottom"/>
            <w:hideMark/>
          </w:tcPr>
          <w:p w14:paraId="4644F1C0" w14:textId="77777777" w:rsidR="00610751" w:rsidRPr="00610751" w:rsidRDefault="00610751" w:rsidP="00610751">
            <w:pPr>
              <w:widowControl/>
              <w:overflowPunct/>
              <w:autoSpaceDE/>
              <w:autoSpaceDN/>
              <w:adjustRightInd/>
              <w:rPr>
                <w:color w:val="000000"/>
                <w:kern w:val="0"/>
              </w:rPr>
            </w:pPr>
            <w:r w:rsidRPr="00610751">
              <w:rPr>
                <w:color w:val="000000"/>
                <w:kern w:val="0"/>
              </w:rPr>
              <w:t>Past Performance</w:t>
            </w:r>
          </w:p>
        </w:tc>
        <w:tc>
          <w:tcPr>
            <w:tcW w:w="1152" w:type="dxa"/>
            <w:tcBorders>
              <w:top w:val="nil"/>
              <w:left w:val="nil"/>
              <w:bottom w:val="nil"/>
              <w:right w:val="nil"/>
            </w:tcBorders>
            <w:shd w:val="clear" w:color="auto" w:fill="auto"/>
            <w:noWrap/>
            <w:vAlign w:val="center"/>
            <w:hideMark/>
          </w:tcPr>
          <w:p w14:paraId="5DFB256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0.056</w:t>
            </w:r>
          </w:p>
        </w:tc>
        <w:tc>
          <w:tcPr>
            <w:tcW w:w="1152" w:type="dxa"/>
            <w:tcBorders>
              <w:top w:val="nil"/>
              <w:left w:val="nil"/>
              <w:bottom w:val="nil"/>
              <w:right w:val="nil"/>
            </w:tcBorders>
            <w:shd w:val="clear" w:color="auto" w:fill="auto"/>
            <w:noWrap/>
            <w:vAlign w:val="center"/>
            <w:hideMark/>
          </w:tcPr>
          <w:p w14:paraId="06D67AF2"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0.272</w:t>
            </w:r>
          </w:p>
        </w:tc>
        <w:tc>
          <w:tcPr>
            <w:tcW w:w="1152" w:type="dxa"/>
            <w:tcBorders>
              <w:top w:val="nil"/>
              <w:left w:val="nil"/>
              <w:bottom w:val="nil"/>
              <w:right w:val="nil"/>
            </w:tcBorders>
            <w:shd w:val="clear" w:color="auto" w:fill="auto"/>
            <w:noWrap/>
            <w:vAlign w:val="center"/>
            <w:hideMark/>
          </w:tcPr>
          <w:p w14:paraId="6D3754E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c>
          <w:tcPr>
            <w:tcW w:w="1152" w:type="dxa"/>
            <w:tcBorders>
              <w:top w:val="nil"/>
              <w:left w:val="nil"/>
              <w:bottom w:val="nil"/>
              <w:right w:val="nil"/>
            </w:tcBorders>
            <w:shd w:val="clear" w:color="auto" w:fill="auto"/>
            <w:noWrap/>
            <w:vAlign w:val="center"/>
            <w:hideMark/>
          </w:tcPr>
          <w:p w14:paraId="7EC1FF1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5 (2285)</w:t>
            </w:r>
          </w:p>
        </w:tc>
        <w:tc>
          <w:tcPr>
            <w:tcW w:w="1152" w:type="dxa"/>
            <w:tcBorders>
              <w:top w:val="nil"/>
              <w:left w:val="nil"/>
              <w:bottom w:val="nil"/>
              <w:right w:val="nil"/>
            </w:tcBorders>
            <w:shd w:val="clear" w:color="auto" w:fill="auto"/>
            <w:noWrap/>
            <w:vAlign w:val="center"/>
            <w:hideMark/>
          </w:tcPr>
          <w:p w14:paraId="7363B38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 (473)</w:t>
            </w:r>
          </w:p>
        </w:tc>
        <w:tc>
          <w:tcPr>
            <w:tcW w:w="1152" w:type="dxa"/>
            <w:tcBorders>
              <w:top w:val="nil"/>
              <w:left w:val="nil"/>
              <w:bottom w:val="nil"/>
              <w:right w:val="nil"/>
            </w:tcBorders>
            <w:shd w:val="clear" w:color="auto" w:fill="auto"/>
            <w:noWrap/>
            <w:vAlign w:val="center"/>
            <w:hideMark/>
          </w:tcPr>
          <w:p w14:paraId="52EC09D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4 (810)</w:t>
            </w:r>
          </w:p>
        </w:tc>
        <w:tc>
          <w:tcPr>
            <w:tcW w:w="1152" w:type="dxa"/>
            <w:tcBorders>
              <w:top w:val="nil"/>
              <w:left w:val="nil"/>
              <w:bottom w:val="nil"/>
              <w:right w:val="nil"/>
            </w:tcBorders>
            <w:shd w:val="clear" w:color="auto" w:fill="auto"/>
            <w:noWrap/>
            <w:vAlign w:val="center"/>
            <w:hideMark/>
          </w:tcPr>
          <w:p w14:paraId="4442E41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5 (668)</w:t>
            </w:r>
          </w:p>
        </w:tc>
        <w:tc>
          <w:tcPr>
            <w:tcW w:w="1152" w:type="dxa"/>
            <w:tcBorders>
              <w:top w:val="nil"/>
              <w:left w:val="nil"/>
              <w:bottom w:val="nil"/>
              <w:right w:val="nil"/>
            </w:tcBorders>
            <w:shd w:val="clear" w:color="auto" w:fill="auto"/>
            <w:noWrap/>
            <w:vAlign w:val="center"/>
            <w:hideMark/>
          </w:tcPr>
          <w:p w14:paraId="5535DFE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8 (2557)</w:t>
            </w:r>
          </w:p>
        </w:tc>
      </w:tr>
      <w:tr w:rsidR="00610751" w:rsidRPr="00610751" w14:paraId="2BEAE35A" w14:textId="77777777" w:rsidTr="00DB7B9A">
        <w:trPr>
          <w:trHeight w:val="20"/>
        </w:trPr>
        <w:tc>
          <w:tcPr>
            <w:tcW w:w="416" w:type="dxa"/>
            <w:tcBorders>
              <w:top w:val="nil"/>
              <w:left w:val="nil"/>
              <w:bottom w:val="nil"/>
              <w:right w:val="nil"/>
            </w:tcBorders>
            <w:shd w:val="clear" w:color="auto" w:fill="auto"/>
            <w:noWrap/>
            <w:vAlign w:val="bottom"/>
            <w:hideMark/>
          </w:tcPr>
          <w:p w14:paraId="467A3C57"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4</w:t>
            </w:r>
          </w:p>
        </w:tc>
        <w:tc>
          <w:tcPr>
            <w:tcW w:w="2304" w:type="dxa"/>
            <w:tcBorders>
              <w:top w:val="nil"/>
              <w:left w:val="nil"/>
              <w:bottom w:val="nil"/>
              <w:right w:val="nil"/>
            </w:tcBorders>
            <w:shd w:val="clear" w:color="auto" w:fill="auto"/>
            <w:noWrap/>
            <w:vAlign w:val="bottom"/>
            <w:hideMark/>
          </w:tcPr>
          <w:p w14:paraId="5A69A374" w14:textId="77777777" w:rsidR="00610751" w:rsidRPr="00610751" w:rsidRDefault="00610751" w:rsidP="00610751">
            <w:pPr>
              <w:widowControl/>
              <w:overflowPunct/>
              <w:autoSpaceDE/>
              <w:autoSpaceDN/>
              <w:adjustRightInd/>
              <w:rPr>
                <w:color w:val="000000"/>
                <w:kern w:val="0"/>
              </w:rPr>
            </w:pPr>
            <w:r w:rsidRPr="00610751">
              <w:rPr>
                <w:color w:val="000000"/>
                <w:kern w:val="0"/>
              </w:rPr>
              <w:t>Institutional distance</w:t>
            </w:r>
          </w:p>
        </w:tc>
        <w:tc>
          <w:tcPr>
            <w:tcW w:w="1152" w:type="dxa"/>
            <w:tcBorders>
              <w:top w:val="nil"/>
              <w:left w:val="nil"/>
              <w:bottom w:val="nil"/>
              <w:right w:val="nil"/>
            </w:tcBorders>
            <w:shd w:val="clear" w:color="auto" w:fill="auto"/>
            <w:noWrap/>
            <w:vAlign w:val="center"/>
            <w:hideMark/>
          </w:tcPr>
          <w:p w14:paraId="21B08EC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0.018</w:t>
            </w:r>
          </w:p>
        </w:tc>
        <w:tc>
          <w:tcPr>
            <w:tcW w:w="1152" w:type="dxa"/>
            <w:tcBorders>
              <w:top w:val="nil"/>
              <w:left w:val="nil"/>
              <w:bottom w:val="nil"/>
              <w:right w:val="nil"/>
            </w:tcBorders>
            <w:shd w:val="clear" w:color="auto" w:fill="auto"/>
            <w:noWrap/>
            <w:vAlign w:val="center"/>
            <w:hideMark/>
          </w:tcPr>
          <w:p w14:paraId="0D6248E1"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-0.006</w:t>
            </w:r>
          </w:p>
        </w:tc>
        <w:tc>
          <w:tcPr>
            <w:tcW w:w="1152" w:type="dxa"/>
            <w:tcBorders>
              <w:top w:val="nil"/>
              <w:left w:val="nil"/>
              <w:bottom w:val="nil"/>
              <w:right w:val="nil"/>
            </w:tcBorders>
            <w:shd w:val="clear" w:color="auto" w:fill="auto"/>
            <w:noWrap/>
            <w:vAlign w:val="center"/>
            <w:hideMark/>
          </w:tcPr>
          <w:p w14:paraId="0E92986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-0.003</w:t>
            </w:r>
          </w:p>
        </w:tc>
        <w:tc>
          <w:tcPr>
            <w:tcW w:w="1152" w:type="dxa"/>
            <w:tcBorders>
              <w:top w:val="nil"/>
              <w:left w:val="nil"/>
              <w:bottom w:val="nil"/>
              <w:right w:val="nil"/>
            </w:tcBorders>
            <w:shd w:val="clear" w:color="auto" w:fill="auto"/>
            <w:noWrap/>
            <w:vAlign w:val="center"/>
            <w:hideMark/>
          </w:tcPr>
          <w:p w14:paraId="28ECCDBB"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c>
          <w:tcPr>
            <w:tcW w:w="1152" w:type="dxa"/>
            <w:tcBorders>
              <w:top w:val="nil"/>
              <w:left w:val="nil"/>
              <w:bottom w:val="nil"/>
              <w:right w:val="nil"/>
            </w:tcBorders>
            <w:shd w:val="clear" w:color="auto" w:fill="auto"/>
            <w:noWrap/>
            <w:vAlign w:val="center"/>
            <w:hideMark/>
          </w:tcPr>
          <w:p w14:paraId="1F9D4884"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11 (3688)</w:t>
            </w:r>
          </w:p>
        </w:tc>
        <w:tc>
          <w:tcPr>
            <w:tcW w:w="1152" w:type="dxa"/>
            <w:tcBorders>
              <w:top w:val="nil"/>
              <w:left w:val="nil"/>
              <w:bottom w:val="nil"/>
              <w:right w:val="nil"/>
            </w:tcBorders>
            <w:shd w:val="clear" w:color="auto" w:fill="auto"/>
            <w:noWrap/>
            <w:vAlign w:val="center"/>
            <w:hideMark/>
          </w:tcPr>
          <w:p w14:paraId="6FF3B1A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6 (1003)</w:t>
            </w:r>
          </w:p>
        </w:tc>
        <w:tc>
          <w:tcPr>
            <w:tcW w:w="1152" w:type="dxa"/>
            <w:tcBorders>
              <w:top w:val="nil"/>
              <w:left w:val="nil"/>
              <w:bottom w:val="nil"/>
              <w:right w:val="nil"/>
            </w:tcBorders>
            <w:shd w:val="clear" w:color="auto" w:fill="auto"/>
            <w:noWrap/>
            <w:vAlign w:val="center"/>
            <w:hideMark/>
          </w:tcPr>
          <w:p w14:paraId="72F3AC0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13 (2688)</w:t>
            </w:r>
          </w:p>
        </w:tc>
        <w:tc>
          <w:tcPr>
            <w:tcW w:w="1152" w:type="dxa"/>
            <w:tcBorders>
              <w:top w:val="nil"/>
              <w:left w:val="nil"/>
              <w:bottom w:val="nil"/>
              <w:right w:val="nil"/>
            </w:tcBorders>
            <w:shd w:val="clear" w:color="auto" w:fill="auto"/>
            <w:noWrap/>
            <w:vAlign w:val="center"/>
            <w:hideMark/>
          </w:tcPr>
          <w:p w14:paraId="091CAB7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19 (4477)</w:t>
            </w:r>
          </w:p>
        </w:tc>
      </w:tr>
      <w:tr w:rsidR="00610751" w:rsidRPr="00610751" w14:paraId="2B82EDDB" w14:textId="77777777" w:rsidTr="00DB7B9A">
        <w:trPr>
          <w:trHeight w:val="20"/>
        </w:trPr>
        <w:tc>
          <w:tcPr>
            <w:tcW w:w="416" w:type="dxa"/>
            <w:tcBorders>
              <w:top w:val="nil"/>
              <w:left w:val="nil"/>
              <w:bottom w:val="nil"/>
              <w:right w:val="nil"/>
            </w:tcBorders>
            <w:shd w:val="clear" w:color="auto" w:fill="auto"/>
            <w:noWrap/>
            <w:vAlign w:val="bottom"/>
            <w:hideMark/>
          </w:tcPr>
          <w:p w14:paraId="6D20B57B"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5</w:t>
            </w:r>
          </w:p>
        </w:tc>
        <w:tc>
          <w:tcPr>
            <w:tcW w:w="2304" w:type="dxa"/>
            <w:tcBorders>
              <w:top w:val="nil"/>
              <w:left w:val="nil"/>
              <w:bottom w:val="nil"/>
              <w:right w:val="nil"/>
            </w:tcBorders>
            <w:shd w:val="clear" w:color="auto" w:fill="auto"/>
            <w:noWrap/>
            <w:vAlign w:val="bottom"/>
            <w:hideMark/>
          </w:tcPr>
          <w:p w14:paraId="1ADF1BF5" w14:textId="77777777" w:rsidR="00610751" w:rsidRPr="00610751" w:rsidRDefault="00610751" w:rsidP="00610751">
            <w:pPr>
              <w:widowControl/>
              <w:overflowPunct/>
              <w:autoSpaceDE/>
              <w:autoSpaceDN/>
              <w:adjustRightInd/>
              <w:rPr>
                <w:color w:val="000000"/>
                <w:kern w:val="0"/>
              </w:rPr>
            </w:pPr>
            <w:r w:rsidRPr="00610751">
              <w:rPr>
                <w:color w:val="000000"/>
                <w:kern w:val="0"/>
              </w:rPr>
              <w:t>Host country constraints</w:t>
            </w:r>
          </w:p>
        </w:tc>
        <w:tc>
          <w:tcPr>
            <w:tcW w:w="1152" w:type="dxa"/>
            <w:tcBorders>
              <w:top w:val="nil"/>
              <w:left w:val="nil"/>
              <w:bottom w:val="nil"/>
              <w:right w:val="nil"/>
            </w:tcBorders>
            <w:shd w:val="clear" w:color="auto" w:fill="auto"/>
            <w:noWrap/>
            <w:vAlign w:val="center"/>
            <w:hideMark/>
          </w:tcPr>
          <w:p w14:paraId="7C404B9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0.018</w:t>
            </w:r>
          </w:p>
        </w:tc>
        <w:tc>
          <w:tcPr>
            <w:tcW w:w="1152" w:type="dxa"/>
            <w:tcBorders>
              <w:top w:val="nil"/>
              <w:left w:val="nil"/>
              <w:bottom w:val="nil"/>
              <w:right w:val="nil"/>
            </w:tcBorders>
            <w:shd w:val="clear" w:color="auto" w:fill="auto"/>
            <w:noWrap/>
            <w:vAlign w:val="center"/>
            <w:hideMark/>
          </w:tcPr>
          <w:p w14:paraId="49A1960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0.005</w:t>
            </w:r>
          </w:p>
        </w:tc>
        <w:tc>
          <w:tcPr>
            <w:tcW w:w="1152" w:type="dxa"/>
            <w:tcBorders>
              <w:top w:val="nil"/>
              <w:left w:val="nil"/>
              <w:bottom w:val="nil"/>
              <w:right w:val="nil"/>
            </w:tcBorders>
            <w:shd w:val="clear" w:color="auto" w:fill="auto"/>
            <w:noWrap/>
            <w:vAlign w:val="center"/>
            <w:hideMark/>
          </w:tcPr>
          <w:p w14:paraId="570696F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-0.130</w:t>
            </w:r>
          </w:p>
        </w:tc>
        <w:tc>
          <w:tcPr>
            <w:tcW w:w="1152" w:type="dxa"/>
            <w:tcBorders>
              <w:top w:val="nil"/>
              <w:left w:val="nil"/>
              <w:bottom w:val="nil"/>
              <w:right w:val="nil"/>
            </w:tcBorders>
            <w:shd w:val="clear" w:color="auto" w:fill="auto"/>
            <w:noWrap/>
            <w:vAlign w:val="center"/>
            <w:hideMark/>
          </w:tcPr>
          <w:p w14:paraId="32DB441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0.092</w:t>
            </w:r>
          </w:p>
        </w:tc>
        <w:tc>
          <w:tcPr>
            <w:tcW w:w="1152" w:type="dxa"/>
            <w:tcBorders>
              <w:top w:val="nil"/>
              <w:left w:val="nil"/>
              <w:bottom w:val="nil"/>
              <w:right w:val="nil"/>
            </w:tcBorders>
            <w:shd w:val="clear" w:color="auto" w:fill="auto"/>
            <w:noWrap/>
            <w:vAlign w:val="center"/>
            <w:hideMark/>
          </w:tcPr>
          <w:p w14:paraId="20CF506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c>
          <w:tcPr>
            <w:tcW w:w="1152" w:type="dxa"/>
            <w:tcBorders>
              <w:top w:val="nil"/>
              <w:left w:val="nil"/>
              <w:bottom w:val="nil"/>
              <w:right w:val="nil"/>
            </w:tcBorders>
            <w:shd w:val="clear" w:color="auto" w:fill="auto"/>
            <w:noWrap/>
            <w:vAlign w:val="center"/>
            <w:hideMark/>
          </w:tcPr>
          <w:p w14:paraId="4C4CBF3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 (452)</w:t>
            </w:r>
          </w:p>
        </w:tc>
        <w:tc>
          <w:tcPr>
            <w:tcW w:w="1152" w:type="dxa"/>
            <w:tcBorders>
              <w:top w:val="nil"/>
              <w:left w:val="nil"/>
              <w:bottom w:val="nil"/>
              <w:right w:val="nil"/>
            </w:tcBorders>
            <w:shd w:val="clear" w:color="auto" w:fill="auto"/>
            <w:noWrap/>
            <w:vAlign w:val="center"/>
            <w:hideMark/>
          </w:tcPr>
          <w:p w14:paraId="37513AA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 (474)</w:t>
            </w:r>
          </w:p>
        </w:tc>
        <w:tc>
          <w:tcPr>
            <w:tcW w:w="1152" w:type="dxa"/>
            <w:tcBorders>
              <w:top w:val="nil"/>
              <w:left w:val="nil"/>
              <w:bottom w:val="nil"/>
              <w:right w:val="nil"/>
            </w:tcBorders>
            <w:shd w:val="clear" w:color="auto" w:fill="auto"/>
            <w:noWrap/>
            <w:vAlign w:val="center"/>
            <w:hideMark/>
          </w:tcPr>
          <w:p w14:paraId="424350E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7 (2680)</w:t>
            </w:r>
          </w:p>
        </w:tc>
      </w:tr>
      <w:tr w:rsidR="00610751" w:rsidRPr="00610751" w14:paraId="2EBD8986" w14:textId="77777777" w:rsidTr="00DB7B9A">
        <w:trPr>
          <w:trHeight w:val="20"/>
        </w:trPr>
        <w:tc>
          <w:tcPr>
            <w:tcW w:w="416" w:type="dxa"/>
            <w:tcBorders>
              <w:top w:val="nil"/>
              <w:left w:val="nil"/>
              <w:bottom w:val="nil"/>
              <w:right w:val="nil"/>
            </w:tcBorders>
            <w:shd w:val="clear" w:color="auto" w:fill="auto"/>
            <w:noWrap/>
            <w:vAlign w:val="bottom"/>
            <w:hideMark/>
          </w:tcPr>
          <w:p w14:paraId="58EBB8C8"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6</w:t>
            </w:r>
          </w:p>
        </w:tc>
        <w:tc>
          <w:tcPr>
            <w:tcW w:w="2304" w:type="dxa"/>
            <w:tcBorders>
              <w:top w:val="nil"/>
              <w:left w:val="nil"/>
              <w:bottom w:val="nil"/>
              <w:right w:val="nil"/>
            </w:tcBorders>
            <w:shd w:val="clear" w:color="auto" w:fill="auto"/>
            <w:noWrap/>
            <w:vAlign w:val="bottom"/>
            <w:hideMark/>
          </w:tcPr>
          <w:p w14:paraId="661CC2C5" w14:textId="77777777" w:rsidR="00610751" w:rsidRPr="00610751" w:rsidRDefault="00610751" w:rsidP="00610751">
            <w:pPr>
              <w:widowControl/>
              <w:overflowPunct/>
              <w:autoSpaceDE/>
              <w:autoSpaceDN/>
              <w:adjustRightInd/>
              <w:rPr>
                <w:color w:val="000000"/>
                <w:kern w:val="0"/>
              </w:rPr>
            </w:pPr>
            <w:r w:rsidRPr="00610751">
              <w:rPr>
                <w:color w:val="000000"/>
                <w:kern w:val="0"/>
              </w:rPr>
              <w:t>Full operations</w:t>
            </w:r>
          </w:p>
        </w:tc>
        <w:tc>
          <w:tcPr>
            <w:tcW w:w="1152" w:type="dxa"/>
            <w:tcBorders>
              <w:top w:val="nil"/>
              <w:left w:val="nil"/>
              <w:bottom w:val="nil"/>
              <w:right w:val="nil"/>
            </w:tcBorders>
            <w:shd w:val="clear" w:color="auto" w:fill="auto"/>
            <w:noWrap/>
            <w:vAlign w:val="center"/>
            <w:hideMark/>
          </w:tcPr>
          <w:p w14:paraId="7868F1E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0.123</w:t>
            </w:r>
          </w:p>
        </w:tc>
        <w:tc>
          <w:tcPr>
            <w:tcW w:w="1152" w:type="dxa"/>
            <w:tcBorders>
              <w:top w:val="nil"/>
              <w:left w:val="nil"/>
              <w:bottom w:val="nil"/>
              <w:right w:val="nil"/>
            </w:tcBorders>
            <w:shd w:val="clear" w:color="auto" w:fill="auto"/>
            <w:noWrap/>
            <w:vAlign w:val="center"/>
            <w:hideMark/>
          </w:tcPr>
          <w:p w14:paraId="6D153229"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0.077</w:t>
            </w:r>
          </w:p>
        </w:tc>
        <w:tc>
          <w:tcPr>
            <w:tcW w:w="1152" w:type="dxa"/>
            <w:tcBorders>
              <w:top w:val="nil"/>
              <w:left w:val="nil"/>
              <w:bottom w:val="nil"/>
              <w:right w:val="nil"/>
            </w:tcBorders>
            <w:shd w:val="clear" w:color="auto" w:fill="auto"/>
            <w:noWrap/>
            <w:vAlign w:val="center"/>
            <w:hideMark/>
          </w:tcPr>
          <w:p w14:paraId="613249D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0.051</w:t>
            </w:r>
          </w:p>
        </w:tc>
        <w:tc>
          <w:tcPr>
            <w:tcW w:w="1152" w:type="dxa"/>
            <w:tcBorders>
              <w:top w:val="nil"/>
              <w:left w:val="nil"/>
              <w:bottom w:val="nil"/>
              <w:right w:val="nil"/>
            </w:tcBorders>
            <w:shd w:val="clear" w:color="auto" w:fill="auto"/>
            <w:noWrap/>
            <w:vAlign w:val="center"/>
            <w:hideMark/>
          </w:tcPr>
          <w:p w14:paraId="61480CE1"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-0.099</w:t>
            </w:r>
          </w:p>
        </w:tc>
        <w:tc>
          <w:tcPr>
            <w:tcW w:w="1152" w:type="dxa"/>
            <w:tcBorders>
              <w:top w:val="nil"/>
              <w:left w:val="nil"/>
              <w:bottom w:val="nil"/>
              <w:right w:val="nil"/>
            </w:tcBorders>
            <w:shd w:val="clear" w:color="auto" w:fill="auto"/>
            <w:noWrap/>
            <w:vAlign w:val="center"/>
            <w:hideMark/>
          </w:tcPr>
          <w:p w14:paraId="2423080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0.047</w:t>
            </w:r>
          </w:p>
        </w:tc>
        <w:tc>
          <w:tcPr>
            <w:tcW w:w="1152" w:type="dxa"/>
            <w:tcBorders>
              <w:top w:val="nil"/>
              <w:left w:val="nil"/>
              <w:bottom w:val="nil"/>
              <w:right w:val="nil"/>
            </w:tcBorders>
            <w:shd w:val="clear" w:color="auto" w:fill="auto"/>
            <w:noWrap/>
            <w:vAlign w:val="center"/>
            <w:hideMark/>
          </w:tcPr>
          <w:p w14:paraId="6EF7CAC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c>
          <w:tcPr>
            <w:tcW w:w="1152" w:type="dxa"/>
            <w:tcBorders>
              <w:top w:val="nil"/>
              <w:left w:val="nil"/>
              <w:bottom w:val="nil"/>
              <w:right w:val="nil"/>
            </w:tcBorders>
            <w:shd w:val="clear" w:color="auto" w:fill="auto"/>
            <w:noWrap/>
            <w:vAlign w:val="center"/>
            <w:hideMark/>
          </w:tcPr>
          <w:p w14:paraId="332B5D7B"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 (355)</w:t>
            </w:r>
          </w:p>
        </w:tc>
        <w:tc>
          <w:tcPr>
            <w:tcW w:w="1152" w:type="dxa"/>
            <w:tcBorders>
              <w:top w:val="nil"/>
              <w:left w:val="nil"/>
              <w:bottom w:val="nil"/>
              <w:right w:val="nil"/>
            </w:tcBorders>
            <w:shd w:val="clear" w:color="auto" w:fill="auto"/>
            <w:noWrap/>
            <w:vAlign w:val="center"/>
            <w:hideMark/>
          </w:tcPr>
          <w:p w14:paraId="21AE173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4 (734)</w:t>
            </w:r>
          </w:p>
        </w:tc>
      </w:tr>
      <w:tr w:rsidR="00610751" w:rsidRPr="00610751" w14:paraId="6577E0D5" w14:textId="77777777" w:rsidTr="00DB7B9A">
        <w:trPr>
          <w:trHeight w:val="20"/>
        </w:trPr>
        <w:tc>
          <w:tcPr>
            <w:tcW w:w="416" w:type="dxa"/>
            <w:tcBorders>
              <w:top w:val="nil"/>
              <w:left w:val="nil"/>
              <w:bottom w:val="nil"/>
              <w:right w:val="nil"/>
            </w:tcBorders>
            <w:shd w:val="clear" w:color="auto" w:fill="auto"/>
            <w:noWrap/>
            <w:vAlign w:val="bottom"/>
            <w:hideMark/>
          </w:tcPr>
          <w:p w14:paraId="3851ACC7"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7</w:t>
            </w:r>
          </w:p>
        </w:tc>
        <w:tc>
          <w:tcPr>
            <w:tcW w:w="2304" w:type="dxa"/>
            <w:tcBorders>
              <w:top w:val="nil"/>
              <w:left w:val="nil"/>
              <w:bottom w:val="nil"/>
              <w:right w:val="nil"/>
            </w:tcBorders>
            <w:shd w:val="clear" w:color="auto" w:fill="auto"/>
            <w:noWrap/>
            <w:vAlign w:val="bottom"/>
            <w:hideMark/>
          </w:tcPr>
          <w:p w14:paraId="305E12A1" w14:textId="77777777" w:rsidR="00610751" w:rsidRPr="00610751" w:rsidRDefault="00610751" w:rsidP="00610751">
            <w:pPr>
              <w:widowControl/>
              <w:overflowPunct/>
              <w:autoSpaceDE/>
              <w:autoSpaceDN/>
              <w:adjustRightInd/>
              <w:rPr>
                <w:color w:val="000000"/>
                <w:kern w:val="0"/>
              </w:rPr>
            </w:pPr>
            <w:r w:rsidRPr="00610751">
              <w:rPr>
                <w:color w:val="000000"/>
                <w:kern w:val="0"/>
              </w:rPr>
              <w:t>Localization</w:t>
            </w:r>
          </w:p>
        </w:tc>
        <w:tc>
          <w:tcPr>
            <w:tcW w:w="1152" w:type="dxa"/>
            <w:tcBorders>
              <w:top w:val="nil"/>
              <w:left w:val="nil"/>
              <w:bottom w:val="nil"/>
              <w:right w:val="nil"/>
            </w:tcBorders>
            <w:shd w:val="clear" w:color="auto" w:fill="auto"/>
            <w:noWrap/>
            <w:vAlign w:val="center"/>
            <w:hideMark/>
          </w:tcPr>
          <w:p w14:paraId="23FD7724"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0.080</w:t>
            </w:r>
          </w:p>
        </w:tc>
        <w:tc>
          <w:tcPr>
            <w:tcW w:w="1152" w:type="dxa"/>
            <w:tcBorders>
              <w:top w:val="nil"/>
              <w:left w:val="nil"/>
              <w:bottom w:val="nil"/>
              <w:right w:val="nil"/>
            </w:tcBorders>
            <w:shd w:val="clear" w:color="auto" w:fill="auto"/>
            <w:noWrap/>
            <w:vAlign w:val="center"/>
            <w:hideMark/>
          </w:tcPr>
          <w:p w14:paraId="4DD072F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-0.064</w:t>
            </w:r>
          </w:p>
        </w:tc>
        <w:tc>
          <w:tcPr>
            <w:tcW w:w="1152" w:type="dxa"/>
            <w:tcBorders>
              <w:top w:val="nil"/>
              <w:left w:val="nil"/>
              <w:bottom w:val="nil"/>
              <w:right w:val="nil"/>
            </w:tcBorders>
            <w:shd w:val="clear" w:color="auto" w:fill="auto"/>
            <w:noWrap/>
            <w:vAlign w:val="center"/>
            <w:hideMark/>
          </w:tcPr>
          <w:p w14:paraId="50D6AA12"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-0.073</w:t>
            </w:r>
          </w:p>
        </w:tc>
        <w:tc>
          <w:tcPr>
            <w:tcW w:w="1152" w:type="dxa"/>
            <w:tcBorders>
              <w:top w:val="nil"/>
              <w:left w:val="nil"/>
              <w:bottom w:val="nil"/>
              <w:right w:val="nil"/>
            </w:tcBorders>
            <w:shd w:val="clear" w:color="auto" w:fill="auto"/>
            <w:noWrap/>
            <w:vAlign w:val="center"/>
            <w:hideMark/>
          </w:tcPr>
          <w:p w14:paraId="56474D8E"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0.006</w:t>
            </w:r>
          </w:p>
        </w:tc>
        <w:tc>
          <w:tcPr>
            <w:tcW w:w="1152" w:type="dxa"/>
            <w:tcBorders>
              <w:top w:val="nil"/>
              <w:left w:val="nil"/>
              <w:bottom w:val="nil"/>
              <w:right w:val="nil"/>
            </w:tcBorders>
            <w:shd w:val="clear" w:color="auto" w:fill="auto"/>
            <w:noWrap/>
            <w:vAlign w:val="center"/>
            <w:hideMark/>
          </w:tcPr>
          <w:p w14:paraId="08771256"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0.013</w:t>
            </w:r>
          </w:p>
        </w:tc>
        <w:tc>
          <w:tcPr>
            <w:tcW w:w="1152" w:type="dxa"/>
            <w:tcBorders>
              <w:top w:val="nil"/>
              <w:left w:val="nil"/>
              <w:bottom w:val="nil"/>
              <w:right w:val="nil"/>
            </w:tcBorders>
            <w:shd w:val="clear" w:color="auto" w:fill="auto"/>
            <w:noWrap/>
            <w:vAlign w:val="center"/>
            <w:hideMark/>
          </w:tcPr>
          <w:p w14:paraId="5B07273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0.075</w:t>
            </w:r>
          </w:p>
        </w:tc>
        <w:tc>
          <w:tcPr>
            <w:tcW w:w="1152" w:type="dxa"/>
            <w:tcBorders>
              <w:top w:val="nil"/>
              <w:left w:val="nil"/>
              <w:bottom w:val="nil"/>
              <w:right w:val="nil"/>
            </w:tcBorders>
            <w:shd w:val="clear" w:color="auto" w:fill="auto"/>
            <w:noWrap/>
            <w:vAlign w:val="center"/>
            <w:hideMark/>
          </w:tcPr>
          <w:p w14:paraId="3C791944"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c>
          <w:tcPr>
            <w:tcW w:w="1152" w:type="dxa"/>
            <w:tcBorders>
              <w:top w:val="nil"/>
              <w:left w:val="nil"/>
              <w:bottom w:val="nil"/>
              <w:right w:val="nil"/>
            </w:tcBorders>
            <w:shd w:val="clear" w:color="auto" w:fill="auto"/>
            <w:noWrap/>
            <w:vAlign w:val="center"/>
            <w:hideMark/>
          </w:tcPr>
          <w:p w14:paraId="0CCB11D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7 (1217)</w:t>
            </w:r>
          </w:p>
        </w:tc>
      </w:tr>
      <w:tr w:rsidR="00610751" w:rsidRPr="00610751" w14:paraId="23CBCBEA" w14:textId="77777777" w:rsidTr="00DB7B9A">
        <w:trPr>
          <w:trHeight w:val="20"/>
        </w:trPr>
        <w:tc>
          <w:tcPr>
            <w:tcW w:w="416" w:type="dxa"/>
            <w:tcBorders>
              <w:top w:val="nil"/>
              <w:left w:val="nil"/>
              <w:bottom w:val="nil"/>
              <w:right w:val="nil"/>
            </w:tcBorders>
            <w:shd w:val="clear" w:color="auto" w:fill="auto"/>
            <w:noWrap/>
            <w:vAlign w:val="bottom"/>
            <w:hideMark/>
          </w:tcPr>
          <w:p w14:paraId="42F93E05"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8</w:t>
            </w:r>
          </w:p>
        </w:tc>
        <w:tc>
          <w:tcPr>
            <w:tcW w:w="2304" w:type="dxa"/>
            <w:tcBorders>
              <w:top w:val="nil"/>
              <w:left w:val="nil"/>
              <w:bottom w:val="nil"/>
              <w:right w:val="nil"/>
            </w:tcBorders>
            <w:shd w:val="clear" w:color="auto" w:fill="auto"/>
            <w:noWrap/>
            <w:vAlign w:val="bottom"/>
            <w:hideMark/>
          </w:tcPr>
          <w:p w14:paraId="6ECD1C35" w14:textId="77777777" w:rsidR="00610751" w:rsidRPr="00610751" w:rsidRDefault="00610751" w:rsidP="00610751">
            <w:pPr>
              <w:widowControl/>
              <w:overflowPunct/>
              <w:autoSpaceDE/>
              <w:autoSpaceDN/>
              <w:adjustRightInd/>
              <w:rPr>
                <w:color w:val="000000"/>
                <w:kern w:val="0"/>
              </w:rPr>
            </w:pPr>
            <w:r w:rsidRPr="00610751">
              <w:rPr>
                <w:color w:val="000000"/>
                <w:kern w:val="0"/>
              </w:rPr>
              <w:t>Industry pressures</w:t>
            </w:r>
          </w:p>
        </w:tc>
        <w:tc>
          <w:tcPr>
            <w:tcW w:w="1152" w:type="dxa"/>
            <w:tcBorders>
              <w:top w:val="nil"/>
              <w:left w:val="nil"/>
              <w:bottom w:val="nil"/>
              <w:right w:val="nil"/>
            </w:tcBorders>
            <w:shd w:val="clear" w:color="auto" w:fill="auto"/>
            <w:noWrap/>
            <w:vAlign w:val="center"/>
            <w:hideMark/>
          </w:tcPr>
          <w:p w14:paraId="4DC007A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-0.076</w:t>
            </w:r>
          </w:p>
        </w:tc>
        <w:tc>
          <w:tcPr>
            <w:tcW w:w="1152" w:type="dxa"/>
            <w:tcBorders>
              <w:top w:val="nil"/>
              <w:left w:val="nil"/>
              <w:bottom w:val="nil"/>
              <w:right w:val="nil"/>
            </w:tcBorders>
            <w:shd w:val="clear" w:color="auto" w:fill="auto"/>
            <w:noWrap/>
            <w:vAlign w:val="center"/>
            <w:hideMark/>
          </w:tcPr>
          <w:p w14:paraId="5AF268C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0.080</w:t>
            </w:r>
          </w:p>
        </w:tc>
        <w:tc>
          <w:tcPr>
            <w:tcW w:w="1152" w:type="dxa"/>
            <w:tcBorders>
              <w:top w:val="nil"/>
              <w:left w:val="nil"/>
              <w:bottom w:val="nil"/>
              <w:right w:val="nil"/>
            </w:tcBorders>
            <w:shd w:val="clear" w:color="auto" w:fill="auto"/>
            <w:noWrap/>
            <w:vAlign w:val="center"/>
            <w:hideMark/>
          </w:tcPr>
          <w:p w14:paraId="20ABB08E"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-0.065</w:t>
            </w:r>
          </w:p>
        </w:tc>
        <w:tc>
          <w:tcPr>
            <w:tcW w:w="1152" w:type="dxa"/>
            <w:tcBorders>
              <w:top w:val="nil"/>
              <w:left w:val="nil"/>
              <w:bottom w:val="nil"/>
              <w:right w:val="nil"/>
            </w:tcBorders>
            <w:shd w:val="clear" w:color="auto" w:fill="auto"/>
            <w:noWrap/>
            <w:vAlign w:val="center"/>
            <w:hideMark/>
          </w:tcPr>
          <w:p w14:paraId="75A10BE1"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-0.026</w:t>
            </w:r>
          </w:p>
        </w:tc>
        <w:tc>
          <w:tcPr>
            <w:tcW w:w="1152" w:type="dxa"/>
            <w:tcBorders>
              <w:top w:val="nil"/>
              <w:left w:val="nil"/>
              <w:bottom w:val="nil"/>
              <w:right w:val="nil"/>
            </w:tcBorders>
            <w:shd w:val="clear" w:color="auto" w:fill="auto"/>
            <w:noWrap/>
            <w:vAlign w:val="center"/>
            <w:hideMark/>
          </w:tcPr>
          <w:p w14:paraId="3E519DD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0.012</w:t>
            </w:r>
          </w:p>
        </w:tc>
        <w:tc>
          <w:tcPr>
            <w:tcW w:w="1152" w:type="dxa"/>
            <w:tcBorders>
              <w:top w:val="nil"/>
              <w:left w:val="nil"/>
              <w:bottom w:val="nil"/>
              <w:right w:val="nil"/>
            </w:tcBorders>
            <w:shd w:val="clear" w:color="auto" w:fill="auto"/>
            <w:noWrap/>
            <w:vAlign w:val="center"/>
            <w:hideMark/>
          </w:tcPr>
          <w:p w14:paraId="5C21188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-0.127</w:t>
            </w:r>
          </w:p>
        </w:tc>
        <w:tc>
          <w:tcPr>
            <w:tcW w:w="1152" w:type="dxa"/>
            <w:tcBorders>
              <w:top w:val="nil"/>
              <w:left w:val="nil"/>
              <w:bottom w:val="nil"/>
              <w:right w:val="nil"/>
            </w:tcBorders>
            <w:shd w:val="clear" w:color="auto" w:fill="auto"/>
            <w:noWrap/>
            <w:vAlign w:val="center"/>
            <w:hideMark/>
          </w:tcPr>
          <w:p w14:paraId="7CB78BB9"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0.046</w:t>
            </w:r>
          </w:p>
        </w:tc>
        <w:tc>
          <w:tcPr>
            <w:tcW w:w="1152" w:type="dxa"/>
            <w:tcBorders>
              <w:top w:val="nil"/>
              <w:left w:val="nil"/>
              <w:bottom w:val="nil"/>
              <w:right w:val="nil"/>
            </w:tcBorders>
            <w:shd w:val="clear" w:color="auto" w:fill="auto"/>
            <w:noWrap/>
            <w:vAlign w:val="center"/>
            <w:hideMark/>
          </w:tcPr>
          <w:p w14:paraId="28782262"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r>
      <w:tr w:rsidR="00610751" w:rsidRPr="00610751" w14:paraId="40B131F4" w14:textId="77777777" w:rsidTr="00DB7B9A">
        <w:trPr>
          <w:trHeight w:val="20"/>
        </w:trPr>
        <w:tc>
          <w:tcPr>
            <w:tcW w:w="416" w:type="dxa"/>
            <w:tcBorders>
              <w:top w:val="nil"/>
              <w:left w:val="nil"/>
              <w:bottom w:val="nil"/>
              <w:right w:val="nil"/>
            </w:tcBorders>
            <w:shd w:val="clear" w:color="auto" w:fill="auto"/>
            <w:noWrap/>
            <w:vAlign w:val="bottom"/>
            <w:hideMark/>
          </w:tcPr>
          <w:p w14:paraId="5C5AA054"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9</w:t>
            </w:r>
          </w:p>
        </w:tc>
        <w:tc>
          <w:tcPr>
            <w:tcW w:w="2304" w:type="dxa"/>
            <w:tcBorders>
              <w:top w:val="nil"/>
              <w:left w:val="nil"/>
              <w:bottom w:val="nil"/>
              <w:right w:val="nil"/>
            </w:tcBorders>
            <w:shd w:val="clear" w:color="auto" w:fill="auto"/>
            <w:noWrap/>
            <w:vAlign w:val="bottom"/>
            <w:hideMark/>
          </w:tcPr>
          <w:p w14:paraId="1BC5ABEE" w14:textId="77777777" w:rsidR="00610751" w:rsidRPr="00610751" w:rsidRDefault="00610751" w:rsidP="00610751">
            <w:pPr>
              <w:widowControl/>
              <w:overflowPunct/>
              <w:autoSpaceDE/>
              <w:autoSpaceDN/>
              <w:adjustRightInd/>
              <w:rPr>
                <w:color w:val="000000"/>
                <w:kern w:val="0"/>
              </w:rPr>
            </w:pPr>
            <w:r w:rsidRPr="00610751">
              <w:rPr>
                <w:color w:val="000000"/>
                <w:kern w:val="0"/>
              </w:rPr>
              <w:t>Greenfield entry</w:t>
            </w:r>
          </w:p>
        </w:tc>
        <w:tc>
          <w:tcPr>
            <w:tcW w:w="1152" w:type="dxa"/>
            <w:tcBorders>
              <w:top w:val="nil"/>
              <w:left w:val="nil"/>
              <w:bottom w:val="nil"/>
              <w:right w:val="nil"/>
            </w:tcBorders>
            <w:shd w:val="clear" w:color="auto" w:fill="auto"/>
            <w:noWrap/>
            <w:vAlign w:val="center"/>
            <w:hideMark/>
          </w:tcPr>
          <w:p w14:paraId="09619524"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-0.050</w:t>
            </w:r>
          </w:p>
        </w:tc>
        <w:tc>
          <w:tcPr>
            <w:tcW w:w="1152" w:type="dxa"/>
            <w:tcBorders>
              <w:top w:val="nil"/>
              <w:left w:val="nil"/>
              <w:bottom w:val="nil"/>
              <w:right w:val="nil"/>
            </w:tcBorders>
            <w:shd w:val="clear" w:color="auto" w:fill="auto"/>
            <w:noWrap/>
            <w:vAlign w:val="center"/>
            <w:hideMark/>
          </w:tcPr>
          <w:p w14:paraId="7FA34B1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0.010</w:t>
            </w:r>
          </w:p>
        </w:tc>
        <w:tc>
          <w:tcPr>
            <w:tcW w:w="1152" w:type="dxa"/>
            <w:tcBorders>
              <w:top w:val="nil"/>
              <w:left w:val="nil"/>
              <w:bottom w:val="nil"/>
              <w:right w:val="nil"/>
            </w:tcBorders>
            <w:shd w:val="clear" w:color="auto" w:fill="auto"/>
            <w:noWrap/>
            <w:vAlign w:val="center"/>
            <w:hideMark/>
          </w:tcPr>
          <w:p w14:paraId="36846FF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0.024</w:t>
            </w:r>
          </w:p>
        </w:tc>
        <w:tc>
          <w:tcPr>
            <w:tcW w:w="1152" w:type="dxa"/>
            <w:tcBorders>
              <w:top w:val="nil"/>
              <w:left w:val="nil"/>
              <w:bottom w:val="nil"/>
              <w:right w:val="nil"/>
            </w:tcBorders>
            <w:shd w:val="clear" w:color="auto" w:fill="auto"/>
            <w:noWrap/>
            <w:vAlign w:val="center"/>
            <w:hideMark/>
          </w:tcPr>
          <w:p w14:paraId="11C95DC9"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0.052</w:t>
            </w:r>
          </w:p>
        </w:tc>
        <w:tc>
          <w:tcPr>
            <w:tcW w:w="1152" w:type="dxa"/>
            <w:tcBorders>
              <w:top w:val="nil"/>
              <w:left w:val="nil"/>
              <w:bottom w:val="nil"/>
              <w:right w:val="nil"/>
            </w:tcBorders>
            <w:shd w:val="clear" w:color="auto" w:fill="auto"/>
            <w:noWrap/>
            <w:vAlign w:val="center"/>
            <w:hideMark/>
          </w:tcPr>
          <w:p w14:paraId="751F9AD1"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0.123</w:t>
            </w:r>
          </w:p>
        </w:tc>
        <w:tc>
          <w:tcPr>
            <w:tcW w:w="1152" w:type="dxa"/>
            <w:tcBorders>
              <w:top w:val="nil"/>
              <w:left w:val="nil"/>
              <w:bottom w:val="nil"/>
              <w:right w:val="nil"/>
            </w:tcBorders>
            <w:shd w:val="clear" w:color="auto" w:fill="auto"/>
            <w:noWrap/>
            <w:vAlign w:val="center"/>
            <w:hideMark/>
          </w:tcPr>
          <w:p w14:paraId="588349F9"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-0.058</w:t>
            </w:r>
          </w:p>
        </w:tc>
        <w:tc>
          <w:tcPr>
            <w:tcW w:w="1152" w:type="dxa"/>
            <w:tcBorders>
              <w:top w:val="nil"/>
              <w:left w:val="nil"/>
              <w:bottom w:val="nil"/>
              <w:right w:val="nil"/>
            </w:tcBorders>
            <w:shd w:val="clear" w:color="auto" w:fill="auto"/>
            <w:noWrap/>
            <w:vAlign w:val="center"/>
            <w:hideMark/>
          </w:tcPr>
          <w:p w14:paraId="3FB9ADA6"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-0.021</w:t>
            </w:r>
          </w:p>
        </w:tc>
        <w:tc>
          <w:tcPr>
            <w:tcW w:w="1152" w:type="dxa"/>
            <w:tcBorders>
              <w:top w:val="nil"/>
              <w:left w:val="nil"/>
              <w:bottom w:val="nil"/>
              <w:right w:val="nil"/>
            </w:tcBorders>
            <w:shd w:val="clear" w:color="auto" w:fill="auto"/>
            <w:noWrap/>
            <w:vAlign w:val="center"/>
            <w:hideMark/>
          </w:tcPr>
          <w:p w14:paraId="51478B20"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-0.056</w:t>
            </w:r>
          </w:p>
        </w:tc>
      </w:tr>
      <w:tr w:rsidR="00610751" w:rsidRPr="00610751" w14:paraId="781F6ACF" w14:textId="77777777" w:rsidTr="00DB7B9A">
        <w:trPr>
          <w:trHeight w:val="20"/>
        </w:trPr>
        <w:tc>
          <w:tcPr>
            <w:tcW w:w="416" w:type="dxa"/>
            <w:tcBorders>
              <w:top w:val="nil"/>
              <w:left w:val="nil"/>
              <w:bottom w:val="nil"/>
              <w:right w:val="nil"/>
            </w:tcBorders>
            <w:shd w:val="clear" w:color="auto" w:fill="auto"/>
            <w:noWrap/>
            <w:vAlign w:val="bottom"/>
            <w:hideMark/>
          </w:tcPr>
          <w:p w14:paraId="68D6239F"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10</w:t>
            </w:r>
          </w:p>
        </w:tc>
        <w:tc>
          <w:tcPr>
            <w:tcW w:w="2304" w:type="dxa"/>
            <w:tcBorders>
              <w:top w:val="nil"/>
              <w:left w:val="nil"/>
              <w:bottom w:val="nil"/>
              <w:right w:val="nil"/>
            </w:tcBorders>
            <w:shd w:val="clear" w:color="auto" w:fill="auto"/>
            <w:noWrap/>
            <w:vAlign w:val="bottom"/>
            <w:hideMark/>
          </w:tcPr>
          <w:p w14:paraId="7A217DA0" w14:textId="77777777" w:rsidR="00610751" w:rsidRPr="00610751" w:rsidRDefault="00610751" w:rsidP="00610751">
            <w:pPr>
              <w:widowControl/>
              <w:overflowPunct/>
              <w:autoSpaceDE/>
              <w:autoSpaceDN/>
              <w:adjustRightInd/>
              <w:rPr>
                <w:color w:val="000000"/>
                <w:kern w:val="0"/>
              </w:rPr>
            </w:pPr>
            <w:r w:rsidRPr="00610751">
              <w:rPr>
                <w:color w:val="000000"/>
                <w:kern w:val="0"/>
              </w:rPr>
              <w:t>Subsidiary age</w:t>
            </w:r>
          </w:p>
        </w:tc>
        <w:tc>
          <w:tcPr>
            <w:tcW w:w="1152" w:type="dxa"/>
            <w:tcBorders>
              <w:top w:val="nil"/>
              <w:left w:val="nil"/>
              <w:bottom w:val="nil"/>
              <w:right w:val="nil"/>
            </w:tcBorders>
            <w:shd w:val="clear" w:color="auto" w:fill="auto"/>
            <w:noWrap/>
            <w:vAlign w:val="center"/>
            <w:hideMark/>
          </w:tcPr>
          <w:p w14:paraId="71DD4E6B"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0.019</w:t>
            </w:r>
          </w:p>
        </w:tc>
        <w:tc>
          <w:tcPr>
            <w:tcW w:w="1152" w:type="dxa"/>
            <w:tcBorders>
              <w:top w:val="nil"/>
              <w:left w:val="nil"/>
              <w:bottom w:val="nil"/>
              <w:right w:val="nil"/>
            </w:tcBorders>
            <w:shd w:val="clear" w:color="auto" w:fill="auto"/>
            <w:noWrap/>
            <w:vAlign w:val="center"/>
            <w:hideMark/>
          </w:tcPr>
          <w:p w14:paraId="5216634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0.017</w:t>
            </w:r>
          </w:p>
        </w:tc>
        <w:tc>
          <w:tcPr>
            <w:tcW w:w="1152" w:type="dxa"/>
            <w:tcBorders>
              <w:top w:val="nil"/>
              <w:left w:val="nil"/>
              <w:bottom w:val="nil"/>
              <w:right w:val="nil"/>
            </w:tcBorders>
            <w:shd w:val="clear" w:color="auto" w:fill="auto"/>
            <w:noWrap/>
            <w:vAlign w:val="center"/>
            <w:hideMark/>
          </w:tcPr>
          <w:p w14:paraId="3FEB266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0.005</w:t>
            </w:r>
          </w:p>
        </w:tc>
        <w:tc>
          <w:tcPr>
            <w:tcW w:w="1152" w:type="dxa"/>
            <w:tcBorders>
              <w:top w:val="nil"/>
              <w:left w:val="nil"/>
              <w:bottom w:val="nil"/>
              <w:right w:val="nil"/>
            </w:tcBorders>
            <w:shd w:val="clear" w:color="auto" w:fill="auto"/>
            <w:noWrap/>
            <w:vAlign w:val="center"/>
            <w:hideMark/>
          </w:tcPr>
          <w:p w14:paraId="3B2D438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-0.051</w:t>
            </w:r>
          </w:p>
        </w:tc>
        <w:tc>
          <w:tcPr>
            <w:tcW w:w="1152" w:type="dxa"/>
            <w:tcBorders>
              <w:top w:val="nil"/>
              <w:left w:val="nil"/>
              <w:bottom w:val="nil"/>
              <w:right w:val="nil"/>
            </w:tcBorders>
            <w:shd w:val="clear" w:color="auto" w:fill="auto"/>
            <w:noWrap/>
            <w:vAlign w:val="center"/>
            <w:hideMark/>
          </w:tcPr>
          <w:p w14:paraId="5284E43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-0.012</w:t>
            </w:r>
          </w:p>
        </w:tc>
        <w:tc>
          <w:tcPr>
            <w:tcW w:w="1152" w:type="dxa"/>
            <w:tcBorders>
              <w:top w:val="nil"/>
              <w:left w:val="nil"/>
              <w:bottom w:val="nil"/>
              <w:right w:val="nil"/>
            </w:tcBorders>
            <w:shd w:val="clear" w:color="auto" w:fill="auto"/>
            <w:noWrap/>
            <w:vAlign w:val="center"/>
            <w:hideMark/>
          </w:tcPr>
          <w:p w14:paraId="4F33FF1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0.090</w:t>
            </w:r>
          </w:p>
        </w:tc>
        <w:tc>
          <w:tcPr>
            <w:tcW w:w="1152" w:type="dxa"/>
            <w:tcBorders>
              <w:top w:val="nil"/>
              <w:left w:val="nil"/>
              <w:bottom w:val="nil"/>
              <w:right w:val="nil"/>
            </w:tcBorders>
            <w:shd w:val="clear" w:color="auto" w:fill="auto"/>
            <w:noWrap/>
            <w:vAlign w:val="center"/>
            <w:hideMark/>
          </w:tcPr>
          <w:p w14:paraId="18CD67B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-0.018</w:t>
            </w:r>
          </w:p>
        </w:tc>
        <w:tc>
          <w:tcPr>
            <w:tcW w:w="1152" w:type="dxa"/>
            <w:tcBorders>
              <w:top w:val="nil"/>
              <w:left w:val="nil"/>
              <w:bottom w:val="nil"/>
              <w:right w:val="nil"/>
            </w:tcBorders>
            <w:shd w:val="clear" w:color="auto" w:fill="auto"/>
            <w:noWrap/>
            <w:vAlign w:val="center"/>
            <w:hideMark/>
          </w:tcPr>
          <w:p w14:paraId="1B110CA9"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-0.010</w:t>
            </w:r>
          </w:p>
        </w:tc>
      </w:tr>
      <w:tr w:rsidR="00610751" w:rsidRPr="00610751" w14:paraId="50EBCD86" w14:textId="77777777" w:rsidTr="00DB7B9A">
        <w:trPr>
          <w:trHeight w:val="20"/>
        </w:trPr>
        <w:tc>
          <w:tcPr>
            <w:tcW w:w="416" w:type="dxa"/>
            <w:tcBorders>
              <w:top w:val="nil"/>
              <w:left w:val="nil"/>
              <w:bottom w:val="nil"/>
              <w:right w:val="nil"/>
            </w:tcBorders>
            <w:shd w:val="clear" w:color="auto" w:fill="auto"/>
            <w:noWrap/>
            <w:vAlign w:val="bottom"/>
            <w:hideMark/>
          </w:tcPr>
          <w:p w14:paraId="685188F9"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11</w:t>
            </w:r>
          </w:p>
        </w:tc>
        <w:tc>
          <w:tcPr>
            <w:tcW w:w="2304" w:type="dxa"/>
            <w:tcBorders>
              <w:top w:val="nil"/>
              <w:left w:val="nil"/>
              <w:bottom w:val="nil"/>
              <w:right w:val="nil"/>
            </w:tcBorders>
            <w:shd w:val="clear" w:color="auto" w:fill="auto"/>
            <w:noWrap/>
            <w:vAlign w:val="bottom"/>
            <w:hideMark/>
          </w:tcPr>
          <w:p w14:paraId="1B00A960" w14:textId="77777777" w:rsidR="00610751" w:rsidRPr="00610751" w:rsidRDefault="00610751" w:rsidP="00610751">
            <w:pPr>
              <w:widowControl/>
              <w:overflowPunct/>
              <w:autoSpaceDE/>
              <w:autoSpaceDN/>
              <w:adjustRightInd/>
              <w:rPr>
                <w:color w:val="000000"/>
                <w:kern w:val="0"/>
              </w:rPr>
            </w:pPr>
            <w:r w:rsidRPr="00610751">
              <w:rPr>
                <w:color w:val="000000"/>
                <w:kern w:val="0"/>
              </w:rPr>
              <w:t>Subsidiary size</w:t>
            </w:r>
          </w:p>
        </w:tc>
        <w:tc>
          <w:tcPr>
            <w:tcW w:w="1152" w:type="dxa"/>
            <w:tcBorders>
              <w:top w:val="nil"/>
              <w:left w:val="nil"/>
              <w:bottom w:val="nil"/>
              <w:right w:val="nil"/>
            </w:tcBorders>
            <w:shd w:val="clear" w:color="auto" w:fill="auto"/>
            <w:noWrap/>
            <w:vAlign w:val="center"/>
            <w:hideMark/>
          </w:tcPr>
          <w:p w14:paraId="036E9774"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0.009</w:t>
            </w:r>
          </w:p>
        </w:tc>
        <w:tc>
          <w:tcPr>
            <w:tcW w:w="1152" w:type="dxa"/>
            <w:tcBorders>
              <w:top w:val="nil"/>
              <w:left w:val="nil"/>
              <w:bottom w:val="nil"/>
              <w:right w:val="nil"/>
            </w:tcBorders>
            <w:shd w:val="clear" w:color="auto" w:fill="auto"/>
            <w:noWrap/>
            <w:vAlign w:val="center"/>
            <w:hideMark/>
          </w:tcPr>
          <w:p w14:paraId="44B4ECD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0.053</w:t>
            </w:r>
          </w:p>
        </w:tc>
        <w:tc>
          <w:tcPr>
            <w:tcW w:w="1152" w:type="dxa"/>
            <w:tcBorders>
              <w:top w:val="nil"/>
              <w:left w:val="nil"/>
              <w:bottom w:val="nil"/>
              <w:right w:val="nil"/>
            </w:tcBorders>
            <w:shd w:val="clear" w:color="auto" w:fill="auto"/>
            <w:noWrap/>
            <w:vAlign w:val="center"/>
            <w:hideMark/>
          </w:tcPr>
          <w:p w14:paraId="6BEFF589"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0.044</w:t>
            </w:r>
          </w:p>
        </w:tc>
        <w:tc>
          <w:tcPr>
            <w:tcW w:w="1152" w:type="dxa"/>
            <w:tcBorders>
              <w:top w:val="nil"/>
              <w:left w:val="nil"/>
              <w:bottom w:val="nil"/>
              <w:right w:val="nil"/>
            </w:tcBorders>
            <w:shd w:val="clear" w:color="auto" w:fill="auto"/>
            <w:noWrap/>
            <w:vAlign w:val="center"/>
            <w:hideMark/>
          </w:tcPr>
          <w:p w14:paraId="6FAB706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-0.031</w:t>
            </w:r>
          </w:p>
        </w:tc>
        <w:tc>
          <w:tcPr>
            <w:tcW w:w="1152" w:type="dxa"/>
            <w:tcBorders>
              <w:top w:val="nil"/>
              <w:left w:val="nil"/>
              <w:bottom w:val="nil"/>
              <w:right w:val="nil"/>
            </w:tcBorders>
            <w:shd w:val="clear" w:color="auto" w:fill="auto"/>
            <w:noWrap/>
            <w:vAlign w:val="center"/>
            <w:hideMark/>
          </w:tcPr>
          <w:p w14:paraId="1F03B4A0"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0.026</w:t>
            </w:r>
          </w:p>
        </w:tc>
        <w:tc>
          <w:tcPr>
            <w:tcW w:w="1152" w:type="dxa"/>
            <w:tcBorders>
              <w:top w:val="nil"/>
              <w:left w:val="nil"/>
              <w:bottom w:val="nil"/>
              <w:right w:val="nil"/>
            </w:tcBorders>
            <w:shd w:val="clear" w:color="auto" w:fill="auto"/>
            <w:noWrap/>
            <w:vAlign w:val="center"/>
            <w:hideMark/>
          </w:tcPr>
          <w:p w14:paraId="6C35212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0.185</w:t>
            </w:r>
          </w:p>
        </w:tc>
        <w:tc>
          <w:tcPr>
            <w:tcW w:w="1152" w:type="dxa"/>
            <w:tcBorders>
              <w:top w:val="nil"/>
              <w:left w:val="nil"/>
              <w:bottom w:val="nil"/>
              <w:right w:val="nil"/>
            </w:tcBorders>
            <w:shd w:val="clear" w:color="auto" w:fill="auto"/>
            <w:noWrap/>
            <w:vAlign w:val="center"/>
            <w:hideMark/>
          </w:tcPr>
          <w:p w14:paraId="4D46F7B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-0.038</w:t>
            </w:r>
          </w:p>
        </w:tc>
        <w:tc>
          <w:tcPr>
            <w:tcW w:w="1152" w:type="dxa"/>
            <w:tcBorders>
              <w:top w:val="nil"/>
              <w:left w:val="nil"/>
              <w:bottom w:val="nil"/>
              <w:right w:val="nil"/>
            </w:tcBorders>
            <w:shd w:val="clear" w:color="auto" w:fill="auto"/>
            <w:noWrap/>
            <w:vAlign w:val="center"/>
            <w:hideMark/>
          </w:tcPr>
          <w:p w14:paraId="369A1A32"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0.043</w:t>
            </w:r>
          </w:p>
        </w:tc>
      </w:tr>
      <w:tr w:rsidR="00610751" w:rsidRPr="00610751" w14:paraId="4ECA697D" w14:textId="77777777" w:rsidTr="00DB7B9A">
        <w:trPr>
          <w:trHeight w:val="20"/>
        </w:trPr>
        <w:tc>
          <w:tcPr>
            <w:tcW w:w="416" w:type="dxa"/>
            <w:tcBorders>
              <w:top w:val="nil"/>
              <w:left w:val="nil"/>
              <w:right w:val="nil"/>
            </w:tcBorders>
            <w:shd w:val="clear" w:color="auto" w:fill="auto"/>
            <w:noWrap/>
            <w:vAlign w:val="bottom"/>
            <w:hideMark/>
          </w:tcPr>
          <w:p w14:paraId="013873F6"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12</w:t>
            </w:r>
          </w:p>
        </w:tc>
        <w:tc>
          <w:tcPr>
            <w:tcW w:w="2304" w:type="dxa"/>
            <w:tcBorders>
              <w:top w:val="nil"/>
              <w:left w:val="nil"/>
              <w:right w:val="nil"/>
            </w:tcBorders>
            <w:shd w:val="clear" w:color="auto" w:fill="auto"/>
            <w:noWrap/>
            <w:vAlign w:val="bottom"/>
            <w:hideMark/>
          </w:tcPr>
          <w:p w14:paraId="6DC55585" w14:textId="77777777" w:rsidR="00610751" w:rsidRPr="00610751" w:rsidRDefault="00610751" w:rsidP="00610751">
            <w:pPr>
              <w:widowControl/>
              <w:overflowPunct/>
              <w:autoSpaceDE/>
              <w:autoSpaceDN/>
              <w:adjustRightInd/>
              <w:rPr>
                <w:color w:val="000000"/>
                <w:kern w:val="0"/>
              </w:rPr>
            </w:pPr>
            <w:r w:rsidRPr="00610751">
              <w:rPr>
                <w:color w:val="000000"/>
                <w:kern w:val="0"/>
              </w:rPr>
              <w:t>MNE size</w:t>
            </w:r>
          </w:p>
        </w:tc>
        <w:tc>
          <w:tcPr>
            <w:tcW w:w="1152" w:type="dxa"/>
            <w:tcBorders>
              <w:top w:val="nil"/>
              <w:left w:val="nil"/>
              <w:right w:val="nil"/>
            </w:tcBorders>
            <w:shd w:val="clear" w:color="auto" w:fill="auto"/>
            <w:noWrap/>
            <w:vAlign w:val="center"/>
            <w:hideMark/>
          </w:tcPr>
          <w:p w14:paraId="466EAF2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-0.032</w:t>
            </w:r>
          </w:p>
        </w:tc>
        <w:tc>
          <w:tcPr>
            <w:tcW w:w="1152" w:type="dxa"/>
            <w:tcBorders>
              <w:top w:val="nil"/>
              <w:left w:val="nil"/>
              <w:right w:val="nil"/>
            </w:tcBorders>
            <w:shd w:val="clear" w:color="auto" w:fill="auto"/>
            <w:noWrap/>
            <w:vAlign w:val="center"/>
            <w:hideMark/>
          </w:tcPr>
          <w:p w14:paraId="1F423679"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0.030</w:t>
            </w:r>
          </w:p>
        </w:tc>
        <w:tc>
          <w:tcPr>
            <w:tcW w:w="1152" w:type="dxa"/>
            <w:tcBorders>
              <w:top w:val="nil"/>
              <w:left w:val="nil"/>
              <w:right w:val="nil"/>
            </w:tcBorders>
            <w:shd w:val="clear" w:color="auto" w:fill="auto"/>
            <w:noWrap/>
            <w:vAlign w:val="center"/>
            <w:hideMark/>
          </w:tcPr>
          <w:p w14:paraId="4A30887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0.061</w:t>
            </w:r>
          </w:p>
        </w:tc>
        <w:tc>
          <w:tcPr>
            <w:tcW w:w="1152" w:type="dxa"/>
            <w:tcBorders>
              <w:top w:val="nil"/>
              <w:left w:val="nil"/>
              <w:right w:val="nil"/>
            </w:tcBorders>
            <w:shd w:val="clear" w:color="auto" w:fill="auto"/>
            <w:noWrap/>
            <w:vAlign w:val="center"/>
            <w:hideMark/>
          </w:tcPr>
          <w:p w14:paraId="42F0F6A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0.042</w:t>
            </w:r>
          </w:p>
        </w:tc>
        <w:tc>
          <w:tcPr>
            <w:tcW w:w="1152" w:type="dxa"/>
            <w:tcBorders>
              <w:top w:val="nil"/>
              <w:left w:val="nil"/>
              <w:right w:val="nil"/>
            </w:tcBorders>
            <w:shd w:val="clear" w:color="auto" w:fill="auto"/>
            <w:noWrap/>
            <w:vAlign w:val="center"/>
            <w:hideMark/>
          </w:tcPr>
          <w:p w14:paraId="31335D4E"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0.024</w:t>
            </w:r>
          </w:p>
        </w:tc>
        <w:tc>
          <w:tcPr>
            <w:tcW w:w="1152" w:type="dxa"/>
            <w:tcBorders>
              <w:top w:val="nil"/>
              <w:left w:val="nil"/>
              <w:right w:val="nil"/>
            </w:tcBorders>
            <w:shd w:val="clear" w:color="auto" w:fill="auto"/>
            <w:noWrap/>
            <w:vAlign w:val="center"/>
            <w:hideMark/>
          </w:tcPr>
          <w:p w14:paraId="1A8F3DC0"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0.068</w:t>
            </w:r>
          </w:p>
        </w:tc>
        <w:tc>
          <w:tcPr>
            <w:tcW w:w="1152" w:type="dxa"/>
            <w:tcBorders>
              <w:top w:val="nil"/>
              <w:left w:val="nil"/>
              <w:right w:val="nil"/>
            </w:tcBorders>
            <w:shd w:val="clear" w:color="auto" w:fill="auto"/>
            <w:noWrap/>
            <w:vAlign w:val="center"/>
            <w:hideMark/>
          </w:tcPr>
          <w:p w14:paraId="04409C0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0.069</w:t>
            </w:r>
          </w:p>
        </w:tc>
        <w:tc>
          <w:tcPr>
            <w:tcW w:w="1152" w:type="dxa"/>
            <w:tcBorders>
              <w:top w:val="nil"/>
              <w:left w:val="nil"/>
              <w:right w:val="nil"/>
            </w:tcBorders>
            <w:shd w:val="clear" w:color="auto" w:fill="auto"/>
            <w:noWrap/>
            <w:vAlign w:val="center"/>
            <w:hideMark/>
          </w:tcPr>
          <w:p w14:paraId="3DADC77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0.116</w:t>
            </w:r>
          </w:p>
        </w:tc>
      </w:tr>
      <w:tr w:rsidR="00610751" w:rsidRPr="00610751" w14:paraId="381D44BB" w14:textId="77777777" w:rsidTr="00DB7B9A">
        <w:trPr>
          <w:trHeight w:val="20"/>
        </w:trPr>
        <w:tc>
          <w:tcPr>
            <w:tcW w:w="416" w:type="dxa"/>
            <w:tcBorders>
              <w:top w:val="nil"/>
              <w:left w:val="nil"/>
              <w:bottom w:val="single" w:sz="4" w:space="0" w:color="auto"/>
              <w:right w:val="nil"/>
            </w:tcBorders>
            <w:shd w:val="clear" w:color="auto" w:fill="auto"/>
            <w:noWrap/>
            <w:vAlign w:val="bottom"/>
            <w:hideMark/>
          </w:tcPr>
          <w:p w14:paraId="463DB5E7"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13</w:t>
            </w:r>
          </w:p>
        </w:tc>
        <w:tc>
          <w:tcPr>
            <w:tcW w:w="2304" w:type="dxa"/>
            <w:tcBorders>
              <w:top w:val="nil"/>
              <w:left w:val="nil"/>
              <w:bottom w:val="single" w:sz="4" w:space="0" w:color="auto"/>
              <w:right w:val="nil"/>
            </w:tcBorders>
            <w:shd w:val="clear" w:color="auto" w:fill="auto"/>
            <w:noWrap/>
            <w:vAlign w:val="bottom"/>
            <w:hideMark/>
          </w:tcPr>
          <w:p w14:paraId="4878426C" w14:textId="77777777" w:rsidR="00610751" w:rsidRPr="00610751" w:rsidRDefault="00610751" w:rsidP="00610751">
            <w:pPr>
              <w:widowControl/>
              <w:overflowPunct/>
              <w:autoSpaceDE/>
              <w:autoSpaceDN/>
              <w:adjustRightInd/>
              <w:rPr>
                <w:color w:val="000000"/>
                <w:kern w:val="0"/>
              </w:rPr>
            </w:pPr>
            <w:r w:rsidRPr="00610751">
              <w:rPr>
                <w:color w:val="000000"/>
                <w:kern w:val="0"/>
              </w:rPr>
              <w:t>MNE experience</w:t>
            </w:r>
          </w:p>
        </w:tc>
        <w:tc>
          <w:tcPr>
            <w:tcW w:w="1152" w:type="dxa"/>
            <w:tcBorders>
              <w:top w:val="nil"/>
              <w:left w:val="nil"/>
              <w:bottom w:val="single" w:sz="4" w:space="0" w:color="auto"/>
              <w:right w:val="nil"/>
            </w:tcBorders>
            <w:shd w:val="clear" w:color="auto" w:fill="auto"/>
            <w:noWrap/>
            <w:vAlign w:val="center"/>
            <w:hideMark/>
          </w:tcPr>
          <w:p w14:paraId="48990B7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0.006</w:t>
            </w:r>
          </w:p>
        </w:tc>
        <w:tc>
          <w:tcPr>
            <w:tcW w:w="1152" w:type="dxa"/>
            <w:tcBorders>
              <w:top w:val="nil"/>
              <w:left w:val="nil"/>
              <w:bottom w:val="single" w:sz="4" w:space="0" w:color="auto"/>
              <w:right w:val="nil"/>
            </w:tcBorders>
            <w:shd w:val="clear" w:color="auto" w:fill="auto"/>
            <w:noWrap/>
            <w:vAlign w:val="center"/>
            <w:hideMark/>
          </w:tcPr>
          <w:p w14:paraId="3259B31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0.125</w:t>
            </w:r>
          </w:p>
        </w:tc>
        <w:tc>
          <w:tcPr>
            <w:tcW w:w="1152" w:type="dxa"/>
            <w:tcBorders>
              <w:top w:val="nil"/>
              <w:left w:val="nil"/>
              <w:bottom w:val="single" w:sz="4" w:space="0" w:color="auto"/>
              <w:right w:val="nil"/>
            </w:tcBorders>
            <w:shd w:val="clear" w:color="auto" w:fill="auto"/>
            <w:noWrap/>
            <w:vAlign w:val="center"/>
            <w:hideMark/>
          </w:tcPr>
          <w:p w14:paraId="3638518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0.092</w:t>
            </w:r>
          </w:p>
        </w:tc>
        <w:tc>
          <w:tcPr>
            <w:tcW w:w="1152" w:type="dxa"/>
            <w:tcBorders>
              <w:top w:val="nil"/>
              <w:left w:val="nil"/>
              <w:bottom w:val="single" w:sz="4" w:space="0" w:color="auto"/>
              <w:right w:val="nil"/>
            </w:tcBorders>
            <w:shd w:val="clear" w:color="auto" w:fill="auto"/>
            <w:noWrap/>
            <w:vAlign w:val="center"/>
            <w:hideMark/>
          </w:tcPr>
          <w:p w14:paraId="299D39A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0.017</w:t>
            </w:r>
          </w:p>
        </w:tc>
        <w:tc>
          <w:tcPr>
            <w:tcW w:w="1152" w:type="dxa"/>
            <w:tcBorders>
              <w:top w:val="nil"/>
              <w:left w:val="nil"/>
              <w:bottom w:val="single" w:sz="4" w:space="0" w:color="auto"/>
              <w:right w:val="nil"/>
            </w:tcBorders>
            <w:shd w:val="clear" w:color="auto" w:fill="auto"/>
            <w:noWrap/>
            <w:vAlign w:val="center"/>
            <w:hideMark/>
          </w:tcPr>
          <w:p w14:paraId="0FBAAF8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-0.044</w:t>
            </w:r>
          </w:p>
        </w:tc>
        <w:tc>
          <w:tcPr>
            <w:tcW w:w="1152" w:type="dxa"/>
            <w:tcBorders>
              <w:top w:val="nil"/>
              <w:left w:val="nil"/>
              <w:bottom w:val="single" w:sz="4" w:space="0" w:color="auto"/>
              <w:right w:val="nil"/>
            </w:tcBorders>
            <w:shd w:val="clear" w:color="auto" w:fill="auto"/>
            <w:noWrap/>
            <w:vAlign w:val="center"/>
            <w:hideMark/>
          </w:tcPr>
          <w:p w14:paraId="07ED071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-0.068</w:t>
            </w:r>
          </w:p>
        </w:tc>
        <w:tc>
          <w:tcPr>
            <w:tcW w:w="1152" w:type="dxa"/>
            <w:tcBorders>
              <w:top w:val="nil"/>
              <w:left w:val="nil"/>
              <w:bottom w:val="single" w:sz="4" w:space="0" w:color="auto"/>
              <w:right w:val="nil"/>
            </w:tcBorders>
            <w:shd w:val="clear" w:color="auto" w:fill="auto"/>
            <w:noWrap/>
            <w:vAlign w:val="center"/>
            <w:hideMark/>
          </w:tcPr>
          <w:p w14:paraId="2B36D66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-0.074</w:t>
            </w:r>
          </w:p>
        </w:tc>
        <w:tc>
          <w:tcPr>
            <w:tcW w:w="1152" w:type="dxa"/>
            <w:tcBorders>
              <w:top w:val="nil"/>
              <w:left w:val="nil"/>
              <w:bottom w:val="single" w:sz="4" w:space="0" w:color="auto"/>
              <w:right w:val="nil"/>
            </w:tcBorders>
            <w:shd w:val="clear" w:color="auto" w:fill="auto"/>
            <w:noWrap/>
            <w:vAlign w:val="center"/>
            <w:hideMark/>
          </w:tcPr>
          <w:p w14:paraId="71CBF259"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0.084</w:t>
            </w:r>
          </w:p>
        </w:tc>
      </w:tr>
    </w:tbl>
    <w:p w14:paraId="55E29246" w14:textId="77777777" w:rsidR="00610751" w:rsidRPr="00610751" w:rsidRDefault="00610751" w:rsidP="00610751">
      <w:pPr>
        <w:widowControl/>
        <w:overflowPunct/>
        <w:autoSpaceDE/>
        <w:autoSpaceDN/>
        <w:adjustRightInd/>
        <w:rPr>
          <w:kern w:val="0"/>
          <w:sz w:val="22"/>
          <w:szCs w:val="22"/>
        </w:rPr>
      </w:pPr>
    </w:p>
    <w:tbl>
      <w:tblPr>
        <w:tblW w:w="9220" w:type="dxa"/>
        <w:tblInd w:w="682" w:type="dxa"/>
        <w:tblLook w:val="04A0" w:firstRow="1" w:lastRow="0" w:firstColumn="1" w:lastColumn="0" w:noHBand="0" w:noVBand="1"/>
      </w:tblPr>
      <w:tblGrid>
        <w:gridCol w:w="416"/>
        <w:gridCol w:w="2304"/>
        <w:gridCol w:w="1300"/>
        <w:gridCol w:w="1300"/>
        <w:gridCol w:w="1300"/>
        <w:gridCol w:w="1300"/>
        <w:gridCol w:w="1300"/>
      </w:tblGrid>
      <w:tr w:rsidR="00610751" w:rsidRPr="00610751" w14:paraId="593312E5" w14:textId="77777777" w:rsidTr="00DB7B9A">
        <w:trPr>
          <w:trHeight w:val="20"/>
        </w:trPr>
        <w:tc>
          <w:tcPr>
            <w:tcW w:w="416" w:type="dxa"/>
            <w:tcBorders>
              <w:top w:val="single" w:sz="4" w:space="0" w:color="auto"/>
              <w:left w:val="nil"/>
              <w:bottom w:val="single" w:sz="4" w:space="0" w:color="auto"/>
              <w:right w:val="nil"/>
            </w:tcBorders>
            <w:shd w:val="clear" w:color="auto" w:fill="auto"/>
            <w:noWrap/>
            <w:vAlign w:val="bottom"/>
            <w:hideMark/>
          </w:tcPr>
          <w:p w14:paraId="7012672F" w14:textId="77777777" w:rsidR="00610751" w:rsidRPr="00610751" w:rsidRDefault="00610751" w:rsidP="00610751">
            <w:pPr>
              <w:widowControl/>
              <w:overflowPunct/>
              <w:autoSpaceDE/>
              <w:autoSpaceDN/>
              <w:adjustRightInd/>
              <w:rPr>
                <w:kern w:val="0"/>
              </w:rPr>
            </w:pPr>
          </w:p>
        </w:tc>
        <w:tc>
          <w:tcPr>
            <w:tcW w:w="2304" w:type="dxa"/>
            <w:tcBorders>
              <w:top w:val="single" w:sz="4" w:space="0" w:color="auto"/>
              <w:left w:val="nil"/>
              <w:bottom w:val="single" w:sz="4" w:space="0" w:color="auto"/>
              <w:right w:val="nil"/>
            </w:tcBorders>
            <w:shd w:val="clear" w:color="auto" w:fill="auto"/>
            <w:noWrap/>
            <w:vAlign w:val="bottom"/>
            <w:hideMark/>
          </w:tcPr>
          <w:p w14:paraId="0D0D7B86" w14:textId="77777777" w:rsidR="00610751" w:rsidRPr="00610751" w:rsidRDefault="00610751" w:rsidP="00610751">
            <w:pPr>
              <w:widowControl/>
              <w:overflowPunct/>
              <w:autoSpaceDE/>
              <w:autoSpaceDN/>
              <w:adjustRightInd/>
              <w:rPr>
                <w:color w:val="000000"/>
                <w:kern w:val="0"/>
              </w:rPr>
            </w:pPr>
            <w:r w:rsidRPr="00610751">
              <w:rPr>
                <w:color w:val="000000"/>
                <w:kern w:val="0"/>
              </w:rPr>
              <w:t>Variable</w:t>
            </w:r>
          </w:p>
        </w:tc>
        <w:tc>
          <w:tcPr>
            <w:tcW w:w="1300" w:type="dxa"/>
            <w:tcBorders>
              <w:top w:val="single" w:sz="4" w:space="0" w:color="auto"/>
              <w:left w:val="nil"/>
              <w:bottom w:val="single" w:sz="4" w:space="0" w:color="auto"/>
              <w:right w:val="nil"/>
            </w:tcBorders>
            <w:vAlign w:val="center"/>
          </w:tcPr>
          <w:p w14:paraId="59488A7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9</w:t>
            </w:r>
          </w:p>
        </w:tc>
        <w:tc>
          <w:tcPr>
            <w:tcW w:w="1300" w:type="dxa"/>
            <w:tcBorders>
              <w:top w:val="single" w:sz="4" w:space="0" w:color="auto"/>
              <w:left w:val="nil"/>
              <w:bottom w:val="single" w:sz="4" w:space="0" w:color="auto"/>
              <w:right w:val="nil"/>
            </w:tcBorders>
            <w:shd w:val="clear" w:color="auto" w:fill="auto"/>
            <w:noWrap/>
            <w:vAlign w:val="center"/>
            <w:hideMark/>
          </w:tcPr>
          <w:p w14:paraId="4EF5A9D6"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10</w:t>
            </w:r>
          </w:p>
        </w:tc>
        <w:tc>
          <w:tcPr>
            <w:tcW w:w="1300" w:type="dxa"/>
            <w:tcBorders>
              <w:top w:val="single" w:sz="4" w:space="0" w:color="auto"/>
              <w:left w:val="nil"/>
              <w:bottom w:val="single" w:sz="4" w:space="0" w:color="auto"/>
              <w:right w:val="nil"/>
            </w:tcBorders>
            <w:shd w:val="clear" w:color="auto" w:fill="auto"/>
            <w:noWrap/>
            <w:vAlign w:val="center"/>
            <w:hideMark/>
          </w:tcPr>
          <w:p w14:paraId="41815B12"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11</w:t>
            </w:r>
          </w:p>
        </w:tc>
        <w:tc>
          <w:tcPr>
            <w:tcW w:w="1300" w:type="dxa"/>
            <w:tcBorders>
              <w:top w:val="single" w:sz="4" w:space="0" w:color="auto"/>
              <w:left w:val="nil"/>
              <w:bottom w:val="single" w:sz="4" w:space="0" w:color="auto"/>
              <w:right w:val="nil"/>
            </w:tcBorders>
            <w:shd w:val="clear" w:color="auto" w:fill="auto"/>
            <w:noWrap/>
            <w:vAlign w:val="center"/>
            <w:hideMark/>
          </w:tcPr>
          <w:p w14:paraId="1A8FA3B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12</w:t>
            </w:r>
          </w:p>
        </w:tc>
        <w:tc>
          <w:tcPr>
            <w:tcW w:w="1300" w:type="dxa"/>
            <w:tcBorders>
              <w:top w:val="single" w:sz="4" w:space="0" w:color="auto"/>
              <w:left w:val="nil"/>
              <w:bottom w:val="single" w:sz="4" w:space="0" w:color="auto"/>
              <w:right w:val="nil"/>
            </w:tcBorders>
            <w:shd w:val="clear" w:color="auto" w:fill="auto"/>
            <w:noWrap/>
            <w:vAlign w:val="center"/>
            <w:hideMark/>
          </w:tcPr>
          <w:p w14:paraId="1387BB8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13</w:t>
            </w:r>
          </w:p>
        </w:tc>
      </w:tr>
      <w:tr w:rsidR="00610751" w:rsidRPr="00610751" w14:paraId="29E2B04E" w14:textId="77777777" w:rsidTr="00DB7B9A">
        <w:trPr>
          <w:trHeight w:val="20"/>
        </w:trPr>
        <w:tc>
          <w:tcPr>
            <w:tcW w:w="416" w:type="dxa"/>
            <w:tcBorders>
              <w:top w:val="single" w:sz="4" w:space="0" w:color="auto"/>
              <w:left w:val="nil"/>
              <w:bottom w:val="nil"/>
              <w:right w:val="nil"/>
            </w:tcBorders>
            <w:shd w:val="clear" w:color="auto" w:fill="auto"/>
            <w:noWrap/>
            <w:vAlign w:val="bottom"/>
            <w:hideMark/>
          </w:tcPr>
          <w:p w14:paraId="1768D301"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1</w:t>
            </w:r>
          </w:p>
        </w:tc>
        <w:tc>
          <w:tcPr>
            <w:tcW w:w="2304" w:type="dxa"/>
            <w:tcBorders>
              <w:top w:val="single" w:sz="4" w:space="0" w:color="auto"/>
              <w:left w:val="nil"/>
              <w:bottom w:val="nil"/>
              <w:right w:val="nil"/>
            </w:tcBorders>
            <w:shd w:val="clear" w:color="auto" w:fill="auto"/>
            <w:noWrap/>
            <w:vAlign w:val="bottom"/>
            <w:hideMark/>
          </w:tcPr>
          <w:p w14:paraId="2B7391D9" w14:textId="77777777" w:rsidR="00610751" w:rsidRPr="00610751" w:rsidRDefault="00610751" w:rsidP="00610751">
            <w:pPr>
              <w:widowControl/>
              <w:overflowPunct/>
              <w:autoSpaceDE/>
              <w:autoSpaceDN/>
              <w:adjustRightInd/>
              <w:rPr>
                <w:color w:val="000000"/>
                <w:kern w:val="0"/>
              </w:rPr>
            </w:pPr>
            <w:r w:rsidRPr="00610751">
              <w:rPr>
                <w:color w:val="000000"/>
                <w:kern w:val="0"/>
              </w:rPr>
              <w:t>Subsidiary autonomy</w:t>
            </w:r>
          </w:p>
        </w:tc>
        <w:tc>
          <w:tcPr>
            <w:tcW w:w="1300" w:type="dxa"/>
            <w:tcBorders>
              <w:top w:val="single" w:sz="4" w:space="0" w:color="auto"/>
              <w:left w:val="nil"/>
              <w:bottom w:val="nil"/>
              <w:right w:val="nil"/>
            </w:tcBorders>
            <w:vAlign w:val="center"/>
          </w:tcPr>
          <w:p w14:paraId="0BAF0C6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32 (9900)</w:t>
            </w:r>
          </w:p>
        </w:tc>
        <w:tc>
          <w:tcPr>
            <w:tcW w:w="1300" w:type="dxa"/>
            <w:tcBorders>
              <w:top w:val="single" w:sz="4" w:space="0" w:color="auto"/>
              <w:left w:val="nil"/>
              <w:bottom w:val="nil"/>
              <w:right w:val="nil"/>
            </w:tcBorders>
            <w:shd w:val="clear" w:color="auto" w:fill="auto"/>
            <w:noWrap/>
            <w:vAlign w:val="center"/>
            <w:hideMark/>
          </w:tcPr>
          <w:p w14:paraId="557C55D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77 (18721)</w:t>
            </w:r>
          </w:p>
        </w:tc>
        <w:tc>
          <w:tcPr>
            <w:tcW w:w="1300" w:type="dxa"/>
            <w:tcBorders>
              <w:top w:val="single" w:sz="4" w:space="0" w:color="auto"/>
              <w:left w:val="nil"/>
              <w:bottom w:val="nil"/>
              <w:right w:val="nil"/>
            </w:tcBorders>
            <w:shd w:val="clear" w:color="auto" w:fill="auto"/>
            <w:noWrap/>
            <w:vAlign w:val="center"/>
            <w:hideMark/>
          </w:tcPr>
          <w:p w14:paraId="1DF6D5D4"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94 (20018)</w:t>
            </w:r>
          </w:p>
        </w:tc>
        <w:tc>
          <w:tcPr>
            <w:tcW w:w="1300" w:type="dxa"/>
            <w:tcBorders>
              <w:top w:val="single" w:sz="4" w:space="0" w:color="auto"/>
              <w:left w:val="nil"/>
              <w:bottom w:val="nil"/>
              <w:right w:val="nil"/>
            </w:tcBorders>
            <w:shd w:val="clear" w:color="auto" w:fill="auto"/>
            <w:noWrap/>
            <w:vAlign w:val="center"/>
            <w:hideMark/>
          </w:tcPr>
          <w:p w14:paraId="2175F7F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25 (6011)</w:t>
            </w:r>
          </w:p>
        </w:tc>
        <w:tc>
          <w:tcPr>
            <w:tcW w:w="1300" w:type="dxa"/>
            <w:tcBorders>
              <w:top w:val="single" w:sz="4" w:space="0" w:color="auto"/>
              <w:left w:val="nil"/>
              <w:bottom w:val="nil"/>
              <w:right w:val="nil"/>
            </w:tcBorders>
            <w:shd w:val="clear" w:color="auto" w:fill="auto"/>
            <w:noWrap/>
            <w:vAlign w:val="center"/>
            <w:hideMark/>
          </w:tcPr>
          <w:p w14:paraId="45B773C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19 (2812)</w:t>
            </w:r>
          </w:p>
        </w:tc>
      </w:tr>
      <w:tr w:rsidR="00610751" w:rsidRPr="00610751" w14:paraId="0BAB20D5" w14:textId="77777777" w:rsidTr="00DB7B9A">
        <w:trPr>
          <w:trHeight w:val="20"/>
        </w:trPr>
        <w:tc>
          <w:tcPr>
            <w:tcW w:w="416" w:type="dxa"/>
            <w:tcBorders>
              <w:top w:val="nil"/>
              <w:left w:val="nil"/>
              <w:bottom w:val="nil"/>
              <w:right w:val="nil"/>
            </w:tcBorders>
            <w:shd w:val="clear" w:color="auto" w:fill="auto"/>
            <w:noWrap/>
            <w:vAlign w:val="bottom"/>
            <w:hideMark/>
          </w:tcPr>
          <w:p w14:paraId="78926D95"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2</w:t>
            </w:r>
          </w:p>
        </w:tc>
        <w:tc>
          <w:tcPr>
            <w:tcW w:w="2304" w:type="dxa"/>
            <w:tcBorders>
              <w:top w:val="nil"/>
              <w:left w:val="nil"/>
              <w:bottom w:val="nil"/>
              <w:right w:val="nil"/>
            </w:tcBorders>
            <w:shd w:val="clear" w:color="auto" w:fill="auto"/>
            <w:noWrap/>
            <w:vAlign w:val="bottom"/>
            <w:hideMark/>
          </w:tcPr>
          <w:p w14:paraId="2482F7C0" w14:textId="77777777" w:rsidR="00610751" w:rsidRPr="00610751" w:rsidRDefault="00610751" w:rsidP="00610751">
            <w:pPr>
              <w:widowControl/>
              <w:overflowPunct/>
              <w:autoSpaceDE/>
              <w:autoSpaceDN/>
              <w:adjustRightInd/>
              <w:rPr>
                <w:color w:val="000000"/>
                <w:kern w:val="0"/>
              </w:rPr>
            </w:pPr>
            <w:r w:rsidRPr="00610751">
              <w:rPr>
                <w:color w:val="000000"/>
                <w:kern w:val="0"/>
              </w:rPr>
              <w:t>Goal alignment</w:t>
            </w:r>
          </w:p>
        </w:tc>
        <w:tc>
          <w:tcPr>
            <w:tcW w:w="1300" w:type="dxa"/>
            <w:tcBorders>
              <w:top w:val="nil"/>
              <w:left w:val="nil"/>
              <w:bottom w:val="nil"/>
              <w:right w:val="nil"/>
            </w:tcBorders>
            <w:vAlign w:val="center"/>
          </w:tcPr>
          <w:p w14:paraId="4F6735B9"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 (328)</w:t>
            </w:r>
          </w:p>
        </w:tc>
        <w:tc>
          <w:tcPr>
            <w:tcW w:w="1300" w:type="dxa"/>
            <w:tcBorders>
              <w:top w:val="nil"/>
              <w:left w:val="nil"/>
              <w:bottom w:val="nil"/>
              <w:right w:val="nil"/>
            </w:tcBorders>
            <w:shd w:val="clear" w:color="auto" w:fill="auto"/>
            <w:noWrap/>
            <w:vAlign w:val="center"/>
            <w:hideMark/>
          </w:tcPr>
          <w:p w14:paraId="4584E42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11 (1619)</w:t>
            </w:r>
          </w:p>
        </w:tc>
        <w:tc>
          <w:tcPr>
            <w:tcW w:w="1300" w:type="dxa"/>
            <w:tcBorders>
              <w:top w:val="nil"/>
              <w:left w:val="nil"/>
              <w:bottom w:val="nil"/>
              <w:right w:val="nil"/>
            </w:tcBorders>
            <w:shd w:val="clear" w:color="auto" w:fill="auto"/>
            <w:noWrap/>
            <w:vAlign w:val="center"/>
            <w:hideMark/>
          </w:tcPr>
          <w:p w14:paraId="1631A63B"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13 (2338)</w:t>
            </w:r>
          </w:p>
        </w:tc>
        <w:tc>
          <w:tcPr>
            <w:tcW w:w="1300" w:type="dxa"/>
            <w:tcBorders>
              <w:top w:val="nil"/>
              <w:left w:val="nil"/>
              <w:bottom w:val="nil"/>
              <w:right w:val="nil"/>
            </w:tcBorders>
            <w:shd w:val="clear" w:color="auto" w:fill="auto"/>
            <w:noWrap/>
            <w:vAlign w:val="center"/>
            <w:hideMark/>
          </w:tcPr>
          <w:p w14:paraId="09C2D4CB"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4 (465)</w:t>
            </w:r>
          </w:p>
        </w:tc>
        <w:tc>
          <w:tcPr>
            <w:tcW w:w="1300" w:type="dxa"/>
            <w:tcBorders>
              <w:top w:val="nil"/>
              <w:left w:val="nil"/>
              <w:bottom w:val="nil"/>
              <w:right w:val="nil"/>
            </w:tcBorders>
            <w:shd w:val="clear" w:color="auto" w:fill="auto"/>
            <w:noWrap/>
            <w:vAlign w:val="center"/>
            <w:hideMark/>
          </w:tcPr>
          <w:p w14:paraId="126A1B6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5 (500)</w:t>
            </w:r>
          </w:p>
        </w:tc>
      </w:tr>
      <w:tr w:rsidR="00610751" w:rsidRPr="00610751" w14:paraId="4567054E" w14:textId="77777777" w:rsidTr="00DB7B9A">
        <w:trPr>
          <w:trHeight w:val="20"/>
        </w:trPr>
        <w:tc>
          <w:tcPr>
            <w:tcW w:w="416" w:type="dxa"/>
            <w:tcBorders>
              <w:top w:val="nil"/>
              <w:left w:val="nil"/>
              <w:bottom w:val="nil"/>
              <w:right w:val="nil"/>
            </w:tcBorders>
            <w:shd w:val="clear" w:color="auto" w:fill="auto"/>
            <w:noWrap/>
            <w:vAlign w:val="bottom"/>
            <w:hideMark/>
          </w:tcPr>
          <w:p w14:paraId="3F174500"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3</w:t>
            </w:r>
          </w:p>
        </w:tc>
        <w:tc>
          <w:tcPr>
            <w:tcW w:w="2304" w:type="dxa"/>
            <w:tcBorders>
              <w:top w:val="nil"/>
              <w:left w:val="nil"/>
              <w:bottom w:val="nil"/>
              <w:right w:val="nil"/>
            </w:tcBorders>
            <w:shd w:val="clear" w:color="auto" w:fill="auto"/>
            <w:noWrap/>
            <w:vAlign w:val="bottom"/>
            <w:hideMark/>
          </w:tcPr>
          <w:p w14:paraId="7ABEDE9F" w14:textId="77777777" w:rsidR="00610751" w:rsidRPr="00610751" w:rsidRDefault="00610751" w:rsidP="00610751">
            <w:pPr>
              <w:widowControl/>
              <w:overflowPunct/>
              <w:autoSpaceDE/>
              <w:autoSpaceDN/>
              <w:adjustRightInd/>
              <w:rPr>
                <w:color w:val="000000"/>
                <w:kern w:val="0"/>
              </w:rPr>
            </w:pPr>
            <w:r w:rsidRPr="00610751">
              <w:rPr>
                <w:color w:val="000000"/>
                <w:kern w:val="0"/>
              </w:rPr>
              <w:t>Past Performance</w:t>
            </w:r>
          </w:p>
        </w:tc>
        <w:tc>
          <w:tcPr>
            <w:tcW w:w="1300" w:type="dxa"/>
            <w:tcBorders>
              <w:top w:val="nil"/>
              <w:left w:val="nil"/>
              <w:bottom w:val="nil"/>
              <w:right w:val="nil"/>
            </w:tcBorders>
            <w:vAlign w:val="center"/>
          </w:tcPr>
          <w:p w14:paraId="076F80D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4 (838)</w:t>
            </w:r>
          </w:p>
        </w:tc>
        <w:tc>
          <w:tcPr>
            <w:tcW w:w="1300" w:type="dxa"/>
            <w:tcBorders>
              <w:top w:val="nil"/>
              <w:left w:val="nil"/>
              <w:bottom w:val="nil"/>
              <w:right w:val="nil"/>
            </w:tcBorders>
            <w:shd w:val="clear" w:color="auto" w:fill="auto"/>
            <w:noWrap/>
            <w:vAlign w:val="center"/>
            <w:hideMark/>
          </w:tcPr>
          <w:p w14:paraId="5BAF3E94"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10 (1783)</w:t>
            </w:r>
          </w:p>
        </w:tc>
        <w:tc>
          <w:tcPr>
            <w:tcW w:w="1300" w:type="dxa"/>
            <w:tcBorders>
              <w:top w:val="nil"/>
              <w:left w:val="nil"/>
              <w:bottom w:val="nil"/>
              <w:right w:val="nil"/>
            </w:tcBorders>
            <w:shd w:val="clear" w:color="auto" w:fill="auto"/>
            <w:noWrap/>
            <w:vAlign w:val="center"/>
            <w:hideMark/>
          </w:tcPr>
          <w:p w14:paraId="6D00989E"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13 (2169)</w:t>
            </w:r>
          </w:p>
        </w:tc>
        <w:tc>
          <w:tcPr>
            <w:tcW w:w="1300" w:type="dxa"/>
            <w:tcBorders>
              <w:top w:val="nil"/>
              <w:left w:val="nil"/>
              <w:bottom w:val="nil"/>
              <w:right w:val="nil"/>
            </w:tcBorders>
            <w:shd w:val="clear" w:color="auto" w:fill="auto"/>
            <w:noWrap/>
            <w:vAlign w:val="center"/>
            <w:hideMark/>
          </w:tcPr>
          <w:p w14:paraId="4AEBD1F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 (470)</w:t>
            </w:r>
          </w:p>
        </w:tc>
        <w:tc>
          <w:tcPr>
            <w:tcW w:w="1300" w:type="dxa"/>
            <w:tcBorders>
              <w:top w:val="nil"/>
              <w:left w:val="nil"/>
              <w:bottom w:val="nil"/>
              <w:right w:val="nil"/>
            </w:tcBorders>
            <w:shd w:val="clear" w:color="auto" w:fill="auto"/>
            <w:noWrap/>
            <w:vAlign w:val="center"/>
            <w:hideMark/>
          </w:tcPr>
          <w:p w14:paraId="53E2F89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4 (601)</w:t>
            </w:r>
          </w:p>
        </w:tc>
      </w:tr>
      <w:tr w:rsidR="00610751" w:rsidRPr="00610751" w14:paraId="5F5DA3A0" w14:textId="77777777" w:rsidTr="00DB7B9A">
        <w:trPr>
          <w:trHeight w:val="20"/>
        </w:trPr>
        <w:tc>
          <w:tcPr>
            <w:tcW w:w="416" w:type="dxa"/>
            <w:tcBorders>
              <w:top w:val="nil"/>
              <w:left w:val="nil"/>
              <w:bottom w:val="nil"/>
              <w:right w:val="nil"/>
            </w:tcBorders>
            <w:shd w:val="clear" w:color="auto" w:fill="auto"/>
            <w:noWrap/>
            <w:vAlign w:val="bottom"/>
            <w:hideMark/>
          </w:tcPr>
          <w:p w14:paraId="1C435C60"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4</w:t>
            </w:r>
          </w:p>
        </w:tc>
        <w:tc>
          <w:tcPr>
            <w:tcW w:w="2304" w:type="dxa"/>
            <w:tcBorders>
              <w:top w:val="nil"/>
              <w:left w:val="nil"/>
              <w:bottom w:val="nil"/>
              <w:right w:val="nil"/>
            </w:tcBorders>
            <w:shd w:val="clear" w:color="auto" w:fill="auto"/>
            <w:noWrap/>
            <w:vAlign w:val="bottom"/>
            <w:hideMark/>
          </w:tcPr>
          <w:p w14:paraId="5F3B9CF3" w14:textId="77777777" w:rsidR="00610751" w:rsidRPr="00610751" w:rsidRDefault="00610751" w:rsidP="00610751">
            <w:pPr>
              <w:widowControl/>
              <w:overflowPunct/>
              <w:autoSpaceDE/>
              <w:autoSpaceDN/>
              <w:adjustRightInd/>
              <w:rPr>
                <w:color w:val="000000"/>
                <w:kern w:val="0"/>
              </w:rPr>
            </w:pPr>
            <w:r w:rsidRPr="00610751">
              <w:rPr>
                <w:color w:val="000000"/>
                <w:kern w:val="0"/>
              </w:rPr>
              <w:t>Institutional distance</w:t>
            </w:r>
          </w:p>
        </w:tc>
        <w:tc>
          <w:tcPr>
            <w:tcW w:w="1300" w:type="dxa"/>
            <w:tcBorders>
              <w:top w:val="nil"/>
              <w:left w:val="nil"/>
              <w:bottom w:val="nil"/>
              <w:right w:val="nil"/>
            </w:tcBorders>
            <w:vAlign w:val="center"/>
          </w:tcPr>
          <w:p w14:paraId="0D00FA76"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18 (3564)</w:t>
            </w:r>
          </w:p>
        </w:tc>
        <w:tc>
          <w:tcPr>
            <w:tcW w:w="1300" w:type="dxa"/>
            <w:tcBorders>
              <w:top w:val="nil"/>
              <w:left w:val="nil"/>
              <w:bottom w:val="nil"/>
              <w:right w:val="nil"/>
            </w:tcBorders>
            <w:shd w:val="clear" w:color="auto" w:fill="auto"/>
            <w:noWrap/>
            <w:vAlign w:val="center"/>
            <w:hideMark/>
          </w:tcPr>
          <w:p w14:paraId="79952EB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30 (7064)</w:t>
            </w:r>
          </w:p>
        </w:tc>
        <w:tc>
          <w:tcPr>
            <w:tcW w:w="1300" w:type="dxa"/>
            <w:tcBorders>
              <w:top w:val="nil"/>
              <w:left w:val="nil"/>
              <w:bottom w:val="nil"/>
              <w:right w:val="nil"/>
            </w:tcBorders>
            <w:shd w:val="clear" w:color="auto" w:fill="auto"/>
            <w:noWrap/>
            <w:vAlign w:val="center"/>
            <w:hideMark/>
          </w:tcPr>
          <w:p w14:paraId="6B2E4F56"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41 (8297)</w:t>
            </w:r>
          </w:p>
        </w:tc>
        <w:tc>
          <w:tcPr>
            <w:tcW w:w="1300" w:type="dxa"/>
            <w:tcBorders>
              <w:top w:val="nil"/>
              <w:left w:val="nil"/>
              <w:bottom w:val="nil"/>
              <w:right w:val="nil"/>
            </w:tcBorders>
            <w:shd w:val="clear" w:color="auto" w:fill="auto"/>
            <w:noWrap/>
            <w:vAlign w:val="center"/>
            <w:hideMark/>
          </w:tcPr>
          <w:p w14:paraId="6AA6983E"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12 (4889)</w:t>
            </w:r>
          </w:p>
        </w:tc>
        <w:tc>
          <w:tcPr>
            <w:tcW w:w="1300" w:type="dxa"/>
            <w:tcBorders>
              <w:top w:val="nil"/>
              <w:left w:val="nil"/>
              <w:bottom w:val="nil"/>
              <w:right w:val="nil"/>
            </w:tcBorders>
            <w:shd w:val="clear" w:color="auto" w:fill="auto"/>
            <w:noWrap/>
            <w:vAlign w:val="center"/>
            <w:hideMark/>
          </w:tcPr>
          <w:p w14:paraId="142B620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9 (1359)</w:t>
            </w:r>
          </w:p>
        </w:tc>
      </w:tr>
      <w:tr w:rsidR="00610751" w:rsidRPr="00610751" w14:paraId="64BA0616" w14:textId="77777777" w:rsidTr="00DB7B9A">
        <w:trPr>
          <w:trHeight w:val="20"/>
        </w:trPr>
        <w:tc>
          <w:tcPr>
            <w:tcW w:w="416" w:type="dxa"/>
            <w:tcBorders>
              <w:top w:val="nil"/>
              <w:left w:val="nil"/>
              <w:bottom w:val="nil"/>
              <w:right w:val="nil"/>
            </w:tcBorders>
            <w:shd w:val="clear" w:color="auto" w:fill="auto"/>
            <w:noWrap/>
            <w:vAlign w:val="bottom"/>
            <w:hideMark/>
          </w:tcPr>
          <w:p w14:paraId="265B2A96"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5</w:t>
            </w:r>
          </w:p>
        </w:tc>
        <w:tc>
          <w:tcPr>
            <w:tcW w:w="2304" w:type="dxa"/>
            <w:tcBorders>
              <w:top w:val="nil"/>
              <w:left w:val="nil"/>
              <w:bottom w:val="nil"/>
              <w:right w:val="nil"/>
            </w:tcBorders>
            <w:shd w:val="clear" w:color="auto" w:fill="auto"/>
            <w:noWrap/>
            <w:vAlign w:val="bottom"/>
            <w:hideMark/>
          </w:tcPr>
          <w:p w14:paraId="127D80D4" w14:textId="77777777" w:rsidR="00610751" w:rsidRPr="00610751" w:rsidRDefault="00610751" w:rsidP="00610751">
            <w:pPr>
              <w:widowControl/>
              <w:overflowPunct/>
              <w:autoSpaceDE/>
              <w:autoSpaceDN/>
              <w:adjustRightInd/>
              <w:rPr>
                <w:color w:val="000000"/>
                <w:kern w:val="0"/>
              </w:rPr>
            </w:pPr>
            <w:r w:rsidRPr="00610751">
              <w:rPr>
                <w:color w:val="000000"/>
                <w:kern w:val="0"/>
              </w:rPr>
              <w:t>Host country constraints</w:t>
            </w:r>
          </w:p>
        </w:tc>
        <w:tc>
          <w:tcPr>
            <w:tcW w:w="1300" w:type="dxa"/>
            <w:tcBorders>
              <w:top w:val="nil"/>
              <w:left w:val="nil"/>
              <w:bottom w:val="nil"/>
              <w:right w:val="nil"/>
            </w:tcBorders>
            <w:vAlign w:val="center"/>
          </w:tcPr>
          <w:p w14:paraId="73C411A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10 (3620)</w:t>
            </w:r>
          </w:p>
        </w:tc>
        <w:tc>
          <w:tcPr>
            <w:tcW w:w="1300" w:type="dxa"/>
            <w:tcBorders>
              <w:top w:val="nil"/>
              <w:left w:val="nil"/>
              <w:bottom w:val="nil"/>
              <w:right w:val="nil"/>
            </w:tcBorders>
            <w:shd w:val="clear" w:color="auto" w:fill="auto"/>
            <w:noWrap/>
            <w:vAlign w:val="center"/>
            <w:hideMark/>
          </w:tcPr>
          <w:p w14:paraId="43E69FFE"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17 (5739)</w:t>
            </w:r>
          </w:p>
        </w:tc>
        <w:tc>
          <w:tcPr>
            <w:tcW w:w="1300" w:type="dxa"/>
            <w:tcBorders>
              <w:top w:val="nil"/>
              <w:left w:val="nil"/>
              <w:bottom w:val="nil"/>
              <w:right w:val="nil"/>
            </w:tcBorders>
            <w:shd w:val="clear" w:color="auto" w:fill="auto"/>
            <w:noWrap/>
            <w:vAlign w:val="center"/>
            <w:hideMark/>
          </w:tcPr>
          <w:p w14:paraId="0194A93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19 (5063)</w:t>
            </w:r>
          </w:p>
        </w:tc>
        <w:tc>
          <w:tcPr>
            <w:tcW w:w="1300" w:type="dxa"/>
            <w:tcBorders>
              <w:top w:val="nil"/>
              <w:left w:val="nil"/>
              <w:bottom w:val="nil"/>
              <w:right w:val="nil"/>
            </w:tcBorders>
            <w:shd w:val="clear" w:color="auto" w:fill="auto"/>
            <w:noWrap/>
            <w:vAlign w:val="center"/>
            <w:hideMark/>
          </w:tcPr>
          <w:p w14:paraId="3F2C89E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12 (3180)</w:t>
            </w:r>
          </w:p>
        </w:tc>
        <w:tc>
          <w:tcPr>
            <w:tcW w:w="1300" w:type="dxa"/>
            <w:tcBorders>
              <w:top w:val="nil"/>
              <w:left w:val="nil"/>
              <w:bottom w:val="nil"/>
              <w:right w:val="nil"/>
            </w:tcBorders>
            <w:shd w:val="clear" w:color="auto" w:fill="auto"/>
            <w:noWrap/>
            <w:vAlign w:val="center"/>
            <w:hideMark/>
          </w:tcPr>
          <w:p w14:paraId="2AB45F5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10 (1652)</w:t>
            </w:r>
          </w:p>
        </w:tc>
      </w:tr>
      <w:tr w:rsidR="00610751" w:rsidRPr="00610751" w14:paraId="16AD021D" w14:textId="77777777" w:rsidTr="00DB7B9A">
        <w:trPr>
          <w:trHeight w:val="20"/>
        </w:trPr>
        <w:tc>
          <w:tcPr>
            <w:tcW w:w="416" w:type="dxa"/>
            <w:tcBorders>
              <w:top w:val="nil"/>
              <w:left w:val="nil"/>
              <w:bottom w:val="nil"/>
              <w:right w:val="nil"/>
            </w:tcBorders>
            <w:shd w:val="clear" w:color="auto" w:fill="auto"/>
            <w:noWrap/>
            <w:vAlign w:val="bottom"/>
            <w:hideMark/>
          </w:tcPr>
          <w:p w14:paraId="4F885B66"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6</w:t>
            </w:r>
          </w:p>
        </w:tc>
        <w:tc>
          <w:tcPr>
            <w:tcW w:w="2304" w:type="dxa"/>
            <w:tcBorders>
              <w:top w:val="nil"/>
              <w:left w:val="nil"/>
              <w:bottom w:val="nil"/>
              <w:right w:val="nil"/>
            </w:tcBorders>
            <w:shd w:val="clear" w:color="auto" w:fill="auto"/>
            <w:noWrap/>
            <w:vAlign w:val="bottom"/>
            <w:hideMark/>
          </w:tcPr>
          <w:p w14:paraId="3D2736FD" w14:textId="77777777" w:rsidR="00610751" w:rsidRPr="00610751" w:rsidRDefault="00610751" w:rsidP="00610751">
            <w:pPr>
              <w:widowControl/>
              <w:overflowPunct/>
              <w:autoSpaceDE/>
              <w:autoSpaceDN/>
              <w:adjustRightInd/>
              <w:rPr>
                <w:color w:val="000000"/>
                <w:kern w:val="0"/>
              </w:rPr>
            </w:pPr>
            <w:r w:rsidRPr="00610751">
              <w:rPr>
                <w:color w:val="000000"/>
                <w:kern w:val="0"/>
              </w:rPr>
              <w:t>Full operations</w:t>
            </w:r>
          </w:p>
        </w:tc>
        <w:tc>
          <w:tcPr>
            <w:tcW w:w="1300" w:type="dxa"/>
            <w:tcBorders>
              <w:top w:val="nil"/>
              <w:left w:val="nil"/>
              <w:bottom w:val="nil"/>
              <w:right w:val="nil"/>
            </w:tcBorders>
            <w:vAlign w:val="center"/>
          </w:tcPr>
          <w:p w14:paraId="24756712"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 (476)</w:t>
            </w:r>
          </w:p>
        </w:tc>
        <w:tc>
          <w:tcPr>
            <w:tcW w:w="1300" w:type="dxa"/>
            <w:tcBorders>
              <w:top w:val="nil"/>
              <w:left w:val="nil"/>
              <w:bottom w:val="nil"/>
              <w:right w:val="nil"/>
            </w:tcBorders>
            <w:shd w:val="clear" w:color="auto" w:fill="auto"/>
            <w:noWrap/>
            <w:vAlign w:val="center"/>
            <w:hideMark/>
          </w:tcPr>
          <w:p w14:paraId="46FFEB3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9 (1478)</w:t>
            </w:r>
          </w:p>
        </w:tc>
        <w:tc>
          <w:tcPr>
            <w:tcW w:w="1300" w:type="dxa"/>
            <w:tcBorders>
              <w:top w:val="nil"/>
              <w:left w:val="nil"/>
              <w:bottom w:val="nil"/>
              <w:right w:val="nil"/>
            </w:tcBorders>
            <w:shd w:val="clear" w:color="auto" w:fill="auto"/>
            <w:noWrap/>
            <w:vAlign w:val="center"/>
            <w:hideMark/>
          </w:tcPr>
          <w:p w14:paraId="62F06AD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10 (1570)</w:t>
            </w:r>
          </w:p>
        </w:tc>
        <w:tc>
          <w:tcPr>
            <w:tcW w:w="1300" w:type="dxa"/>
            <w:tcBorders>
              <w:top w:val="nil"/>
              <w:left w:val="nil"/>
              <w:bottom w:val="nil"/>
              <w:right w:val="nil"/>
            </w:tcBorders>
            <w:shd w:val="clear" w:color="auto" w:fill="auto"/>
            <w:noWrap/>
            <w:vAlign w:val="center"/>
            <w:hideMark/>
          </w:tcPr>
          <w:p w14:paraId="3C4062B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 (410)</w:t>
            </w:r>
          </w:p>
        </w:tc>
        <w:tc>
          <w:tcPr>
            <w:tcW w:w="1300" w:type="dxa"/>
            <w:tcBorders>
              <w:top w:val="nil"/>
              <w:left w:val="nil"/>
              <w:bottom w:val="nil"/>
              <w:right w:val="nil"/>
            </w:tcBorders>
            <w:shd w:val="clear" w:color="auto" w:fill="auto"/>
            <w:noWrap/>
            <w:vAlign w:val="center"/>
            <w:hideMark/>
          </w:tcPr>
          <w:p w14:paraId="0D1917A6"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 (508)</w:t>
            </w:r>
          </w:p>
        </w:tc>
      </w:tr>
      <w:tr w:rsidR="00610751" w:rsidRPr="00610751" w14:paraId="57F1764B" w14:textId="77777777" w:rsidTr="00DB7B9A">
        <w:trPr>
          <w:trHeight w:val="20"/>
        </w:trPr>
        <w:tc>
          <w:tcPr>
            <w:tcW w:w="416" w:type="dxa"/>
            <w:tcBorders>
              <w:top w:val="nil"/>
              <w:left w:val="nil"/>
              <w:bottom w:val="nil"/>
              <w:right w:val="nil"/>
            </w:tcBorders>
            <w:shd w:val="clear" w:color="auto" w:fill="auto"/>
            <w:noWrap/>
            <w:vAlign w:val="bottom"/>
            <w:hideMark/>
          </w:tcPr>
          <w:p w14:paraId="0636DEF7"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7</w:t>
            </w:r>
          </w:p>
        </w:tc>
        <w:tc>
          <w:tcPr>
            <w:tcW w:w="2304" w:type="dxa"/>
            <w:tcBorders>
              <w:top w:val="nil"/>
              <w:left w:val="nil"/>
              <w:bottom w:val="nil"/>
              <w:right w:val="nil"/>
            </w:tcBorders>
            <w:shd w:val="clear" w:color="auto" w:fill="auto"/>
            <w:noWrap/>
            <w:vAlign w:val="bottom"/>
            <w:hideMark/>
          </w:tcPr>
          <w:p w14:paraId="021467B3" w14:textId="77777777" w:rsidR="00610751" w:rsidRPr="00610751" w:rsidRDefault="00610751" w:rsidP="00610751">
            <w:pPr>
              <w:widowControl/>
              <w:overflowPunct/>
              <w:autoSpaceDE/>
              <w:autoSpaceDN/>
              <w:adjustRightInd/>
              <w:rPr>
                <w:color w:val="000000"/>
                <w:kern w:val="0"/>
              </w:rPr>
            </w:pPr>
            <w:r w:rsidRPr="00610751">
              <w:rPr>
                <w:color w:val="000000"/>
                <w:kern w:val="0"/>
              </w:rPr>
              <w:t>Localization</w:t>
            </w:r>
          </w:p>
        </w:tc>
        <w:tc>
          <w:tcPr>
            <w:tcW w:w="1300" w:type="dxa"/>
            <w:tcBorders>
              <w:top w:val="nil"/>
              <w:left w:val="nil"/>
              <w:bottom w:val="nil"/>
              <w:right w:val="nil"/>
            </w:tcBorders>
            <w:vAlign w:val="center"/>
          </w:tcPr>
          <w:p w14:paraId="63DAF9D1"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5 (1131)</w:t>
            </w:r>
          </w:p>
        </w:tc>
        <w:tc>
          <w:tcPr>
            <w:tcW w:w="1300" w:type="dxa"/>
            <w:tcBorders>
              <w:top w:val="nil"/>
              <w:left w:val="nil"/>
              <w:bottom w:val="nil"/>
              <w:right w:val="nil"/>
            </w:tcBorders>
            <w:shd w:val="clear" w:color="auto" w:fill="auto"/>
            <w:noWrap/>
            <w:vAlign w:val="center"/>
            <w:hideMark/>
          </w:tcPr>
          <w:p w14:paraId="62AEC52E"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14 (2376)</w:t>
            </w:r>
          </w:p>
        </w:tc>
        <w:tc>
          <w:tcPr>
            <w:tcW w:w="1300" w:type="dxa"/>
            <w:tcBorders>
              <w:top w:val="nil"/>
              <w:left w:val="nil"/>
              <w:bottom w:val="nil"/>
              <w:right w:val="nil"/>
            </w:tcBorders>
            <w:shd w:val="clear" w:color="auto" w:fill="auto"/>
            <w:noWrap/>
            <w:vAlign w:val="center"/>
            <w:hideMark/>
          </w:tcPr>
          <w:p w14:paraId="65CF6906"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17 (2699)</w:t>
            </w:r>
          </w:p>
        </w:tc>
        <w:tc>
          <w:tcPr>
            <w:tcW w:w="1300" w:type="dxa"/>
            <w:tcBorders>
              <w:top w:val="nil"/>
              <w:left w:val="nil"/>
              <w:bottom w:val="nil"/>
              <w:right w:val="nil"/>
            </w:tcBorders>
            <w:shd w:val="clear" w:color="auto" w:fill="auto"/>
            <w:noWrap/>
            <w:vAlign w:val="center"/>
            <w:hideMark/>
          </w:tcPr>
          <w:p w14:paraId="60FCF9E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3 (464)</w:t>
            </w:r>
          </w:p>
        </w:tc>
        <w:tc>
          <w:tcPr>
            <w:tcW w:w="1300" w:type="dxa"/>
            <w:tcBorders>
              <w:top w:val="nil"/>
              <w:left w:val="nil"/>
              <w:bottom w:val="nil"/>
              <w:right w:val="nil"/>
            </w:tcBorders>
            <w:shd w:val="clear" w:color="auto" w:fill="auto"/>
            <w:noWrap/>
            <w:vAlign w:val="center"/>
            <w:hideMark/>
          </w:tcPr>
          <w:p w14:paraId="640CBE6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4 (618)</w:t>
            </w:r>
          </w:p>
        </w:tc>
      </w:tr>
      <w:tr w:rsidR="00610751" w:rsidRPr="00610751" w14:paraId="78B4B957" w14:textId="77777777" w:rsidTr="00DB7B9A">
        <w:trPr>
          <w:trHeight w:val="20"/>
        </w:trPr>
        <w:tc>
          <w:tcPr>
            <w:tcW w:w="416" w:type="dxa"/>
            <w:tcBorders>
              <w:top w:val="nil"/>
              <w:left w:val="nil"/>
              <w:bottom w:val="nil"/>
              <w:right w:val="nil"/>
            </w:tcBorders>
            <w:shd w:val="clear" w:color="auto" w:fill="auto"/>
            <w:noWrap/>
            <w:vAlign w:val="bottom"/>
            <w:hideMark/>
          </w:tcPr>
          <w:p w14:paraId="65540545"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8</w:t>
            </w:r>
          </w:p>
        </w:tc>
        <w:tc>
          <w:tcPr>
            <w:tcW w:w="2304" w:type="dxa"/>
            <w:tcBorders>
              <w:top w:val="nil"/>
              <w:left w:val="nil"/>
              <w:bottom w:val="nil"/>
              <w:right w:val="nil"/>
            </w:tcBorders>
            <w:shd w:val="clear" w:color="auto" w:fill="auto"/>
            <w:noWrap/>
            <w:vAlign w:val="bottom"/>
            <w:hideMark/>
          </w:tcPr>
          <w:p w14:paraId="635B02BA" w14:textId="77777777" w:rsidR="00610751" w:rsidRPr="00610751" w:rsidRDefault="00610751" w:rsidP="00610751">
            <w:pPr>
              <w:widowControl/>
              <w:overflowPunct/>
              <w:autoSpaceDE/>
              <w:autoSpaceDN/>
              <w:adjustRightInd/>
              <w:rPr>
                <w:color w:val="000000"/>
                <w:kern w:val="0"/>
              </w:rPr>
            </w:pPr>
            <w:r w:rsidRPr="00610751">
              <w:rPr>
                <w:color w:val="000000"/>
                <w:kern w:val="0"/>
              </w:rPr>
              <w:t>Industry pressures</w:t>
            </w:r>
          </w:p>
        </w:tc>
        <w:tc>
          <w:tcPr>
            <w:tcW w:w="1300" w:type="dxa"/>
            <w:tcBorders>
              <w:top w:val="nil"/>
              <w:left w:val="nil"/>
              <w:bottom w:val="nil"/>
              <w:right w:val="nil"/>
            </w:tcBorders>
            <w:vAlign w:val="center"/>
          </w:tcPr>
          <w:p w14:paraId="3584918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7 (1162)</w:t>
            </w:r>
          </w:p>
        </w:tc>
        <w:tc>
          <w:tcPr>
            <w:tcW w:w="1300" w:type="dxa"/>
            <w:tcBorders>
              <w:top w:val="nil"/>
              <w:left w:val="nil"/>
              <w:bottom w:val="nil"/>
              <w:right w:val="nil"/>
            </w:tcBorders>
            <w:shd w:val="clear" w:color="auto" w:fill="auto"/>
            <w:noWrap/>
            <w:vAlign w:val="center"/>
            <w:hideMark/>
          </w:tcPr>
          <w:p w14:paraId="39CFE0D4"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16 (3358)</w:t>
            </w:r>
          </w:p>
        </w:tc>
        <w:tc>
          <w:tcPr>
            <w:tcW w:w="1300" w:type="dxa"/>
            <w:tcBorders>
              <w:top w:val="nil"/>
              <w:left w:val="nil"/>
              <w:bottom w:val="nil"/>
              <w:right w:val="nil"/>
            </w:tcBorders>
            <w:shd w:val="clear" w:color="auto" w:fill="auto"/>
            <w:noWrap/>
            <w:vAlign w:val="center"/>
            <w:hideMark/>
          </w:tcPr>
          <w:p w14:paraId="76F0F75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21 (3512)</w:t>
            </w:r>
          </w:p>
        </w:tc>
        <w:tc>
          <w:tcPr>
            <w:tcW w:w="1300" w:type="dxa"/>
            <w:tcBorders>
              <w:top w:val="nil"/>
              <w:left w:val="nil"/>
              <w:bottom w:val="nil"/>
              <w:right w:val="nil"/>
            </w:tcBorders>
            <w:shd w:val="clear" w:color="auto" w:fill="auto"/>
            <w:noWrap/>
            <w:vAlign w:val="center"/>
            <w:hideMark/>
          </w:tcPr>
          <w:p w14:paraId="154E762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5 (1818)</w:t>
            </w:r>
          </w:p>
        </w:tc>
        <w:tc>
          <w:tcPr>
            <w:tcW w:w="1300" w:type="dxa"/>
            <w:tcBorders>
              <w:top w:val="nil"/>
              <w:left w:val="nil"/>
              <w:bottom w:val="nil"/>
              <w:right w:val="nil"/>
            </w:tcBorders>
            <w:shd w:val="clear" w:color="auto" w:fill="auto"/>
            <w:noWrap/>
            <w:vAlign w:val="center"/>
            <w:hideMark/>
          </w:tcPr>
          <w:p w14:paraId="7E17F8E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4 (532)</w:t>
            </w:r>
          </w:p>
        </w:tc>
      </w:tr>
      <w:tr w:rsidR="00610751" w:rsidRPr="00610751" w14:paraId="0BF1293B" w14:textId="77777777" w:rsidTr="00DB7B9A">
        <w:trPr>
          <w:trHeight w:val="20"/>
        </w:trPr>
        <w:tc>
          <w:tcPr>
            <w:tcW w:w="416" w:type="dxa"/>
            <w:tcBorders>
              <w:top w:val="nil"/>
              <w:left w:val="nil"/>
              <w:bottom w:val="nil"/>
              <w:right w:val="nil"/>
            </w:tcBorders>
            <w:shd w:val="clear" w:color="auto" w:fill="auto"/>
            <w:noWrap/>
            <w:vAlign w:val="bottom"/>
            <w:hideMark/>
          </w:tcPr>
          <w:p w14:paraId="48372F86"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9</w:t>
            </w:r>
          </w:p>
        </w:tc>
        <w:tc>
          <w:tcPr>
            <w:tcW w:w="2304" w:type="dxa"/>
            <w:tcBorders>
              <w:top w:val="nil"/>
              <w:left w:val="nil"/>
              <w:bottom w:val="nil"/>
              <w:right w:val="nil"/>
            </w:tcBorders>
            <w:shd w:val="clear" w:color="auto" w:fill="auto"/>
            <w:noWrap/>
            <w:vAlign w:val="bottom"/>
            <w:hideMark/>
          </w:tcPr>
          <w:p w14:paraId="0826F755" w14:textId="77777777" w:rsidR="00610751" w:rsidRPr="00610751" w:rsidRDefault="00610751" w:rsidP="00610751">
            <w:pPr>
              <w:widowControl/>
              <w:overflowPunct/>
              <w:autoSpaceDE/>
              <w:autoSpaceDN/>
              <w:adjustRightInd/>
              <w:rPr>
                <w:color w:val="000000"/>
                <w:kern w:val="0"/>
              </w:rPr>
            </w:pPr>
            <w:r w:rsidRPr="00610751">
              <w:rPr>
                <w:color w:val="000000"/>
                <w:kern w:val="0"/>
              </w:rPr>
              <w:t>Greenfield entry</w:t>
            </w:r>
          </w:p>
        </w:tc>
        <w:tc>
          <w:tcPr>
            <w:tcW w:w="1300" w:type="dxa"/>
            <w:tcBorders>
              <w:top w:val="nil"/>
              <w:left w:val="nil"/>
              <w:bottom w:val="nil"/>
              <w:right w:val="nil"/>
            </w:tcBorders>
            <w:vAlign w:val="center"/>
          </w:tcPr>
          <w:p w14:paraId="59EB2E9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c>
          <w:tcPr>
            <w:tcW w:w="1300" w:type="dxa"/>
            <w:tcBorders>
              <w:top w:val="nil"/>
              <w:left w:val="nil"/>
              <w:bottom w:val="nil"/>
              <w:right w:val="nil"/>
            </w:tcBorders>
            <w:shd w:val="clear" w:color="auto" w:fill="auto"/>
            <w:noWrap/>
            <w:vAlign w:val="center"/>
            <w:hideMark/>
          </w:tcPr>
          <w:p w14:paraId="2E66AE2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24 (8110)</w:t>
            </w:r>
          </w:p>
        </w:tc>
        <w:tc>
          <w:tcPr>
            <w:tcW w:w="1300" w:type="dxa"/>
            <w:tcBorders>
              <w:top w:val="nil"/>
              <w:left w:val="nil"/>
              <w:bottom w:val="nil"/>
              <w:right w:val="nil"/>
            </w:tcBorders>
            <w:shd w:val="clear" w:color="auto" w:fill="auto"/>
            <w:noWrap/>
            <w:vAlign w:val="center"/>
            <w:hideMark/>
          </w:tcPr>
          <w:p w14:paraId="34348F9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28 (7405)</w:t>
            </w:r>
          </w:p>
        </w:tc>
        <w:tc>
          <w:tcPr>
            <w:tcW w:w="1300" w:type="dxa"/>
            <w:tcBorders>
              <w:top w:val="nil"/>
              <w:left w:val="nil"/>
              <w:bottom w:val="nil"/>
              <w:right w:val="nil"/>
            </w:tcBorders>
            <w:shd w:val="clear" w:color="auto" w:fill="auto"/>
            <w:noWrap/>
            <w:vAlign w:val="center"/>
            <w:hideMark/>
          </w:tcPr>
          <w:p w14:paraId="5F76A51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6 (1074)</w:t>
            </w:r>
          </w:p>
        </w:tc>
        <w:tc>
          <w:tcPr>
            <w:tcW w:w="1300" w:type="dxa"/>
            <w:tcBorders>
              <w:top w:val="nil"/>
              <w:left w:val="nil"/>
              <w:bottom w:val="nil"/>
              <w:right w:val="nil"/>
            </w:tcBorders>
            <w:shd w:val="clear" w:color="auto" w:fill="auto"/>
            <w:noWrap/>
            <w:vAlign w:val="center"/>
            <w:hideMark/>
          </w:tcPr>
          <w:p w14:paraId="65A87DDB"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9 (1511)</w:t>
            </w:r>
          </w:p>
        </w:tc>
      </w:tr>
      <w:tr w:rsidR="00610751" w:rsidRPr="00610751" w14:paraId="4036345F" w14:textId="77777777" w:rsidTr="00DB7B9A">
        <w:trPr>
          <w:trHeight w:val="20"/>
        </w:trPr>
        <w:tc>
          <w:tcPr>
            <w:tcW w:w="416" w:type="dxa"/>
            <w:tcBorders>
              <w:top w:val="nil"/>
              <w:left w:val="nil"/>
              <w:bottom w:val="nil"/>
              <w:right w:val="nil"/>
            </w:tcBorders>
            <w:shd w:val="clear" w:color="auto" w:fill="auto"/>
            <w:noWrap/>
            <w:vAlign w:val="bottom"/>
            <w:hideMark/>
          </w:tcPr>
          <w:p w14:paraId="3DC77AC6"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10</w:t>
            </w:r>
          </w:p>
        </w:tc>
        <w:tc>
          <w:tcPr>
            <w:tcW w:w="2304" w:type="dxa"/>
            <w:tcBorders>
              <w:top w:val="nil"/>
              <w:left w:val="nil"/>
              <w:bottom w:val="nil"/>
              <w:right w:val="nil"/>
            </w:tcBorders>
            <w:shd w:val="clear" w:color="auto" w:fill="auto"/>
            <w:noWrap/>
            <w:vAlign w:val="bottom"/>
            <w:hideMark/>
          </w:tcPr>
          <w:p w14:paraId="28BDDC91" w14:textId="77777777" w:rsidR="00610751" w:rsidRPr="00610751" w:rsidRDefault="00610751" w:rsidP="00610751">
            <w:pPr>
              <w:widowControl/>
              <w:overflowPunct/>
              <w:autoSpaceDE/>
              <w:autoSpaceDN/>
              <w:adjustRightInd/>
              <w:rPr>
                <w:color w:val="000000"/>
                <w:kern w:val="0"/>
              </w:rPr>
            </w:pPr>
            <w:r w:rsidRPr="00610751">
              <w:rPr>
                <w:color w:val="000000"/>
                <w:kern w:val="0"/>
              </w:rPr>
              <w:t>Subsidiary age</w:t>
            </w:r>
          </w:p>
        </w:tc>
        <w:tc>
          <w:tcPr>
            <w:tcW w:w="1300" w:type="dxa"/>
            <w:tcBorders>
              <w:top w:val="nil"/>
              <w:left w:val="nil"/>
              <w:bottom w:val="nil"/>
              <w:right w:val="nil"/>
            </w:tcBorders>
            <w:vAlign w:val="center"/>
          </w:tcPr>
          <w:p w14:paraId="16C369F7"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0.083</w:t>
            </w:r>
          </w:p>
        </w:tc>
        <w:tc>
          <w:tcPr>
            <w:tcW w:w="1300" w:type="dxa"/>
            <w:tcBorders>
              <w:top w:val="nil"/>
              <w:left w:val="nil"/>
              <w:bottom w:val="nil"/>
              <w:right w:val="nil"/>
            </w:tcBorders>
            <w:shd w:val="clear" w:color="auto" w:fill="auto"/>
            <w:noWrap/>
            <w:vAlign w:val="center"/>
            <w:hideMark/>
          </w:tcPr>
          <w:p w14:paraId="61C4E08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c>
          <w:tcPr>
            <w:tcW w:w="1300" w:type="dxa"/>
            <w:tcBorders>
              <w:top w:val="nil"/>
              <w:left w:val="nil"/>
              <w:bottom w:val="nil"/>
              <w:right w:val="nil"/>
            </w:tcBorders>
            <w:shd w:val="clear" w:color="auto" w:fill="auto"/>
            <w:noWrap/>
            <w:vAlign w:val="center"/>
            <w:hideMark/>
          </w:tcPr>
          <w:p w14:paraId="58E7676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60 (12855)</w:t>
            </w:r>
          </w:p>
        </w:tc>
        <w:tc>
          <w:tcPr>
            <w:tcW w:w="1300" w:type="dxa"/>
            <w:tcBorders>
              <w:top w:val="nil"/>
              <w:left w:val="nil"/>
              <w:bottom w:val="nil"/>
              <w:right w:val="nil"/>
            </w:tcBorders>
            <w:shd w:val="clear" w:color="auto" w:fill="auto"/>
            <w:noWrap/>
            <w:vAlign w:val="center"/>
            <w:hideMark/>
          </w:tcPr>
          <w:p w14:paraId="4077912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16 (3465)</w:t>
            </w:r>
          </w:p>
        </w:tc>
        <w:tc>
          <w:tcPr>
            <w:tcW w:w="1300" w:type="dxa"/>
            <w:tcBorders>
              <w:top w:val="nil"/>
              <w:left w:val="nil"/>
              <w:bottom w:val="nil"/>
              <w:right w:val="nil"/>
            </w:tcBorders>
            <w:shd w:val="clear" w:color="auto" w:fill="auto"/>
            <w:noWrap/>
            <w:vAlign w:val="center"/>
            <w:hideMark/>
          </w:tcPr>
          <w:p w14:paraId="46081C6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10 (1287)</w:t>
            </w:r>
          </w:p>
        </w:tc>
      </w:tr>
      <w:tr w:rsidR="00610751" w:rsidRPr="00610751" w14:paraId="66C39137" w14:textId="77777777" w:rsidTr="00DB7B9A">
        <w:trPr>
          <w:trHeight w:val="20"/>
        </w:trPr>
        <w:tc>
          <w:tcPr>
            <w:tcW w:w="416" w:type="dxa"/>
            <w:tcBorders>
              <w:top w:val="nil"/>
              <w:left w:val="nil"/>
              <w:bottom w:val="nil"/>
              <w:right w:val="nil"/>
            </w:tcBorders>
            <w:shd w:val="clear" w:color="auto" w:fill="auto"/>
            <w:noWrap/>
            <w:vAlign w:val="bottom"/>
            <w:hideMark/>
          </w:tcPr>
          <w:p w14:paraId="7A83E6A4"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11</w:t>
            </w:r>
          </w:p>
        </w:tc>
        <w:tc>
          <w:tcPr>
            <w:tcW w:w="2304" w:type="dxa"/>
            <w:tcBorders>
              <w:top w:val="nil"/>
              <w:left w:val="nil"/>
              <w:bottom w:val="nil"/>
              <w:right w:val="nil"/>
            </w:tcBorders>
            <w:shd w:val="clear" w:color="auto" w:fill="auto"/>
            <w:noWrap/>
            <w:vAlign w:val="bottom"/>
            <w:hideMark/>
          </w:tcPr>
          <w:p w14:paraId="31342262" w14:textId="77777777" w:rsidR="00610751" w:rsidRPr="00610751" w:rsidRDefault="00610751" w:rsidP="00610751">
            <w:pPr>
              <w:widowControl/>
              <w:overflowPunct/>
              <w:autoSpaceDE/>
              <w:autoSpaceDN/>
              <w:adjustRightInd/>
              <w:rPr>
                <w:color w:val="000000"/>
                <w:kern w:val="0"/>
              </w:rPr>
            </w:pPr>
            <w:r w:rsidRPr="00610751">
              <w:rPr>
                <w:color w:val="000000"/>
                <w:kern w:val="0"/>
              </w:rPr>
              <w:t>Subsidiary size</w:t>
            </w:r>
          </w:p>
        </w:tc>
        <w:tc>
          <w:tcPr>
            <w:tcW w:w="1300" w:type="dxa"/>
            <w:tcBorders>
              <w:top w:val="nil"/>
              <w:left w:val="nil"/>
              <w:bottom w:val="nil"/>
              <w:right w:val="nil"/>
            </w:tcBorders>
            <w:vAlign w:val="center"/>
          </w:tcPr>
          <w:p w14:paraId="3817C65F"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-0.089</w:t>
            </w:r>
          </w:p>
        </w:tc>
        <w:tc>
          <w:tcPr>
            <w:tcW w:w="1300" w:type="dxa"/>
            <w:tcBorders>
              <w:top w:val="nil"/>
              <w:left w:val="nil"/>
              <w:bottom w:val="nil"/>
              <w:right w:val="nil"/>
            </w:tcBorders>
            <w:shd w:val="clear" w:color="auto" w:fill="auto"/>
            <w:noWrap/>
            <w:vAlign w:val="center"/>
            <w:hideMark/>
          </w:tcPr>
          <w:p w14:paraId="0321E9E8"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0.145</w:t>
            </w:r>
          </w:p>
        </w:tc>
        <w:tc>
          <w:tcPr>
            <w:tcW w:w="1300" w:type="dxa"/>
            <w:tcBorders>
              <w:top w:val="nil"/>
              <w:left w:val="nil"/>
              <w:bottom w:val="nil"/>
              <w:right w:val="nil"/>
            </w:tcBorders>
            <w:shd w:val="clear" w:color="auto" w:fill="auto"/>
            <w:noWrap/>
            <w:vAlign w:val="center"/>
            <w:hideMark/>
          </w:tcPr>
          <w:p w14:paraId="4717100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c>
          <w:tcPr>
            <w:tcW w:w="1300" w:type="dxa"/>
            <w:tcBorders>
              <w:top w:val="nil"/>
              <w:left w:val="nil"/>
              <w:bottom w:val="nil"/>
              <w:right w:val="nil"/>
            </w:tcBorders>
            <w:shd w:val="clear" w:color="auto" w:fill="auto"/>
            <w:noWrap/>
            <w:vAlign w:val="center"/>
            <w:hideMark/>
          </w:tcPr>
          <w:p w14:paraId="5ACE6623"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18 (3772)</w:t>
            </w:r>
          </w:p>
        </w:tc>
        <w:tc>
          <w:tcPr>
            <w:tcW w:w="1300" w:type="dxa"/>
            <w:tcBorders>
              <w:top w:val="nil"/>
              <w:left w:val="nil"/>
              <w:bottom w:val="nil"/>
              <w:right w:val="nil"/>
            </w:tcBorders>
            <w:shd w:val="clear" w:color="auto" w:fill="auto"/>
            <w:noWrap/>
            <w:vAlign w:val="center"/>
            <w:hideMark/>
          </w:tcPr>
          <w:p w14:paraId="3B3120C9"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16 (2358)</w:t>
            </w:r>
          </w:p>
        </w:tc>
      </w:tr>
      <w:tr w:rsidR="00610751" w:rsidRPr="00610751" w14:paraId="73E63A4F" w14:textId="77777777" w:rsidTr="00DB7B9A">
        <w:trPr>
          <w:trHeight w:val="20"/>
        </w:trPr>
        <w:tc>
          <w:tcPr>
            <w:tcW w:w="416" w:type="dxa"/>
            <w:tcBorders>
              <w:top w:val="nil"/>
              <w:left w:val="nil"/>
              <w:right w:val="nil"/>
            </w:tcBorders>
            <w:shd w:val="clear" w:color="auto" w:fill="auto"/>
            <w:noWrap/>
            <w:vAlign w:val="bottom"/>
            <w:hideMark/>
          </w:tcPr>
          <w:p w14:paraId="77A6CEC8"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12</w:t>
            </w:r>
          </w:p>
        </w:tc>
        <w:tc>
          <w:tcPr>
            <w:tcW w:w="2304" w:type="dxa"/>
            <w:tcBorders>
              <w:top w:val="nil"/>
              <w:left w:val="nil"/>
              <w:right w:val="nil"/>
            </w:tcBorders>
            <w:shd w:val="clear" w:color="auto" w:fill="auto"/>
            <w:noWrap/>
            <w:vAlign w:val="bottom"/>
            <w:hideMark/>
          </w:tcPr>
          <w:p w14:paraId="5557CCC2" w14:textId="77777777" w:rsidR="00610751" w:rsidRPr="00610751" w:rsidRDefault="00610751" w:rsidP="00610751">
            <w:pPr>
              <w:widowControl/>
              <w:overflowPunct/>
              <w:autoSpaceDE/>
              <w:autoSpaceDN/>
              <w:adjustRightInd/>
              <w:rPr>
                <w:color w:val="000000"/>
                <w:kern w:val="0"/>
              </w:rPr>
            </w:pPr>
            <w:r w:rsidRPr="00610751">
              <w:rPr>
                <w:color w:val="000000"/>
                <w:kern w:val="0"/>
              </w:rPr>
              <w:t>MNE size</w:t>
            </w:r>
          </w:p>
        </w:tc>
        <w:tc>
          <w:tcPr>
            <w:tcW w:w="1300" w:type="dxa"/>
            <w:tcBorders>
              <w:top w:val="nil"/>
              <w:left w:val="nil"/>
              <w:right w:val="nil"/>
            </w:tcBorders>
            <w:vAlign w:val="center"/>
          </w:tcPr>
          <w:p w14:paraId="2457234B"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-0.032</w:t>
            </w:r>
          </w:p>
        </w:tc>
        <w:tc>
          <w:tcPr>
            <w:tcW w:w="1300" w:type="dxa"/>
            <w:tcBorders>
              <w:top w:val="nil"/>
              <w:left w:val="nil"/>
              <w:right w:val="nil"/>
            </w:tcBorders>
            <w:shd w:val="clear" w:color="auto" w:fill="auto"/>
            <w:noWrap/>
            <w:vAlign w:val="center"/>
            <w:hideMark/>
          </w:tcPr>
          <w:p w14:paraId="3DF1AE8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0.089</w:t>
            </w:r>
          </w:p>
        </w:tc>
        <w:tc>
          <w:tcPr>
            <w:tcW w:w="1300" w:type="dxa"/>
            <w:tcBorders>
              <w:top w:val="nil"/>
              <w:left w:val="nil"/>
              <w:right w:val="nil"/>
            </w:tcBorders>
            <w:shd w:val="clear" w:color="auto" w:fill="auto"/>
            <w:noWrap/>
            <w:vAlign w:val="center"/>
            <w:hideMark/>
          </w:tcPr>
          <w:p w14:paraId="7BC1CA1B"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0.167</w:t>
            </w:r>
          </w:p>
        </w:tc>
        <w:tc>
          <w:tcPr>
            <w:tcW w:w="1300" w:type="dxa"/>
            <w:tcBorders>
              <w:top w:val="nil"/>
              <w:left w:val="nil"/>
              <w:right w:val="nil"/>
            </w:tcBorders>
            <w:shd w:val="clear" w:color="auto" w:fill="auto"/>
            <w:noWrap/>
            <w:vAlign w:val="center"/>
            <w:hideMark/>
          </w:tcPr>
          <w:p w14:paraId="5473762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c>
          <w:tcPr>
            <w:tcW w:w="1300" w:type="dxa"/>
            <w:tcBorders>
              <w:top w:val="nil"/>
              <w:left w:val="nil"/>
              <w:right w:val="nil"/>
            </w:tcBorders>
            <w:shd w:val="clear" w:color="auto" w:fill="auto"/>
            <w:noWrap/>
            <w:vAlign w:val="center"/>
            <w:hideMark/>
          </w:tcPr>
          <w:p w14:paraId="6C898CAA"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9 (1442)</w:t>
            </w:r>
          </w:p>
        </w:tc>
      </w:tr>
      <w:tr w:rsidR="00610751" w:rsidRPr="00610751" w14:paraId="4A4142BD" w14:textId="77777777" w:rsidTr="00DB7B9A">
        <w:trPr>
          <w:trHeight w:val="20"/>
        </w:trPr>
        <w:tc>
          <w:tcPr>
            <w:tcW w:w="416" w:type="dxa"/>
            <w:tcBorders>
              <w:top w:val="nil"/>
              <w:left w:val="nil"/>
              <w:bottom w:val="single" w:sz="4" w:space="0" w:color="auto"/>
              <w:right w:val="nil"/>
            </w:tcBorders>
            <w:shd w:val="clear" w:color="auto" w:fill="auto"/>
            <w:noWrap/>
            <w:vAlign w:val="bottom"/>
            <w:hideMark/>
          </w:tcPr>
          <w:p w14:paraId="6257DFE9" w14:textId="77777777" w:rsidR="00610751" w:rsidRPr="00610751" w:rsidRDefault="00610751" w:rsidP="00610751">
            <w:pPr>
              <w:widowControl/>
              <w:overflowPunct/>
              <w:autoSpaceDE/>
              <w:autoSpaceDN/>
              <w:adjustRightInd/>
              <w:jc w:val="right"/>
              <w:rPr>
                <w:color w:val="000000"/>
                <w:kern w:val="0"/>
              </w:rPr>
            </w:pPr>
            <w:r w:rsidRPr="00610751">
              <w:rPr>
                <w:color w:val="000000"/>
                <w:kern w:val="0"/>
              </w:rPr>
              <w:t>13</w:t>
            </w:r>
          </w:p>
        </w:tc>
        <w:tc>
          <w:tcPr>
            <w:tcW w:w="2304" w:type="dxa"/>
            <w:tcBorders>
              <w:top w:val="nil"/>
              <w:left w:val="nil"/>
              <w:bottom w:val="single" w:sz="4" w:space="0" w:color="auto"/>
              <w:right w:val="nil"/>
            </w:tcBorders>
            <w:shd w:val="clear" w:color="auto" w:fill="auto"/>
            <w:noWrap/>
            <w:vAlign w:val="bottom"/>
            <w:hideMark/>
          </w:tcPr>
          <w:p w14:paraId="6035C72F" w14:textId="77777777" w:rsidR="00610751" w:rsidRPr="00610751" w:rsidRDefault="00610751" w:rsidP="00610751">
            <w:pPr>
              <w:widowControl/>
              <w:overflowPunct/>
              <w:autoSpaceDE/>
              <w:autoSpaceDN/>
              <w:adjustRightInd/>
              <w:rPr>
                <w:color w:val="000000"/>
                <w:kern w:val="0"/>
              </w:rPr>
            </w:pPr>
            <w:r w:rsidRPr="00610751">
              <w:rPr>
                <w:color w:val="000000"/>
                <w:kern w:val="0"/>
              </w:rPr>
              <w:t>MNE experience</w:t>
            </w:r>
          </w:p>
        </w:tc>
        <w:tc>
          <w:tcPr>
            <w:tcW w:w="1300" w:type="dxa"/>
            <w:tcBorders>
              <w:top w:val="nil"/>
              <w:left w:val="nil"/>
              <w:bottom w:val="single" w:sz="4" w:space="0" w:color="auto"/>
              <w:right w:val="nil"/>
            </w:tcBorders>
            <w:vAlign w:val="center"/>
          </w:tcPr>
          <w:p w14:paraId="0A27323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-0.093</w:t>
            </w:r>
          </w:p>
        </w:tc>
        <w:tc>
          <w:tcPr>
            <w:tcW w:w="1300" w:type="dxa"/>
            <w:tcBorders>
              <w:top w:val="nil"/>
              <w:left w:val="nil"/>
              <w:bottom w:val="single" w:sz="4" w:space="0" w:color="auto"/>
              <w:right w:val="nil"/>
            </w:tcBorders>
            <w:shd w:val="clear" w:color="auto" w:fill="auto"/>
            <w:noWrap/>
            <w:vAlign w:val="center"/>
            <w:hideMark/>
          </w:tcPr>
          <w:p w14:paraId="1CBF11AC"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0.178</w:t>
            </w:r>
          </w:p>
        </w:tc>
        <w:tc>
          <w:tcPr>
            <w:tcW w:w="1300" w:type="dxa"/>
            <w:tcBorders>
              <w:top w:val="nil"/>
              <w:left w:val="nil"/>
              <w:bottom w:val="single" w:sz="4" w:space="0" w:color="auto"/>
              <w:right w:val="nil"/>
            </w:tcBorders>
            <w:shd w:val="clear" w:color="auto" w:fill="auto"/>
            <w:noWrap/>
            <w:vAlign w:val="center"/>
            <w:hideMark/>
          </w:tcPr>
          <w:p w14:paraId="6915C035"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0.059</w:t>
            </w:r>
          </w:p>
        </w:tc>
        <w:tc>
          <w:tcPr>
            <w:tcW w:w="1300" w:type="dxa"/>
            <w:tcBorders>
              <w:top w:val="nil"/>
              <w:left w:val="nil"/>
              <w:bottom w:val="single" w:sz="4" w:space="0" w:color="auto"/>
              <w:right w:val="nil"/>
            </w:tcBorders>
            <w:shd w:val="clear" w:color="auto" w:fill="auto"/>
            <w:noWrap/>
            <w:vAlign w:val="center"/>
            <w:hideMark/>
          </w:tcPr>
          <w:p w14:paraId="027BB176"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0.180</w:t>
            </w:r>
          </w:p>
        </w:tc>
        <w:tc>
          <w:tcPr>
            <w:tcW w:w="1300" w:type="dxa"/>
            <w:tcBorders>
              <w:top w:val="nil"/>
              <w:left w:val="nil"/>
              <w:bottom w:val="single" w:sz="4" w:space="0" w:color="auto"/>
              <w:right w:val="nil"/>
            </w:tcBorders>
            <w:shd w:val="clear" w:color="auto" w:fill="auto"/>
            <w:noWrap/>
            <w:vAlign w:val="center"/>
            <w:hideMark/>
          </w:tcPr>
          <w:p w14:paraId="5E53A72D" w14:textId="77777777" w:rsidR="00610751" w:rsidRPr="00610751" w:rsidRDefault="00610751" w:rsidP="00610751">
            <w:pPr>
              <w:widowControl/>
              <w:overflowPunct/>
              <w:autoSpaceDE/>
              <w:autoSpaceDN/>
              <w:adjustRightInd/>
              <w:jc w:val="center"/>
              <w:rPr>
                <w:color w:val="000000"/>
                <w:kern w:val="0"/>
              </w:rPr>
            </w:pPr>
            <w:r w:rsidRPr="00610751">
              <w:rPr>
                <w:color w:val="000000"/>
                <w:kern w:val="0"/>
              </w:rPr>
              <w:t>-</w:t>
            </w:r>
          </w:p>
        </w:tc>
      </w:tr>
    </w:tbl>
    <w:p w14:paraId="44AA31E3" w14:textId="77777777" w:rsidR="00610751" w:rsidRPr="00610751" w:rsidRDefault="00610751" w:rsidP="00610751">
      <w:pPr>
        <w:widowControl/>
        <w:overflowPunct/>
        <w:autoSpaceDE/>
        <w:autoSpaceDN/>
        <w:adjustRightInd/>
        <w:ind w:left="720" w:right="3060"/>
        <w:rPr>
          <w:kern w:val="0"/>
        </w:rPr>
      </w:pPr>
      <w:r w:rsidRPr="00610751">
        <w:rPr>
          <w:kern w:val="0"/>
        </w:rPr>
        <w:t>Notes: Lower left off-diagonal values are the sample size weighted average correlations and upper right values are N (total study samples) and K (total sample sizes).</w:t>
      </w:r>
    </w:p>
    <w:p w14:paraId="5048BA83" w14:textId="77777777" w:rsidR="00610751" w:rsidRPr="00610751" w:rsidRDefault="00610751" w:rsidP="00610751">
      <w:pPr>
        <w:widowControl/>
        <w:overflowPunct/>
        <w:autoSpaceDE/>
        <w:autoSpaceDN/>
        <w:adjustRightInd/>
        <w:ind w:left="720"/>
        <w:rPr>
          <w:kern w:val="0"/>
          <w:sz w:val="24"/>
          <w:szCs w:val="24"/>
        </w:rPr>
      </w:pPr>
      <w:r w:rsidRPr="00610751">
        <w:rPr>
          <w:kern w:val="0"/>
          <w:sz w:val="24"/>
          <w:szCs w:val="24"/>
        </w:rPr>
        <w:br w:type="page"/>
      </w:r>
    </w:p>
    <w:p w14:paraId="112826C2" w14:textId="77777777" w:rsidR="00610751" w:rsidRPr="00610751" w:rsidRDefault="00610751" w:rsidP="00610751">
      <w:pPr>
        <w:widowControl/>
        <w:overflowPunct/>
        <w:autoSpaceDE/>
        <w:autoSpaceDN/>
        <w:adjustRightInd/>
        <w:ind w:left="720"/>
        <w:rPr>
          <w:kern w:val="0"/>
          <w:sz w:val="24"/>
          <w:szCs w:val="24"/>
        </w:rPr>
      </w:pPr>
      <w:r w:rsidRPr="00610751">
        <w:rPr>
          <w:kern w:val="0"/>
          <w:sz w:val="24"/>
          <w:szCs w:val="24"/>
        </w:rPr>
        <w:t>Table 3B. Additional meta-analytic subgroup analyses</w:t>
      </w:r>
    </w:p>
    <w:p w14:paraId="4C639AEC" w14:textId="77777777" w:rsidR="00610751" w:rsidRPr="00610751" w:rsidRDefault="00610751" w:rsidP="00610751">
      <w:pPr>
        <w:widowControl/>
        <w:overflowPunct/>
        <w:autoSpaceDE/>
        <w:autoSpaceDN/>
        <w:adjustRightInd/>
        <w:rPr>
          <w:kern w:val="0"/>
        </w:rPr>
      </w:pPr>
    </w:p>
    <w:tbl>
      <w:tblPr>
        <w:tblW w:w="9649" w:type="dxa"/>
        <w:tblInd w:w="745" w:type="dxa"/>
        <w:tblLook w:val="04A0" w:firstRow="1" w:lastRow="0" w:firstColumn="1" w:lastColumn="0" w:noHBand="0" w:noVBand="1"/>
      </w:tblPr>
      <w:tblGrid>
        <w:gridCol w:w="2880"/>
        <w:gridCol w:w="1080"/>
        <w:gridCol w:w="1083"/>
        <w:gridCol w:w="2086"/>
        <w:gridCol w:w="1080"/>
        <w:gridCol w:w="1440"/>
      </w:tblGrid>
      <w:tr w:rsidR="00610751" w:rsidRPr="00610751" w14:paraId="53142C13" w14:textId="77777777" w:rsidTr="00DB7B9A">
        <w:trPr>
          <w:cantSplit/>
          <w:trHeight w:val="20"/>
        </w:trPr>
        <w:tc>
          <w:tcPr>
            <w:tcW w:w="2880" w:type="dxa"/>
            <w:tcBorders>
              <w:top w:val="single" w:sz="4" w:space="0" w:color="auto"/>
              <w:bottom w:val="single" w:sz="4" w:space="0" w:color="auto"/>
            </w:tcBorders>
            <w:shd w:val="clear" w:color="auto" w:fill="auto"/>
            <w:vAlign w:val="center"/>
            <w:hideMark/>
          </w:tcPr>
          <w:p w14:paraId="243B1D4A" w14:textId="77777777" w:rsidR="00610751" w:rsidRPr="00610751" w:rsidRDefault="00610751" w:rsidP="00610751">
            <w:pPr>
              <w:widowControl/>
              <w:overflowPunct/>
              <w:autoSpaceDE/>
              <w:autoSpaceDN/>
              <w:adjustRightInd/>
              <w:rPr>
                <w:kern w:val="0"/>
              </w:rPr>
            </w:pPr>
            <w:r w:rsidRPr="00610751">
              <w:rPr>
                <w:kern w:val="0"/>
              </w:rPr>
              <w:t>Predictor</w:t>
            </w:r>
          </w:p>
        </w:tc>
        <w:tc>
          <w:tcPr>
            <w:tcW w:w="1080" w:type="dxa"/>
            <w:tcBorders>
              <w:top w:val="single" w:sz="4" w:space="0" w:color="auto"/>
              <w:bottom w:val="single" w:sz="4" w:space="0" w:color="auto"/>
            </w:tcBorders>
            <w:shd w:val="clear" w:color="auto" w:fill="auto"/>
            <w:vAlign w:val="center"/>
            <w:hideMark/>
          </w:tcPr>
          <w:p w14:paraId="0ADF534A" w14:textId="77777777" w:rsidR="00610751" w:rsidRPr="00610751" w:rsidRDefault="00610751" w:rsidP="00610751">
            <w:pPr>
              <w:widowControl/>
              <w:overflowPunct/>
              <w:autoSpaceDE/>
              <w:autoSpaceDN/>
              <w:adjustRightInd/>
              <w:jc w:val="center"/>
              <w:rPr>
                <w:kern w:val="0"/>
              </w:rPr>
            </w:pPr>
            <w:r w:rsidRPr="00610751">
              <w:rPr>
                <w:kern w:val="0"/>
              </w:rPr>
              <w:t>K</w:t>
            </w:r>
          </w:p>
        </w:tc>
        <w:tc>
          <w:tcPr>
            <w:tcW w:w="1083" w:type="dxa"/>
            <w:tcBorders>
              <w:top w:val="single" w:sz="4" w:space="0" w:color="auto"/>
              <w:bottom w:val="single" w:sz="4" w:space="0" w:color="auto"/>
            </w:tcBorders>
            <w:shd w:val="clear" w:color="auto" w:fill="auto"/>
            <w:vAlign w:val="center"/>
            <w:hideMark/>
          </w:tcPr>
          <w:p w14:paraId="348AE239" w14:textId="77777777" w:rsidR="00610751" w:rsidRPr="00610751" w:rsidRDefault="00610751" w:rsidP="00610751">
            <w:pPr>
              <w:widowControl/>
              <w:overflowPunct/>
              <w:autoSpaceDE/>
              <w:autoSpaceDN/>
              <w:adjustRightInd/>
              <w:jc w:val="center"/>
              <w:rPr>
                <w:kern w:val="0"/>
              </w:rPr>
            </w:pPr>
            <w:r w:rsidRPr="00610751">
              <w:rPr>
                <w:kern w:val="0"/>
              </w:rPr>
              <w:t xml:space="preserve">Corrected </w:t>
            </w:r>
          </w:p>
          <w:p w14:paraId="4F158238" w14:textId="77777777" w:rsidR="00610751" w:rsidRPr="00610751" w:rsidRDefault="00610751" w:rsidP="00610751">
            <w:pPr>
              <w:widowControl/>
              <w:overflowPunct/>
              <w:autoSpaceDE/>
              <w:autoSpaceDN/>
              <w:adjustRightInd/>
              <w:jc w:val="center"/>
              <w:rPr>
                <w:kern w:val="0"/>
              </w:rPr>
            </w:pPr>
            <w:r w:rsidRPr="00610751">
              <w:rPr>
                <w:kern w:val="0"/>
              </w:rPr>
              <w:t>R-mean</w:t>
            </w:r>
          </w:p>
        </w:tc>
        <w:tc>
          <w:tcPr>
            <w:tcW w:w="2086" w:type="dxa"/>
            <w:tcBorders>
              <w:top w:val="single" w:sz="4" w:space="0" w:color="auto"/>
              <w:bottom w:val="single" w:sz="4" w:space="0" w:color="auto"/>
            </w:tcBorders>
            <w:shd w:val="clear" w:color="auto" w:fill="auto"/>
            <w:vAlign w:val="center"/>
            <w:hideMark/>
          </w:tcPr>
          <w:p w14:paraId="07316C33" w14:textId="77777777" w:rsidR="00610751" w:rsidRPr="00610751" w:rsidRDefault="00610751" w:rsidP="00610751">
            <w:pPr>
              <w:widowControl/>
              <w:overflowPunct/>
              <w:autoSpaceDE/>
              <w:autoSpaceDN/>
              <w:adjustRightInd/>
              <w:jc w:val="center"/>
              <w:rPr>
                <w:kern w:val="0"/>
              </w:rPr>
            </w:pPr>
            <w:r w:rsidRPr="00610751">
              <w:rPr>
                <w:kern w:val="0"/>
              </w:rPr>
              <w:t>95% confidence interval</w:t>
            </w:r>
          </w:p>
        </w:tc>
        <w:tc>
          <w:tcPr>
            <w:tcW w:w="1080" w:type="dxa"/>
            <w:tcBorders>
              <w:top w:val="single" w:sz="4" w:space="0" w:color="auto"/>
              <w:bottom w:val="single" w:sz="4" w:space="0" w:color="auto"/>
            </w:tcBorders>
            <w:shd w:val="clear" w:color="auto" w:fill="auto"/>
            <w:vAlign w:val="center"/>
            <w:hideMark/>
          </w:tcPr>
          <w:p w14:paraId="0E108971" w14:textId="77777777" w:rsidR="00610751" w:rsidRPr="00610751" w:rsidRDefault="00610751" w:rsidP="00610751">
            <w:pPr>
              <w:widowControl/>
              <w:overflowPunct/>
              <w:autoSpaceDE/>
              <w:autoSpaceDN/>
              <w:adjustRightInd/>
              <w:jc w:val="center"/>
              <w:rPr>
                <w:kern w:val="0"/>
              </w:rPr>
            </w:pPr>
            <w:r w:rsidRPr="00610751">
              <w:rPr>
                <w:kern w:val="0"/>
              </w:rPr>
              <w:t>Q-test</w:t>
            </w:r>
          </w:p>
        </w:tc>
        <w:tc>
          <w:tcPr>
            <w:tcW w:w="1440" w:type="dxa"/>
            <w:tcBorders>
              <w:top w:val="single" w:sz="4" w:space="0" w:color="auto"/>
              <w:bottom w:val="single" w:sz="4" w:space="0" w:color="auto"/>
            </w:tcBorders>
            <w:vAlign w:val="center"/>
          </w:tcPr>
          <w:p w14:paraId="2B756E46" w14:textId="77777777" w:rsidR="00610751" w:rsidRPr="00610751" w:rsidRDefault="00610751" w:rsidP="00610751">
            <w:pPr>
              <w:widowControl/>
              <w:overflowPunct/>
              <w:autoSpaceDE/>
              <w:autoSpaceDN/>
              <w:adjustRightInd/>
              <w:jc w:val="center"/>
              <w:rPr>
                <w:kern w:val="0"/>
              </w:rPr>
            </w:pPr>
            <w:r w:rsidRPr="00610751">
              <w:rPr>
                <w:kern w:val="0"/>
              </w:rPr>
              <w:t>Result</w:t>
            </w:r>
          </w:p>
        </w:tc>
      </w:tr>
      <w:tr w:rsidR="00610751" w:rsidRPr="00610751" w14:paraId="39D29248" w14:textId="77777777" w:rsidTr="00DB7B9A">
        <w:trPr>
          <w:cantSplit/>
          <w:trHeight w:val="20"/>
        </w:trPr>
        <w:tc>
          <w:tcPr>
            <w:tcW w:w="2880" w:type="dxa"/>
            <w:tcBorders>
              <w:top w:val="single" w:sz="4" w:space="0" w:color="auto"/>
            </w:tcBorders>
            <w:shd w:val="clear" w:color="auto" w:fill="auto"/>
            <w:noWrap/>
            <w:vAlign w:val="center"/>
            <w:hideMark/>
          </w:tcPr>
          <w:p w14:paraId="47EBBB08" w14:textId="77777777" w:rsidR="00610751" w:rsidRPr="00610751" w:rsidRDefault="00610751" w:rsidP="00610751">
            <w:pPr>
              <w:widowControl/>
              <w:overflowPunct/>
              <w:autoSpaceDE/>
              <w:autoSpaceDN/>
              <w:adjustRightInd/>
              <w:rPr>
                <w:kern w:val="0"/>
              </w:rPr>
            </w:pPr>
            <w:r w:rsidRPr="00610751">
              <w:rPr>
                <w:kern w:val="0"/>
              </w:rPr>
              <w:t>Goal alignment</w:t>
            </w:r>
          </w:p>
        </w:tc>
        <w:tc>
          <w:tcPr>
            <w:tcW w:w="1080" w:type="dxa"/>
            <w:tcBorders>
              <w:top w:val="single" w:sz="4" w:space="0" w:color="auto"/>
            </w:tcBorders>
            <w:shd w:val="clear" w:color="auto" w:fill="auto"/>
            <w:noWrap/>
            <w:vAlign w:val="center"/>
            <w:hideMark/>
          </w:tcPr>
          <w:p w14:paraId="3972EB7D" w14:textId="77777777" w:rsidR="00610751" w:rsidRPr="00610751" w:rsidRDefault="00610751" w:rsidP="00610751">
            <w:pPr>
              <w:widowControl/>
              <w:overflowPunct/>
              <w:autoSpaceDE/>
              <w:autoSpaceDN/>
              <w:adjustRightInd/>
              <w:jc w:val="center"/>
              <w:rPr>
                <w:kern w:val="0"/>
              </w:rPr>
            </w:pPr>
          </w:p>
        </w:tc>
        <w:tc>
          <w:tcPr>
            <w:tcW w:w="1083" w:type="dxa"/>
            <w:tcBorders>
              <w:top w:val="single" w:sz="4" w:space="0" w:color="auto"/>
            </w:tcBorders>
            <w:shd w:val="clear" w:color="auto" w:fill="auto"/>
            <w:noWrap/>
            <w:vAlign w:val="center"/>
            <w:hideMark/>
          </w:tcPr>
          <w:p w14:paraId="08C0DC20" w14:textId="77777777" w:rsidR="00610751" w:rsidRPr="00610751" w:rsidRDefault="00610751" w:rsidP="00610751">
            <w:pPr>
              <w:widowControl/>
              <w:overflowPunct/>
              <w:autoSpaceDE/>
              <w:autoSpaceDN/>
              <w:adjustRightInd/>
              <w:jc w:val="center"/>
              <w:rPr>
                <w:kern w:val="0"/>
              </w:rPr>
            </w:pPr>
          </w:p>
        </w:tc>
        <w:tc>
          <w:tcPr>
            <w:tcW w:w="2086" w:type="dxa"/>
            <w:tcBorders>
              <w:top w:val="single" w:sz="4" w:space="0" w:color="auto"/>
            </w:tcBorders>
            <w:shd w:val="clear" w:color="auto" w:fill="auto"/>
            <w:noWrap/>
            <w:vAlign w:val="center"/>
            <w:hideMark/>
          </w:tcPr>
          <w:p w14:paraId="69C97690" w14:textId="77777777" w:rsidR="00610751" w:rsidRPr="00610751" w:rsidRDefault="00610751" w:rsidP="00610751">
            <w:pPr>
              <w:widowControl/>
              <w:overflowPunct/>
              <w:autoSpaceDE/>
              <w:autoSpaceDN/>
              <w:adjustRightInd/>
              <w:jc w:val="center"/>
              <w:rPr>
                <w:kern w:val="0"/>
              </w:rPr>
            </w:pPr>
          </w:p>
        </w:tc>
        <w:tc>
          <w:tcPr>
            <w:tcW w:w="1080" w:type="dxa"/>
            <w:tcBorders>
              <w:top w:val="single" w:sz="4" w:space="0" w:color="auto"/>
            </w:tcBorders>
            <w:shd w:val="clear" w:color="auto" w:fill="auto"/>
            <w:noWrap/>
            <w:vAlign w:val="center"/>
            <w:hideMark/>
          </w:tcPr>
          <w:p w14:paraId="70D66254" w14:textId="77777777" w:rsidR="00610751" w:rsidRPr="00610751" w:rsidRDefault="00610751" w:rsidP="00610751">
            <w:pPr>
              <w:widowControl/>
              <w:overflowPunct/>
              <w:autoSpaceDE/>
              <w:autoSpaceDN/>
              <w:adjustRightInd/>
              <w:jc w:val="center"/>
              <w:rPr>
                <w:kern w:val="0"/>
              </w:rPr>
            </w:pPr>
          </w:p>
        </w:tc>
        <w:tc>
          <w:tcPr>
            <w:tcW w:w="1440" w:type="dxa"/>
            <w:tcBorders>
              <w:top w:val="single" w:sz="4" w:space="0" w:color="auto"/>
            </w:tcBorders>
          </w:tcPr>
          <w:p w14:paraId="6B871F8F" w14:textId="77777777" w:rsidR="00610751" w:rsidRPr="00610751" w:rsidRDefault="00610751" w:rsidP="00610751">
            <w:pPr>
              <w:widowControl/>
              <w:overflowPunct/>
              <w:autoSpaceDE/>
              <w:autoSpaceDN/>
              <w:adjustRightInd/>
              <w:jc w:val="center"/>
              <w:rPr>
                <w:kern w:val="0"/>
              </w:rPr>
            </w:pPr>
          </w:p>
        </w:tc>
      </w:tr>
      <w:tr w:rsidR="00610751" w:rsidRPr="00610751" w14:paraId="1D3E3298" w14:textId="77777777" w:rsidTr="00DB7B9A">
        <w:trPr>
          <w:cantSplit/>
          <w:trHeight w:val="20"/>
        </w:trPr>
        <w:tc>
          <w:tcPr>
            <w:tcW w:w="2880" w:type="dxa"/>
            <w:shd w:val="clear" w:color="auto" w:fill="auto"/>
            <w:noWrap/>
            <w:vAlign w:val="center"/>
            <w:hideMark/>
          </w:tcPr>
          <w:p w14:paraId="5E42AC32" w14:textId="77777777" w:rsidR="00610751" w:rsidRPr="00610751" w:rsidRDefault="00610751" w:rsidP="00610751">
            <w:pPr>
              <w:widowControl/>
              <w:overflowPunct/>
              <w:autoSpaceDE/>
              <w:autoSpaceDN/>
              <w:adjustRightInd/>
              <w:rPr>
                <w:kern w:val="0"/>
              </w:rPr>
            </w:pPr>
            <w:r w:rsidRPr="00610751">
              <w:rPr>
                <w:kern w:val="0"/>
              </w:rPr>
              <w:t xml:space="preserve">---Subsidiary </w:t>
            </w:r>
          </w:p>
        </w:tc>
        <w:tc>
          <w:tcPr>
            <w:tcW w:w="1080" w:type="dxa"/>
            <w:shd w:val="clear" w:color="auto" w:fill="auto"/>
            <w:noWrap/>
            <w:vAlign w:val="center"/>
            <w:hideMark/>
          </w:tcPr>
          <w:p w14:paraId="3ED4E46A" w14:textId="77777777" w:rsidR="00610751" w:rsidRPr="00610751" w:rsidRDefault="00610751" w:rsidP="00610751">
            <w:pPr>
              <w:widowControl/>
              <w:overflowPunct/>
              <w:autoSpaceDE/>
              <w:autoSpaceDN/>
              <w:adjustRightInd/>
              <w:jc w:val="center"/>
              <w:rPr>
                <w:kern w:val="0"/>
              </w:rPr>
            </w:pPr>
            <w:r w:rsidRPr="00610751">
              <w:rPr>
                <w:kern w:val="0"/>
              </w:rPr>
              <w:t>26</w:t>
            </w:r>
          </w:p>
        </w:tc>
        <w:tc>
          <w:tcPr>
            <w:tcW w:w="1083" w:type="dxa"/>
            <w:shd w:val="clear" w:color="auto" w:fill="auto"/>
            <w:noWrap/>
            <w:vAlign w:val="center"/>
            <w:hideMark/>
          </w:tcPr>
          <w:p w14:paraId="084B7FB7" w14:textId="77777777" w:rsidR="00610751" w:rsidRPr="00610751" w:rsidRDefault="00610751" w:rsidP="00610751">
            <w:pPr>
              <w:widowControl/>
              <w:overflowPunct/>
              <w:autoSpaceDE/>
              <w:autoSpaceDN/>
              <w:adjustRightInd/>
              <w:jc w:val="center"/>
              <w:rPr>
                <w:kern w:val="0"/>
              </w:rPr>
            </w:pPr>
            <w:r w:rsidRPr="00610751">
              <w:rPr>
                <w:kern w:val="0"/>
              </w:rPr>
              <w:t>-0.030</w:t>
            </w:r>
          </w:p>
        </w:tc>
        <w:tc>
          <w:tcPr>
            <w:tcW w:w="2086" w:type="dxa"/>
            <w:shd w:val="clear" w:color="auto" w:fill="auto"/>
            <w:noWrap/>
            <w:vAlign w:val="center"/>
            <w:hideMark/>
          </w:tcPr>
          <w:p w14:paraId="536F54B7" w14:textId="77777777" w:rsidR="00610751" w:rsidRPr="00610751" w:rsidRDefault="00610751" w:rsidP="00610751">
            <w:pPr>
              <w:widowControl/>
              <w:overflowPunct/>
              <w:autoSpaceDE/>
              <w:autoSpaceDN/>
              <w:adjustRightInd/>
              <w:jc w:val="center"/>
              <w:rPr>
                <w:kern w:val="0"/>
              </w:rPr>
            </w:pPr>
            <w:r w:rsidRPr="00610751">
              <w:rPr>
                <w:kern w:val="0"/>
              </w:rPr>
              <w:t>-0.109 to 0.049</w:t>
            </w:r>
          </w:p>
        </w:tc>
        <w:tc>
          <w:tcPr>
            <w:tcW w:w="1080" w:type="dxa"/>
            <w:shd w:val="clear" w:color="auto" w:fill="auto"/>
            <w:noWrap/>
            <w:vAlign w:val="center"/>
            <w:hideMark/>
          </w:tcPr>
          <w:p w14:paraId="7111C406" w14:textId="77777777" w:rsidR="00610751" w:rsidRPr="00610751" w:rsidRDefault="00610751" w:rsidP="00610751">
            <w:pPr>
              <w:widowControl/>
              <w:overflowPunct/>
              <w:autoSpaceDE/>
              <w:autoSpaceDN/>
              <w:adjustRightInd/>
              <w:jc w:val="center"/>
              <w:rPr>
                <w:kern w:val="0"/>
              </w:rPr>
            </w:pPr>
            <w:r w:rsidRPr="00610751">
              <w:rPr>
                <w:kern w:val="0"/>
              </w:rPr>
              <w:t>192.03*</w:t>
            </w:r>
          </w:p>
        </w:tc>
        <w:tc>
          <w:tcPr>
            <w:tcW w:w="1440" w:type="dxa"/>
            <w:vMerge w:val="restart"/>
            <w:vAlign w:val="center"/>
          </w:tcPr>
          <w:p w14:paraId="519A0853" w14:textId="77777777" w:rsidR="00610751" w:rsidRPr="00610751" w:rsidRDefault="00610751" w:rsidP="00610751">
            <w:pPr>
              <w:widowControl/>
              <w:overflowPunct/>
              <w:autoSpaceDE/>
              <w:autoSpaceDN/>
              <w:adjustRightInd/>
              <w:jc w:val="center"/>
              <w:rPr>
                <w:kern w:val="0"/>
              </w:rPr>
            </w:pPr>
            <w:r w:rsidRPr="00610751">
              <w:rPr>
                <w:kern w:val="0"/>
              </w:rPr>
              <w:t>No differences</w:t>
            </w:r>
          </w:p>
        </w:tc>
      </w:tr>
      <w:tr w:rsidR="00610751" w:rsidRPr="00610751" w14:paraId="00E23834" w14:textId="77777777" w:rsidTr="00DB7B9A">
        <w:trPr>
          <w:cantSplit/>
          <w:trHeight w:val="20"/>
        </w:trPr>
        <w:tc>
          <w:tcPr>
            <w:tcW w:w="2880" w:type="dxa"/>
            <w:shd w:val="clear" w:color="auto" w:fill="auto"/>
            <w:noWrap/>
            <w:vAlign w:val="center"/>
            <w:hideMark/>
          </w:tcPr>
          <w:p w14:paraId="7627ADE8" w14:textId="77777777" w:rsidR="00610751" w:rsidRPr="00610751" w:rsidRDefault="00610751" w:rsidP="00610751">
            <w:pPr>
              <w:widowControl/>
              <w:overflowPunct/>
              <w:autoSpaceDE/>
              <w:autoSpaceDN/>
              <w:adjustRightInd/>
              <w:rPr>
                <w:kern w:val="0"/>
              </w:rPr>
            </w:pPr>
            <w:r w:rsidRPr="00610751">
              <w:rPr>
                <w:kern w:val="0"/>
              </w:rPr>
              <w:t>---Headquarters</w:t>
            </w:r>
          </w:p>
        </w:tc>
        <w:tc>
          <w:tcPr>
            <w:tcW w:w="1080" w:type="dxa"/>
            <w:shd w:val="clear" w:color="auto" w:fill="auto"/>
            <w:noWrap/>
            <w:vAlign w:val="center"/>
            <w:hideMark/>
          </w:tcPr>
          <w:p w14:paraId="6B47A26D" w14:textId="77777777" w:rsidR="00610751" w:rsidRPr="00610751" w:rsidRDefault="00610751" w:rsidP="00610751">
            <w:pPr>
              <w:widowControl/>
              <w:overflowPunct/>
              <w:autoSpaceDE/>
              <w:autoSpaceDN/>
              <w:adjustRightInd/>
              <w:jc w:val="center"/>
              <w:rPr>
                <w:kern w:val="0"/>
              </w:rPr>
            </w:pPr>
            <w:r w:rsidRPr="00610751">
              <w:rPr>
                <w:kern w:val="0"/>
              </w:rPr>
              <w:t>5</w:t>
            </w:r>
          </w:p>
        </w:tc>
        <w:tc>
          <w:tcPr>
            <w:tcW w:w="1083" w:type="dxa"/>
            <w:shd w:val="clear" w:color="auto" w:fill="auto"/>
            <w:noWrap/>
            <w:vAlign w:val="center"/>
            <w:hideMark/>
          </w:tcPr>
          <w:p w14:paraId="362F2742" w14:textId="77777777" w:rsidR="00610751" w:rsidRPr="00610751" w:rsidRDefault="00610751" w:rsidP="00610751">
            <w:pPr>
              <w:widowControl/>
              <w:overflowPunct/>
              <w:autoSpaceDE/>
              <w:autoSpaceDN/>
              <w:adjustRightInd/>
              <w:jc w:val="center"/>
              <w:rPr>
                <w:kern w:val="0"/>
              </w:rPr>
            </w:pPr>
            <w:r w:rsidRPr="00610751">
              <w:rPr>
                <w:kern w:val="0"/>
              </w:rPr>
              <w:t>-0.123</w:t>
            </w:r>
          </w:p>
        </w:tc>
        <w:tc>
          <w:tcPr>
            <w:tcW w:w="2086" w:type="dxa"/>
            <w:shd w:val="clear" w:color="auto" w:fill="auto"/>
            <w:noWrap/>
            <w:vAlign w:val="center"/>
            <w:hideMark/>
          </w:tcPr>
          <w:p w14:paraId="4A01EBF6" w14:textId="77777777" w:rsidR="00610751" w:rsidRPr="00610751" w:rsidRDefault="00610751" w:rsidP="00610751">
            <w:pPr>
              <w:widowControl/>
              <w:overflowPunct/>
              <w:autoSpaceDE/>
              <w:autoSpaceDN/>
              <w:adjustRightInd/>
              <w:jc w:val="center"/>
              <w:rPr>
                <w:kern w:val="0"/>
              </w:rPr>
            </w:pPr>
            <w:r w:rsidRPr="00610751">
              <w:rPr>
                <w:kern w:val="0"/>
              </w:rPr>
              <w:t>-0.301 to 0.055</w:t>
            </w:r>
          </w:p>
        </w:tc>
        <w:tc>
          <w:tcPr>
            <w:tcW w:w="1080" w:type="dxa"/>
            <w:shd w:val="clear" w:color="auto" w:fill="auto"/>
            <w:noWrap/>
            <w:vAlign w:val="center"/>
            <w:hideMark/>
          </w:tcPr>
          <w:p w14:paraId="46C6262A" w14:textId="77777777" w:rsidR="00610751" w:rsidRPr="00610751" w:rsidRDefault="00610751" w:rsidP="00610751">
            <w:pPr>
              <w:widowControl/>
              <w:overflowPunct/>
              <w:autoSpaceDE/>
              <w:autoSpaceDN/>
              <w:adjustRightInd/>
              <w:jc w:val="center"/>
              <w:rPr>
                <w:kern w:val="0"/>
              </w:rPr>
            </w:pPr>
            <w:r w:rsidRPr="00610751">
              <w:rPr>
                <w:kern w:val="0"/>
              </w:rPr>
              <w:t>17.64*</w:t>
            </w:r>
          </w:p>
        </w:tc>
        <w:tc>
          <w:tcPr>
            <w:tcW w:w="1440" w:type="dxa"/>
            <w:vMerge/>
          </w:tcPr>
          <w:p w14:paraId="3AB30561" w14:textId="77777777" w:rsidR="00610751" w:rsidRPr="00610751" w:rsidRDefault="00610751" w:rsidP="00610751">
            <w:pPr>
              <w:widowControl/>
              <w:overflowPunct/>
              <w:autoSpaceDE/>
              <w:autoSpaceDN/>
              <w:adjustRightInd/>
              <w:jc w:val="center"/>
              <w:rPr>
                <w:kern w:val="0"/>
              </w:rPr>
            </w:pPr>
          </w:p>
        </w:tc>
      </w:tr>
      <w:tr w:rsidR="00610751" w:rsidRPr="00610751" w14:paraId="5F81E2E2" w14:textId="77777777" w:rsidTr="00DB7B9A">
        <w:trPr>
          <w:cantSplit/>
          <w:trHeight w:val="20"/>
        </w:trPr>
        <w:tc>
          <w:tcPr>
            <w:tcW w:w="2880" w:type="dxa"/>
            <w:tcBorders>
              <w:bottom w:val="dashed" w:sz="4" w:space="0" w:color="auto"/>
            </w:tcBorders>
            <w:shd w:val="clear" w:color="auto" w:fill="auto"/>
            <w:noWrap/>
            <w:vAlign w:val="center"/>
            <w:hideMark/>
          </w:tcPr>
          <w:p w14:paraId="0192CDD4" w14:textId="77777777" w:rsidR="00610751" w:rsidRPr="00610751" w:rsidRDefault="00610751" w:rsidP="00610751">
            <w:pPr>
              <w:widowControl/>
              <w:overflowPunct/>
              <w:autoSpaceDE/>
              <w:autoSpaceDN/>
              <w:adjustRightInd/>
              <w:rPr>
                <w:kern w:val="0"/>
              </w:rPr>
            </w:pPr>
            <w:r w:rsidRPr="00610751">
              <w:rPr>
                <w:kern w:val="0"/>
              </w:rPr>
              <w:t xml:space="preserve">---Mixed </w:t>
            </w:r>
          </w:p>
        </w:tc>
        <w:tc>
          <w:tcPr>
            <w:tcW w:w="1080" w:type="dxa"/>
            <w:tcBorders>
              <w:bottom w:val="dashed" w:sz="4" w:space="0" w:color="auto"/>
            </w:tcBorders>
            <w:shd w:val="clear" w:color="auto" w:fill="auto"/>
            <w:noWrap/>
            <w:vAlign w:val="center"/>
            <w:hideMark/>
          </w:tcPr>
          <w:p w14:paraId="77EEF490" w14:textId="77777777" w:rsidR="00610751" w:rsidRPr="00610751" w:rsidRDefault="00610751" w:rsidP="00610751">
            <w:pPr>
              <w:widowControl/>
              <w:overflowPunct/>
              <w:autoSpaceDE/>
              <w:autoSpaceDN/>
              <w:adjustRightInd/>
              <w:jc w:val="center"/>
              <w:rPr>
                <w:kern w:val="0"/>
              </w:rPr>
            </w:pPr>
            <w:r w:rsidRPr="00610751">
              <w:rPr>
                <w:kern w:val="0"/>
              </w:rPr>
              <w:t>2</w:t>
            </w:r>
          </w:p>
        </w:tc>
        <w:tc>
          <w:tcPr>
            <w:tcW w:w="1083" w:type="dxa"/>
            <w:tcBorders>
              <w:bottom w:val="dashed" w:sz="4" w:space="0" w:color="auto"/>
            </w:tcBorders>
            <w:shd w:val="clear" w:color="auto" w:fill="auto"/>
            <w:noWrap/>
            <w:vAlign w:val="center"/>
            <w:hideMark/>
          </w:tcPr>
          <w:p w14:paraId="252926A5" w14:textId="77777777" w:rsidR="00610751" w:rsidRPr="00610751" w:rsidRDefault="00610751" w:rsidP="00610751">
            <w:pPr>
              <w:widowControl/>
              <w:overflowPunct/>
              <w:autoSpaceDE/>
              <w:autoSpaceDN/>
              <w:adjustRightInd/>
              <w:jc w:val="center"/>
              <w:rPr>
                <w:kern w:val="0"/>
              </w:rPr>
            </w:pPr>
            <w:r w:rsidRPr="00610751">
              <w:rPr>
                <w:kern w:val="0"/>
              </w:rPr>
              <w:t>-0.104</w:t>
            </w:r>
          </w:p>
        </w:tc>
        <w:tc>
          <w:tcPr>
            <w:tcW w:w="2086" w:type="dxa"/>
            <w:tcBorders>
              <w:bottom w:val="dashed" w:sz="4" w:space="0" w:color="auto"/>
            </w:tcBorders>
            <w:shd w:val="clear" w:color="auto" w:fill="auto"/>
            <w:noWrap/>
            <w:vAlign w:val="center"/>
            <w:hideMark/>
          </w:tcPr>
          <w:p w14:paraId="36BC4981" w14:textId="77777777" w:rsidR="00610751" w:rsidRPr="00610751" w:rsidRDefault="00610751" w:rsidP="00610751">
            <w:pPr>
              <w:widowControl/>
              <w:overflowPunct/>
              <w:autoSpaceDE/>
              <w:autoSpaceDN/>
              <w:adjustRightInd/>
              <w:jc w:val="center"/>
              <w:rPr>
                <w:kern w:val="0"/>
              </w:rPr>
            </w:pPr>
            <w:r w:rsidRPr="00610751">
              <w:rPr>
                <w:kern w:val="0"/>
              </w:rPr>
              <w:t>-0.249 to 0.040</w:t>
            </w:r>
          </w:p>
        </w:tc>
        <w:tc>
          <w:tcPr>
            <w:tcW w:w="1080" w:type="dxa"/>
            <w:tcBorders>
              <w:bottom w:val="dashed" w:sz="4" w:space="0" w:color="auto"/>
            </w:tcBorders>
            <w:shd w:val="clear" w:color="auto" w:fill="auto"/>
            <w:noWrap/>
            <w:vAlign w:val="center"/>
            <w:hideMark/>
          </w:tcPr>
          <w:p w14:paraId="705CB13A" w14:textId="77777777" w:rsidR="00610751" w:rsidRPr="00610751" w:rsidRDefault="00610751" w:rsidP="00610751">
            <w:pPr>
              <w:widowControl/>
              <w:overflowPunct/>
              <w:autoSpaceDE/>
              <w:autoSpaceDN/>
              <w:adjustRightInd/>
              <w:jc w:val="center"/>
              <w:rPr>
                <w:kern w:val="0"/>
              </w:rPr>
            </w:pPr>
            <w:r w:rsidRPr="00610751">
              <w:rPr>
                <w:kern w:val="0"/>
              </w:rPr>
              <w:t>0.32</w:t>
            </w:r>
          </w:p>
        </w:tc>
        <w:tc>
          <w:tcPr>
            <w:tcW w:w="1440" w:type="dxa"/>
            <w:vMerge/>
            <w:tcBorders>
              <w:bottom w:val="dashed" w:sz="4" w:space="0" w:color="auto"/>
            </w:tcBorders>
          </w:tcPr>
          <w:p w14:paraId="2F07F655" w14:textId="77777777" w:rsidR="00610751" w:rsidRPr="00610751" w:rsidRDefault="00610751" w:rsidP="00610751">
            <w:pPr>
              <w:widowControl/>
              <w:overflowPunct/>
              <w:autoSpaceDE/>
              <w:autoSpaceDN/>
              <w:adjustRightInd/>
              <w:jc w:val="center"/>
              <w:rPr>
                <w:kern w:val="0"/>
              </w:rPr>
            </w:pPr>
          </w:p>
        </w:tc>
      </w:tr>
      <w:tr w:rsidR="00610751" w:rsidRPr="00610751" w14:paraId="4A6D2F0B" w14:textId="77777777" w:rsidTr="00DB7B9A">
        <w:trPr>
          <w:cantSplit/>
          <w:trHeight w:val="20"/>
        </w:trPr>
        <w:tc>
          <w:tcPr>
            <w:tcW w:w="2880" w:type="dxa"/>
            <w:tcBorders>
              <w:top w:val="dashed" w:sz="4" w:space="0" w:color="auto"/>
            </w:tcBorders>
            <w:shd w:val="clear" w:color="auto" w:fill="auto"/>
            <w:noWrap/>
            <w:vAlign w:val="center"/>
          </w:tcPr>
          <w:p w14:paraId="14E9E74C" w14:textId="77777777" w:rsidR="00610751" w:rsidRPr="00610751" w:rsidRDefault="00610751" w:rsidP="00610751">
            <w:pPr>
              <w:widowControl/>
              <w:overflowPunct/>
              <w:autoSpaceDE/>
              <w:autoSpaceDN/>
              <w:adjustRightInd/>
              <w:rPr>
                <w:kern w:val="0"/>
              </w:rPr>
            </w:pPr>
            <w:r w:rsidRPr="00610751">
              <w:rPr>
                <w:kern w:val="0"/>
              </w:rPr>
              <w:t>Past performance</w:t>
            </w:r>
          </w:p>
        </w:tc>
        <w:tc>
          <w:tcPr>
            <w:tcW w:w="1080" w:type="dxa"/>
            <w:tcBorders>
              <w:top w:val="dashed" w:sz="4" w:space="0" w:color="auto"/>
            </w:tcBorders>
            <w:shd w:val="clear" w:color="auto" w:fill="auto"/>
            <w:noWrap/>
            <w:vAlign w:val="center"/>
          </w:tcPr>
          <w:p w14:paraId="6C5B175D" w14:textId="77777777" w:rsidR="00610751" w:rsidRPr="00610751" w:rsidRDefault="00610751" w:rsidP="00610751">
            <w:pPr>
              <w:widowControl/>
              <w:overflowPunct/>
              <w:autoSpaceDE/>
              <w:autoSpaceDN/>
              <w:adjustRightInd/>
              <w:jc w:val="center"/>
              <w:rPr>
                <w:kern w:val="0"/>
              </w:rPr>
            </w:pPr>
          </w:p>
        </w:tc>
        <w:tc>
          <w:tcPr>
            <w:tcW w:w="1083" w:type="dxa"/>
            <w:tcBorders>
              <w:top w:val="dashed" w:sz="4" w:space="0" w:color="auto"/>
            </w:tcBorders>
            <w:shd w:val="clear" w:color="auto" w:fill="auto"/>
            <w:noWrap/>
            <w:vAlign w:val="center"/>
          </w:tcPr>
          <w:p w14:paraId="7D9C32EF" w14:textId="77777777" w:rsidR="00610751" w:rsidRPr="00610751" w:rsidRDefault="00610751" w:rsidP="00610751">
            <w:pPr>
              <w:widowControl/>
              <w:overflowPunct/>
              <w:autoSpaceDE/>
              <w:autoSpaceDN/>
              <w:adjustRightInd/>
              <w:jc w:val="center"/>
              <w:rPr>
                <w:kern w:val="0"/>
              </w:rPr>
            </w:pPr>
          </w:p>
        </w:tc>
        <w:tc>
          <w:tcPr>
            <w:tcW w:w="2086" w:type="dxa"/>
            <w:tcBorders>
              <w:top w:val="dashed" w:sz="4" w:space="0" w:color="auto"/>
            </w:tcBorders>
            <w:shd w:val="clear" w:color="auto" w:fill="auto"/>
            <w:noWrap/>
            <w:vAlign w:val="center"/>
          </w:tcPr>
          <w:p w14:paraId="6C5AE73E" w14:textId="77777777" w:rsidR="00610751" w:rsidRPr="00610751" w:rsidRDefault="00610751" w:rsidP="00610751">
            <w:pPr>
              <w:widowControl/>
              <w:overflowPunct/>
              <w:autoSpaceDE/>
              <w:autoSpaceDN/>
              <w:adjustRightInd/>
              <w:jc w:val="center"/>
              <w:rPr>
                <w:kern w:val="0"/>
              </w:rPr>
            </w:pPr>
          </w:p>
        </w:tc>
        <w:tc>
          <w:tcPr>
            <w:tcW w:w="1080" w:type="dxa"/>
            <w:tcBorders>
              <w:top w:val="dashed" w:sz="4" w:space="0" w:color="auto"/>
            </w:tcBorders>
            <w:shd w:val="clear" w:color="auto" w:fill="auto"/>
            <w:noWrap/>
            <w:vAlign w:val="center"/>
          </w:tcPr>
          <w:p w14:paraId="76662F6E" w14:textId="77777777" w:rsidR="00610751" w:rsidRPr="00610751" w:rsidRDefault="00610751" w:rsidP="00610751">
            <w:pPr>
              <w:widowControl/>
              <w:overflowPunct/>
              <w:autoSpaceDE/>
              <w:autoSpaceDN/>
              <w:adjustRightInd/>
              <w:jc w:val="center"/>
              <w:rPr>
                <w:kern w:val="0"/>
              </w:rPr>
            </w:pPr>
          </w:p>
        </w:tc>
        <w:tc>
          <w:tcPr>
            <w:tcW w:w="1440" w:type="dxa"/>
            <w:tcBorders>
              <w:top w:val="dashed" w:sz="4" w:space="0" w:color="auto"/>
            </w:tcBorders>
          </w:tcPr>
          <w:p w14:paraId="49367D2E" w14:textId="77777777" w:rsidR="00610751" w:rsidRPr="00610751" w:rsidRDefault="00610751" w:rsidP="00610751">
            <w:pPr>
              <w:widowControl/>
              <w:overflowPunct/>
              <w:autoSpaceDE/>
              <w:autoSpaceDN/>
              <w:adjustRightInd/>
              <w:jc w:val="center"/>
              <w:rPr>
                <w:kern w:val="0"/>
              </w:rPr>
            </w:pPr>
          </w:p>
        </w:tc>
      </w:tr>
      <w:tr w:rsidR="00610751" w:rsidRPr="00610751" w14:paraId="51B87B48" w14:textId="77777777" w:rsidTr="00DB7B9A">
        <w:trPr>
          <w:cantSplit/>
          <w:trHeight w:val="20"/>
        </w:trPr>
        <w:tc>
          <w:tcPr>
            <w:tcW w:w="2880" w:type="dxa"/>
            <w:shd w:val="clear" w:color="auto" w:fill="auto"/>
            <w:noWrap/>
            <w:vAlign w:val="center"/>
          </w:tcPr>
          <w:p w14:paraId="59B290F6" w14:textId="77777777" w:rsidR="00610751" w:rsidRPr="00610751" w:rsidRDefault="00610751" w:rsidP="00610751">
            <w:pPr>
              <w:widowControl/>
              <w:overflowPunct/>
              <w:autoSpaceDE/>
              <w:autoSpaceDN/>
              <w:adjustRightInd/>
              <w:rPr>
                <w:kern w:val="0"/>
              </w:rPr>
            </w:pPr>
            <w:r w:rsidRPr="00610751">
              <w:rPr>
                <w:kern w:val="0"/>
              </w:rPr>
              <w:t>---Financial</w:t>
            </w:r>
          </w:p>
        </w:tc>
        <w:tc>
          <w:tcPr>
            <w:tcW w:w="1080" w:type="dxa"/>
            <w:shd w:val="clear" w:color="auto" w:fill="auto"/>
            <w:noWrap/>
            <w:vAlign w:val="center"/>
          </w:tcPr>
          <w:p w14:paraId="327010A6" w14:textId="77777777" w:rsidR="00610751" w:rsidRPr="00610751" w:rsidRDefault="00610751" w:rsidP="00610751">
            <w:pPr>
              <w:widowControl/>
              <w:overflowPunct/>
              <w:autoSpaceDE/>
              <w:autoSpaceDN/>
              <w:adjustRightInd/>
              <w:jc w:val="center"/>
              <w:rPr>
                <w:kern w:val="0"/>
              </w:rPr>
            </w:pPr>
            <w:r w:rsidRPr="00610751">
              <w:rPr>
                <w:kern w:val="0"/>
              </w:rPr>
              <w:t>14</w:t>
            </w:r>
          </w:p>
        </w:tc>
        <w:tc>
          <w:tcPr>
            <w:tcW w:w="1083" w:type="dxa"/>
            <w:shd w:val="clear" w:color="auto" w:fill="auto"/>
            <w:noWrap/>
            <w:vAlign w:val="center"/>
          </w:tcPr>
          <w:p w14:paraId="103B7DA2" w14:textId="77777777" w:rsidR="00610751" w:rsidRPr="00610751" w:rsidRDefault="00610751" w:rsidP="00610751">
            <w:pPr>
              <w:widowControl/>
              <w:overflowPunct/>
              <w:autoSpaceDE/>
              <w:autoSpaceDN/>
              <w:adjustRightInd/>
              <w:jc w:val="center"/>
              <w:rPr>
                <w:kern w:val="0"/>
              </w:rPr>
            </w:pPr>
            <w:r w:rsidRPr="00610751">
              <w:rPr>
                <w:kern w:val="0"/>
              </w:rPr>
              <w:t>0.053</w:t>
            </w:r>
          </w:p>
        </w:tc>
        <w:tc>
          <w:tcPr>
            <w:tcW w:w="2086" w:type="dxa"/>
            <w:shd w:val="clear" w:color="auto" w:fill="auto"/>
            <w:noWrap/>
            <w:vAlign w:val="center"/>
          </w:tcPr>
          <w:p w14:paraId="554F74B6" w14:textId="77777777" w:rsidR="00610751" w:rsidRPr="00610751" w:rsidRDefault="00610751" w:rsidP="00610751">
            <w:pPr>
              <w:widowControl/>
              <w:overflowPunct/>
              <w:autoSpaceDE/>
              <w:autoSpaceDN/>
              <w:adjustRightInd/>
              <w:jc w:val="center"/>
              <w:rPr>
                <w:kern w:val="0"/>
              </w:rPr>
            </w:pPr>
            <w:r w:rsidRPr="00610751">
              <w:rPr>
                <w:kern w:val="0"/>
              </w:rPr>
              <w:t>-0.047 to 0.153</w:t>
            </w:r>
          </w:p>
        </w:tc>
        <w:tc>
          <w:tcPr>
            <w:tcW w:w="1080" w:type="dxa"/>
            <w:shd w:val="clear" w:color="auto" w:fill="auto"/>
            <w:noWrap/>
            <w:vAlign w:val="center"/>
          </w:tcPr>
          <w:p w14:paraId="643D412F" w14:textId="77777777" w:rsidR="00610751" w:rsidRPr="00610751" w:rsidRDefault="00610751" w:rsidP="00610751">
            <w:pPr>
              <w:widowControl/>
              <w:overflowPunct/>
              <w:autoSpaceDE/>
              <w:autoSpaceDN/>
              <w:adjustRightInd/>
              <w:jc w:val="center"/>
              <w:rPr>
                <w:kern w:val="0"/>
              </w:rPr>
            </w:pPr>
            <w:r w:rsidRPr="00610751">
              <w:rPr>
                <w:kern w:val="0"/>
              </w:rPr>
              <w:t>67.29*</w:t>
            </w:r>
          </w:p>
        </w:tc>
        <w:tc>
          <w:tcPr>
            <w:tcW w:w="1440" w:type="dxa"/>
            <w:vMerge w:val="restart"/>
            <w:vAlign w:val="center"/>
          </w:tcPr>
          <w:p w14:paraId="1CFA8477" w14:textId="77777777" w:rsidR="00610751" w:rsidRPr="00610751" w:rsidRDefault="00610751" w:rsidP="00610751">
            <w:pPr>
              <w:widowControl/>
              <w:overflowPunct/>
              <w:autoSpaceDE/>
              <w:autoSpaceDN/>
              <w:adjustRightInd/>
              <w:jc w:val="center"/>
              <w:rPr>
                <w:kern w:val="0"/>
              </w:rPr>
            </w:pPr>
            <w:r w:rsidRPr="00610751">
              <w:rPr>
                <w:kern w:val="0"/>
              </w:rPr>
              <w:t>No differences</w:t>
            </w:r>
          </w:p>
        </w:tc>
      </w:tr>
      <w:tr w:rsidR="00610751" w:rsidRPr="00610751" w14:paraId="41E74D96" w14:textId="77777777" w:rsidTr="00DB7B9A">
        <w:trPr>
          <w:cantSplit/>
          <w:trHeight w:val="20"/>
        </w:trPr>
        <w:tc>
          <w:tcPr>
            <w:tcW w:w="2880" w:type="dxa"/>
            <w:tcBorders>
              <w:bottom w:val="dashed" w:sz="4" w:space="0" w:color="auto"/>
            </w:tcBorders>
            <w:shd w:val="clear" w:color="auto" w:fill="auto"/>
            <w:noWrap/>
            <w:vAlign w:val="center"/>
          </w:tcPr>
          <w:p w14:paraId="2D5E5FE2" w14:textId="77777777" w:rsidR="00610751" w:rsidRPr="00610751" w:rsidRDefault="00610751" w:rsidP="00610751">
            <w:pPr>
              <w:widowControl/>
              <w:overflowPunct/>
              <w:autoSpaceDE/>
              <w:autoSpaceDN/>
              <w:adjustRightInd/>
              <w:rPr>
                <w:kern w:val="0"/>
              </w:rPr>
            </w:pPr>
            <w:r w:rsidRPr="00610751">
              <w:rPr>
                <w:kern w:val="0"/>
              </w:rPr>
              <w:t>---Mixed</w:t>
            </w:r>
          </w:p>
        </w:tc>
        <w:tc>
          <w:tcPr>
            <w:tcW w:w="1080" w:type="dxa"/>
            <w:tcBorders>
              <w:bottom w:val="dashed" w:sz="4" w:space="0" w:color="auto"/>
            </w:tcBorders>
            <w:shd w:val="clear" w:color="auto" w:fill="auto"/>
            <w:noWrap/>
            <w:vAlign w:val="center"/>
          </w:tcPr>
          <w:p w14:paraId="18913C11" w14:textId="77777777" w:rsidR="00610751" w:rsidRPr="00610751" w:rsidRDefault="00610751" w:rsidP="00610751">
            <w:pPr>
              <w:widowControl/>
              <w:overflowPunct/>
              <w:autoSpaceDE/>
              <w:autoSpaceDN/>
              <w:adjustRightInd/>
              <w:jc w:val="center"/>
              <w:rPr>
                <w:kern w:val="0"/>
              </w:rPr>
            </w:pPr>
            <w:r w:rsidRPr="00610751">
              <w:rPr>
                <w:kern w:val="0"/>
              </w:rPr>
              <w:t>6</w:t>
            </w:r>
          </w:p>
        </w:tc>
        <w:tc>
          <w:tcPr>
            <w:tcW w:w="1083" w:type="dxa"/>
            <w:tcBorders>
              <w:bottom w:val="dashed" w:sz="4" w:space="0" w:color="auto"/>
            </w:tcBorders>
            <w:shd w:val="clear" w:color="auto" w:fill="auto"/>
            <w:noWrap/>
            <w:vAlign w:val="center"/>
          </w:tcPr>
          <w:p w14:paraId="16BA1F49" w14:textId="77777777" w:rsidR="00610751" w:rsidRPr="00610751" w:rsidRDefault="00610751" w:rsidP="00610751">
            <w:pPr>
              <w:widowControl/>
              <w:overflowPunct/>
              <w:autoSpaceDE/>
              <w:autoSpaceDN/>
              <w:adjustRightInd/>
              <w:jc w:val="center"/>
              <w:rPr>
                <w:kern w:val="0"/>
              </w:rPr>
            </w:pPr>
            <w:r w:rsidRPr="00610751">
              <w:rPr>
                <w:kern w:val="0"/>
              </w:rPr>
              <w:t>0.070</w:t>
            </w:r>
          </w:p>
        </w:tc>
        <w:tc>
          <w:tcPr>
            <w:tcW w:w="2086" w:type="dxa"/>
            <w:tcBorders>
              <w:bottom w:val="dashed" w:sz="4" w:space="0" w:color="auto"/>
            </w:tcBorders>
            <w:shd w:val="clear" w:color="auto" w:fill="auto"/>
            <w:noWrap/>
            <w:vAlign w:val="center"/>
          </w:tcPr>
          <w:p w14:paraId="7D4EF574" w14:textId="77777777" w:rsidR="00610751" w:rsidRPr="00610751" w:rsidRDefault="00610751" w:rsidP="00610751">
            <w:pPr>
              <w:widowControl/>
              <w:overflowPunct/>
              <w:autoSpaceDE/>
              <w:autoSpaceDN/>
              <w:adjustRightInd/>
              <w:jc w:val="center"/>
              <w:rPr>
                <w:kern w:val="0"/>
              </w:rPr>
            </w:pPr>
            <w:r w:rsidRPr="00610751">
              <w:rPr>
                <w:kern w:val="0"/>
              </w:rPr>
              <w:t>-0.141 to 0.282</w:t>
            </w:r>
          </w:p>
        </w:tc>
        <w:tc>
          <w:tcPr>
            <w:tcW w:w="1080" w:type="dxa"/>
            <w:tcBorders>
              <w:bottom w:val="dashed" w:sz="4" w:space="0" w:color="auto"/>
            </w:tcBorders>
            <w:shd w:val="clear" w:color="auto" w:fill="auto"/>
            <w:noWrap/>
            <w:vAlign w:val="center"/>
          </w:tcPr>
          <w:p w14:paraId="592B5D59" w14:textId="77777777" w:rsidR="00610751" w:rsidRPr="00610751" w:rsidRDefault="00610751" w:rsidP="00610751">
            <w:pPr>
              <w:widowControl/>
              <w:overflowPunct/>
              <w:autoSpaceDE/>
              <w:autoSpaceDN/>
              <w:adjustRightInd/>
              <w:jc w:val="center"/>
              <w:rPr>
                <w:kern w:val="0"/>
              </w:rPr>
            </w:pPr>
            <w:r w:rsidRPr="00610751">
              <w:rPr>
                <w:kern w:val="0"/>
              </w:rPr>
              <w:t>71.70*</w:t>
            </w:r>
          </w:p>
        </w:tc>
        <w:tc>
          <w:tcPr>
            <w:tcW w:w="1440" w:type="dxa"/>
            <w:vMerge/>
            <w:tcBorders>
              <w:bottom w:val="dashed" w:sz="4" w:space="0" w:color="auto"/>
            </w:tcBorders>
          </w:tcPr>
          <w:p w14:paraId="6FA9030F" w14:textId="77777777" w:rsidR="00610751" w:rsidRPr="00610751" w:rsidRDefault="00610751" w:rsidP="00610751">
            <w:pPr>
              <w:widowControl/>
              <w:overflowPunct/>
              <w:autoSpaceDE/>
              <w:autoSpaceDN/>
              <w:adjustRightInd/>
              <w:jc w:val="center"/>
              <w:rPr>
                <w:kern w:val="0"/>
              </w:rPr>
            </w:pPr>
          </w:p>
        </w:tc>
      </w:tr>
      <w:tr w:rsidR="00610751" w:rsidRPr="00610751" w14:paraId="33E896B8" w14:textId="77777777" w:rsidTr="00DB7B9A">
        <w:trPr>
          <w:cantSplit/>
          <w:trHeight w:val="20"/>
        </w:trPr>
        <w:tc>
          <w:tcPr>
            <w:tcW w:w="2880" w:type="dxa"/>
            <w:tcBorders>
              <w:top w:val="dashed" w:sz="4" w:space="0" w:color="auto"/>
            </w:tcBorders>
            <w:shd w:val="clear" w:color="auto" w:fill="auto"/>
            <w:noWrap/>
            <w:vAlign w:val="center"/>
            <w:hideMark/>
          </w:tcPr>
          <w:p w14:paraId="61984623" w14:textId="77777777" w:rsidR="00610751" w:rsidRPr="00610751" w:rsidRDefault="00610751" w:rsidP="00610751">
            <w:pPr>
              <w:widowControl/>
              <w:overflowPunct/>
              <w:autoSpaceDE/>
              <w:autoSpaceDN/>
              <w:adjustRightInd/>
              <w:rPr>
                <w:kern w:val="0"/>
                <w:vertAlign w:val="superscript"/>
              </w:rPr>
            </w:pPr>
            <w:r w:rsidRPr="00610751">
              <w:rPr>
                <w:kern w:val="0"/>
              </w:rPr>
              <w:t xml:space="preserve">Institutional distance </w:t>
            </w:r>
            <w:r w:rsidRPr="00610751">
              <w:rPr>
                <w:kern w:val="0"/>
                <w:vertAlign w:val="superscript"/>
              </w:rPr>
              <w:t>A</w:t>
            </w:r>
          </w:p>
        </w:tc>
        <w:tc>
          <w:tcPr>
            <w:tcW w:w="1080" w:type="dxa"/>
            <w:tcBorders>
              <w:top w:val="dashed" w:sz="4" w:space="0" w:color="auto"/>
            </w:tcBorders>
            <w:shd w:val="clear" w:color="auto" w:fill="auto"/>
            <w:noWrap/>
            <w:vAlign w:val="center"/>
            <w:hideMark/>
          </w:tcPr>
          <w:p w14:paraId="29C793F8" w14:textId="77777777" w:rsidR="00610751" w:rsidRPr="00610751" w:rsidRDefault="00610751" w:rsidP="00610751">
            <w:pPr>
              <w:widowControl/>
              <w:overflowPunct/>
              <w:autoSpaceDE/>
              <w:autoSpaceDN/>
              <w:adjustRightInd/>
              <w:jc w:val="center"/>
              <w:rPr>
                <w:kern w:val="0"/>
              </w:rPr>
            </w:pPr>
          </w:p>
        </w:tc>
        <w:tc>
          <w:tcPr>
            <w:tcW w:w="1083" w:type="dxa"/>
            <w:tcBorders>
              <w:top w:val="dashed" w:sz="4" w:space="0" w:color="auto"/>
            </w:tcBorders>
            <w:shd w:val="clear" w:color="auto" w:fill="auto"/>
            <w:noWrap/>
            <w:vAlign w:val="center"/>
            <w:hideMark/>
          </w:tcPr>
          <w:p w14:paraId="6884501B" w14:textId="77777777" w:rsidR="00610751" w:rsidRPr="00610751" w:rsidRDefault="00610751" w:rsidP="00610751">
            <w:pPr>
              <w:widowControl/>
              <w:overflowPunct/>
              <w:autoSpaceDE/>
              <w:autoSpaceDN/>
              <w:adjustRightInd/>
              <w:jc w:val="center"/>
              <w:rPr>
                <w:kern w:val="0"/>
              </w:rPr>
            </w:pPr>
          </w:p>
        </w:tc>
        <w:tc>
          <w:tcPr>
            <w:tcW w:w="2086" w:type="dxa"/>
            <w:tcBorders>
              <w:top w:val="dashed" w:sz="4" w:space="0" w:color="auto"/>
            </w:tcBorders>
            <w:shd w:val="clear" w:color="auto" w:fill="auto"/>
            <w:noWrap/>
            <w:vAlign w:val="center"/>
            <w:hideMark/>
          </w:tcPr>
          <w:p w14:paraId="370212CC" w14:textId="77777777" w:rsidR="00610751" w:rsidRPr="00610751" w:rsidRDefault="00610751" w:rsidP="00610751">
            <w:pPr>
              <w:widowControl/>
              <w:overflowPunct/>
              <w:autoSpaceDE/>
              <w:autoSpaceDN/>
              <w:adjustRightInd/>
              <w:jc w:val="center"/>
              <w:rPr>
                <w:kern w:val="0"/>
              </w:rPr>
            </w:pPr>
          </w:p>
        </w:tc>
        <w:tc>
          <w:tcPr>
            <w:tcW w:w="1080" w:type="dxa"/>
            <w:tcBorders>
              <w:top w:val="dashed" w:sz="4" w:space="0" w:color="auto"/>
            </w:tcBorders>
            <w:shd w:val="clear" w:color="auto" w:fill="auto"/>
            <w:noWrap/>
            <w:vAlign w:val="center"/>
            <w:hideMark/>
          </w:tcPr>
          <w:p w14:paraId="6597E0AB" w14:textId="77777777" w:rsidR="00610751" w:rsidRPr="00610751" w:rsidRDefault="00610751" w:rsidP="00610751">
            <w:pPr>
              <w:widowControl/>
              <w:overflowPunct/>
              <w:autoSpaceDE/>
              <w:autoSpaceDN/>
              <w:adjustRightInd/>
              <w:jc w:val="center"/>
              <w:rPr>
                <w:kern w:val="0"/>
              </w:rPr>
            </w:pPr>
          </w:p>
        </w:tc>
        <w:tc>
          <w:tcPr>
            <w:tcW w:w="1440" w:type="dxa"/>
            <w:tcBorders>
              <w:top w:val="dashed" w:sz="4" w:space="0" w:color="auto"/>
            </w:tcBorders>
          </w:tcPr>
          <w:p w14:paraId="0E92E1AE" w14:textId="77777777" w:rsidR="00610751" w:rsidRPr="00610751" w:rsidRDefault="00610751" w:rsidP="00610751">
            <w:pPr>
              <w:widowControl/>
              <w:overflowPunct/>
              <w:autoSpaceDE/>
              <w:autoSpaceDN/>
              <w:adjustRightInd/>
              <w:jc w:val="center"/>
              <w:rPr>
                <w:kern w:val="0"/>
              </w:rPr>
            </w:pPr>
          </w:p>
        </w:tc>
      </w:tr>
      <w:tr w:rsidR="00610751" w:rsidRPr="00610751" w14:paraId="64D7948D" w14:textId="77777777" w:rsidTr="00DB7B9A">
        <w:trPr>
          <w:cantSplit/>
          <w:trHeight w:val="20"/>
        </w:trPr>
        <w:tc>
          <w:tcPr>
            <w:tcW w:w="2880" w:type="dxa"/>
            <w:shd w:val="clear" w:color="auto" w:fill="auto"/>
            <w:noWrap/>
            <w:vAlign w:val="center"/>
            <w:hideMark/>
          </w:tcPr>
          <w:p w14:paraId="7CEAE7C2" w14:textId="77777777" w:rsidR="00610751" w:rsidRPr="00610751" w:rsidRDefault="00610751" w:rsidP="00610751">
            <w:pPr>
              <w:widowControl/>
              <w:overflowPunct/>
              <w:autoSpaceDE/>
              <w:autoSpaceDN/>
              <w:adjustRightInd/>
              <w:rPr>
                <w:kern w:val="0"/>
              </w:rPr>
            </w:pPr>
            <w:r w:rsidRPr="00610751">
              <w:rPr>
                <w:kern w:val="0"/>
              </w:rPr>
              <w:t>---Formal distance</w:t>
            </w:r>
          </w:p>
        </w:tc>
        <w:tc>
          <w:tcPr>
            <w:tcW w:w="1080" w:type="dxa"/>
            <w:shd w:val="clear" w:color="auto" w:fill="auto"/>
            <w:noWrap/>
            <w:vAlign w:val="center"/>
            <w:hideMark/>
          </w:tcPr>
          <w:p w14:paraId="5AC9F24A" w14:textId="77777777" w:rsidR="00610751" w:rsidRPr="00610751" w:rsidRDefault="00610751" w:rsidP="00610751">
            <w:pPr>
              <w:widowControl/>
              <w:overflowPunct/>
              <w:autoSpaceDE/>
              <w:autoSpaceDN/>
              <w:adjustRightInd/>
              <w:jc w:val="center"/>
              <w:rPr>
                <w:kern w:val="0"/>
              </w:rPr>
            </w:pPr>
            <w:r w:rsidRPr="00610751">
              <w:rPr>
                <w:kern w:val="0"/>
              </w:rPr>
              <w:t>12</w:t>
            </w:r>
          </w:p>
        </w:tc>
        <w:tc>
          <w:tcPr>
            <w:tcW w:w="1083" w:type="dxa"/>
            <w:shd w:val="clear" w:color="auto" w:fill="auto"/>
            <w:noWrap/>
            <w:vAlign w:val="center"/>
            <w:hideMark/>
          </w:tcPr>
          <w:p w14:paraId="1060E19E" w14:textId="77777777" w:rsidR="00610751" w:rsidRPr="00610751" w:rsidRDefault="00610751" w:rsidP="00610751">
            <w:pPr>
              <w:widowControl/>
              <w:overflowPunct/>
              <w:autoSpaceDE/>
              <w:autoSpaceDN/>
              <w:adjustRightInd/>
              <w:jc w:val="center"/>
              <w:rPr>
                <w:kern w:val="0"/>
              </w:rPr>
            </w:pPr>
            <w:r w:rsidRPr="00610751">
              <w:rPr>
                <w:kern w:val="0"/>
              </w:rPr>
              <w:t>0.065</w:t>
            </w:r>
          </w:p>
        </w:tc>
        <w:tc>
          <w:tcPr>
            <w:tcW w:w="2086" w:type="dxa"/>
            <w:shd w:val="clear" w:color="auto" w:fill="auto"/>
            <w:noWrap/>
            <w:vAlign w:val="center"/>
            <w:hideMark/>
          </w:tcPr>
          <w:p w14:paraId="6FBC30FA" w14:textId="77777777" w:rsidR="00610751" w:rsidRPr="00610751" w:rsidRDefault="00610751" w:rsidP="00610751">
            <w:pPr>
              <w:widowControl/>
              <w:overflowPunct/>
              <w:autoSpaceDE/>
              <w:autoSpaceDN/>
              <w:adjustRightInd/>
              <w:jc w:val="center"/>
              <w:rPr>
                <w:kern w:val="0"/>
              </w:rPr>
            </w:pPr>
            <w:r w:rsidRPr="00610751">
              <w:rPr>
                <w:kern w:val="0"/>
              </w:rPr>
              <w:t>-0.156 to 0.286</w:t>
            </w:r>
          </w:p>
        </w:tc>
        <w:tc>
          <w:tcPr>
            <w:tcW w:w="1080" w:type="dxa"/>
            <w:shd w:val="clear" w:color="auto" w:fill="auto"/>
            <w:noWrap/>
            <w:vAlign w:val="center"/>
            <w:hideMark/>
          </w:tcPr>
          <w:p w14:paraId="21AFEB12" w14:textId="77777777" w:rsidR="00610751" w:rsidRPr="00610751" w:rsidRDefault="00610751" w:rsidP="00610751">
            <w:pPr>
              <w:widowControl/>
              <w:overflowPunct/>
              <w:autoSpaceDE/>
              <w:autoSpaceDN/>
              <w:adjustRightInd/>
              <w:jc w:val="center"/>
              <w:rPr>
                <w:kern w:val="0"/>
              </w:rPr>
            </w:pPr>
            <w:r w:rsidRPr="00610751">
              <w:rPr>
                <w:kern w:val="0"/>
              </w:rPr>
              <w:t>452.83*</w:t>
            </w:r>
          </w:p>
        </w:tc>
        <w:tc>
          <w:tcPr>
            <w:tcW w:w="1440" w:type="dxa"/>
            <w:vMerge w:val="restart"/>
            <w:vAlign w:val="center"/>
          </w:tcPr>
          <w:p w14:paraId="74D9DBF1" w14:textId="77777777" w:rsidR="00610751" w:rsidRPr="00610751" w:rsidRDefault="00610751" w:rsidP="00610751">
            <w:pPr>
              <w:widowControl/>
              <w:overflowPunct/>
              <w:autoSpaceDE/>
              <w:autoSpaceDN/>
              <w:adjustRightInd/>
              <w:jc w:val="center"/>
              <w:rPr>
                <w:kern w:val="0"/>
              </w:rPr>
            </w:pPr>
            <w:r w:rsidRPr="00610751">
              <w:rPr>
                <w:kern w:val="0"/>
              </w:rPr>
              <w:t>No differences</w:t>
            </w:r>
          </w:p>
        </w:tc>
      </w:tr>
      <w:tr w:rsidR="00610751" w:rsidRPr="00610751" w14:paraId="42AC99F2" w14:textId="77777777" w:rsidTr="00DB7B9A">
        <w:trPr>
          <w:cantSplit/>
          <w:trHeight w:val="20"/>
        </w:trPr>
        <w:tc>
          <w:tcPr>
            <w:tcW w:w="2880" w:type="dxa"/>
            <w:shd w:val="clear" w:color="auto" w:fill="auto"/>
            <w:noWrap/>
            <w:vAlign w:val="center"/>
          </w:tcPr>
          <w:p w14:paraId="3D6AC38F" w14:textId="77777777" w:rsidR="00610751" w:rsidRPr="00610751" w:rsidRDefault="00610751" w:rsidP="00610751">
            <w:pPr>
              <w:widowControl/>
              <w:overflowPunct/>
              <w:autoSpaceDE/>
              <w:autoSpaceDN/>
              <w:adjustRightInd/>
              <w:rPr>
                <w:kern w:val="0"/>
              </w:rPr>
            </w:pPr>
            <w:r w:rsidRPr="00610751">
              <w:rPr>
                <w:kern w:val="0"/>
              </w:rPr>
              <w:t>--------High formal</w:t>
            </w:r>
          </w:p>
        </w:tc>
        <w:tc>
          <w:tcPr>
            <w:tcW w:w="1080" w:type="dxa"/>
            <w:shd w:val="clear" w:color="auto" w:fill="auto"/>
            <w:noWrap/>
          </w:tcPr>
          <w:p w14:paraId="43DD12BA" w14:textId="77777777" w:rsidR="00610751" w:rsidRPr="00610751" w:rsidRDefault="00610751" w:rsidP="00610751">
            <w:pPr>
              <w:widowControl/>
              <w:overflowPunct/>
              <w:autoSpaceDE/>
              <w:autoSpaceDN/>
              <w:adjustRightInd/>
              <w:jc w:val="center"/>
              <w:rPr>
                <w:kern w:val="0"/>
              </w:rPr>
            </w:pPr>
            <w:r w:rsidRPr="00610751">
              <w:rPr>
                <w:kern w:val="0"/>
              </w:rPr>
              <w:t>6</w:t>
            </w:r>
          </w:p>
        </w:tc>
        <w:tc>
          <w:tcPr>
            <w:tcW w:w="1083" w:type="dxa"/>
            <w:shd w:val="clear" w:color="auto" w:fill="auto"/>
            <w:noWrap/>
          </w:tcPr>
          <w:p w14:paraId="132431E1" w14:textId="77777777" w:rsidR="00610751" w:rsidRPr="00610751" w:rsidRDefault="00610751" w:rsidP="00610751">
            <w:pPr>
              <w:widowControl/>
              <w:overflowPunct/>
              <w:autoSpaceDE/>
              <w:autoSpaceDN/>
              <w:adjustRightInd/>
              <w:jc w:val="center"/>
              <w:rPr>
                <w:kern w:val="0"/>
              </w:rPr>
            </w:pPr>
            <w:r w:rsidRPr="00610751">
              <w:rPr>
                <w:kern w:val="0"/>
              </w:rPr>
              <w:t>0.060</w:t>
            </w:r>
          </w:p>
        </w:tc>
        <w:tc>
          <w:tcPr>
            <w:tcW w:w="2086" w:type="dxa"/>
            <w:shd w:val="clear" w:color="auto" w:fill="auto"/>
            <w:noWrap/>
          </w:tcPr>
          <w:p w14:paraId="6E9A4313" w14:textId="77777777" w:rsidR="00610751" w:rsidRPr="00610751" w:rsidRDefault="00610751" w:rsidP="00610751">
            <w:pPr>
              <w:widowControl/>
              <w:overflowPunct/>
              <w:autoSpaceDE/>
              <w:autoSpaceDN/>
              <w:adjustRightInd/>
              <w:jc w:val="center"/>
              <w:rPr>
                <w:kern w:val="0"/>
              </w:rPr>
            </w:pPr>
            <w:r w:rsidRPr="00610751">
              <w:rPr>
                <w:kern w:val="0"/>
              </w:rPr>
              <w:t>-0.379 to 0.498</w:t>
            </w:r>
          </w:p>
        </w:tc>
        <w:tc>
          <w:tcPr>
            <w:tcW w:w="1080" w:type="dxa"/>
            <w:shd w:val="clear" w:color="auto" w:fill="auto"/>
            <w:noWrap/>
          </w:tcPr>
          <w:p w14:paraId="2F0C34E7" w14:textId="77777777" w:rsidR="00610751" w:rsidRPr="00610751" w:rsidRDefault="00610751" w:rsidP="00610751">
            <w:pPr>
              <w:widowControl/>
              <w:overflowPunct/>
              <w:autoSpaceDE/>
              <w:autoSpaceDN/>
              <w:adjustRightInd/>
              <w:jc w:val="center"/>
              <w:rPr>
                <w:kern w:val="0"/>
              </w:rPr>
            </w:pPr>
            <w:r w:rsidRPr="00610751">
              <w:rPr>
                <w:kern w:val="0"/>
              </w:rPr>
              <w:t>384.50*</w:t>
            </w:r>
          </w:p>
        </w:tc>
        <w:tc>
          <w:tcPr>
            <w:tcW w:w="1440" w:type="dxa"/>
            <w:vMerge/>
          </w:tcPr>
          <w:p w14:paraId="02564548" w14:textId="77777777" w:rsidR="00610751" w:rsidRPr="00610751" w:rsidRDefault="00610751" w:rsidP="00610751">
            <w:pPr>
              <w:widowControl/>
              <w:overflowPunct/>
              <w:autoSpaceDE/>
              <w:autoSpaceDN/>
              <w:adjustRightInd/>
              <w:jc w:val="center"/>
              <w:rPr>
                <w:kern w:val="0"/>
              </w:rPr>
            </w:pPr>
          </w:p>
        </w:tc>
      </w:tr>
      <w:tr w:rsidR="00610751" w:rsidRPr="00610751" w14:paraId="74A0D1AC" w14:textId="77777777" w:rsidTr="00DB7B9A">
        <w:trPr>
          <w:cantSplit/>
          <w:trHeight w:val="20"/>
        </w:trPr>
        <w:tc>
          <w:tcPr>
            <w:tcW w:w="2880" w:type="dxa"/>
            <w:shd w:val="clear" w:color="auto" w:fill="auto"/>
            <w:noWrap/>
            <w:vAlign w:val="center"/>
          </w:tcPr>
          <w:p w14:paraId="729ABAFF" w14:textId="77777777" w:rsidR="00610751" w:rsidRPr="00610751" w:rsidRDefault="00610751" w:rsidP="00610751">
            <w:pPr>
              <w:widowControl/>
              <w:overflowPunct/>
              <w:autoSpaceDE/>
              <w:autoSpaceDN/>
              <w:adjustRightInd/>
              <w:rPr>
                <w:kern w:val="0"/>
              </w:rPr>
            </w:pPr>
            <w:r w:rsidRPr="00610751">
              <w:rPr>
                <w:kern w:val="0"/>
              </w:rPr>
              <w:t>--------Low formal</w:t>
            </w:r>
          </w:p>
        </w:tc>
        <w:tc>
          <w:tcPr>
            <w:tcW w:w="1080" w:type="dxa"/>
            <w:shd w:val="clear" w:color="auto" w:fill="auto"/>
            <w:noWrap/>
          </w:tcPr>
          <w:p w14:paraId="3504B090" w14:textId="77777777" w:rsidR="00610751" w:rsidRPr="00610751" w:rsidRDefault="00610751" w:rsidP="00610751">
            <w:pPr>
              <w:widowControl/>
              <w:overflowPunct/>
              <w:autoSpaceDE/>
              <w:autoSpaceDN/>
              <w:adjustRightInd/>
              <w:jc w:val="center"/>
              <w:rPr>
                <w:kern w:val="0"/>
              </w:rPr>
            </w:pPr>
            <w:r w:rsidRPr="00610751">
              <w:rPr>
                <w:kern w:val="0"/>
              </w:rPr>
              <w:t>6</w:t>
            </w:r>
          </w:p>
        </w:tc>
        <w:tc>
          <w:tcPr>
            <w:tcW w:w="1083" w:type="dxa"/>
            <w:shd w:val="clear" w:color="auto" w:fill="auto"/>
            <w:noWrap/>
          </w:tcPr>
          <w:p w14:paraId="0FF65BC2" w14:textId="77777777" w:rsidR="00610751" w:rsidRPr="00610751" w:rsidRDefault="00610751" w:rsidP="00610751">
            <w:pPr>
              <w:widowControl/>
              <w:overflowPunct/>
              <w:autoSpaceDE/>
              <w:autoSpaceDN/>
              <w:adjustRightInd/>
              <w:jc w:val="center"/>
              <w:rPr>
                <w:kern w:val="0"/>
              </w:rPr>
            </w:pPr>
            <w:r w:rsidRPr="00610751">
              <w:rPr>
                <w:kern w:val="0"/>
              </w:rPr>
              <w:t>0.067</w:t>
            </w:r>
          </w:p>
        </w:tc>
        <w:tc>
          <w:tcPr>
            <w:tcW w:w="2086" w:type="dxa"/>
            <w:shd w:val="clear" w:color="auto" w:fill="auto"/>
            <w:noWrap/>
          </w:tcPr>
          <w:p w14:paraId="792AD3FA" w14:textId="77777777" w:rsidR="00610751" w:rsidRPr="00610751" w:rsidRDefault="00610751" w:rsidP="00610751">
            <w:pPr>
              <w:widowControl/>
              <w:overflowPunct/>
              <w:autoSpaceDE/>
              <w:autoSpaceDN/>
              <w:adjustRightInd/>
              <w:jc w:val="center"/>
              <w:rPr>
                <w:kern w:val="0"/>
              </w:rPr>
            </w:pPr>
            <w:r w:rsidRPr="00610751">
              <w:rPr>
                <w:kern w:val="0"/>
              </w:rPr>
              <w:t>-0.014 to 0.149</w:t>
            </w:r>
          </w:p>
        </w:tc>
        <w:tc>
          <w:tcPr>
            <w:tcW w:w="1080" w:type="dxa"/>
            <w:shd w:val="clear" w:color="auto" w:fill="auto"/>
            <w:noWrap/>
          </w:tcPr>
          <w:p w14:paraId="7B1307FE" w14:textId="77777777" w:rsidR="00610751" w:rsidRPr="00610751" w:rsidRDefault="00610751" w:rsidP="00610751">
            <w:pPr>
              <w:widowControl/>
              <w:overflowPunct/>
              <w:autoSpaceDE/>
              <w:autoSpaceDN/>
              <w:adjustRightInd/>
              <w:jc w:val="center"/>
              <w:rPr>
                <w:kern w:val="0"/>
              </w:rPr>
            </w:pPr>
            <w:r w:rsidRPr="00610751">
              <w:rPr>
                <w:kern w:val="0"/>
              </w:rPr>
              <w:t>13.16*</w:t>
            </w:r>
          </w:p>
        </w:tc>
        <w:tc>
          <w:tcPr>
            <w:tcW w:w="1440" w:type="dxa"/>
            <w:vMerge/>
          </w:tcPr>
          <w:p w14:paraId="242683F3" w14:textId="77777777" w:rsidR="00610751" w:rsidRPr="00610751" w:rsidRDefault="00610751" w:rsidP="00610751">
            <w:pPr>
              <w:widowControl/>
              <w:overflowPunct/>
              <w:autoSpaceDE/>
              <w:autoSpaceDN/>
              <w:adjustRightInd/>
              <w:jc w:val="center"/>
              <w:rPr>
                <w:kern w:val="0"/>
              </w:rPr>
            </w:pPr>
          </w:p>
        </w:tc>
      </w:tr>
      <w:tr w:rsidR="00610751" w:rsidRPr="00610751" w14:paraId="00A1ECF7" w14:textId="77777777" w:rsidTr="00DB7B9A">
        <w:trPr>
          <w:cantSplit/>
          <w:trHeight w:val="20"/>
        </w:trPr>
        <w:tc>
          <w:tcPr>
            <w:tcW w:w="2880" w:type="dxa"/>
            <w:shd w:val="clear" w:color="auto" w:fill="auto"/>
            <w:noWrap/>
            <w:vAlign w:val="center"/>
            <w:hideMark/>
          </w:tcPr>
          <w:p w14:paraId="5898AFDD" w14:textId="77777777" w:rsidR="00610751" w:rsidRPr="00610751" w:rsidRDefault="00610751" w:rsidP="00610751">
            <w:pPr>
              <w:widowControl/>
              <w:overflowPunct/>
              <w:autoSpaceDE/>
              <w:autoSpaceDN/>
              <w:adjustRightInd/>
              <w:rPr>
                <w:kern w:val="0"/>
              </w:rPr>
            </w:pPr>
            <w:r w:rsidRPr="00610751">
              <w:rPr>
                <w:kern w:val="0"/>
              </w:rPr>
              <w:t xml:space="preserve">---Informal </w:t>
            </w:r>
          </w:p>
        </w:tc>
        <w:tc>
          <w:tcPr>
            <w:tcW w:w="1080" w:type="dxa"/>
            <w:shd w:val="clear" w:color="auto" w:fill="auto"/>
            <w:noWrap/>
            <w:vAlign w:val="center"/>
            <w:hideMark/>
          </w:tcPr>
          <w:p w14:paraId="749F9F34" w14:textId="77777777" w:rsidR="00610751" w:rsidRPr="00610751" w:rsidRDefault="00610751" w:rsidP="00610751">
            <w:pPr>
              <w:widowControl/>
              <w:overflowPunct/>
              <w:autoSpaceDE/>
              <w:autoSpaceDN/>
              <w:adjustRightInd/>
              <w:jc w:val="center"/>
              <w:rPr>
                <w:kern w:val="0"/>
              </w:rPr>
            </w:pPr>
            <w:r w:rsidRPr="00610751">
              <w:rPr>
                <w:kern w:val="0"/>
              </w:rPr>
              <w:t>42</w:t>
            </w:r>
          </w:p>
        </w:tc>
        <w:tc>
          <w:tcPr>
            <w:tcW w:w="1083" w:type="dxa"/>
            <w:shd w:val="clear" w:color="auto" w:fill="auto"/>
            <w:noWrap/>
            <w:vAlign w:val="center"/>
            <w:hideMark/>
          </w:tcPr>
          <w:p w14:paraId="2AAB79A4" w14:textId="77777777" w:rsidR="00610751" w:rsidRPr="00610751" w:rsidRDefault="00610751" w:rsidP="00610751">
            <w:pPr>
              <w:widowControl/>
              <w:overflowPunct/>
              <w:autoSpaceDE/>
              <w:autoSpaceDN/>
              <w:adjustRightInd/>
              <w:jc w:val="center"/>
              <w:rPr>
                <w:kern w:val="0"/>
              </w:rPr>
            </w:pPr>
            <w:r w:rsidRPr="00610751">
              <w:rPr>
                <w:kern w:val="0"/>
              </w:rPr>
              <w:t>0.001</w:t>
            </w:r>
          </w:p>
        </w:tc>
        <w:tc>
          <w:tcPr>
            <w:tcW w:w="2086" w:type="dxa"/>
            <w:shd w:val="clear" w:color="auto" w:fill="auto"/>
            <w:noWrap/>
            <w:vAlign w:val="center"/>
            <w:hideMark/>
          </w:tcPr>
          <w:p w14:paraId="0F6643DA" w14:textId="77777777" w:rsidR="00610751" w:rsidRPr="00610751" w:rsidRDefault="00610751" w:rsidP="00610751">
            <w:pPr>
              <w:widowControl/>
              <w:overflowPunct/>
              <w:autoSpaceDE/>
              <w:autoSpaceDN/>
              <w:adjustRightInd/>
              <w:jc w:val="center"/>
              <w:rPr>
                <w:kern w:val="0"/>
              </w:rPr>
            </w:pPr>
            <w:r w:rsidRPr="00610751">
              <w:rPr>
                <w:kern w:val="0"/>
              </w:rPr>
              <w:t>-0.045 to 0.046</w:t>
            </w:r>
          </w:p>
        </w:tc>
        <w:tc>
          <w:tcPr>
            <w:tcW w:w="1080" w:type="dxa"/>
            <w:shd w:val="clear" w:color="auto" w:fill="auto"/>
            <w:noWrap/>
            <w:vAlign w:val="center"/>
            <w:hideMark/>
          </w:tcPr>
          <w:p w14:paraId="6145A94E" w14:textId="77777777" w:rsidR="00610751" w:rsidRPr="00610751" w:rsidRDefault="00610751" w:rsidP="00610751">
            <w:pPr>
              <w:widowControl/>
              <w:overflowPunct/>
              <w:autoSpaceDE/>
              <w:autoSpaceDN/>
              <w:adjustRightInd/>
              <w:jc w:val="center"/>
              <w:rPr>
                <w:kern w:val="0"/>
              </w:rPr>
            </w:pPr>
            <w:r w:rsidRPr="00610751">
              <w:rPr>
                <w:kern w:val="0"/>
              </w:rPr>
              <w:t>172.88*</w:t>
            </w:r>
          </w:p>
        </w:tc>
        <w:tc>
          <w:tcPr>
            <w:tcW w:w="1440" w:type="dxa"/>
            <w:vMerge/>
          </w:tcPr>
          <w:p w14:paraId="487D0E7F" w14:textId="77777777" w:rsidR="00610751" w:rsidRPr="00610751" w:rsidRDefault="00610751" w:rsidP="00610751">
            <w:pPr>
              <w:widowControl/>
              <w:overflowPunct/>
              <w:autoSpaceDE/>
              <w:autoSpaceDN/>
              <w:adjustRightInd/>
              <w:jc w:val="center"/>
              <w:rPr>
                <w:kern w:val="0"/>
              </w:rPr>
            </w:pPr>
          </w:p>
        </w:tc>
      </w:tr>
      <w:tr w:rsidR="00610751" w:rsidRPr="00610751" w14:paraId="4C7E76D2" w14:textId="77777777" w:rsidTr="00DB7B9A">
        <w:trPr>
          <w:cantSplit/>
          <w:trHeight w:val="20"/>
        </w:trPr>
        <w:tc>
          <w:tcPr>
            <w:tcW w:w="2880" w:type="dxa"/>
            <w:shd w:val="clear" w:color="auto" w:fill="auto"/>
            <w:noWrap/>
            <w:vAlign w:val="center"/>
          </w:tcPr>
          <w:p w14:paraId="5F0C7680" w14:textId="77777777" w:rsidR="00610751" w:rsidRPr="00610751" w:rsidRDefault="00610751" w:rsidP="00610751">
            <w:pPr>
              <w:widowControl/>
              <w:overflowPunct/>
              <w:autoSpaceDE/>
              <w:autoSpaceDN/>
              <w:adjustRightInd/>
              <w:rPr>
                <w:kern w:val="0"/>
              </w:rPr>
            </w:pPr>
            <w:r w:rsidRPr="00610751">
              <w:rPr>
                <w:kern w:val="0"/>
              </w:rPr>
              <w:t>--------High informal</w:t>
            </w:r>
          </w:p>
        </w:tc>
        <w:tc>
          <w:tcPr>
            <w:tcW w:w="1080" w:type="dxa"/>
            <w:shd w:val="clear" w:color="auto" w:fill="auto"/>
            <w:noWrap/>
          </w:tcPr>
          <w:p w14:paraId="7C2B043C" w14:textId="77777777" w:rsidR="00610751" w:rsidRPr="00610751" w:rsidRDefault="00610751" w:rsidP="00610751">
            <w:pPr>
              <w:widowControl/>
              <w:overflowPunct/>
              <w:autoSpaceDE/>
              <w:autoSpaceDN/>
              <w:adjustRightInd/>
              <w:jc w:val="center"/>
              <w:rPr>
                <w:kern w:val="0"/>
              </w:rPr>
            </w:pPr>
            <w:r w:rsidRPr="00610751">
              <w:rPr>
                <w:kern w:val="0"/>
              </w:rPr>
              <w:t>20</w:t>
            </w:r>
          </w:p>
        </w:tc>
        <w:tc>
          <w:tcPr>
            <w:tcW w:w="1083" w:type="dxa"/>
            <w:shd w:val="clear" w:color="auto" w:fill="auto"/>
            <w:noWrap/>
          </w:tcPr>
          <w:p w14:paraId="194E6125" w14:textId="77777777" w:rsidR="00610751" w:rsidRPr="00610751" w:rsidRDefault="00610751" w:rsidP="00610751">
            <w:pPr>
              <w:widowControl/>
              <w:overflowPunct/>
              <w:autoSpaceDE/>
              <w:autoSpaceDN/>
              <w:adjustRightInd/>
              <w:jc w:val="center"/>
              <w:rPr>
                <w:kern w:val="0"/>
              </w:rPr>
            </w:pPr>
            <w:r w:rsidRPr="00610751">
              <w:rPr>
                <w:kern w:val="0"/>
              </w:rPr>
              <w:t>0.017</w:t>
            </w:r>
          </w:p>
        </w:tc>
        <w:tc>
          <w:tcPr>
            <w:tcW w:w="2086" w:type="dxa"/>
            <w:shd w:val="clear" w:color="auto" w:fill="auto"/>
            <w:noWrap/>
          </w:tcPr>
          <w:p w14:paraId="6EF178EB" w14:textId="77777777" w:rsidR="00610751" w:rsidRPr="00610751" w:rsidRDefault="00610751" w:rsidP="00610751">
            <w:pPr>
              <w:widowControl/>
              <w:overflowPunct/>
              <w:autoSpaceDE/>
              <w:autoSpaceDN/>
              <w:adjustRightInd/>
              <w:jc w:val="center"/>
              <w:rPr>
                <w:kern w:val="0"/>
              </w:rPr>
            </w:pPr>
            <w:r w:rsidRPr="00610751">
              <w:rPr>
                <w:kern w:val="0"/>
              </w:rPr>
              <w:t>-0.061 to 0.094</w:t>
            </w:r>
          </w:p>
        </w:tc>
        <w:tc>
          <w:tcPr>
            <w:tcW w:w="1080" w:type="dxa"/>
            <w:shd w:val="clear" w:color="auto" w:fill="auto"/>
            <w:noWrap/>
          </w:tcPr>
          <w:p w14:paraId="40B8BD37" w14:textId="77777777" w:rsidR="00610751" w:rsidRPr="00610751" w:rsidRDefault="00610751" w:rsidP="00610751">
            <w:pPr>
              <w:widowControl/>
              <w:overflowPunct/>
              <w:autoSpaceDE/>
              <w:autoSpaceDN/>
              <w:adjustRightInd/>
              <w:jc w:val="center"/>
              <w:rPr>
                <w:kern w:val="0"/>
              </w:rPr>
            </w:pPr>
            <w:r w:rsidRPr="00610751">
              <w:rPr>
                <w:kern w:val="0"/>
              </w:rPr>
              <w:t>98.66*</w:t>
            </w:r>
          </w:p>
        </w:tc>
        <w:tc>
          <w:tcPr>
            <w:tcW w:w="1440" w:type="dxa"/>
            <w:vMerge/>
          </w:tcPr>
          <w:p w14:paraId="0A3FCBEA" w14:textId="77777777" w:rsidR="00610751" w:rsidRPr="00610751" w:rsidRDefault="00610751" w:rsidP="00610751">
            <w:pPr>
              <w:widowControl/>
              <w:overflowPunct/>
              <w:autoSpaceDE/>
              <w:autoSpaceDN/>
              <w:adjustRightInd/>
              <w:jc w:val="center"/>
              <w:rPr>
                <w:kern w:val="0"/>
              </w:rPr>
            </w:pPr>
          </w:p>
        </w:tc>
      </w:tr>
      <w:tr w:rsidR="00610751" w:rsidRPr="00610751" w14:paraId="378B1293" w14:textId="77777777" w:rsidTr="00DB7B9A">
        <w:trPr>
          <w:cantSplit/>
          <w:trHeight w:val="20"/>
        </w:trPr>
        <w:tc>
          <w:tcPr>
            <w:tcW w:w="2880" w:type="dxa"/>
            <w:tcBorders>
              <w:bottom w:val="dashed" w:sz="4" w:space="0" w:color="auto"/>
            </w:tcBorders>
            <w:shd w:val="clear" w:color="auto" w:fill="auto"/>
            <w:noWrap/>
            <w:vAlign w:val="center"/>
          </w:tcPr>
          <w:p w14:paraId="2AA13394" w14:textId="77777777" w:rsidR="00610751" w:rsidRPr="00610751" w:rsidRDefault="00610751" w:rsidP="00610751">
            <w:pPr>
              <w:widowControl/>
              <w:overflowPunct/>
              <w:autoSpaceDE/>
              <w:autoSpaceDN/>
              <w:adjustRightInd/>
              <w:rPr>
                <w:kern w:val="0"/>
              </w:rPr>
            </w:pPr>
            <w:r w:rsidRPr="00610751">
              <w:rPr>
                <w:kern w:val="0"/>
              </w:rPr>
              <w:t>--------Low informal</w:t>
            </w:r>
          </w:p>
        </w:tc>
        <w:tc>
          <w:tcPr>
            <w:tcW w:w="1080" w:type="dxa"/>
            <w:tcBorders>
              <w:bottom w:val="dashed" w:sz="4" w:space="0" w:color="auto"/>
            </w:tcBorders>
            <w:shd w:val="clear" w:color="auto" w:fill="auto"/>
            <w:noWrap/>
          </w:tcPr>
          <w:p w14:paraId="05446DB7" w14:textId="77777777" w:rsidR="00610751" w:rsidRPr="00610751" w:rsidRDefault="00610751" w:rsidP="00610751">
            <w:pPr>
              <w:widowControl/>
              <w:overflowPunct/>
              <w:autoSpaceDE/>
              <w:autoSpaceDN/>
              <w:adjustRightInd/>
              <w:jc w:val="center"/>
              <w:rPr>
                <w:kern w:val="0"/>
              </w:rPr>
            </w:pPr>
            <w:r w:rsidRPr="00610751">
              <w:rPr>
                <w:kern w:val="0"/>
              </w:rPr>
              <w:t>20</w:t>
            </w:r>
          </w:p>
        </w:tc>
        <w:tc>
          <w:tcPr>
            <w:tcW w:w="1083" w:type="dxa"/>
            <w:tcBorders>
              <w:bottom w:val="dashed" w:sz="4" w:space="0" w:color="auto"/>
            </w:tcBorders>
            <w:shd w:val="clear" w:color="auto" w:fill="auto"/>
            <w:noWrap/>
          </w:tcPr>
          <w:p w14:paraId="2D31BAC2" w14:textId="77777777" w:rsidR="00610751" w:rsidRPr="00610751" w:rsidRDefault="00610751" w:rsidP="00610751">
            <w:pPr>
              <w:widowControl/>
              <w:overflowPunct/>
              <w:autoSpaceDE/>
              <w:autoSpaceDN/>
              <w:adjustRightInd/>
              <w:jc w:val="center"/>
              <w:rPr>
                <w:kern w:val="0"/>
              </w:rPr>
            </w:pPr>
            <w:r w:rsidRPr="00610751">
              <w:rPr>
                <w:kern w:val="0"/>
              </w:rPr>
              <w:t>-0.011</w:t>
            </w:r>
          </w:p>
        </w:tc>
        <w:tc>
          <w:tcPr>
            <w:tcW w:w="2086" w:type="dxa"/>
            <w:tcBorders>
              <w:bottom w:val="dashed" w:sz="4" w:space="0" w:color="auto"/>
            </w:tcBorders>
            <w:shd w:val="clear" w:color="auto" w:fill="auto"/>
            <w:noWrap/>
          </w:tcPr>
          <w:p w14:paraId="67D65D92" w14:textId="77777777" w:rsidR="00610751" w:rsidRPr="00610751" w:rsidRDefault="00610751" w:rsidP="00610751">
            <w:pPr>
              <w:widowControl/>
              <w:overflowPunct/>
              <w:autoSpaceDE/>
              <w:autoSpaceDN/>
              <w:adjustRightInd/>
              <w:jc w:val="center"/>
              <w:rPr>
                <w:kern w:val="0"/>
              </w:rPr>
            </w:pPr>
            <w:r w:rsidRPr="00610751">
              <w:rPr>
                <w:kern w:val="0"/>
              </w:rPr>
              <w:t>-0.070 to 0.047</w:t>
            </w:r>
          </w:p>
        </w:tc>
        <w:tc>
          <w:tcPr>
            <w:tcW w:w="1080" w:type="dxa"/>
            <w:tcBorders>
              <w:bottom w:val="dashed" w:sz="4" w:space="0" w:color="auto"/>
            </w:tcBorders>
            <w:shd w:val="clear" w:color="auto" w:fill="auto"/>
            <w:noWrap/>
          </w:tcPr>
          <w:p w14:paraId="25D0939D" w14:textId="77777777" w:rsidR="00610751" w:rsidRPr="00610751" w:rsidRDefault="00610751" w:rsidP="00610751">
            <w:pPr>
              <w:widowControl/>
              <w:overflowPunct/>
              <w:autoSpaceDE/>
              <w:autoSpaceDN/>
              <w:adjustRightInd/>
              <w:jc w:val="center"/>
              <w:rPr>
                <w:kern w:val="0"/>
              </w:rPr>
            </w:pPr>
            <w:r w:rsidRPr="00610751">
              <w:rPr>
                <w:kern w:val="0"/>
              </w:rPr>
              <w:t>66.42*</w:t>
            </w:r>
          </w:p>
        </w:tc>
        <w:tc>
          <w:tcPr>
            <w:tcW w:w="1440" w:type="dxa"/>
            <w:vMerge/>
            <w:tcBorders>
              <w:bottom w:val="dashed" w:sz="4" w:space="0" w:color="auto"/>
            </w:tcBorders>
          </w:tcPr>
          <w:p w14:paraId="4DBBC540" w14:textId="77777777" w:rsidR="00610751" w:rsidRPr="00610751" w:rsidRDefault="00610751" w:rsidP="00610751">
            <w:pPr>
              <w:widowControl/>
              <w:overflowPunct/>
              <w:autoSpaceDE/>
              <w:autoSpaceDN/>
              <w:adjustRightInd/>
              <w:jc w:val="center"/>
              <w:rPr>
                <w:kern w:val="0"/>
              </w:rPr>
            </w:pPr>
          </w:p>
        </w:tc>
      </w:tr>
      <w:tr w:rsidR="00610751" w:rsidRPr="00610751" w14:paraId="1095E4BF" w14:textId="77777777" w:rsidTr="00DB7B9A">
        <w:trPr>
          <w:cantSplit/>
          <w:trHeight w:val="20"/>
        </w:trPr>
        <w:tc>
          <w:tcPr>
            <w:tcW w:w="2880" w:type="dxa"/>
            <w:tcBorders>
              <w:top w:val="dashed" w:sz="4" w:space="0" w:color="auto"/>
            </w:tcBorders>
            <w:shd w:val="clear" w:color="auto" w:fill="auto"/>
            <w:noWrap/>
            <w:vAlign w:val="center"/>
          </w:tcPr>
          <w:p w14:paraId="6D546193" w14:textId="77777777" w:rsidR="00610751" w:rsidRPr="00610751" w:rsidRDefault="00610751" w:rsidP="00610751">
            <w:pPr>
              <w:widowControl/>
              <w:overflowPunct/>
              <w:autoSpaceDE/>
              <w:autoSpaceDN/>
              <w:adjustRightInd/>
              <w:rPr>
                <w:kern w:val="0"/>
              </w:rPr>
            </w:pPr>
            <w:r w:rsidRPr="00610751">
              <w:rPr>
                <w:kern w:val="0"/>
              </w:rPr>
              <w:t>Holistic Autonomy</w:t>
            </w:r>
          </w:p>
        </w:tc>
        <w:tc>
          <w:tcPr>
            <w:tcW w:w="1080" w:type="dxa"/>
            <w:tcBorders>
              <w:top w:val="dashed" w:sz="4" w:space="0" w:color="auto"/>
            </w:tcBorders>
            <w:shd w:val="clear" w:color="auto" w:fill="auto"/>
            <w:noWrap/>
            <w:vAlign w:val="center"/>
          </w:tcPr>
          <w:p w14:paraId="59302BE1" w14:textId="77777777" w:rsidR="00610751" w:rsidRPr="00610751" w:rsidRDefault="00610751" w:rsidP="00610751">
            <w:pPr>
              <w:widowControl/>
              <w:overflowPunct/>
              <w:autoSpaceDE/>
              <w:autoSpaceDN/>
              <w:adjustRightInd/>
              <w:jc w:val="center"/>
              <w:rPr>
                <w:kern w:val="0"/>
              </w:rPr>
            </w:pPr>
          </w:p>
        </w:tc>
        <w:tc>
          <w:tcPr>
            <w:tcW w:w="1083" w:type="dxa"/>
            <w:tcBorders>
              <w:top w:val="dashed" w:sz="4" w:space="0" w:color="auto"/>
            </w:tcBorders>
            <w:shd w:val="clear" w:color="auto" w:fill="auto"/>
            <w:noWrap/>
            <w:vAlign w:val="center"/>
          </w:tcPr>
          <w:p w14:paraId="28102ABC" w14:textId="77777777" w:rsidR="00610751" w:rsidRPr="00610751" w:rsidRDefault="00610751" w:rsidP="00610751">
            <w:pPr>
              <w:widowControl/>
              <w:overflowPunct/>
              <w:autoSpaceDE/>
              <w:autoSpaceDN/>
              <w:adjustRightInd/>
              <w:jc w:val="center"/>
              <w:rPr>
                <w:kern w:val="0"/>
              </w:rPr>
            </w:pPr>
          </w:p>
        </w:tc>
        <w:tc>
          <w:tcPr>
            <w:tcW w:w="2086" w:type="dxa"/>
            <w:tcBorders>
              <w:top w:val="dashed" w:sz="4" w:space="0" w:color="auto"/>
            </w:tcBorders>
            <w:shd w:val="clear" w:color="auto" w:fill="auto"/>
            <w:noWrap/>
            <w:vAlign w:val="center"/>
          </w:tcPr>
          <w:p w14:paraId="0F443987" w14:textId="77777777" w:rsidR="00610751" w:rsidRPr="00610751" w:rsidRDefault="00610751" w:rsidP="00610751">
            <w:pPr>
              <w:widowControl/>
              <w:overflowPunct/>
              <w:autoSpaceDE/>
              <w:autoSpaceDN/>
              <w:adjustRightInd/>
              <w:jc w:val="center"/>
              <w:rPr>
                <w:kern w:val="0"/>
              </w:rPr>
            </w:pPr>
          </w:p>
        </w:tc>
        <w:tc>
          <w:tcPr>
            <w:tcW w:w="1080" w:type="dxa"/>
            <w:tcBorders>
              <w:top w:val="dashed" w:sz="4" w:space="0" w:color="auto"/>
            </w:tcBorders>
            <w:shd w:val="clear" w:color="auto" w:fill="auto"/>
            <w:noWrap/>
            <w:vAlign w:val="center"/>
          </w:tcPr>
          <w:p w14:paraId="475FB19B" w14:textId="77777777" w:rsidR="00610751" w:rsidRPr="00610751" w:rsidRDefault="00610751" w:rsidP="00610751">
            <w:pPr>
              <w:widowControl/>
              <w:overflowPunct/>
              <w:autoSpaceDE/>
              <w:autoSpaceDN/>
              <w:adjustRightInd/>
              <w:jc w:val="center"/>
              <w:rPr>
                <w:kern w:val="0"/>
              </w:rPr>
            </w:pPr>
          </w:p>
        </w:tc>
        <w:tc>
          <w:tcPr>
            <w:tcW w:w="1440" w:type="dxa"/>
            <w:tcBorders>
              <w:top w:val="dashed" w:sz="4" w:space="0" w:color="auto"/>
            </w:tcBorders>
          </w:tcPr>
          <w:p w14:paraId="3D2D5EAD" w14:textId="77777777" w:rsidR="00610751" w:rsidRPr="00610751" w:rsidRDefault="00610751" w:rsidP="00610751">
            <w:pPr>
              <w:widowControl/>
              <w:overflowPunct/>
              <w:autoSpaceDE/>
              <w:autoSpaceDN/>
              <w:adjustRightInd/>
              <w:jc w:val="center"/>
              <w:rPr>
                <w:kern w:val="0"/>
              </w:rPr>
            </w:pPr>
          </w:p>
        </w:tc>
      </w:tr>
      <w:tr w:rsidR="00610751" w:rsidRPr="00610751" w14:paraId="6DC94DFE" w14:textId="77777777" w:rsidTr="00DB7B9A">
        <w:trPr>
          <w:cantSplit/>
          <w:trHeight w:val="20"/>
        </w:trPr>
        <w:tc>
          <w:tcPr>
            <w:tcW w:w="2880" w:type="dxa"/>
            <w:shd w:val="clear" w:color="auto" w:fill="auto"/>
            <w:noWrap/>
            <w:vAlign w:val="center"/>
          </w:tcPr>
          <w:p w14:paraId="61753B51" w14:textId="77777777" w:rsidR="00610751" w:rsidRPr="00610751" w:rsidRDefault="00610751" w:rsidP="00610751">
            <w:pPr>
              <w:widowControl/>
              <w:overflowPunct/>
              <w:autoSpaceDE/>
              <w:autoSpaceDN/>
              <w:adjustRightInd/>
              <w:rPr>
                <w:kern w:val="0"/>
              </w:rPr>
            </w:pPr>
            <w:r w:rsidRPr="00610751">
              <w:rPr>
                <w:kern w:val="0"/>
              </w:rPr>
              <w:t>---(A1) Goal alignment</w:t>
            </w:r>
          </w:p>
        </w:tc>
        <w:tc>
          <w:tcPr>
            <w:tcW w:w="1080" w:type="dxa"/>
            <w:shd w:val="clear" w:color="auto" w:fill="auto"/>
            <w:noWrap/>
          </w:tcPr>
          <w:p w14:paraId="69717AA6" w14:textId="77777777" w:rsidR="00610751" w:rsidRPr="00610751" w:rsidRDefault="00610751" w:rsidP="00610751">
            <w:pPr>
              <w:widowControl/>
              <w:overflowPunct/>
              <w:autoSpaceDE/>
              <w:autoSpaceDN/>
              <w:adjustRightInd/>
              <w:jc w:val="center"/>
              <w:rPr>
                <w:kern w:val="0"/>
              </w:rPr>
            </w:pPr>
            <w:r w:rsidRPr="00610751">
              <w:rPr>
                <w:kern w:val="0"/>
              </w:rPr>
              <w:t>27</w:t>
            </w:r>
          </w:p>
        </w:tc>
        <w:tc>
          <w:tcPr>
            <w:tcW w:w="1083" w:type="dxa"/>
            <w:shd w:val="clear" w:color="auto" w:fill="auto"/>
            <w:noWrap/>
          </w:tcPr>
          <w:p w14:paraId="417B258B" w14:textId="77777777" w:rsidR="00610751" w:rsidRPr="00610751" w:rsidRDefault="00610751" w:rsidP="00610751">
            <w:pPr>
              <w:widowControl/>
              <w:overflowPunct/>
              <w:autoSpaceDE/>
              <w:autoSpaceDN/>
              <w:adjustRightInd/>
              <w:jc w:val="center"/>
              <w:rPr>
                <w:kern w:val="0"/>
              </w:rPr>
            </w:pPr>
            <w:r w:rsidRPr="00610751">
              <w:rPr>
                <w:kern w:val="0"/>
              </w:rPr>
              <w:t>-0.065</w:t>
            </w:r>
          </w:p>
        </w:tc>
        <w:tc>
          <w:tcPr>
            <w:tcW w:w="2086" w:type="dxa"/>
            <w:shd w:val="clear" w:color="auto" w:fill="auto"/>
            <w:noWrap/>
          </w:tcPr>
          <w:p w14:paraId="2C5C2D46" w14:textId="77777777" w:rsidR="00610751" w:rsidRPr="00610751" w:rsidRDefault="00610751" w:rsidP="00610751">
            <w:pPr>
              <w:widowControl/>
              <w:overflowPunct/>
              <w:autoSpaceDE/>
              <w:autoSpaceDN/>
              <w:adjustRightInd/>
              <w:jc w:val="center"/>
              <w:rPr>
                <w:kern w:val="0"/>
              </w:rPr>
            </w:pPr>
            <w:r w:rsidRPr="00610751">
              <w:rPr>
                <w:kern w:val="0"/>
              </w:rPr>
              <w:t>-0.141 to 0.011</w:t>
            </w:r>
          </w:p>
        </w:tc>
        <w:tc>
          <w:tcPr>
            <w:tcW w:w="1080" w:type="dxa"/>
            <w:shd w:val="clear" w:color="auto" w:fill="auto"/>
            <w:noWrap/>
          </w:tcPr>
          <w:p w14:paraId="67419FDB" w14:textId="77777777" w:rsidR="00610751" w:rsidRPr="00610751" w:rsidRDefault="00610751" w:rsidP="00610751">
            <w:pPr>
              <w:widowControl/>
              <w:overflowPunct/>
              <w:autoSpaceDE/>
              <w:autoSpaceDN/>
              <w:adjustRightInd/>
              <w:jc w:val="center"/>
              <w:rPr>
                <w:kern w:val="0"/>
              </w:rPr>
            </w:pPr>
            <w:r w:rsidRPr="00610751">
              <w:rPr>
                <w:kern w:val="0"/>
              </w:rPr>
              <w:t>168.65*</w:t>
            </w:r>
          </w:p>
        </w:tc>
        <w:tc>
          <w:tcPr>
            <w:tcW w:w="1440" w:type="dxa"/>
            <w:vMerge w:val="restart"/>
            <w:vAlign w:val="center"/>
          </w:tcPr>
          <w:p w14:paraId="5B9E950F" w14:textId="77777777" w:rsidR="00610751" w:rsidRPr="00610751" w:rsidRDefault="00610751" w:rsidP="00610751">
            <w:pPr>
              <w:widowControl/>
              <w:overflowPunct/>
              <w:autoSpaceDE/>
              <w:autoSpaceDN/>
              <w:adjustRightInd/>
              <w:jc w:val="center"/>
              <w:rPr>
                <w:kern w:val="0"/>
              </w:rPr>
            </w:pPr>
            <w:r w:rsidRPr="00610751">
              <w:rPr>
                <w:kern w:val="0"/>
              </w:rPr>
              <w:t>F1 &gt; F2</w:t>
            </w:r>
          </w:p>
        </w:tc>
      </w:tr>
      <w:tr w:rsidR="00610751" w:rsidRPr="00610751" w14:paraId="58EFB528" w14:textId="77777777" w:rsidTr="00DB7B9A">
        <w:trPr>
          <w:cantSplit/>
          <w:trHeight w:val="20"/>
        </w:trPr>
        <w:tc>
          <w:tcPr>
            <w:tcW w:w="2880" w:type="dxa"/>
            <w:shd w:val="clear" w:color="auto" w:fill="auto"/>
            <w:noWrap/>
            <w:vAlign w:val="center"/>
          </w:tcPr>
          <w:p w14:paraId="5EC1F88A" w14:textId="77777777" w:rsidR="00610751" w:rsidRPr="00610751" w:rsidRDefault="00610751" w:rsidP="00610751">
            <w:pPr>
              <w:widowControl/>
              <w:overflowPunct/>
              <w:autoSpaceDE/>
              <w:autoSpaceDN/>
              <w:adjustRightInd/>
              <w:rPr>
                <w:kern w:val="0"/>
              </w:rPr>
            </w:pPr>
            <w:r w:rsidRPr="00610751">
              <w:rPr>
                <w:kern w:val="0"/>
              </w:rPr>
              <w:t>---(B1) Past performance</w:t>
            </w:r>
          </w:p>
        </w:tc>
        <w:tc>
          <w:tcPr>
            <w:tcW w:w="1080" w:type="dxa"/>
            <w:shd w:val="clear" w:color="auto" w:fill="auto"/>
            <w:noWrap/>
          </w:tcPr>
          <w:p w14:paraId="5268BC4B" w14:textId="77777777" w:rsidR="00610751" w:rsidRPr="00610751" w:rsidRDefault="00610751" w:rsidP="00610751">
            <w:pPr>
              <w:widowControl/>
              <w:overflowPunct/>
              <w:autoSpaceDE/>
              <w:autoSpaceDN/>
              <w:adjustRightInd/>
              <w:jc w:val="center"/>
              <w:rPr>
                <w:kern w:val="0"/>
              </w:rPr>
            </w:pPr>
            <w:r w:rsidRPr="00610751">
              <w:rPr>
                <w:kern w:val="0"/>
              </w:rPr>
              <w:t>12</w:t>
            </w:r>
          </w:p>
        </w:tc>
        <w:tc>
          <w:tcPr>
            <w:tcW w:w="1083" w:type="dxa"/>
            <w:shd w:val="clear" w:color="auto" w:fill="auto"/>
            <w:noWrap/>
          </w:tcPr>
          <w:p w14:paraId="170C743F" w14:textId="77777777" w:rsidR="00610751" w:rsidRPr="00610751" w:rsidRDefault="00610751" w:rsidP="00610751">
            <w:pPr>
              <w:widowControl/>
              <w:overflowPunct/>
              <w:autoSpaceDE/>
              <w:autoSpaceDN/>
              <w:adjustRightInd/>
              <w:jc w:val="center"/>
              <w:rPr>
                <w:kern w:val="0"/>
              </w:rPr>
            </w:pPr>
            <w:r w:rsidRPr="00610751">
              <w:rPr>
                <w:kern w:val="0"/>
              </w:rPr>
              <w:t>0.051</w:t>
            </w:r>
          </w:p>
        </w:tc>
        <w:tc>
          <w:tcPr>
            <w:tcW w:w="2086" w:type="dxa"/>
            <w:shd w:val="clear" w:color="auto" w:fill="auto"/>
            <w:noWrap/>
          </w:tcPr>
          <w:p w14:paraId="53D4570C" w14:textId="77777777" w:rsidR="00610751" w:rsidRPr="00610751" w:rsidRDefault="00610751" w:rsidP="00610751">
            <w:pPr>
              <w:widowControl/>
              <w:overflowPunct/>
              <w:autoSpaceDE/>
              <w:autoSpaceDN/>
              <w:adjustRightInd/>
              <w:jc w:val="center"/>
              <w:rPr>
                <w:kern w:val="0"/>
              </w:rPr>
            </w:pPr>
            <w:r w:rsidRPr="00610751">
              <w:rPr>
                <w:kern w:val="0"/>
              </w:rPr>
              <w:t>-0.065 to 0.167</w:t>
            </w:r>
          </w:p>
        </w:tc>
        <w:tc>
          <w:tcPr>
            <w:tcW w:w="1080" w:type="dxa"/>
            <w:shd w:val="clear" w:color="auto" w:fill="auto"/>
            <w:noWrap/>
          </w:tcPr>
          <w:p w14:paraId="141C501D" w14:textId="77777777" w:rsidR="00610751" w:rsidRPr="00610751" w:rsidRDefault="00610751" w:rsidP="00610751">
            <w:pPr>
              <w:widowControl/>
              <w:overflowPunct/>
              <w:autoSpaceDE/>
              <w:autoSpaceDN/>
              <w:adjustRightInd/>
              <w:jc w:val="center"/>
              <w:rPr>
                <w:kern w:val="0"/>
              </w:rPr>
            </w:pPr>
            <w:r w:rsidRPr="00610751">
              <w:rPr>
                <w:kern w:val="0"/>
              </w:rPr>
              <w:t>87.36*</w:t>
            </w:r>
          </w:p>
        </w:tc>
        <w:tc>
          <w:tcPr>
            <w:tcW w:w="1440" w:type="dxa"/>
            <w:vMerge/>
          </w:tcPr>
          <w:p w14:paraId="1D3A1977" w14:textId="77777777" w:rsidR="00610751" w:rsidRPr="00610751" w:rsidRDefault="00610751" w:rsidP="00610751">
            <w:pPr>
              <w:widowControl/>
              <w:overflowPunct/>
              <w:autoSpaceDE/>
              <w:autoSpaceDN/>
              <w:adjustRightInd/>
              <w:jc w:val="center"/>
              <w:rPr>
                <w:kern w:val="0"/>
              </w:rPr>
            </w:pPr>
          </w:p>
        </w:tc>
      </w:tr>
      <w:tr w:rsidR="00610751" w:rsidRPr="00610751" w14:paraId="422F13EC" w14:textId="77777777" w:rsidTr="00DB7B9A">
        <w:trPr>
          <w:cantSplit/>
          <w:trHeight w:val="20"/>
        </w:trPr>
        <w:tc>
          <w:tcPr>
            <w:tcW w:w="2880" w:type="dxa"/>
            <w:shd w:val="clear" w:color="auto" w:fill="auto"/>
            <w:noWrap/>
            <w:vAlign w:val="center"/>
          </w:tcPr>
          <w:p w14:paraId="7F05B1F1" w14:textId="77777777" w:rsidR="00610751" w:rsidRPr="00610751" w:rsidRDefault="00610751" w:rsidP="00610751">
            <w:pPr>
              <w:widowControl/>
              <w:overflowPunct/>
              <w:autoSpaceDE/>
              <w:autoSpaceDN/>
              <w:adjustRightInd/>
              <w:rPr>
                <w:kern w:val="0"/>
              </w:rPr>
            </w:pPr>
            <w:r w:rsidRPr="00610751">
              <w:rPr>
                <w:kern w:val="0"/>
              </w:rPr>
              <w:t>---(C1) Institutional distance</w:t>
            </w:r>
          </w:p>
        </w:tc>
        <w:tc>
          <w:tcPr>
            <w:tcW w:w="1080" w:type="dxa"/>
            <w:shd w:val="clear" w:color="auto" w:fill="auto"/>
            <w:noWrap/>
          </w:tcPr>
          <w:p w14:paraId="188878C4" w14:textId="77777777" w:rsidR="00610751" w:rsidRPr="00610751" w:rsidRDefault="00610751" w:rsidP="00610751">
            <w:pPr>
              <w:widowControl/>
              <w:overflowPunct/>
              <w:autoSpaceDE/>
              <w:autoSpaceDN/>
              <w:adjustRightInd/>
              <w:jc w:val="center"/>
              <w:rPr>
                <w:kern w:val="0"/>
              </w:rPr>
            </w:pPr>
            <w:r w:rsidRPr="00610751">
              <w:rPr>
                <w:kern w:val="0"/>
              </w:rPr>
              <w:t>40</w:t>
            </w:r>
          </w:p>
        </w:tc>
        <w:tc>
          <w:tcPr>
            <w:tcW w:w="1083" w:type="dxa"/>
            <w:shd w:val="clear" w:color="auto" w:fill="auto"/>
            <w:noWrap/>
          </w:tcPr>
          <w:p w14:paraId="468DC7C0" w14:textId="77777777" w:rsidR="00610751" w:rsidRPr="00610751" w:rsidRDefault="00610751" w:rsidP="00610751">
            <w:pPr>
              <w:widowControl/>
              <w:overflowPunct/>
              <w:autoSpaceDE/>
              <w:autoSpaceDN/>
              <w:adjustRightInd/>
              <w:jc w:val="center"/>
              <w:rPr>
                <w:kern w:val="0"/>
              </w:rPr>
            </w:pPr>
            <w:r w:rsidRPr="00610751">
              <w:rPr>
                <w:kern w:val="0"/>
              </w:rPr>
              <w:t>0.031</w:t>
            </w:r>
          </w:p>
        </w:tc>
        <w:tc>
          <w:tcPr>
            <w:tcW w:w="2086" w:type="dxa"/>
            <w:shd w:val="clear" w:color="auto" w:fill="auto"/>
            <w:noWrap/>
          </w:tcPr>
          <w:p w14:paraId="4834F4B4" w14:textId="77777777" w:rsidR="00610751" w:rsidRPr="00610751" w:rsidRDefault="00610751" w:rsidP="00610751">
            <w:pPr>
              <w:widowControl/>
              <w:overflowPunct/>
              <w:autoSpaceDE/>
              <w:autoSpaceDN/>
              <w:adjustRightInd/>
              <w:jc w:val="center"/>
              <w:rPr>
                <w:kern w:val="0"/>
              </w:rPr>
            </w:pPr>
            <w:r w:rsidRPr="00610751">
              <w:rPr>
                <w:kern w:val="0"/>
              </w:rPr>
              <w:t>-0.055 to 0.118</w:t>
            </w:r>
          </w:p>
        </w:tc>
        <w:tc>
          <w:tcPr>
            <w:tcW w:w="1080" w:type="dxa"/>
            <w:shd w:val="clear" w:color="auto" w:fill="auto"/>
            <w:noWrap/>
          </w:tcPr>
          <w:p w14:paraId="329C8312" w14:textId="77777777" w:rsidR="00610751" w:rsidRPr="00610751" w:rsidRDefault="00610751" w:rsidP="00610751">
            <w:pPr>
              <w:widowControl/>
              <w:overflowPunct/>
              <w:autoSpaceDE/>
              <w:autoSpaceDN/>
              <w:adjustRightInd/>
              <w:jc w:val="center"/>
              <w:rPr>
                <w:kern w:val="0"/>
              </w:rPr>
            </w:pPr>
            <w:r w:rsidRPr="00610751">
              <w:rPr>
                <w:kern w:val="0"/>
              </w:rPr>
              <w:t>709.90*</w:t>
            </w:r>
          </w:p>
        </w:tc>
        <w:tc>
          <w:tcPr>
            <w:tcW w:w="1440" w:type="dxa"/>
            <w:vMerge/>
          </w:tcPr>
          <w:p w14:paraId="395D0FAC" w14:textId="77777777" w:rsidR="00610751" w:rsidRPr="00610751" w:rsidRDefault="00610751" w:rsidP="00610751">
            <w:pPr>
              <w:widowControl/>
              <w:overflowPunct/>
              <w:autoSpaceDE/>
              <w:autoSpaceDN/>
              <w:adjustRightInd/>
              <w:jc w:val="center"/>
              <w:rPr>
                <w:kern w:val="0"/>
              </w:rPr>
            </w:pPr>
          </w:p>
        </w:tc>
      </w:tr>
      <w:tr w:rsidR="00610751" w:rsidRPr="00610751" w14:paraId="1BC0C79A" w14:textId="77777777" w:rsidTr="00DB7B9A">
        <w:trPr>
          <w:cantSplit/>
          <w:trHeight w:val="20"/>
        </w:trPr>
        <w:tc>
          <w:tcPr>
            <w:tcW w:w="2880" w:type="dxa"/>
            <w:shd w:val="clear" w:color="auto" w:fill="auto"/>
            <w:noWrap/>
            <w:vAlign w:val="center"/>
          </w:tcPr>
          <w:p w14:paraId="231C27CB" w14:textId="77777777" w:rsidR="00610751" w:rsidRPr="00610751" w:rsidRDefault="00610751" w:rsidP="00610751">
            <w:pPr>
              <w:widowControl/>
              <w:overflowPunct/>
              <w:autoSpaceDE/>
              <w:autoSpaceDN/>
              <w:adjustRightInd/>
              <w:rPr>
                <w:kern w:val="0"/>
              </w:rPr>
            </w:pPr>
            <w:r w:rsidRPr="00610751">
              <w:rPr>
                <w:kern w:val="0"/>
              </w:rPr>
              <w:t>---(D1) Host country constraints</w:t>
            </w:r>
          </w:p>
        </w:tc>
        <w:tc>
          <w:tcPr>
            <w:tcW w:w="1080" w:type="dxa"/>
            <w:shd w:val="clear" w:color="auto" w:fill="auto"/>
            <w:noWrap/>
          </w:tcPr>
          <w:p w14:paraId="0A2F4F2C" w14:textId="77777777" w:rsidR="00610751" w:rsidRPr="00610751" w:rsidRDefault="00610751" w:rsidP="00610751">
            <w:pPr>
              <w:widowControl/>
              <w:overflowPunct/>
              <w:autoSpaceDE/>
              <w:autoSpaceDN/>
              <w:adjustRightInd/>
              <w:jc w:val="center"/>
              <w:rPr>
                <w:kern w:val="0"/>
              </w:rPr>
            </w:pPr>
            <w:r w:rsidRPr="00610751">
              <w:rPr>
                <w:kern w:val="0"/>
              </w:rPr>
              <w:t>28</w:t>
            </w:r>
          </w:p>
        </w:tc>
        <w:tc>
          <w:tcPr>
            <w:tcW w:w="1083" w:type="dxa"/>
            <w:shd w:val="clear" w:color="auto" w:fill="auto"/>
            <w:noWrap/>
          </w:tcPr>
          <w:p w14:paraId="53FCF5D8" w14:textId="77777777" w:rsidR="00610751" w:rsidRPr="00610751" w:rsidRDefault="00610751" w:rsidP="00610751">
            <w:pPr>
              <w:widowControl/>
              <w:overflowPunct/>
              <w:autoSpaceDE/>
              <w:autoSpaceDN/>
              <w:adjustRightInd/>
              <w:jc w:val="center"/>
              <w:rPr>
                <w:kern w:val="0"/>
              </w:rPr>
            </w:pPr>
            <w:r w:rsidRPr="00610751">
              <w:rPr>
                <w:kern w:val="0"/>
              </w:rPr>
              <w:t>0.026</w:t>
            </w:r>
          </w:p>
        </w:tc>
        <w:tc>
          <w:tcPr>
            <w:tcW w:w="2086" w:type="dxa"/>
            <w:shd w:val="clear" w:color="auto" w:fill="auto"/>
            <w:noWrap/>
          </w:tcPr>
          <w:p w14:paraId="2A70356A" w14:textId="77777777" w:rsidR="00610751" w:rsidRPr="00610751" w:rsidRDefault="00610751" w:rsidP="00610751">
            <w:pPr>
              <w:widowControl/>
              <w:overflowPunct/>
              <w:autoSpaceDE/>
              <w:autoSpaceDN/>
              <w:adjustRightInd/>
              <w:jc w:val="center"/>
              <w:rPr>
                <w:kern w:val="0"/>
              </w:rPr>
            </w:pPr>
            <w:r w:rsidRPr="00610751">
              <w:rPr>
                <w:kern w:val="0"/>
              </w:rPr>
              <w:t>-0.058 to 0.110</w:t>
            </w:r>
          </w:p>
        </w:tc>
        <w:tc>
          <w:tcPr>
            <w:tcW w:w="1080" w:type="dxa"/>
            <w:shd w:val="clear" w:color="auto" w:fill="auto"/>
            <w:noWrap/>
          </w:tcPr>
          <w:p w14:paraId="2DBDE419" w14:textId="77777777" w:rsidR="00610751" w:rsidRPr="00610751" w:rsidRDefault="00610751" w:rsidP="00610751">
            <w:pPr>
              <w:widowControl/>
              <w:overflowPunct/>
              <w:autoSpaceDE/>
              <w:autoSpaceDN/>
              <w:adjustRightInd/>
              <w:jc w:val="center"/>
              <w:rPr>
                <w:kern w:val="0"/>
              </w:rPr>
            </w:pPr>
            <w:r w:rsidRPr="00610751">
              <w:rPr>
                <w:kern w:val="0"/>
              </w:rPr>
              <w:t>374.30*</w:t>
            </w:r>
          </w:p>
        </w:tc>
        <w:tc>
          <w:tcPr>
            <w:tcW w:w="1440" w:type="dxa"/>
            <w:vMerge/>
          </w:tcPr>
          <w:p w14:paraId="68E45C96" w14:textId="77777777" w:rsidR="00610751" w:rsidRPr="00610751" w:rsidRDefault="00610751" w:rsidP="00610751">
            <w:pPr>
              <w:widowControl/>
              <w:overflowPunct/>
              <w:autoSpaceDE/>
              <w:autoSpaceDN/>
              <w:adjustRightInd/>
              <w:jc w:val="center"/>
              <w:rPr>
                <w:kern w:val="0"/>
              </w:rPr>
            </w:pPr>
          </w:p>
        </w:tc>
      </w:tr>
      <w:tr w:rsidR="00610751" w:rsidRPr="00610751" w14:paraId="548AB4EB" w14:textId="77777777" w:rsidTr="00DB7B9A">
        <w:trPr>
          <w:cantSplit/>
          <w:trHeight w:val="20"/>
        </w:trPr>
        <w:tc>
          <w:tcPr>
            <w:tcW w:w="2880" w:type="dxa"/>
            <w:shd w:val="clear" w:color="auto" w:fill="auto"/>
            <w:noWrap/>
            <w:vAlign w:val="center"/>
          </w:tcPr>
          <w:p w14:paraId="4DB62201" w14:textId="77777777" w:rsidR="00610751" w:rsidRPr="00610751" w:rsidRDefault="00610751" w:rsidP="00610751">
            <w:pPr>
              <w:widowControl/>
              <w:overflowPunct/>
              <w:autoSpaceDE/>
              <w:autoSpaceDN/>
              <w:adjustRightInd/>
              <w:rPr>
                <w:kern w:val="0"/>
              </w:rPr>
            </w:pPr>
            <w:r w:rsidRPr="00610751">
              <w:rPr>
                <w:kern w:val="0"/>
              </w:rPr>
              <w:t>---(E1) Value chain breadth</w:t>
            </w:r>
          </w:p>
        </w:tc>
        <w:tc>
          <w:tcPr>
            <w:tcW w:w="1080" w:type="dxa"/>
            <w:shd w:val="clear" w:color="auto" w:fill="auto"/>
            <w:noWrap/>
          </w:tcPr>
          <w:p w14:paraId="5F437001" w14:textId="77777777" w:rsidR="00610751" w:rsidRPr="00610751" w:rsidRDefault="00610751" w:rsidP="00610751">
            <w:pPr>
              <w:widowControl/>
              <w:overflowPunct/>
              <w:autoSpaceDE/>
              <w:autoSpaceDN/>
              <w:adjustRightInd/>
              <w:jc w:val="center"/>
              <w:rPr>
                <w:kern w:val="0"/>
              </w:rPr>
            </w:pPr>
            <w:r w:rsidRPr="00610751">
              <w:rPr>
                <w:kern w:val="0"/>
              </w:rPr>
              <w:t>13</w:t>
            </w:r>
          </w:p>
        </w:tc>
        <w:tc>
          <w:tcPr>
            <w:tcW w:w="1083" w:type="dxa"/>
            <w:shd w:val="clear" w:color="auto" w:fill="auto"/>
            <w:noWrap/>
          </w:tcPr>
          <w:p w14:paraId="392CC8EE" w14:textId="77777777" w:rsidR="00610751" w:rsidRPr="00610751" w:rsidRDefault="00610751" w:rsidP="00610751">
            <w:pPr>
              <w:widowControl/>
              <w:overflowPunct/>
              <w:autoSpaceDE/>
              <w:autoSpaceDN/>
              <w:adjustRightInd/>
              <w:jc w:val="center"/>
              <w:rPr>
                <w:kern w:val="0"/>
              </w:rPr>
            </w:pPr>
            <w:r w:rsidRPr="00610751">
              <w:rPr>
                <w:kern w:val="0"/>
              </w:rPr>
              <w:t>0.111</w:t>
            </w:r>
          </w:p>
        </w:tc>
        <w:tc>
          <w:tcPr>
            <w:tcW w:w="2086" w:type="dxa"/>
            <w:shd w:val="clear" w:color="auto" w:fill="auto"/>
            <w:noWrap/>
          </w:tcPr>
          <w:p w14:paraId="062521E4" w14:textId="77777777" w:rsidR="00610751" w:rsidRPr="00610751" w:rsidRDefault="00610751" w:rsidP="00610751">
            <w:pPr>
              <w:widowControl/>
              <w:overflowPunct/>
              <w:autoSpaceDE/>
              <w:autoSpaceDN/>
              <w:adjustRightInd/>
              <w:jc w:val="center"/>
              <w:rPr>
                <w:kern w:val="0"/>
              </w:rPr>
            </w:pPr>
            <w:r w:rsidRPr="00610751">
              <w:rPr>
                <w:kern w:val="0"/>
              </w:rPr>
              <w:t>-0.050 to 0.273</w:t>
            </w:r>
          </w:p>
        </w:tc>
        <w:tc>
          <w:tcPr>
            <w:tcW w:w="1080" w:type="dxa"/>
            <w:shd w:val="clear" w:color="auto" w:fill="auto"/>
            <w:noWrap/>
          </w:tcPr>
          <w:p w14:paraId="5991C99F" w14:textId="77777777" w:rsidR="00610751" w:rsidRPr="00610751" w:rsidRDefault="00610751" w:rsidP="00610751">
            <w:pPr>
              <w:widowControl/>
              <w:overflowPunct/>
              <w:autoSpaceDE/>
              <w:autoSpaceDN/>
              <w:adjustRightInd/>
              <w:jc w:val="center"/>
              <w:rPr>
                <w:kern w:val="0"/>
              </w:rPr>
            </w:pPr>
            <w:r w:rsidRPr="00610751">
              <w:rPr>
                <w:kern w:val="0"/>
              </w:rPr>
              <w:t>181.94*</w:t>
            </w:r>
          </w:p>
        </w:tc>
        <w:tc>
          <w:tcPr>
            <w:tcW w:w="1440" w:type="dxa"/>
            <w:vMerge/>
          </w:tcPr>
          <w:p w14:paraId="48F0AF87" w14:textId="77777777" w:rsidR="00610751" w:rsidRPr="00610751" w:rsidRDefault="00610751" w:rsidP="00610751">
            <w:pPr>
              <w:widowControl/>
              <w:overflowPunct/>
              <w:autoSpaceDE/>
              <w:autoSpaceDN/>
              <w:adjustRightInd/>
              <w:jc w:val="center"/>
              <w:rPr>
                <w:kern w:val="0"/>
              </w:rPr>
            </w:pPr>
          </w:p>
        </w:tc>
      </w:tr>
      <w:tr w:rsidR="00610751" w:rsidRPr="00610751" w14:paraId="3AC63991" w14:textId="77777777" w:rsidTr="00DB7B9A">
        <w:trPr>
          <w:cantSplit/>
          <w:trHeight w:val="20"/>
        </w:trPr>
        <w:tc>
          <w:tcPr>
            <w:tcW w:w="2880" w:type="dxa"/>
            <w:tcBorders>
              <w:bottom w:val="dashed" w:sz="4" w:space="0" w:color="auto"/>
            </w:tcBorders>
            <w:shd w:val="clear" w:color="auto" w:fill="auto"/>
            <w:noWrap/>
            <w:vAlign w:val="center"/>
          </w:tcPr>
          <w:p w14:paraId="684B8445" w14:textId="77777777" w:rsidR="00610751" w:rsidRPr="00610751" w:rsidRDefault="00610751" w:rsidP="00610751">
            <w:pPr>
              <w:widowControl/>
              <w:overflowPunct/>
              <w:autoSpaceDE/>
              <w:autoSpaceDN/>
              <w:adjustRightInd/>
              <w:rPr>
                <w:kern w:val="0"/>
              </w:rPr>
            </w:pPr>
            <w:r w:rsidRPr="00610751">
              <w:rPr>
                <w:kern w:val="0"/>
              </w:rPr>
              <w:t xml:space="preserve">---(F1) Localization </w:t>
            </w:r>
          </w:p>
        </w:tc>
        <w:tc>
          <w:tcPr>
            <w:tcW w:w="1080" w:type="dxa"/>
            <w:tcBorders>
              <w:bottom w:val="dashed" w:sz="4" w:space="0" w:color="auto"/>
            </w:tcBorders>
            <w:shd w:val="clear" w:color="auto" w:fill="auto"/>
            <w:noWrap/>
          </w:tcPr>
          <w:p w14:paraId="341E304C" w14:textId="77777777" w:rsidR="00610751" w:rsidRPr="00610751" w:rsidRDefault="00610751" w:rsidP="00610751">
            <w:pPr>
              <w:widowControl/>
              <w:overflowPunct/>
              <w:autoSpaceDE/>
              <w:autoSpaceDN/>
              <w:adjustRightInd/>
              <w:jc w:val="center"/>
              <w:rPr>
                <w:kern w:val="0"/>
              </w:rPr>
            </w:pPr>
            <w:r w:rsidRPr="00610751">
              <w:rPr>
                <w:kern w:val="0"/>
              </w:rPr>
              <w:t>18</w:t>
            </w:r>
          </w:p>
        </w:tc>
        <w:tc>
          <w:tcPr>
            <w:tcW w:w="1083" w:type="dxa"/>
            <w:tcBorders>
              <w:bottom w:val="dashed" w:sz="4" w:space="0" w:color="auto"/>
            </w:tcBorders>
            <w:shd w:val="clear" w:color="auto" w:fill="auto"/>
            <w:noWrap/>
          </w:tcPr>
          <w:p w14:paraId="052F964D" w14:textId="77777777" w:rsidR="00610751" w:rsidRPr="00610751" w:rsidRDefault="00610751" w:rsidP="00610751">
            <w:pPr>
              <w:widowControl/>
              <w:overflowPunct/>
              <w:autoSpaceDE/>
              <w:autoSpaceDN/>
              <w:adjustRightInd/>
              <w:jc w:val="center"/>
              <w:rPr>
                <w:kern w:val="0"/>
              </w:rPr>
            </w:pPr>
            <w:r w:rsidRPr="00610751">
              <w:rPr>
                <w:kern w:val="0"/>
              </w:rPr>
              <w:t>0.185</w:t>
            </w:r>
          </w:p>
        </w:tc>
        <w:tc>
          <w:tcPr>
            <w:tcW w:w="2086" w:type="dxa"/>
            <w:tcBorders>
              <w:bottom w:val="dashed" w:sz="4" w:space="0" w:color="auto"/>
            </w:tcBorders>
            <w:shd w:val="clear" w:color="auto" w:fill="auto"/>
            <w:noWrap/>
          </w:tcPr>
          <w:p w14:paraId="0DA5AE6A" w14:textId="77777777" w:rsidR="00610751" w:rsidRPr="00610751" w:rsidRDefault="00610751" w:rsidP="00610751">
            <w:pPr>
              <w:widowControl/>
              <w:overflowPunct/>
              <w:autoSpaceDE/>
              <w:autoSpaceDN/>
              <w:adjustRightInd/>
              <w:jc w:val="center"/>
              <w:rPr>
                <w:kern w:val="0"/>
              </w:rPr>
            </w:pPr>
            <w:r w:rsidRPr="00610751">
              <w:rPr>
                <w:kern w:val="0"/>
              </w:rPr>
              <w:t>0.078 to 0.292*</w:t>
            </w:r>
          </w:p>
        </w:tc>
        <w:tc>
          <w:tcPr>
            <w:tcW w:w="1080" w:type="dxa"/>
            <w:tcBorders>
              <w:bottom w:val="dashed" w:sz="4" w:space="0" w:color="auto"/>
            </w:tcBorders>
            <w:shd w:val="clear" w:color="auto" w:fill="auto"/>
            <w:noWrap/>
          </w:tcPr>
          <w:p w14:paraId="2820D2F4" w14:textId="77777777" w:rsidR="00610751" w:rsidRPr="00610751" w:rsidRDefault="00610751" w:rsidP="00610751">
            <w:pPr>
              <w:widowControl/>
              <w:overflowPunct/>
              <w:autoSpaceDE/>
              <w:autoSpaceDN/>
              <w:adjustRightInd/>
              <w:jc w:val="center"/>
              <w:rPr>
                <w:kern w:val="0"/>
              </w:rPr>
            </w:pPr>
            <w:r w:rsidRPr="00610751">
              <w:rPr>
                <w:kern w:val="0"/>
              </w:rPr>
              <w:t>131.22*</w:t>
            </w:r>
          </w:p>
        </w:tc>
        <w:tc>
          <w:tcPr>
            <w:tcW w:w="1440" w:type="dxa"/>
            <w:vMerge/>
            <w:tcBorders>
              <w:bottom w:val="dashed" w:sz="4" w:space="0" w:color="auto"/>
            </w:tcBorders>
          </w:tcPr>
          <w:p w14:paraId="0E49A832" w14:textId="77777777" w:rsidR="00610751" w:rsidRPr="00610751" w:rsidRDefault="00610751" w:rsidP="00610751">
            <w:pPr>
              <w:widowControl/>
              <w:overflowPunct/>
              <w:autoSpaceDE/>
              <w:autoSpaceDN/>
              <w:adjustRightInd/>
              <w:jc w:val="center"/>
              <w:rPr>
                <w:kern w:val="0"/>
              </w:rPr>
            </w:pPr>
          </w:p>
        </w:tc>
      </w:tr>
      <w:tr w:rsidR="00610751" w:rsidRPr="00610751" w14:paraId="22ECD6F0" w14:textId="77777777" w:rsidTr="00DB7B9A">
        <w:trPr>
          <w:cantSplit/>
          <w:trHeight w:val="20"/>
        </w:trPr>
        <w:tc>
          <w:tcPr>
            <w:tcW w:w="2880" w:type="dxa"/>
            <w:tcBorders>
              <w:top w:val="dashed" w:sz="4" w:space="0" w:color="auto"/>
            </w:tcBorders>
            <w:shd w:val="clear" w:color="auto" w:fill="auto"/>
            <w:noWrap/>
            <w:vAlign w:val="center"/>
          </w:tcPr>
          <w:p w14:paraId="619B3A61" w14:textId="77777777" w:rsidR="00610751" w:rsidRPr="00610751" w:rsidRDefault="00610751" w:rsidP="00610751">
            <w:pPr>
              <w:widowControl/>
              <w:overflowPunct/>
              <w:autoSpaceDE/>
              <w:autoSpaceDN/>
              <w:adjustRightInd/>
              <w:rPr>
                <w:kern w:val="0"/>
              </w:rPr>
            </w:pPr>
            <w:r w:rsidRPr="00610751">
              <w:rPr>
                <w:kern w:val="0"/>
              </w:rPr>
              <w:t>Functional Autonomy</w:t>
            </w:r>
          </w:p>
        </w:tc>
        <w:tc>
          <w:tcPr>
            <w:tcW w:w="1080" w:type="dxa"/>
            <w:tcBorders>
              <w:top w:val="dashed" w:sz="4" w:space="0" w:color="auto"/>
            </w:tcBorders>
            <w:shd w:val="clear" w:color="auto" w:fill="auto"/>
            <w:noWrap/>
            <w:vAlign w:val="center"/>
          </w:tcPr>
          <w:p w14:paraId="1B1B78C0" w14:textId="77777777" w:rsidR="00610751" w:rsidRPr="00610751" w:rsidRDefault="00610751" w:rsidP="00610751">
            <w:pPr>
              <w:widowControl/>
              <w:overflowPunct/>
              <w:autoSpaceDE/>
              <w:autoSpaceDN/>
              <w:adjustRightInd/>
              <w:jc w:val="center"/>
              <w:rPr>
                <w:kern w:val="0"/>
              </w:rPr>
            </w:pPr>
          </w:p>
        </w:tc>
        <w:tc>
          <w:tcPr>
            <w:tcW w:w="1083" w:type="dxa"/>
            <w:tcBorders>
              <w:top w:val="dashed" w:sz="4" w:space="0" w:color="auto"/>
            </w:tcBorders>
            <w:shd w:val="clear" w:color="auto" w:fill="auto"/>
            <w:noWrap/>
            <w:vAlign w:val="center"/>
          </w:tcPr>
          <w:p w14:paraId="07F42B9B" w14:textId="77777777" w:rsidR="00610751" w:rsidRPr="00610751" w:rsidRDefault="00610751" w:rsidP="00610751">
            <w:pPr>
              <w:widowControl/>
              <w:overflowPunct/>
              <w:autoSpaceDE/>
              <w:autoSpaceDN/>
              <w:adjustRightInd/>
              <w:jc w:val="center"/>
              <w:rPr>
                <w:kern w:val="0"/>
              </w:rPr>
            </w:pPr>
          </w:p>
        </w:tc>
        <w:tc>
          <w:tcPr>
            <w:tcW w:w="2086" w:type="dxa"/>
            <w:tcBorders>
              <w:top w:val="dashed" w:sz="4" w:space="0" w:color="auto"/>
            </w:tcBorders>
            <w:shd w:val="clear" w:color="auto" w:fill="auto"/>
            <w:noWrap/>
            <w:vAlign w:val="center"/>
          </w:tcPr>
          <w:p w14:paraId="3D398238" w14:textId="77777777" w:rsidR="00610751" w:rsidRPr="00610751" w:rsidRDefault="00610751" w:rsidP="00610751">
            <w:pPr>
              <w:widowControl/>
              <w:overflowPunct/>
              <w:autoSpaceDE/>
              <w:autoSpaceDN/>
              <w:adjustRightInd/>
              <w:jc w:val="center"/>
              <w:rPr>
                <w:kern w:val="0"/>
              </w:rPr>
            </w:pPr>
          </w:p>
        </w:tc>
        <w:tc>
          <w:tcPr>
            <w:tcW w:w="1080" w:type="dxa"/>
            <w:tcBorders>
              <w:top w:val="dashed" w:sz="4" w:space="0" w:color="auto"/>
            </w:tcBorders>
            <w:shd w:val="clear" w:color="auto" w:fill="auto"/>
            <w:noWrap/>
            <w:vAlign w:val="center"/>
          </w:tcPr>
          <w:p w14:paraId="62457EED" w14:textId="77777777" w:rsidR="00610751" w:rsidRPr="00610751" w:rsidRDefault="00610751" w:rsidP="00610751">
            <w:pPr>
              <w:widowControl/>
              <w:overflowPunct/>
              <w:autoSpaceDE/>
              <w:autoSpaceDN/>
              <w:adjustRightInd/>
              <w:jc w:val="center"/>
              <w:rPr>
                <w:kern w:val="0"/>
              </w:rPr>
            </w:pPr>
          </w:p>
        </w:tc>
        <w:tc>
          <w:tcPr>
            <w:tcW w:w="1440" w:type="dxa"/>
            <w:tcBorders>
              <w:top w:val="dashed" w:sz="4" w:space="0" w:color="auto"/>
            </w:tcBorders>
          </w:tcPr>
          <w:p w14:paraId="1F23291C" w14:textId="77777777" w:rsidR="00610751" w:rsidRPr="00610751" w:rsidRDefault="00610751" w:rsidP="00610751">
            <w:pPr>
              <w:widowControl/>
              <w:overflowPunct/>
              <w:autoSpaceDE/>
              <w:autoSpaceDN/>
              <w:adjustRightInd/>
              <w:jc w:val="center"/>
              <w:rPr>
                <w:kern w:val="0"/>
              </w:rPr>
            </w:pPr>
          </w:p>
        </w:tc>
      </w:tr>
      <w:tr w:rsidR="00610751" w:rsidRPr="00610751" w14:paraId="4F91A5C8" w14:textId="77777777" w:rsidTr="00DB7B9A">
        <w:trPr>
          <w:cantSplit/>
          <w:trHeight w:val="20"/>
        </w:trPr>
        <w:tc>
          <w:tcPr>
            <w:tcW w:w="2880" w:type="dxa"/>
            <w:shd w:val="clear" w:color="auto" w:fill="auto"/>
            <w:noWrap/>
            <w:vAlign w:val="center"/>
          </w:tcPr>
          <w:p w14:paraId="72FE7EC4" w14:textId="77777777" w:rsidR="00610751" w:rsidRPr="00610751" w:rsidRDefault="00610751" w:rsidP="00610751">
            <w:pPr>
              <w:widowControl/>
              <w:overflowPunct/>
              <w:autoSpaceDE/>
              <w:autoSpaceDN/>
              <w:adjustRightInd/>
              <w:rPr>
                <w:kern w:val="0"/>
              </w:rPr>
            </w:pPr>
            <w:r w:rsidRPr="00610751">
              <w:rPr>
                <w:kern w:val="0"/>
              </w:rPr>
              <w:t>---(A2) Goal alignment</w:t>
            </w:r>
          </w:p>
        </w:tc>
        <w:tc>
          <w:tcPr>
            <w:tcW w:w="1080" w:type="dxa"/>
            <w:shd w:val="clear" w:color="auto" w:fill="auto"/>
            <w:noWrap/>
          </w:tcPr>
          <w:p w14:paraId="28520D48" w14:textId="77777777" w:rsidR="00610751" w:rsidRPr="00610751" w:rsidRDefault="00610751" w:rsidP="00610751">
            <w:pPr>
              <w:widowControl/>
              <w:overflowPunct/>
              <w:autoSpaceDE/>
              <w:autoSpaceDN/>
              <w:adjustRightInd/>
              <w:jc w:val="center"/>
              <w:rPr>
                <w:kern w:val="0"/>
              </w:rPr>
            </w:pPr>
            <w:r w:rsidRPr="00610751">
              <w:rPr>
                <w:kern w:val="0"/>
              </w:rPr>
              <w:t>6</w:t>
            </w:r>
          </w:p>
        </w:tc>
        <w:tc>
          <w:tcPr>
            <w:tcW w:w="1083" w:type="dxa"/>
            <w:shd w:val="clear" w:color="auto" w:fill="auto"/>
            <w:noWrap/>
          </w:tcPr>
          <w:p w14:paraId="6ED4422B" w14:textId="77777777" w:rsidR="00610751" w:rsidRPr="00610751" w:rsidRDefault="00610751" w:rsidP="00610751">
            <w:pPr>
              <w:widowControl/>
              <w:overflowPunct/>
              <w:autoSpaceDE/>
              <w:autoSpaceDN/>
              <w:adjustRightInd/>
              <w:jc w:val="center"/>
              <w:rPr>
                <w:kern w:val="0"/>
              </w:rPr>
            </w:pPr>
            <w:r w:rsidRPr="00610751">
              <w:rPr>
                <w:kern w:val="0"/>
              </w:rPr>
              <w:t>0.034</w:t>
            </w:r>
          </w:p>
        </w:tc>
        <w:tc>
          <w:tcPr>
            <w:tcW w:w="2086" w:type="dxa"/>
            <w:shd w:val="clear" w:color="auto" w:fill="auto"/>
            <w:noWrap/>
          </w:tcPr>
          <w:p w14:paraId="5FFB629B" w14:textId="77777777" w:rsidR="00610751" w:rsidRPr="00610751" w:rsidRDefault="00610751" w:rsidP="00610751">
            <w:pPr>
              <w:widowControl/>
              <w:overflowPunct/>
              <w:autoSpaceDE/>
              <w:autoSpaceDN/>
              <w:adjustRightInd/>
              <w:jc w:val="center"/>
              <w:rPr>
                <w:kern w:val="0"/>
              </w:rPr>
            </w:pPr>
            <w:r w:rsidRPr="00610751">
              <w:rPr>
                <w:kern w:val="0"/>
              </w:rPr>
              <w:t>-0.124 to 0.192</w:t>
            </w:r>
          </w:p>
        </w:tc>
        <w:tc>
          <w:tcPr>
            <w:tcW w:w="1080" w:type="dxa"/>
            <w:shd w:val="clear" w:color="auto" w:fill="auto"/>
            <w:noWrap/>
          </w:tcPr>
          <w:p w14:paraId="4A02BF3B" w14:textId="77777777" w:rsidR="00610751" w:rsidRPr="00610751" w:rsidRDefault="00610751" w:rsidP="00610751">
            <w:pPr>
              <w:widowControl/>
              <w:overflowPunct/>
              <w:autoSpaceDE/>
              <w:autoSpaceDN/>
              <w:adjustRightInd/>
              <w:jc w:val="center"/>
              <w:rPr>
                <w:kern w:val="0"/>
              </w:rPr>
            </w:pPr>
            <w:r w:rsidRPr="00610751">
              <w:rPr>
                <w:kern w:val="0"/>
              </w:rPr>
              <w:t>33.11*</w:t>
            </w:r>
          </w:p>
        </w:tc>
        <w:tc>
          <w:tcPr>
            <w:tcW w:w="1440" w:type="dxa"/>
            <w:vMerge w:val="restart"/>
            <w:vAlign w:val="center"/>
          </w:tcPr>
          <w:p w14:paraId="666F1BFD" w14:textId="77777777" w:rsidR="00610751" w:rsidRPr="00610751" w:rsidRDefault="00610751" w:rsidP="00610751">
            <w:pPr>
              <w:widowControl/>
              <w:overflowPunct/>
              <w:autoSpaceDE/>
              <w:autoSpaceDN/>
              <w:adjustRightInd/>
              <w:jc w:val="center"/>
              <w:rPr>
                <w:kern w:val="0"/>
              </w:rPr>
            </w:pPr>
            <w:r w:rsidRPr="00610751">
              <w:rPr>
                <w:kern w:val="0"/>
              </w:rPr>
              <w:t>-</w:t>
            </w:r>
          </w:p>
        </w:tc>
      </w:tr>
      <w:tr w:rsidR="00610751" w:rsidRPr="00610751" w14:paraId="6D5669C5" w14:textId="77777777" w:rsidTr="00DB7B9A">
        <w:trPr>
          <w:cantSplit/>
          <w:trHeight w:val="20"/>
        </w:trPr>
        <w:tc>
          <w:tcPr>
            <w:tcW w:w="2880" w:type="dxa"/>
            <w:shd w:val="clear" w:color="auto" w:fill="auto"/>
            <w:noWrap/>
            <w:vAlign w:val="center"/>
          </w:tcPr>
          <w:p w14:paraId="2191C093" w14:textId="77777777" w:rsidR="00610751" w:rsidRPr="00610751" w:rsidRDefault="00610751" w:rsidP="00610751">
            <w:pPr>
              <w:widowControl/>
              <w:overflowPunct/>
              <w:autoSpaceDE/>
              <w:autoSpaceDN/>
              <w:adjustRightInd/>
              <w:rPr>
                <w:kern w:val="0"/>
              </w:rPr>
            </w:pPr>
            <w:r w:rsidRPr="00610751">
              <w:rPr>
                <w:kern w:val="0"/>
              </w:rPr>
              <w:t>---(B2) Past performance</w:t>
            </w:r>
          </w:p>
        </w:tc>
        <w:tc>
          <w:tcPr>
            <w:tcW w:w="1080" w:type="dxa"/>
            <w:shd w:val="clear" w:color="auto" w:fill="auto"/>
            <w:noWrap/>
          </w:tcPr>
          <w:p w14:paraId="6F9595DA" w14:textId="77777777" w:rsidR="00610751" w:rsidRPr="00610751" w:rsidRDefault="00610751" w:rsidP="00610751">
            <w:pPr>
              <w:widowControl/>
              <w:overflowPunct/>
              <w:autoSpaceDE/>
              <w:autoSpaceDN/>
              <w:adjustRightInd/>
              <w:jc w:val="center"/>
              <w:rPr>
                <w:kern w:val="0"/>
              </w:rPr>
            </w:pPr>
            <w:r w:rsidRPr="00610751">
              <w:rPr>
                <w:kern w:val="0"/>
              </w:rPr>
              <w:t>7</w:t>
            </w:r>
          </w:p>
        </w:tc>
        <w:tc>
          <w:tcPr>
            <w:tcW w:w="1083" w:type="dxa"/>
            <w:shd w:val="clear" w:color="auto" w:fill="auto"/>
            <w:noWrap/>
          </w:tcPr>
          <w:p w14:paraId="58A2ACDA" w14:textId="77777777" w:rsidR="00610751" w:rsidRPr="00610751" w:rsidRDefault="00610751" w:rsidP="00610751">
            <w:pPr>
              <w:widowControl/>
              <w:overflowPunct/>
              <w:autoSpaceDE/>
              <w:autoSpaceDN/>
              <w:adjustRightInd/>
              <w:jc w:val="center"/>
              <w:rPr>
                <w:kern w:val="0"/>
              </w:rPr>
            </w:pPr>
            <w:r w:rsidRPr="00610751">
              <w:rPr>
                <w:kern w:val="0"/>
              </w:rPr>
              <w:t>0.070</w:t>
            </w:r>
          </w:p>
        </w:tc>
        <w:tc>
          <w:tcPr>
            <w:tcW w:w="2086" w:type="dxa"/>
            <w:shd w:val="clear" w:color="auto" w:fill="auto"/>
            <w:noWrap/>
          </w:tcPr>
          <w:p w14:paraId="73CE0D52" w14:textId="77777777" w:rsidR="00610751" w:rsidRPr="00610751" w:rsidRDefault="00610751" w:rsidP="00610751">
            <w:pPr>
              <w:widowControl/>
              <w:overflowPunct/>
              <w:autoSpaceDE/>
              <w:autoSpaceDN/>
              <w:adjustRightInd/>
              <w:jc w:val="center"/>
              <w:rPr>
                <w:kern w:val="0"/>
              </w:rPr>
            </w:pPr>
            <w:r w:rsidRPr="00610751">
              <w:rPr>
                <w:kern w:val="0"/>
              </w:rPr>
              <w:t>-0.101 to 0.241</w:t>
            </w:r>
          </w:p>
        </w:tc>
        <w:tc>
          <w:tcPr>
            <w:tcW w:w="1080" w:type="dxa"/>
            <w:shd w:val="clear" w:color="auto" w:fill="auto"/>
            <w:noWrap/>
          </w:tcPr>
          <w:p w14:paraId="42E1F2BB" w14:textId="77777777" w:rsidR="00610751" w:rsidRPr="00610751" w:rsidRDefault="00610751" w:rsidP="00610751">
            <w:pPr>
              <w:widowControl/>
              <w:overflowPunct/>
              <w:autoSpaceDE/>
              <w:autoSpaceDN/>
              <w:adjustRightInd/>
              <w:jc w:val="center"/>
              <w:rPr>
                <w:kern w:val="0"/>
              </w:rPr>
            </w:pPr>
            <w:r w:rsidRPr="00610751">
              <w:rPr>
                <w:kern w:val="0"/>
              </w:rPr>
              <w:t>52.11*</w:t>
            </w:r>
          </w:p>
        </w:tc>
        <w:tc>
          <w:tcPr>
            <w:tcW w:w="1440" w:type="dxa"/>
            <w:vMerge/>
          </w:tcPr>
          <w:p w14:paraId="7129D828" w14:textId="77777777" w:rsidR="00610751" w:rsidRPr="00610751" w:rsidRDefault="00610751" w:rsidP="00610751">
            <w:pPr>
              <w:widowControl/>
              <w:overflowPunct/>
              <w:autoSpaceDE/>
              <w:autoSpaceDN/>
              <w:adjustRightInd/>
              <w:jc w:val="center"/>
              <w:rPr>
                <w:kern w:val="0"/>
              </w:rPr>
            </w:pPr>
          </w:p>
        </w:tc>
      </w:tr>
      <w:tr w:rsidR="00610751" w:rsidRPr="00610751" w14:paraId="7FA3D658" w14:textId="77777777" w:rsidTr="00DB7B9A">
        <w:trPr>
          <w:cantSplit/>
          <w:trHeight w:val="20"/>
        </w:trPr>
        <w:tc>
          <w:tcPr>
            <w:tcW w:w="2880" w:type="dxa"/>
            <w:shd w:val="clear" w:color="auto" w:fill="auto"/>
            <w:noWrap/>
            <w:vAlign w:val="center"/>
          </w:tcPr>
          <w:p w14:paraId="2724927E" w14:textId="77777777" w:rsidR="00610751" w:rsidRPr="00610751" w:rsidRDefault="00610751" w:rsidP="00610751">
            <w:pPr>
              <w:widowControl/>
              <w:overflowPunct/>
              <w:autoSpaceDE/>
              <w:autoSpaceDN/>
              <w:adjustRightInd/>
              <w:rPr>
                <w:kern w:val="0"/>
              </w:rPr>
            </w:pPr>
            <w:r w:rsidRPr="00610751">
              <w:rPr>
                <w:kern w:val="0"/>
              </w:rPr>
              <w:t>---(C2) Institutional distance</w:t>
            </w:r>
          </w:p>
        </w:tc>
        <w:tc>
          <w:tcPr>
            <w:tcW w:w="1080" w:type="dxa"/>
            <w:shd w:val="clear" w:color="auto" w:fill="auto"/>
            <w:noWrap/>
          </w:tcPr>
          <w:p w14:paraId="4114C337" w14:textId="77777777" w:rsidR="00610751" w:rsidRPr="00610751" w:rsidRDefault="00610751" w:rsidP="00610751">
            <w:pPr>
              <w:widowControl/>
              <w:overflowPunct/>
              <w:autoSpaceDE/>
              <w:autoSpaceDN/>
              <w:adjustRightInd/>
              <w:jc w:val="center"/>
              <w:rPr>
                <w:kern w:val="0"/>
              </w:rPr>
            </w:pPr>
            <w:r w:rsidRPr="00610751">
              <w:rPr>
                <w:kern w:val="0"/>
              </w:rPr>
              <w:t>14</w:t>
            </w:r>
          </w:p>
        </w:tc>
        <w:tc>
          <w:tcPr>
            <w:tcW w:w="1083" w:type="dxa"/>
            <w:shd w:val="clear" w:color="auto" w:fill="auto"/>
            <w:noWrap/>
          </w:tcPr>
          <w:p w14:paraId="5491EDD8" w14:textId="77777777" w:rsidR="00610751" w:rsidRPr="00610751" w:rsidRDefault="00610751" w:rsidP="00610751">
            <w:pPr>
              <w:widowControl/>
              <w:overflowPunct/>
              <w:autoSpaceDE/>
              <w:autoSpaceDN/>
              <w:adjustRightInd/>
              <w:jc w:val="center"/>
              <w:rPr>
                <w:kern w:val="0"/>
              </w:rPr>
            </w:pPr>
            <w:r w:rsidRPr="00610751">
              <w:rPr>
                <w:kern w:val="0"/>
              </w:rPr>
              <w:t>-0.012</w:t>
            </w:r>
          </w:p>
        </w:tc>
        <w:tc>
          <w:tcPr>
            <w:tcW w:w="2086" w:type="dxa"/>
            <w:shd w:val="clear" w:color="auto" w:fill="auto"/>
            <w:noWrap/>
          </w:tcPr>
          <w:p w14:paraId="7D5E61A4" w14:textId="77777777" w:rsidR="00610751" w:rsidRPr="00610751" w:rsidRDefault="00610751" w:rsidP="00610751">
            <w:pPr>
              <w:widowControl/>
              <w:overflowPunct/>
              <w:autoSpaceDE/>
              <w:autoSpaceDN/>
              <w:adjustRightInd/>
              <w:jc w:val="center"/>
              <w:rPr>
                <w:kern w:val="0"/>
              </w:rPr>
            </w:pPr>
            <w:r w:rsidRPr="00610751">
              <w:rPr>
                <w:kern w:val="0"/>
              </w:rPr>
              <w:t>-0.054 to 0.030</w:t>
            </w:r>
          </w:p>
        </w:tc>
        <w:tc>
          <w:tcPr>
            <w:tcW w:w="1080" w:type="dxa"/>
            <w:shd w:val="clear" w:color="auto" w:fill="auto"/>
            <w:noWrap/>
          </w:tcPr>
          <w:p w14:paraId="28D4B92E" w14:textId="77777777" w:rsidR="00610751" w:rsidRPr="00610751" w:rsidRDefault="00610751" w:rsidP="00610751">
            <w:pPr>
              <w:widowControl/>
              <w:overflowPunct/>
              <w:autoSpaceDE/>
              <w:autoSpaceDN/>
              <w:adjustRightInd/>
              <w:jc w:val="center"/>
              <w:rPr>
                <w:kern w:val="0"/>
              </w:rPr>
            </w:pPr>
            <w:r w:rsidRPr="00610751">
              <w:rPr>
                <w:kern w:val="0"/>
              </w:rPr>
              <w:t>13.00*</w:t>
            </w:r>
          </w:p>
        </w:tc>
        <w:tc>
          <w:tcPr>
            <w:tcW w:w="1440" w:type="dxa"/>
            <w:vMerge/>
          </w:tcPr>
          <w:p w14:paraId="03D0E312" w14:textId="77777777" w:rsidR="00610751" w:rsidRPr="00610751" w:rsidRDefault="00610751" w:rsidP="00610751">
            <w:pPr>
              <w:widowControl/>
              <w:overflowPunct/>
              <w:autoSpaceDE/>
              <w:autoSpaceDN/>
              <w:adjustRightInd/>
              <w:jc w:val="center"/>
              <w:rPr>
                <w:kern w:val="0"/>
              </w:rPr>
            </w:pPr>
          </w:p>
        </w:tc>
      </w:tr>
      <w:tr w:rsidR="00610751" w:rsidRPr="00610751" w14:paraId="3988AF8F" w14:textId="77777777" w:rsidTr="00DB7B9A">
        <w:trPr>
          <w:cantSplit/>
          <w:trHeight w:val="20"/>
        </w:trPr>
        <w:tc>
          <w:tcPr>
            <w:tcW w:w="2880" w:type="dxa"/>
            <w:shd w:val="clear" w:color="auto" w:fill="auto"/>
            <w:noWrap/>
            <w:vAlign w:val="center"/>
          </w:tcPr>
          <w:p w14:paraId="4B62DFA2" w14:textId="77777777" w:rsidR="00610751" w:rsidRPr="00610751" w:rsidRDefault="00610751" w:rsidP="00610751">
            <w:pPr>
              <w:widowControl/>
              <w:overflowPunct/>
              <w:autoSpaceDE/>
              <w:autoSpaceDN/>
              <w:adjustRightInd/>
              <w:rPr>
                <w:kern w:val="0"/>
              </w:rPr>
            </w:pPr>
            <w:r w:rsidRPr="00610751">
              <w:rPr>
                <w:kern w:val="0"/>
              </w:rPr>
              <w:t>---(D2) Host country constraints</w:t>
            </w:r>
          </w:p>
        </w:tc>
        <w:tc>
          <w:tcPr>
            <w:tcW w:w="1080" w:type="dxa"/>
            <w:shd w:val="clear" w:color="auto" w:fill="auto"/>
            <w:noWrap/>
          </w:tcPr>
          <w:p w14:paraId="2B2A38D2" w14:textId="77777777" w:rsidR="00610751" w:rsidRPr="00610751" w:rsidRDefault="00610751" w:rsidP="00610751">
            <w:pPr>
              <w:widowControl/>
              <w:overflowPunct/>
              <w:autoSpaceDE/>
              <w:autoSpaceDN/>
              <w:adjustRightInd/>
              <w:jc w:val="center"/>
              <w:rPr>
                <w:kern w:val="0"/>
              </w:rPr>
            </w:pPr>
            <w:r w:rsidRPr="00610751">
              <w:rPr>
                <w:kern w:val="0"/>
              </w:rPr>
              <w:t>2</w:t>
            </w:r>
          </w:p>
        </w:tc>
        <w:tc>
          <w:tcPr>
            <w:tcW w:w="1083" w:type="dxa"/>
            <w:shd w:val="clear" w:color="auto" w:fill="auto"/>
            <w:noWrap/>
          </w:tcPr>
          <w:p w14:paraId="0DD2AA82" w14:textId="77777777" w:rsidR="00610751" w:rsidRPr="00610751" w:rsidRDefault="00610751" w:rsidP="00610751">
            <w:pPr>
              <w:widowControl/>
              <w:overflowPunct/>
              <w:autoSpaceDE/>
              <w:autoSpaceDN/>
              <w:adjustRightInd/>
              <w:jc w:val="center"/>
              <w:rPr>
                <w:kern w:val="0"/>
              </w:rPr>
            </w:pPr>
            <w:r w:rsidRPr="00610751">
              <w:rPr>
                <w:kern w:val="0"/>
              </w:rPr>
              <w:t>-0.076</w:t>
            </w:r>
          </w:p>
        </w:tc>
        <w:tc>
          <w:tcPr>
            <w:tcW w:w="2086" w:type="dxa"/>
            <w:shd w:val="clear" w:color="auto" w:fill="auto"/>
            <w:noWrap/>
          </w:tcPr>
          <w:p w14:paraId="65E3E503" w14:textId="77777777" w:rsidR="00610751" w:rsidRPr="00610751" w:rsidRDefault="00610751" w:rsidP="00610751">
            <w:pPr>
              <w:widowControl/>
              <w:overflowPunct/>
              <w:autoSpaceDE/>
              <w:autoSpaceDN/>
              <w:adjustRightInd/>
              <w:jc w:val="center"/>
              <w:rPr>
                <w:kern w:val="0"/>
              </w:rPr>
            </w:pPr>
            <w:r w:rsidRPr="00610751">
              <w:rPr>
                <w:kern w:val="0"/>
              </w:rPr>
              <w:t>-0.216 to 0.064</w:t>
            </w:r>
          </w:p>
        </w:tc>
        <w:tc>
          <w:tcPr>
            <w:tcW w:w="1080" w:type="dxa"/>
            <w:shd w:val="clear" w:color="auto" w:fill="auto"/>
            <w:noWrap/>
          </w:tcPr>
          <w:p w14:paraId="72D58F3C" w14:textId="77777777" w:rsidR="00610751" w:rsidRPr="00610751" w:rsidRDefault="00610751" w:rsidP="00610751">
            <w:pPr>
              <w:widowControl/>
              <w:overflowPunct/>
              <w:autoSpaceDE/>
              <w:autoSpaceDN/>
              <w:adjustRightInd/>
              <w:jc w:val="center"/>
              <w:rPr>
                <w:kern w:val="0"/>
              </w:rPr>
            </w:pPr>
            <w:r w:rsidRPr="00610751">
              <w:rPr>
                <w:kern w:val="0"/>
              </w:rPr>
              <w:t>0.91</w:t>
            </w:r>
          </w:p>
        </w:tc>
        <w:tc>
          <w:tcPr>
            <w:tcW w:w="1440" w:type="dxa"/>
            <w:vMerge/>
          </w:tcPr>
          <w:p w14:paraId="05E4E743" w14:textId="77777777" w:rsidR="00610751" w:rsidRPr="00610751" w:rsidRDefault="00610751" w:rsidP="00610751">
            <w:pPr>
              <w:widowControl/>
              <w:overflowPunct/>
              <w:autoSpaceDE/>
              <w:autoSpaceDN/>
              <w:adjustRightInd/>
              <w:jc w:val="center"/>
              <w:rPr>
                <w:kern w:val="0"/>
              </w:rPr>
            </w:pPr>
          </w:p>
        </w:tc>
      </w:tr>
      <w:tr w:rsidR="00610751" w:rsidRPr="00610751" w14:paraId="034150A2" w14:textId="77777777" w:rsidTr="00DB7B9A">
        <w:trPr>
          <w:cantSplit/>
          <w:trHeight w:val="20"/>
        </w:trPr>
        <w:tc>
          <w:tcPr>
            <w:tcW w:w="2880" w:type="dxa"/>
            <w:shd w:val="clear" w:color="auto" w:fill="auto"/>
            <w:noWrap/>
            <w:vAlign w:val="center"/>
          </w:tcPr>
          <w:p w14:paraId="4BC3DFF5" w14:textId="77777777" w:rsidR="00610751" w:rsidRPr="00610751" w:rsidRDefault="00610751" w:rsidP="00610751">
            <w:pPr>
              <w:widowControl/>
              <w:overflowPunct/>
              <w:autoSpaceDE/>
              <w:autoSpaceDN/>
              <w:adjustRightInd/>
              <w:rPr>
                <w:kern w:val="0"/>
              </w:rPr>
            </w:pPr>
            <w:r w:rsidRPr="00610751">
              <w:rPr>
                <w:kern w:val="0"/>
              </w:rPr>
              <w:t>---(E2) Value chain breadth</w:t>
            </w:r>
          </w:p>
        </w:tc>
        <w:tc>
          <w:tcPr>
            <w:tcW w:w="1080" w:type="dxa"/>
            <w:shd w:val="clear" w:color="auto" w:fill="auto"/>
            <w:noWrap/>
          </w:tcPr>
          <w:p w14:paraId="3473A022" w14:textId="77777777" w:rsidR="00610751" w:rsidRPr="00610751" w:rsidRDefault="00610751" w:rsidP="00610751">
            <w:pPr>
              <w:widowControl/>
              <w:overflowPunct/>
              <w:autoSpaceDE/>
              <w:autoSpaceDN/>
              <w:adjustRightInd/>
              <w:jc w:val="center"/>
              <w:rPr>
                <w:kern w:val="0"/>
              </w:rPr>
            </w:pPr>
            <w:r w:rsidRPr="00610751">
              <w:rPr>
                <w:kern w:val="0"/>
              </w:rPr>
              <w:t>2</w:t>
            </w:r>
          </w:p>
        </w:tc>
        <w:tc>
          <w:tcPr>
            <w:tcW w:w="1083" w:type="dxa"/>
            <w:shd w:val="clear" w:color="auto" w:fill="auto"/>
            <w:noWrap/>
          </w:tcPr>
          <w:p w14:paraId="52D301EE" w14:textId="77777777" w:rsidR="00610751" w:rsidRPr="00610751" w:rsidRDefault="00610751" w:rsidP="00610751">
            <w:pPr>
              <w:widowControl/>
              <w:overflowPunct/>
              <w:autoSpaceDE/>
              <w:autoSpaceDN/>
              <w:adjustRightInd/>
              <w:jc w:val="center"/>
              <w:rPr>
                <w:kern w:val="0"/>
              </w:rPr>
            </w:pPr>
            <w:r w:rsidRPr="00610751">
              <w:rPr>
                <w:kern w:val="0"/>
              </w:rPr>
              <w:t>0.203</w:t>
            </w:r>
          </w:p>
        </w:tc>
        <w:tc>
          <w:tcPr>
            <w:tcW w:w="2086" w:type="dxa"/>
            <w:shd w:val="clear" w:color="auto" w:fill="auto"/>
            <w:noWrap/>
          </w:tcPr>
          <w:p w14:paraId="03FDEF8A" w14:textId="77777777" w:rsidR="00610751" w:rsidRPr="00610751" w:rsidRDefault="00610751" w:rsidP="00610751">
            <w:pPr>
              <w:widowControl/>
              <w:overflowPunct/>
              <w:autoSpaceDE/>
              <w:autoSpaceDN/>
              <w:adjustRightInd/>
              <w:jc w:val="center"/>
              <w:rPr>
                <w:kern w:val="0"/>
              </w:rPr>
            </w:pPr>
            <w:r w:rsidRPr="00610751">
              <w:rPr>
                <w:kern w:val="0"/>
              </w:rPr>
              <w:t>0.091 to 0.315*</w:t>
            </w:r>
          </w:p>
        </w:tc>
        <w:tc>
          <w:tcPr>
            <w:tcW w:w="1080" w:type="dxa"/>
            <w:shd w:val="clear" w:color="auto" w:fill="auto"/>
            <w:noWrap/>
          </w:tcPr>
          <w:p w14:paraId="3FDB4013" w14:textId="77777777" w:rsidR="00610751" w:rsidRPr="00610751" w:rsidRDefault="00610751" w:rsidP="00610751">
            <w:pPr>
              <w:widowControl/>
              <w:overflowPunct/>
              <w:autoSpaceDE/>
              <w:autoSpaceDN/>
              <w:adjustRightInd/>
              <w:jc w:val="center"/>
              <w:rPr>
                <w:kern w:val="0"/>
              </w:rPr>
            </w:pPr>
            <w:r w:rsidRPr="00610751">
              <w:rPr>
                <w:kern w:val="0"/>
              </w:rPr>
              <w:t>0.07</w:t>
            </w:r>
          </w:p>
        </w:tc>
        <w:tc>
          <w:tcPr>
            <w:tcW w:w="1440" w:type="dxa"/>
            <w:vMerge/>
          </w:tcPr>
          <w:p w14:paraId="5935E28E" w14:textId="77777777" w:rsidR="00610751" w:rsidRPr="00610751" w:rsidRDefault="00610751" w:rsidP="00610751">
            <w:pPr>
              <w:widowControl/>
              <w:overflowPunct/>
              <w:autoSpaceDE/>
              <w:autoSpaceDN/>
              <w:adjustRightInd/>
              <w:jc w:val="center"/>
              <w:rPr>
                <w:kern w:val="0"/>
              </w:rPr>
            </w:pPr>
          </w:p>
        </w:tc>
      </w:tr>
      <w:tr w:rsidR="00610751" w:rsidRPr="00610751" w14:paraId="62444770" w14:textId="77777777" w:rsidTr="00DB7B9A">
        <w:trPr>
          <w:cantSplit/>
          <w:trHeight w:val="20"/>
        </w:trPr>
        <w:tc>
          <w:tcPr>
            <w:tcW w:w="2880" w:type="dxa"/>
            <w:tcBorders>
              <w:bottom w:val="single" w:sz="4" w:space="0" w:color="auto"/>
            </w:tcBorders>
            <w:shd w:val="clear" w:color="auto" w:fill="auto"/>
            <w:noWrap/>
            <w:vAlign w:val="center"/>
          </w:tcPr>
          <w:p w14:paraId="7BBF11AB" w14:textId="77777777" w:rsidR="00610751" w:rsidRPr="00610751" w:rsidRDefault="00610751" w:rsidP="00610751">
            <w:pPr>
              <w:widowControl/>
              <w:overflowPunct/>
              <w:autoSpaceDE/>
              <w:autoSpaceDN/>
              <w:adjustRightInd/>
              <w:rPr>
                <w:kern w:val="0"/>
              </w:rPr>
            </w:pPr>
            <w:r w:rsidRPr="00610751">
              <w:rPr>
                <w:kern w:val="0"/>
              </w:rPr>
              <w:t xml:space="preserve">---(F2) Localization </w:t>
            </w:r>
          </w:p>
        </w:tc>
        <w:tc>
          <w:tcPr>
            <w:tcW w:w="1080" w:type="dxa"/>
            <w:tcBorders>
              <w:bottom w:val="single" w:sz="4" w:space="0" w:color="auto"/>
            </w:tcBorders>
            <w:shd w:val="clear" w:color="auto" w:fill="auto"/>
            <w:noWrap/>
          </w:tcPr>
          <w:p w14:paraId="6C15BD83" w14:textId="77777777" w:rsidR="00610751" w:rsidRPr="00610751" w:rsidRDefault="00610751" w:rsidP="00610751">
            <w:pPr>
              <w:widowControl/>
              <w:overflowPunct/>
              <w:autoSpaceDE/>
              <w:autoSpaceDN/>
              <w:adjustRightInd/>
              <w:jc w:val="center"/>
              <w:rPr>
                <w:kern w:val="0"/>
              </w:rPr>
            </w:pPr>
            <w:r w:rsidRPr="00610751">
              <w:rPr>
                <w:kern w:val="0"/>
              </w:rPr>
              <w:t>6</w:t>
            </w:r>
          </w:p>
        </w:tc>
        <w:tc>
          <w:tcPr>
            <w:tcW w:w="1083" w:type="dxa"/>
            <w:tcBorders>
              <w:bottom w:val="single" w:sz="4" w:space="0" w:color="auto"/>
            </w:tcBorders>
            <w:shd w:val="clear" w:color="auto" w:fill="auto"/>
            <w:noWrap/>
          </w:tcPr>
          <w:p w14:paraId="19144D31" w14:textId="77777777" w:rsidR="00610751" w:rsidRPr="00610751" w:rsidRDefault="00610751" w:rsidP="00610751">
            <w:pPr>
              <w:widowControl/>
              <w:overflowPunct/>
              <w:autoSpaceDE/>
              <w:autoSpaceDN/>
              <w:adjustRightInd/>
              <w:jc w:val="center"/>
              <w:rPr>
                <w:kern w:val="0"/>
              </w:rPr>
            </w:pPr>
            <w:r w:rsidRPr="00610751">
              <w:rPr>
                <w:kern w:val="0"/>
              </w:rPr>
              <w:t>-0.263</w:t>
            </w:r>
          </w:p>
        </w:tc>
        <w:tc>
          <w:tcPr>
            <w:tcW w:w="2086" w:type="dxa"/>
            <w:tcBorders>
              <w:bottom w:val="single" w:sz="4" w:space="0" w:color="auto"/>
            </w:tcBorders>
            <w:shd w:val="clear" w:color="auto" w:fill="auto"/>
            <w:noWrap/>
          </w:tcPr>
          <w:p w14:paraId="3AE21B5B" w14:textId="77777777" w:rsidR="00610751" w:rsidRPr="00610751" w:rsidRDefault="00610751" w:rsidP="00610751">
            <w:pPr>
              <w:widowControl/>
              <w:overflowPunct/>
              <w:autoSpaceDE/>
              <w:autoSpaceDN/>
              <w:adjustRightInd/>
              <w:jc w:val="center"/>
              <w:rPr>
                <w:kern w:val="0"/>
              </w:rPr>
            </w:pPr>
            <w:r w:rsidRPr="00610751">
              <w:rPr>
                <w:kern w:val="0"/>
              </w:rPr>
              <w:t>-0.350 to -0.176*</w:t>
            </w:r>
          </w:p>
        </w:tc>
        <w:tc>
          <w:tcPr>
            <w:tcW w:w="1080" w:type="dxa"/>
            <w:tcBorders>
              <w:bottom w:val="single" w:sz="4" w:space="0" w:color="auto"/>
            </w:tcBorders>
            <w:shd w:val="clear" w:color="auto" w:fill="auto"/>
            <w:noWrap/>
          </w:tcPr>
          <w:p w14:paraId="0F4041A3" w14:textId="77777777" w:rsidR="00610751" w:rsidRPr="00610751" w:rsidRDefault="00610751" w:rsidP="00610751">
            <w:pPr>
              <w:widowControl/>
              <w:overflowPunct/>
              <w:autoSpaceDE/>
              <w:autoSpaceDN/>
              <w:adjustRightInd/>
              <w:jc w:val="center"/>
              <w:rPr>
                <w:kern w:val="0"/>
              </w:rPr>
            </w:pPr>
            <w:r w:rsidRPr="00610751">
              <w:rPr>
                <w:kern w:val="0"/>
              </w:rPr>
              <w:t>4.94*</w:t>
            </w:r>
          </w:p>
        </w:tc>
        <w:tc>
          <w:tcPr>
            <w:tcW w:w="1440" w:type="dxa"/>
            <w:vMerge/>
            <w:tcBorders>
              <w:bottom w:val="single" w:sz="4" w:space="0" w:color="auto"/>
            </w:tcBorders>
          </w:tcPr>
          <w:p w14:paraId="2F22B9F2" w14:textId="77777777" w:rsidR="00610751" w:rsidRPr="00610751" w:rsidRDefault="00610751" w:rsidP="00610751">
            <w:pPr>
              <w:widowControl/>
              <w:overflowPunct/>
              <w:autoSpaceDE/>
              <w:autoSpaceDN/>
              <w:adjustRightInd/>
              <w:jc w:val="center"/>
              <w:rPr>
                <w:kern w:val="0"/>
              </w:rPr>
            </w:pPr>
          </w:p>
        </w:tc>
      </w:tr>
    </w:tbl>
    <w:p w14:paraId="70757B50" w14:textId="77777777" w:rsidR="00610751" w:rsidRPr="00610751" w:rsidRDefault="00610751" w:rsidP="00610751">
      <w:pPr>
        <w:widowControl/>
        <w:overflowPunct/>
        <w:autoSpaceDE/>
        <w:autoSpaceDN/>
        <w:adjustRightInd/>
        <w:ind w:left="720" w:right="2610"/>
        <w:jc w:val="both"/>
        <w:rPr>
          <w:kern w:val="0"/>
        </w:rPr>
      </w:pPr>
      <w:r w:rsidRPr="00610751">
        <w:rPr>
          <w:kern w:val="0"/>
        </w:rPr>
        <w:t>Notes: A = To perform high and low splits I standardized the distance variable on a 0 to 10 scale, whereby a value of 5 was used as a cutoff for high and low splits (Kirca et al., 2011; Geleilate et al., 2019); Results are based on overlapping confidence intervals.</w:t>
      </w:r>
    </w:p>
    <w:p w14:paraId="66088DEB" w14:textId="77777777" w:rsidR="00610751" w:rsidRPr="00610751" w:rsidRDefault="00610751" w:rsidP="00610751">
      <w:pPr>
        <w:widowControl/>
        <w:overflowPunct/>
        <w:autoSpaceDE/>
        <w:autoSpaceDN/>
        <w:adjustRightInd/>
        <w:ind w:left="720"/>
        <w:rPr>
          <w:kern w:val="0"/>
          <w:sz w:val="24"/>
          <w:szCs w:val="24"/>
        </w:rPr>
        <w:sectPr w:rsidR="00610751" w:rsidRPr="00610751" w:rsidSect="00DB7B9A">
          <w:footerReference w:type="even" r:id="rId16"/>
          <w:pgSz w:w="15840" w:h="12240" w:orient="landscape"/>
          <w:pgMar w:top="1440" w:right="1440" w:bottom="1440" w:left="1440" w:header="720" w:footer="720" w:gutter="0"/>
          <w:cols w:space="720"/>
          <w:docGrid w:linePitch="360"/>
        </w:sectPr>
      </w:pPr>
    </w:p>
    <w:p w14:paraId="713952E6" w14:textId="77777777" w:rsidR="00610751" w:rsidRPr="00610751" w:rsidRDefault="00610751" w:rsidP="00610751">
      <w:pPr>
        <w:widowControl/>
        <w:overflowPunct/>
        <w:autoSpaceDE/>
        <w:autoSpaceDN/>
        <w:adjustRightInd/>
        <w:spacing w:line="480" w:lineRule="auto"/>
        <w:ind w:left="720"/>
        <w:jc w:val="center"/>
        <w:rPr>
          <w:kern w:val="0"/>
          <w:sz w:val="24"/>
          <w:szCs w:val="24"/>
        </w:rPr>
      </w:pPr>
      <w:r w:rsidRPr="00610751">
        <w:rPr>
          <w:kern w:val="0"/>
          <w:sz w:val="24"/>
          <w:szCs w:val="24"/>
        </w:rPr>
        <w:t>Appendix C. Additional tables</w:t>
      </w:r>
    </w:p>
    <w:p w14:paraId="3F2E3C4A" w14:textId="77777777" w:rsidR="00610751" w:rsidRPr="00610751" w:rsidRDefault="00610751" w:rsidP="00610751">
      <w:pPr>
        <w:widowControl/>
        <w:overflowPunct/>
        <w:autoSpaceDE/>
        <w:autoSpaceDN/>
        <w:adjustRightInd/>
        <w:spacing w:line="480" w:lineRule="auto"/>
        <w:ind w:left="720"/>
        <w:jc w:val="both"/>
        <w:rPr>
          <w:kern w:val="0"/>
          <w:sz w:val="24"/>
          <w:szCs w:val="24"/>
        </w:rPr>
      </w:pPr>
      <w:r w:rsidRPr="00610751">
        <w:rPr>
          <w:kern w:val="0"/>
          <w:sz w:val="24"/>
          <w:szCs w:val="24"/>
        </w:rPr>
        <w:t xml:space="preserve">Table 1C. Home and host country sample characteristics </w:t>
      </w:r>
    </w:p>
    <w:tbl>
      <w:tblPr>
        <w:tblStyle w:val="TableGrid"/>
        <w:tblW w:w="12320" w:type="dxa"/>
        <w:tblInd w:w="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770"/>
        <w:gridCol w:w="770"/>
        <w:gridCol w:w="770"/>
        <w:gridCol w:w="770"/>
        <w:gridCol w:w="770"/>
        <w:gridCol w:w="770"/>
        <w:gridCol w:w="770"/>
        <w:gridCol w:w="770"/>
        <w:gridCol w:w="770"/>
        <w:gridCol w:w="770"/>
        <w:gridCol w:w="770"/>
        <w:gridCol w:w="770"/>
        <w:gridCol w:w="770"/>
        <w:gridCol w:w="770"/>
        <w:gridCol w:w="770"/>
      </w:tblGrid>
      <w:tr w:rsidR="00610751" w:rsidRPr="00610751" w14:paraId="35A6D8B5" w14:textId="77777777" w:rsidTr="00DB7B9A">
        <w:trPr>
          <w:trHeight w:val="20"/>
        </w:trPr>
        <w:tc>
          <w:tcPr>
            <w:tcW w:w="770" w:type="dxa"/>
            <w:tcBorders>
              <w:top w:val="single" w:sz="4" w:space="0" w:color="auto"/>
              <w:bottom w:val="single" w:sz="4" w:space="0" w:color="auto"/>
            </w:tcBorders>
            <w:vAlign w:val="center"/>
            <w:hideMark/>
          </w:tcPr>
          <w:p w14:paraId="6BCBAAB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Country</w:t>
            </w:r>
          </w:p>
        </w:tc>
        <w:tc>
          <w:tcPr>
            <w:tcW w:w="770" w:type="dxa"/>
            <w:tcBorders>
              <w:top w:val="single" w:sz="4" w:space="0" w:color="auto"/>
              <w:bottom w:val="single" w:sz="4" w:space="0" w:color="auto"/>
            </w:tcBorders>
            <w:vAlign w:val="center"/>
            <w:hideMark/>
          </w:tcPr>
          <w:p w14:paraId="7F61F5E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 xml:space="preserve">MNEs </w:t>
            </w:r>
          </w:p>
        </w:tc>
        <w:tc>
          <w:tcPr>
            <w:tcW w:w="770" w:type="dxa"/>
            <w:tcBorders>
              <w:top w:val="single" w:sz="4" w:space="0" w:color="auto"/>
              <w:bottom w:val="single" w:sz="4" w:space="0" w:color="auto"/>
            </w:tcBorders>
            <w:vAlign w:val="center"/>
            <w:hideMark/>
          </w:tcPr>
          <w:p w14:paraId="6C24098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 xml:space="preserve">Subsid. </w:t>
            </w:r>
          </w:p>
        </w:tc>
        <w:tc>
          <w:tcPr>
            <w:tcW w:w="770" w:type="dxa"/>
            <w:tcBorders>
              <w:top w:val="single" w:sz="4" w:space="0" w:color="auto"/>
              <w:bottom w:val="single" w:sz="4" w:space="0" w:color="auto"/>
              <w:right w:val="dashed" w:sz="4" w:space="0" w:color="auto"/>
            </w:tcBorders>
            <w:vAlign w:val="center"/>
            <w:hideMark/>
          </w:tcPr>
          <w:p w14:paraId="3D8E025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ROA</w:t>
            </w:r>
          </w:p>
        </w:tc>
        <w:tc>
          <w:tcPr>
            <w:tcW w:w="770" w:type="dxa"/>
            <w:tcBorders>
              <w:top w:val="single" w:sz="4" w:space="0" w:color="auto"/>
              <w:left w:val="dashed" w:sz="4" w:space="0" w:color="auto"/>
              <w:bottom w:val="single" w:sz="4" w:space="0" w:color="auto"/>
            </w:tcBorders>
            <w:vAlign w:val="center"/>
            <w:hideMark/>
          </w:tcPr>
          <w:p w14:paraId="0BFD9BE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Country</w:t>
            </w:r>
          </w:p>
        </w:tc>
        <w:tc>
          <w:tcPr>
            <w:tcW w:w="770" w:type="dxa"/>
            <w:tcBorders>
              <w:top w:val="single" w:sz="4" w:space="0" w:color="auto"/>
              <w:bottom w:val="single" w:sz="4" w:space="0" w:color="auto"/>
            </w:tcBorders>
            <w:vAlign w:val="center"/>
            <w:hideMark/>
          </w:tcPr>
          <w:p w14:paraId="1B52B8E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 xml:space="preserve">MNEs </w:t>
            </w:r>
          </w:p>
        </w:tc>
        <w:tc>
          <w:tcPr>
            <w:tcW w:w="770" w:type="dxa"/>
            <w:tcBorders>
              <w:top w:val="single" w:sz="4" w:space="0" w:color="auto"/>
              <w:bottom w:val="single" w:sz="4" w:space="0" w:color="auto"/>
            </w:tcBorders>
            <w:vAlign w:val="center"/>
            <w:hideMark/>
          </w:tcPr>
          <w:p w14:paraId="4F8C0A1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 xml:space="preserve">Subsid. </w:t>
            </w:r>
          </w:p>
        </w:tc>
        <w:tc>
          <w:tcPr>
            <w:tcW w:w="770" w:type="dxa"/>
            <w:tcBorders>
              <w:top w:val="single" w:sz="4" w:space="0" w:color="auto"/>
              <w:bottom w:val="single" w:sz="4" w:space="0" w:color="auto"/>
              <w:right w:val="dashed" w:sz="4" w:space="0" w:color="auto"/>
            </w:tcBorders>
            <w:vAlign w:val="center"/>
            <w:hideMark/>
          </w:tcPr>
          <w:p w14:paraId="4A6B4F6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ROA</w:t>
            </w:r>
          </w:p>
        </w:tc>
        <w:tc>
          <w:tcPr>
            <w:tcW w:w="770" w:type="dxa"/>
            <w:tcBorders>
              <w:top w:val="single" w:sz="4" w:space="0" w:color="auto"/>
              <w:left w:val="dashed" w:sz="4" w:space="0" w:color="auto"/>
              <w:bottom w:val="single" w:sz="4" w:space="0" w:color="auto"/>
            </w:tcBorders>
            <w:vAlign w:val="center"/>
            <w:hideMark/>
          </w:tcPr>
          <w:p w14:paraId="11D2B7E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Country</w:t>
            </w:r>
          </w:p>
        </w:tc>
        <w:tc>
          <w:tcPr>
            <w:tcW w:w="770" w:type="dxa"/>
            <w:tcBorders>
              <w:top w:val="single" w:sz="4" w:space="0" w:color="auto"/>
              <w:bottom w:val="single" w:sz="4" w:space="0" w:color="auto"/>
            </w:tcBorders>
            <w:vAlign w:val="center"/>
            <w:hideMark/>
          </w:tcPr>
          <w:p w14:paraId="5BE4FDD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 xml:space="preserve">MNEs </w:t>
            </w:r>
          </w:p>
        </w:tc>
        <w:tc>
          <w:tcPr>
            <w:tcW w:w="770" w:type="dxa"/>
            <w:tcBorders>
              <w:top w:val="single" w:sz="4" w:space="0" w:color="auto"/>
              <w:bottom w:val="single" w:sz="4" w:space="0" w:color="auto"/>
            </w:tcBorders>
            <w:vAlign w:val="center"/>
            <w:hideMark/>
          </w:tcPr>
          <w:p w14:paraId="7AEA14E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 xml:space="preserve">Subsid. </w:t>
            </w:r>
          </w:p>
        </w:tc>
        <w:tc>
          <w:tcPr>
            <w:tcW w:w="770" w:type="dxa"/>
            <w:tcBorders>
              <w:top w:val="single" w:sz="4" w:space="0" w:color="auto"/>
              <w:bottom w:val="single" w:sz="4" w:space="0" w:color="auto"/>
              <w:right w:val="dashed" w:sz="4" w:space="0" w:color="auto"/>
            </w:tcBorders>
            <w:vAlign w:val="center"/>
            <w:hideMark/>
          </w:tcPr>
          <w:p w14:paraId="0131349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ROA</w:t>
            </w:r>
          </w:p>
        </w:tc>
        <w:tc>
          <w:tcPr>
            <w:tcW w:w="770" w:type="dxa"/>
            <w:tcBorders>
              <w:top w:val="single" w:sz="4" w:space="0" w:color="auto"/>
              <w:left w:val="dashed" w:sz="4" w:space="0" w:color="auto"/>
              <w:bottom w:val="single" w:sz="4" w:space="0" w:color="auto"/>
            </w:tcBorders>
            <w:vAlign w:val="center"/>
            <w:hideMark/>
          </w:tcPr>
          <w:p w14:paraId="57BC628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Country</w:t>
            </w:r>
          </w:p>
        </w:tc>
        <w:tc>
          <w:tcPr>
            <w:tcW w:w="770" w:type="dxa"/>
            <w:tcBorders>
              <w:top w:val="single" w:sz="4" w:space="0" w:color="auto"/>
              <w:bottom w:val="single" w:sz="4" w:space="0" w:color="auto"/>
            </w:tcBorders>
            <w:vAlign w:val="center"/>
            <w:hideMark/>
          </w:tcPr>
          <w:p w14:paraId="711D63D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 xml:space="preserve">MNEs </w:t>
            </w:r>
          </w:p>
        </w:tc>
        <w:tc>
          <w:tcPr>
            <w:tcW w:w="770" w:type="dxa"/>
            <w:tcBorders>
              <w:top w:val="single" w:sz="4" w:space="0" w:color="auto"/>
              <w:bottom w:val="single" w:sz="4" w:space="0" w:color="auto"/>
            </w:tcBorders>
            <w:vAlign w:val="center"/>
            <w:hideMark/>
          </w:tcPr>
          <w:p w14:paraId="0F8BD8E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 xml:space="preserve">Subsid. </w:t>
            </w:r>
          </w:p>
        </w:tc>
        <w:tc>
          <w:tcPr>
            <w:tcW w:w="770" w:type="dxa"/>
            <w:tcBorders>
              <w:top w:val="single" w:sz="4" w:space="0" w:color="auto"/>
              <w:bottom w:val="single" w:sz="4" w:space="0" w:color="auto"/>
            </w:tcBorders>
            <w:vAlign w:val="center"/>
            <w:hideMark/>
          </w:tcPr>
          <w:p w14:paraId="030D70A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ROA</w:t>
            </w:r>
          </w:p>
        </w:tc>
      </w:tr>
      <w:tr w:rsidR="00610751" w:rsidRPr="00610751" w14:paraId="0DB638E4" w14:textId="77777777" w:rsidTr="00DB7B9A">
        <w:trPr>
          <w:trHeight w:val="20"/>
        </w:trPr>
        <w:tc>
          <w:tcPr>
            <w:tcW w:w="770" w:type="dxa"/>
            <w:tcBorders>
              <w:top w:val="single" w:sz="4" w:space="0" w:color="auto"/>
            </w:tcBorders>
            <w:noWrap/>
            <w:vAlign w:val="center"/>
            <w:hideMark/>
          </w:tcPr>
          <w:p w14:paraId="5CD47A2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AE</w:t>
            </w:r>
          </w:p>
        </w:tc>
        <w:tc>
          <w:tcPr>
            <w:tcW w:w="770" w:type="dxa"/>
            <w:tcBorders>
              <w:top w:val="single" w:sz="4" w:space="0" w:color="auto"/>
            </w:tcBorders>
            <w:noWrap/>
            <w:vAlign w:val="center"/>
            <w:hideMark/>
          </w:tcPr>
          <w:p w14:paraId="5E5E6E2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11</w:t>
            </w:r>
          </w:p>
        </w:tc>
        <w:tc>
          <w:tcPr>
            <w:tcW w:w="770" w:type="dxa"/>
            <w:tcBorders>
              <w:top w:val="single" w:sz="4" w:space="0" w:color="auto"/>
            </w:tcBorders>
            <w:noWrap/>
            <w:vAlign w:val="center"/>
            <w:hideMark/>
          </w:tcPr>
          <w:p w14:paraId="67B4950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top w:val="single" w:sz="4" w:space="0" w:color="auto"/>
              <w:right w:val="dashed" w:sz="4" w:space="0" w:color="auto"/>
            </w:tcBorders>
            <w:noWrap/>
            <w:vAlign w:val="center"/>
            <w:hideMark/>
          </w:tcPr>
          <w:p w14:paraId="15C6E71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top w:val="single" w:sz="4" w:space="0" w:color="auto"/>
              <w:left w:val="dashed" w:sz="4" w:space="0" w:color="auto"/>
            </w:tcBorders>
            <w:noWrap/>
            <w:vAlign w:val="center"/>
            <w:hideMark/>
          </w:tcPr>
          <w:p w14:paraId="0A9D4A1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FI</w:t>
            </w:r>
          </w:p>
        </w:tc>
        <w:tc>
          <w:tcPr>
            <w:tcW w:w="770" w:type="dxa"/>
            <w:tcBorders>
              <w:top w:val="single" w:sz="4" w:space="0" w:color="auto"/>
            </w:tcBorders>
            <w:noWrap/>
            <w:vAlign w:val="center"/>
            <w:hideMark/>
          </w:tcPr>
          <w:p w14:paraId="4F30D05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83</w:t>
            </w:r>
          </w:p>
        </w:tc>
        <w:tc>
          <w:tcPr>
            <w:tcW w:w="770" w:type="dxa"/>
            <w:tcBorders>
              <w:top w:val="single" w:sz="4" w:space="0" w:color="auto"/>
            </w:tcBorders>
            <w:noWrap/>
            <w:vAlign w:val="center"/>
            <w:hideMark/>
          </w:tcPr>
          <w:p w14:paraId="1EB56DF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920</w:t>
            </w:r>
          </w:p>
        </w:tc>
        <w:tc>
          <w:tcPr>
            <w:tcW w:w="770" w:type="dxa"/>
            <w:tcBorders>
              <w:top w:val="single" w:sz="4" w:space="0" w:color="auto"/>
              <w:right w:val="dashed" w:sz="4" w:space="0" w:color="auto"/>
            </w:tcBorders>
            <w:noWrap/>
            <w:vAlign w:val="center"/>
            <w:hideMark/>
          </w:tcPr>
          <w:p w14:paraId="3148D78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5.70</w:t>
            </w:r>
          </w:p>
        </w:tc>
        <w:tc>
          <w:tcPr>
            <w:tcW w:w="770" w:type="dxa"/>
            <w:tcBorders>
              <w:top w:val="single" w:sz="4" w:space="0" w:color="auto"/>
              <w:left w:val="dashed" w:sz="4" w:space="0" w:color="auto"/>
            </w:tcBorders>
            <w:noWrap/>
            <w:vAlign w:val="center"/>
            <w:hideMark/>
          </w:tcPr>
          <w:p w14:paraId="5281295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MH</w:t>
            </w:r>
          </w:p>
        </w:tc>
        <w:tc>
          <w:tcPr>
            <w:tcW w:w="770" w:type="dxa"/>
            <w:tcBorders>
              <w:top w:val="single" w:sz="4" w:space="0" w:color="auto"/>
            </w:tcBorders>
            <w:noWrap/>
            <w:vAlign w:val="center"/>
            <w:hideMark/>
          </w:tcPr>
          <w:p w14:paraId="401CAE0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tcBorders>
              <w:top w:val="single" w:sz="4" w:space="0" w:color="auto"/>
            </w:tcBorders>
            <w:noWrap/>
            <w:vAlign w:val="center"/>
            <w:hideMark/>
          </w:tcPr>
          <w:p w14:paraId="274D02D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tcBorders>
              <w:top w:val="single" w:sz="4" w:space="0" w:color="auto"/>
              <w:right w:val="dashed" w:sz="4" w:space="0" w:color="auto"/>
            </w:tcBorders>
            <w:noWrap/>
            <w:vAlign w:val="center"/>
            <w:hideMark/>
          </w:tcPr>
          <w:p w14:paraId="5072795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1.66</w:t>
            </w:r>
          </w:p>
        </w:tc>
        <w:tc>
          <w:tcPr>
            <w:tcW w:w="770" w:type="dxa"/>
            <w:tcBorders>
              <w:top w:val="single" w:sz="4" w:space="0" w:color="auto"/>
              <w:left w:val="dashed" w:sz="4" w:space="0" w:color="auto"/>
            </w:tcBorders>
            <w:noWrap/>
            <w:vAlign w:val="center"/>
            <w:hideMark/>
          </w:tcPr>
          <w:p w14:paraId="52A7231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TW</w:t>
            </w:r>
          </w:p>
        </w:tc>
        <w:tc>
          <w:tcPr>
            <w:tcW w:w="770" w:type="dxa"/>
            <w:tcBorders>
              <w:top w:val="single" w:sz="4" w:space="0" w:color="auto"/>
            </w:tcBorders>
            <w:noWrap/>
            <w:vAlign w:val="center"/>
            <w:hideMark/>
          </w:tcPr>
          <w:p w14:paraId="70FA845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71</w:t>
            </w:r>
          </w:p>
        </w:tc>
        <w:tc>
          <w:tcPr>
            <w:tcW w:w="770" w:type="dxa"/>
            <w:tcBorders>
              <w:top w:val="single" w:sz="4" w:space="0" w:color="auto"/>
            </w:tcBorders>
            <w:noWrap/>
            <w:vAlign w:val="center"/>
            <w:hideMark/>
          </w:tcPr>
          <w:p w14:paraId="55B507E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11</w:t>
            </w:r>
          </w:p>
        </w:tc>
        <w:tc>
          <w:tcPr>
            <w:tcW w:w="770" w:type="dxa"/>
            <w:tcBorders>
              <w:top w:val="single" w:sz="4" w:space="0" w:color="auto"/>
            </w:tcBorders>
            <w:noWrap/>
            <w:vAlign w:val="center"/>
            <w:hideMark/>
          </w:tcPr>
          <w:p w14:paraId="1CFC14C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5.05</w:t>
            </w:r>
          </w:p>
        </w:tc>
      </w:tr>
      <w:tr w:rsidR="00610751" w:rsidRPr="00610751" w14:paraId="5FF2EC85" w14:textId="77777777" w:rsidTr="00DB7B9A">
        <w:trPr>
          <w:trHeight w:val="20"/>
        </w:trPr>
        <w:tc>
          <w:tcPr>
            <w:tcW w:w="770" w:type="dxa"/>
            <w:noWrap/>
            <w:vAlign w:val="center"/>
            <w:hideMark/>
          </w:tcPr>
          <w:p w14:paraId="22B13C7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AO</w:t>
            </w:r>
          </w:p>
        </w:tc>
        <w:tc>
          <w:tcPr>
            <w:tcW w:w="770" w:type="dxa"/>
            <w:noWrap/>
            <w:vAlign w:val="center"/>
            <w:hideMark/>
          </w:tcPr>
          <w:p w14:paraId="0468D56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44CFB12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6ECBEBB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202002A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FR</w:t>
            </w:r>
          </w:p>
        </w:tc>
        <w:tc>
          <w:tcPr>
            <w:tcW w:w="770" w:type="dxa"/>
            <w:noWrap/>
            <w:vAlign w:val="center"/>
            <w:hideMark/>
          </w:tcPr>
          <w:p w14:paraId="0711F19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303</w:t>
            </w:r>
          </w:p>
        </w:tc>
        <w:tc>
          <w:tcPr>
            <w:tcW w:w="770" w:type="dxa"/>
            <w:noWrap/>
            <w:vAlign w:val="center"/>
            <w:hideMark/>
          </w:tcPr>
          <w:p w14:paraId="566F226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3376</w:t>
            </w:r>
          </w:p>
        </w:tc>
        <w:tc>
          <w:tcPr>
            <w:tcW w:w="770" w:type="dxa"/>
            <w:tcBorders>
              <w:right w:val="dashed" w:sz="4" w:space="0" w:color="auto"/>
            </w:tcBorders>
            <w:noWrap/>
            <w:vAlign w:val="center"/>
            <w:hideMark/>
          </w:tcPr>
          <w:p w14:paraId="0087816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2.68</w:t>
            </w:r>
          </w:p>
        </w:tc>
        <w:tc>
          <w:tcPr>
            <w:tcW w:w="770" w:type="dxa"/>
            <w:tcBorders>
              <w:left w:val="dashed" w:sz="4" w:space="0" w:color="auto"/>
            </w:tcBorders>
            <w:noWrap/>
            <w:vAlign w:val="center"/>
            <w:hideMark/>
          </w:tcPr>
          <w:p w14:paraId="697BA71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MT</w:t>
            </w:r>
          </w:p>
        </w:tc>
        <w:tc>
          <w:tcPr>
            <w:tcW w:w="770" w:type="dxa"/>
            <w:noWrap/>
            <w:vAlign w:val="center"/>
            <w:hideMark/>
          </w:tcPr>
          <w:p w14:paraId="47C67F1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12</w:t>
            </w:r>
          </w:p>
        </w:tc>
        <w:tc>
          <w:tcPr>
            <w:tcW w:w="770" w:type="dxa"/>
            <w:noWrap/>
            <w:vAlign w:val="center"/>
            <w:hideMark/>
          </w:tcPr>
          <w:p w14:paraId="25076BB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59</w:t>
            </w:r>
          </w:p>
        </w:tc>
        <w:tc>
          <w:tcPr>
            <w:tcW w:w="770" w:type="dxa"/>
            <w:tcBorders>
              <w:right w:val="dashed" w:sz="4" w:space="0" w:color="auto"/>
            </w:tcBorders>
            <w:noWrap/>
            <w:vAlign w:val="center"/>
            <w:hideMark/>
          </w:tcPr>
          <w:p w14:paraId="28BBAF0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9.65</w:t>
            </w:r>
          </w:p>
        </w:tc>
        <w:tc>
          <w:tcPr>
            <w:tcW w:w="770" w:type="dxa"/>
            <w:tcBorders>
              <w:left w:val="dashed" w:sz="4" w:space="0" w:color="auto"/>
            </w:tcBorders>
            <w:noWrap/>
            <w:vAlign w:val="center"/>
            <w:hideMark/>
          </w:tcPr>
          <w:p w14:paraId="4335B8A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US</w:t>
            </w:r>
          </w:p>
        </w:tc>
        <w:tc>
          <w:tcPr>
            <w:tcW w:w="770" w:type="dxa"/>
            <w:noWrap/>
            <w:vAlign w:val="center"/>
            <w:hideMark/>
          </w:tcPr>
          <w:p w14:paraId="7EFA42E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908</w:t>
            </w:r>
          </w:p>
        </w:tc>
        <w:tc>
          <w:tcPr>
            <w:tcW w:w="770" w:type="dxa"/>
            <w:noWrap/>
            <w:vAlign w:val="center"/>
            <w:hideMark/>
          </w:tcPr>
          <w:p w14:paraId="61E5560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45</w:t>
            </w:r>
          </w:p>
        </w:tc>
        <w:tc>
          <w:tcPr>
            <w:tcW w:w="770" w:type="dxa"/>
            <w:noWrap/>
            <w:vAlign w:val="center"/>
            <w:hideMark/>
          </w:tcPr>
          <w:p w14:paraId="3622611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-5.23</w:t>
            </w:r>
          </w:p>
        </w:tc>
      </w:tr>
      <w:tr w:rsidR="00610751" w:rsidRPr="00610751" w14:paraId="34D849D2" w14:textId="77777777" w:rsidTr="00DB7B9A">
        <w:trPr>
          <w:trHeight w:val="20"/>
        </w:trPr>
        <w:tc>
          <w:tcPr>
            <w:tcW w:w="770" w:type="dxa"/>
            <w:noWrap/>
            <w:vAlign w:val="center"/>
            <w:hideMark/>
          </w:tcPr>
          <w:p w14:paraId="0568834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AR</w:t>
            </w:r>
          </w:p>
        </w:tc>
        <w:tc>
          <w:tcPr>
            <w:tcW w:w="770" w:type="dxa"/>
            <w:noWrap/>
            <w:vAlign w:val="center"/>
            <w:hideMark/>
          </w:tcPr>
          <w:p w14:paraId="158045C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7500E19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w:t>
            </w:r>
          </w:p>
        </w:tc>
        <w:tc>
          <w:tcPr>
            <w:tcW w:w="770" w:type="dxa"/>
            <w:tcBorders>
              <w:right w:val="dashed" w:sz="4" w:space="0" w:color="auto"/>
            </w:tcBorders>
            <w:noWrap/>
            <w:vAlign w:val="center"/>
            <w:hideMark/>
          </w:tcPr>
          <w:p w14:paraId="3DDB4DF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1.37</w:t>
            </w:r>
          </w:p>
        </w:tc>
        <w:tc>
          <w:tcPr>
            <w:tcW w:w="770" w:type="dxa"/>
            <w:tcBorders>
              <w:left w:val="dashed" w:sz="4" w:space="0" w:color="auto"/>
            </w:tcBorders>
            <w:noWrap/>
            <w:vAlign w:val="center"/>
            <w:hideMark/>
          </w:tcPr>
          <w:p w14:paraId="214A32E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GB</w:t>
            </w:r>
          </w:p>
        </w:tc>
        <w:tc>
          <w:tcPr>
            <w:tcW w:w="770" w:type="dxa"/>
            <w:noWrap/>
            <w:vAlign w:val="center"/>
            <w:hideMark/>
          </w:tcPr>
          <w:p w14:paraId="36908B2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345</w:t>
            </w:r>
          </w:p>
        </w:tc>
        <w:tc>
          <w:tcPr>
            <w:tcW w:w="770" w:type="dxa"/>
            <w:noWrap/>
            <w:vAlign w:val="center"/>
            <w:hideMark/>
          </w:tcPr>
          <w:p w14:paraId="62376E4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4223</w:t>
            </w:r>
          </w:p>
        </w:tc>
        <w:tc>
          <w:tcPr>
            <w:tcW w:w="770" w:type="dxa"/>
            <w:tcBorders>
              <w:right w:val="dashed" w:sz="4" w:space="0" w:color="auto"/>
            </w:tcBorders>
            <w:noWrap/>
            <w:vAlign w:val="center"/>
            <w:hideMark/>
          </w:tcPr>
          <w:p w14:paraId="038F419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3.90</w:t>
            </w:r>
          </w:p>
        </w:tc>
        <w:tc>
          <w:tcPr>
            <w:tcW w:w="770" w:type="dxa"/>
            <w:tcBorders>
              <w:left w:val="dashed" w:sz="4" w:space="0" w:color="auto"/>
            </w:tcBorders>
            <w:noWrap/>
            <w:vAlign w:val="center"/>
            <w:hideMark/>
          </w:tcPr>
          <w:p w14:paraId="29D4DC0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MU</w:t>
            </w:r>
          </w:p>
        </w:tc>
        <w:tc>
          <w:tcPr>
            <w:tcW w:w="770" w:type="dxa"/>
            <w:noWrap/>
            <w:vAlign w:val="center"/>
            <w:hideMark/>
          </w:tcPr>
          <w:p w14:paraId="6609068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14</w:t>
            </w:r>
          </w:p>
        </w:tc>
        <w:tc>
          <w:tcPr>
            <w:tcW w:w="770" w:type="dxa"/>
            <w:noWrap/>
            <w:vAlign w:val="center"/>
            <w:hideMark/>
          </w:tcPr>
          <w:p w14:paraId="034B4B2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17</w:t>
            </w:r>
          </w:p>
        </w:tc>
        <w:tc>
          <w:tcPr>
            <w:tcW w:w="770" w:type="dxa"/>
            <w:tcBorders>
              <w:right w:val="dashed" w:sz="4" w:space="0" w:color="auto"/>
            </w:tcBorders>
            <w:noWrap/>
            <w:vAlign w:val="center"/>
            <w:hideMark/>
          </w:tcPr>
          <w:p w14:paraId="7A8F955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3.51</w:t>
            </w:r>
          </w:p>
        </w:tc>
        <w:tc>
          <w:tcPr>
            <w:tcW w:w="770" w:type="dxa"/>
            <w:tcBorders>
              <w:left w:val="dashed" w:sz="4" w:space="0" w:color="auto"/>
            </w:tcBorders>
            <w:noWrap/>
            <w:vAlign w:val="center"/>
            <w:hideMark/>
          </w:tcPr>
          <w:p w14:paraId="71606FC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VC</w:t>
            </w:r>
          </w:p>
        </w:tc>
        <w:tc>
          <w:tcPr>
            <w:tcW w:w="770" w:type="dxa"/>
            <w:noWrap/>
            <w:vAlign w:val="center"/>
            <w:hideMark/>
          </w:tcPr>
          <w:p w14:paraId="1BAD72A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681505A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0987ABD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r>
      <w:tr w:rsidR="00610751" w:rsidRPr="00610751" w14:paraId="18ED5E66" w14:textId="77777777" w:rsidTr="00DB7B9A">
        <w:trPr>
          <w:trHeight w:val="20"/>
        </w:trPr>
        <w:tc>
          <w:tcPr>
            <w:tcW w:w="770" w:type="dxa"/>
            <w:noWrap/>
            <w:vAlign w:val="center"/>
            <w:hideMark/>
          </w:tcPr>
          <w:p w14:paraId="6894DAA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AT</w:t>
            </w:r>
          </w:p>
        </w:tc>
        <w:tc>
          <w:tcPr>
            <w:tcW w:w="770" w:type="dxa"/>
            <w:noWrap/>
            <w:vAlign w:val="center"/>
            <w:hideMark/>
          </w:tcPr>
          <w:p w14:paraId="3194F89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171</w:t>
            </w:r>
          </w:p>
        </w:tc>
        <w:tc>
          <w:tcPr>
            <w:tcW w:w="770" w:type="dxa"/>
            <w:noWrap/>
            <w:vAlign w:val="center"/>
            <w:hideMark/>
          </w:tcPr>
          <w:p w14:paraId="3B1143A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567</w:t>
            </w:r>
          </w:p>
        </w:tc>
        <w:tc>
          <w:tcPr>
            <w:tcW w:w="770" w:type="dxa"/>
            <w:tcBorders>
              <w:right w:val="dashed" w:sz="4" w:space="0" w:color="auto"/>
            </w:tcBorders>
            <w:noWrap/>
            <w:vAlign w:val="center"/>
            <w:hideMark/>
          </w:tcPr>
          <w:p w14:paraId="205CF0C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7.51</w:t>
            </w:r>
          </w:p>
        </w:tc>
        <w:tc>
          <w:tcPr>
            <w:tcW w:w="770" w:type="dxa"/>
            <w:tcBorders>
              <w:left w:val="dashed" w:sz="4" w:space="0" w:color="auto"/>
            </w:tcBorders>
            <w:noWrap/>
            <w:vAlign w:val="center"/>
            <w:hideMark/>
          </w:tcPr>
          <w:p w14:paraId="288DC1F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GI</w:t>
            </w:r>
          </w:p>
        </w:tc>
        <w:tc>
          <w:tcPr>
            <w:tcW w:w="770" w:type="dxa"/>
            <w:noWrap/>
            <w:vAlign w:val="center"/>
            <w:hideMark/>
          </w:tcPr>
          <w:p w14:paraId="6157A32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w:t>
            </w:r>
          </w:p>
        </w:tc>
        <w:tc>
          <w:tcPr>
            <w:tcW w:w="770" w:type="dxa"/>
            <w:noWrap/>
            <w:vAlign w:val="center"/>
            <w:hideMark/>
          </w:tcPr>
          <w:p w14:paraId="7A1B21B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tcBorders>
              <w:right w:val="dashed" w:sz="4" w:space="0" w:color="auto"/>
            </w:tcBorders>
            <w:noWrap/>
            <w:vAlign w:val="center"/>
            <w:hideMark/>
          </w:tcPr>
          <w:p w14:paraId="7DE9C17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13.38</w:t>
            </w:r>
          </w:p>
        </w:tc>
        <w:tc>
          <w:tcPr>
            <w:tcW w:w="770" w:type="dxa"/>
            <w:tcBorders>
              <w:left w:val="dashed" w:sz="4" w:space="0" w:color="auto"/>
            </w:tcBorders>
            <w:noWrap/>
            <w:vAlign w:val="center"/>
            <w:hideMark/>
          </w:tcPr>
          <w:p w14:paraId="0BB118C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MX</w:t>
            </w:r>
          </w:p>
        </w:tc>
        <w:tc>
          <w:tcPr>
            <w:tcW w:w="770" w:type="dxa"/>
            <w:noWrap/>
            <w:vAlign w:val="center"/>
            <w:hideMark/>
          </w:tcPr>
          <w:p w14:paraId="240F621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13</w:t>
            </w:r>
          </w:p>
        </w:tc>
        <w:tc>
          <w:tcPr>
            <w:tcW w:w="770" w:type="dxa"/>
            <w:noWrap/>
            <w:vAlign w:val="center"/>
            <w:hideMark/>
          </w:tcPr>
          <w:p w14:paraId="7D327B6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126</w:t>
            </w:r>
          </w:p>
        </w:tc>
        <w:tc>
          <w:tcPr>
            <w:tcW w:w="770" w:type="dxa"/>
            <w:tcBorders>
              <w:right w:val="dashed" w:sz="4" w:space="0" w:color="auto"/>
            </w:tcBorders>
            <w:noWrap/>
            <w:vAlign w:val="center"/>
            <w:hideMark/>
          </w:tcPr>
          <w:p w14:paraId="14B5B62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3.13</w:t>
            </w:r>
          </w:p>
        </w:tc>
        <w:tc>
          <w:tcPr>
            <w:tcW w:w="770" w:type="dxa"/>
            <w:tcBorders>
              <w:left w:val="dashed" w:sz="4" w:space="0" w:color="auto"/>
            </w:tcBorders>
            <w:noWrap/>
            <w:vAlign w:val="center"/>
            <w:hideMark/>
          </w:tcPr>
          <w:p w14:paraId="1A18C60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VE</w:t>
            </w:r>
          </w:p>
        </w:tc>
        <w:tc>
          <w:tcPr>
            <w:tcW w:w="770" w:type="dxa"/>
            <w:noWrap/>
            <w:vAlign w:val="center"/>
            <w:hideMark/>
          </w:tcPr>
          <w:p w14:paraId="4371398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69B7F09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5095ABD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r>
      <w:tr w:rsidR="00610751" w:rsidRPr="00610751" w14:paraId="03D54593" w14:textId="77777777" w:rsidTr="00DB7B9A">
        <w:trPr>
          <w:trHeight w:val="20"/>
        </w:trPr>
        <w:tc>
          <w:tcPr>
            <w:tcW w:w="770" w:type="dxa"/>
            <w:noWrap/>
            <w:vAlign w:val="center"/>
            <w:hideMark/>
          </w:tcPr>
          <w:p w14:paraId="654B30F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AU</w:t>
            </w:r>
          </w:p>
        </w:tc>
        <w:tc>
          <w:tcPr>
            <w:tcW w:w="770" w:type="dxa"/>
            <w:noWrap/>
            <w:vAlign w:val="center"/>
            <w:hideMark/>
          </w:tcPr>
          <w:p w14:paraId="10A3541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49</w:t>
            </w:r>
          </w:p>
        </w:tc>
        <w:tc>
          <w:tcPr>
            <w:tcW w:w="770" w:type="dxa"/>
            <w:noWrap/>
            <w:vAlign w:val="center"/>
            <w:hideMark/>
          </w:tcPr>
          <w:p w14:paraId="64DEE68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1553</w:t>
            </w:r>
          </w:p>
        </w:tc>
        <w:tc>
          <w:tcPr>
            <w:tcW w:w="770" w:type="dxa"/>
            <w:tcBorders>
              <w:right w:val="dashed" w:sz="4" w:space="0" w:color="auto"/>
            </w:tcBorders>
            <w:noWrap/>
            <w:vAlign w:val="center"/>
            <w:hideMark/>
          </w:tcPr>
          <w:p w14:paraId="563F9F6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-0.92</w:t>
            </w:r>
          </w:p>
        </w:tc>
        <w:tc>
          <w:tcPr>
            <w:tcW w:w="770" w:type="dxa"/>
            <w:tcBorders>
              <w:left w:val="dashed" w:sz="4" w:space="0" w:color="auto"/>
            </w:tcBorders>
            <w:noWrap/>
            <w:vAlign w:val="center"/>
            <w:hideMark/>
          </w:tcPr>
          <w:p w14:paraId="61D295F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GR</w:t>
            </w:r>
          </w:p>
        </w:tc>
        <w:tc>
          <w:tcPr>
            <w:tcW w:w="770" w:type="dxa"/>
            <w:noWrap/>
            <w:vAlign w:val="center"/>
            <w:hideMark/>
          </w:tcPr>
          <w:p w14:paraId="66CF3DD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13</w:t>
            </w:r>
          </w:p>
        </w:tc>
        <w:tc>
          <w:tcPr>
            <w:tcW w:w="770" w:type="dxa"/>
            <w:noWrap/>
            <w:vAlign w:val="center"/>
            <w:hideMark/>
          </w:tcPr>
          <w:p w14:paraId="3784C55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353</w:t>
            </w:r>
          </w:p>
        </w:tc>
        <w:tc>
          <w:tcPr>
            <w:tcW w:w="770" w:type="dxa"/>
            <w:tcBorders>
              <w:right w:val="dashed" w:sz="4" w:space="0" w:color="auto"/>
            </w:tcBorders>
            <w:noWrap/>
            <w:vAlign w:val="center"/>
            <w:hideMark/>
          </w:tcPr>
          <w:p w14:paraId="7B9358B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0.91</w:t>
            </w:r>
          </w:p>
        </w:tc>
        <w:tc>
          <w:tcPr>
            <w:tcW w:w="770" w:type="dxa"/>
            <w:tcBorders>
              <w:left w:val="dashed" w:sz="4" w:space="0" w:color="auto"/>
            </w:tcBorders>
            <w:noWrap/>
            <w:vAlign w:val="center"/>
            <w:hideMark/>
          </w:tcPr>
          <w:p w14:paraId="5EBF7AE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MY</w:t>
            </w:r>
          </w:p>
        </w:tc>
        <w:tc>
          <w:tcPr>
            <w:tcW w:w="770" w:type="dxa"/>
            <w:noWrap/>
            <w:vAlign w:val="center"/>
            <w:hideMark/>
          </w:tcPr>
          <w:p w14:paraId="72DC18D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27</w:t>
            </w:r>
          </w:p>
        </w:tc>
        <w:tc>
          <w:tcPr>
            <w:tcW w:w="770" w:type="dxa"/>
            <w:noWrap/>
            <w:vAlign w:val="center"/>
            <w:hideMark/>
          </w:tcPr>
          <w:p w14:paraId="00B1A6C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600</w:t>
            </w:r>
          </w:p>
        </w:tc>
        <w:tc>
          <w:tcPr>
            <w:tcW w:w="770" w:type="dxa"/>
            <w:tcBorders>
              <w:right w:val="dashed" w:sz="4" w:space="0" w:color="auto"/>
            </w:tcBorders>
            <w:noWrap/>
            <w:vAlign w:val="center"/>
            <w:hideMark/>
          </w:tcPr>
          <w:p w14:paraId="3A58F76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6.56</w:t>
            </w:r>
          </w:p>
        </w:tc>
        <w:tc>
          <w:tcPr>
            <w:tcW w:w="770" w:type="dxa"/>
            <w:tcBorders>
              <w:left w:val="dashed" w:sz="4" w:space="0" w:color="auto"/>
            </w:tcBorders>
            <w:noWrap/>
            <w:vAlign w:val="center"/>
            <w:hideMark/>
          </w:tcPr>
          <w:p w14:paraId="021786E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VG</w:t>
            </w:r>
          </w:p>
        </w:tc>
        <w:tc>
          <w:tcPr>
            <w:tcW w:w="770" w:type="dxa"/>
            <w:noWrap/>
            <w:vAlign w:val="center"/>
            <w:hideMark/>
          </w:tcPr>
          <w:p w14:paraId="5B9F2D7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68</w:t>
            </w:r>
          </w:p>
        </w:tc>
        <w:tc>
          <w:tcPr>
            <w:tcW w:w="770" w:type="dxa"/>
            <w:noWrap/>
            <w:vAlign w:val="center"/>
            <w:hideMark/>
          </w:tcPr>
          <w:p w14:paraId="04A067D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18BC1DF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r>
      <w:tr w:rsidR="00610751" w:rsidRPr="00610751" w14:paraId="7348F609" w14:textId="77777777" w:rsidTr="00DB7B9A">
        <w:trPr>
          <w:trHeight w:val="20"/>
        </w:trPr>
        <w:tc>
          <w:tcPr>
            <w:tcW w:w="770" w:type="dxa"/>
            <w:noWrap/>
            <w:vAlign w:val="center"/>
            <w:hideMark/>
          </w:tcPr>
          <w:p w14:paraId="27DAD38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AZ</w:t>
            </w:r>
          </w:p>
        </w:tc>
        <w:tc>
          <w:tcPr>
            <w:tcW w:w="770" w:type="dxa"/>
            <w:noWrap/>
            <w:vAlign w:val="center"/>
            <w:hideMark/>
          </w:tcPr>
          <w:p w14:paraId="10F17B3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1B10EE6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7395F3A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5AB2180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HK</w:t>
            </w:r>
          </w:p>
        </w:tc>
        <w:tc>
          <w:tcPr>
            <w:tcW w:w="770" w:type="dxa"/>
            <w:noWrap/>
            <w:vAlign w:val="center"/>
            <w:hideMark/>
          </w:tcPr>
          <w:p w14:paraId="7D5098D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31</w:t>
            </w:r>
          </w:p>
        </w:tc>
        <w:tc>
          <w:tcPr>
            <w:tcW w:w="770" w:type="dxa"/>
            <w:noWrap/>
            <w:vAlign w:val="center"/>
            <w:hideMark/>
          </w:tcPr>
          <w:p w14:paraId="180430D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19</w:t>
            </w:r>
          </w:p>
        </w:tc>
        <w:tc>
          <w:tcPr>
            <w:tcW w:w="770" w:type="dxa"/>
            <w:tcBorders>
              <w:right w:val="dashed" w:sz="4" w:space="0" w:color="auto"/>
            </w:tcBorders>
            <w:noWrap/>
            <w:vAlign w:val="center"/>
            <w:hideMark/>
          </w:tcPr>
          <w:p w14:paraId="73D2A5E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4.03</w:t>
            </w:r>
          </w:p>
        </w:tc>
        <w:tc>
          <w:tcPr>
            <w:tcW w:w="770" w:type="dxa"/>
            <w:tcBorders>
              <w:left w:val="dashed" w:sz="4" w:space="0" w:color="auto"/>
            </w:tcBorders>
            <w:noWrap/>
            <w:vAlign w:val="center"/>
            <w:hideMark/>
          </w:tcPr>
          <w:p w14:paraId="7333B48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NL</w:t>
            </w:r>
          </w:p>
        </w:tc>
        <w:tc>
          <w:tcPr>
            <w:tcW w:w="770" w:type="dxa"/>
            <w:noWrap/>
            <w:vAlign w:val="center"/>
            <w:hideMark/>
          </w:tcPr>
          <w:p w14:paraId="21A0C98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269</w:t>
            </w:r>
          </w:p>
        </w:tc>
        <w:tc>
          <w:tcPr>
            <w:tcW w:w="770" w:type="dxa"/>
            <w:noWrap/>
            <w:vAlign w:val="center"/>
            <w:hideMark/>
          </w:tcPr>
          <w:p w14:paraId="3060F67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1118</w:t>
            </w:r>
          </w:p>
        </w:tc>
        <w:tc>
          <w:tcPr>
            <w:tcW w:w="770" w:type="dxa"/>
            <w:tcBorders>
              <w:right w:val="dashed" w:sz="4" w:space="0" w:color="auto"/>
            </w:tcBorders>
            <w:noWrap/>
            <w:vAlign w:val="center"/>
            <w:hideMark/>
          </w:tcPr>
          <w:p w14:paraId="12DC480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4.98</w:t>
            </w:r>
          </w:p>
        </w:tc>
        <w:tc>
          <w:tcPr>
            <w:tcW w:w="770" w:type="dxa"/>
            <w:tcBorders>
              <w:left w:val="dashed" w:sz="4" w:space="0" w:color="auto"/>
            </w:tcBorders>
            <w:noWrap/>
            <w:vAlign w:val="center"/>
            <w:hideMark/>
          </w:tcPr>
          <w:p w14:paraId="27C4776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ZA</w:t>
            </w:r>
          </w:p>
        </w:tc>
        <w:tc>
          <w:tcPr>
            <w:tcW w:w="770" w:type="dxa"/>
            <w:noWrap/>
            <w:vAlign w:val="center"/>
            <w:hideMark/>
          </w:tcPr>
          <w:p w14:paraId="3726A1F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23</w:t>
            </w:r>
          </w:p>
        </w:tc>
        <w:tc>
          <w:tcPr>
            <w:tcW w:w="770" w:type="dxa"/>
            <w:noWrap/>
            <w:vAlign w:val="center"/>
            <w:hideMark/>
          </w:tcPr>
          <w:p w14:paraId="60201C8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4AF34FC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r>
      <w:tr w:rsidR="00610751" w:rsidRPr="00610751" w14:paraId="46E9BDCC" w14:textId="77777777" w:rsidTr="00DB7B9A">
        <w:trPr>
          <w:trHeight w:val="20"/>
        </w:trPr>
        <w:tc>
          <w:tcPr>
            <w:tcW w:w="770" w:type="dxa"/>
            <w:noWrap/>
            <w:vAlign w:val="center"/>
            <w:hideMark/>
          </w:tcPr>
          <w:p w14:paraId="5113A88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BB</w:t>
            </w:r>
          </w:p>
        </w:tc>
        <w:tc>
          <w:tcPr>
            <w:tcW w:w="770" w:type="dxa"/>
            <w:noWrap/>
            <w:vAlign w:val="center"/>
            <w:hideMark/>
          </w:tcPr>
          <w:p w14:paraId="7A36685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144E9FA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274F00C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1CDD1CC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HR</w:t>
            </w:r>
          </w:p>
        </w:tc>
        <w:tc>
          <w:tcPr>
            <w:tcW w:w="770" w:type="dxa"/>
            <w:noWrap/>
            <w:vAlign w:val="center"/>
            <w:hideMark/>
          </w:tcPr>
          <w:p w14:paraId="69A67D6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w:t>
            </w:r>
          </w:p>
        </w:tc>
        <w:tc>
          <w:tcPr>
            <w:tcW w:w="770" w:type="dxa"/>
            <w:noWrap/>
            <w:vAlign w:val="center"/>
            <w:hideMark/>
          </w:tcPr>
          <w:p w14:paraId="332684B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425</w:t>
            </w:r>
          </w:p>
        </w:tc>
        <w:tc>
          <w:tcPr>
            <w:tcW w:w="770" w:type="dxa"/>
            <w:tcBorders>
              <w:right w:val="dashed" w:sz="4" w:space="0" w:color="auto"/>
            </w:tcBorders>
            <w:noWrap/>
            <w:vAlign w:val="center"/>
            <w:hideMark/>
          </w:tcPr>
          <w:p w14:paraId="67BED45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3.76</w:t>
            </w:r>
          </w:p>
        </w:tc>
        <w:tc>
          <w:tcPr>
            <w:tcW w:w="770" w:type="dxa"/>
            <w:tcBorders>
              <w:left w:val="dashed" w:sz="4" w:space="0" w:color="auto"/>
            </w:tcBorders>
            <w:noWrap/>
            <w:vAlign w:val="center"/>
            <w:hideMark/>
          </w:tcPr>
          <w:p w14:paraId="1EE6239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NO</w:t>
            </w:r>
          </w:p>
        </w:tc>
        <w:tc>
          <w:tcPr>
            <w:tcW w:w="770" w:type="dxa"/>
            <w:noWrap/>
            <w:vAlign w:val="center"/>
            <w:hideMark/>
          </w:tcPr>
          <w:p w14:paraId="7DEF507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91</w:t>
            </w:r>
          </w:p>
        </w:tc>
        <w:tc>
          <w:tcPr>
            <w:tcW w:w="770" w:type="dxa"/>
            <w:noWrap/>
            <w:vAlign w:val="center"/>
            <w:hideMark/>
          </w:tcPr>
          <w:p w14:paraId="60EE901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887</w:t>
            </w:r>
          </w:p>
        </w:tc>
        <w:tc>
          <w:tcPr>
            <w:tcW w:w="770" w:type="dxa"/>
            <w:tcBorders>
              <w:right w:val="dashed" w:sz="4" w:space="0" w:color="auto"/>
            </w:tcBorders>
            <w:noWrap/>
            <w:vAlign w:val="center"/>
            <w:hideMark/>
          </w:tcPr>
          <w:p w14:paraId="3B1A984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4.52</w:t>
            </w:r>
          </w:p>
        </w:tc>
        <w:tc>
          <w:tcPr>
            <w:tcW w:w="770" w:type="dxa"/>
            <w:tcBorders>
              <w:left w:val="dashed" w:sz="4" w:space="0" w:color="auto"/>
            </w:tcBorders>
            <w:noWrap/>
            <w:vAlign w:val="center"/>
            <w:hideMark/>
          </w:tcPr>
          <w:p w14:paraId="0651829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AL</w:t>
            </w:r>
          </w:p>
        </w:tc>
        <w:tc>
          <w:tcPr>
            <w:tcW w:w="770" w:type="dxa"/>
            <w:noWrap/>
            <w:vAlign w:val="center"/>
            <w:hideMark/>
          </w:tcPr>
          <w:p w14:paraId="000A97D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316F0E0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8</w:t>
            </w:r>
          </w:p>
        </w:tc>
        <w:tc>
          <w:tcPr>
            <w:tcW w:w="770" w:type="dxa"/>
            <w:noWrap/>
            <w:vAlign w:val="center"/>
            <w:hideMark/>
          </w:tcPr>
          <w:p w14:paraId="0C7A325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3.84</w:t>
            </w:r>
          </w:p>
        </w:tc>
      </w:tr>
      <w:tr w:rsidR="00610751" w:rsidRPr="00610751" w14:paraId="395D9CDE" w14:textId="77777777" w:rsidTr="00DB7B9A">
        <w:trPr>
          <w:trHeight w:val="20"/>
        </w:trPr>
        <w:tc>
          <w:tcPr>
            <w:tcW w:w="770" w:type="dxa"/>
            <w:noWrap/>
            <w:vAlign w:val="center"/>
            <w:hideMark/>
          </w:tcPr>
          <w:p w14:paraId="1023099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BE</w:t>
            </w:r>
          </w:p>
        </w:tc>
        <w:tc>
          <w:tcPr>
            <w:tcW w:w="770" w:type="dxa"/>
            <w:noWrap/>
            <w:vAlign w:val="center"/>
            <w:hideMark/>
          </w:tcPr>
          <w:p w14:paraId="2B32939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124</w:t>
            </w:r>
          </w:p>
        </w:tc>
        <w:tc>
          <w:tcPr>
            <w:tcW w:w="770" w:type="dxa"/>
            <w:noWrap/>
            <w:vAlign w:val="center"/>
            <w:hideMark/>
          </w:tcPr>
          <w:p w14:paraId="4E55874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1987</w:t>
            </w:r>
          </w:p>
        </w:tc>
        <w:tc>
          <w:tcPr>
            <w:tcW w:w="770" w:type="dxa"/>
            <w:tcBorders>
              <w:right w:val="dashed" w:sz="4" w:space="0" w:color="auto"/>
            </w:tcBorders>
            <w:noWrap/>
            <w:vAlign w:val="center"/>
            <w:hideMark/>
          </w:tcPr>
          <w:p w14:paraId="4233DD8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3.72</w:t>
            </w:r>
          </w:p>
        </w:tc>
        <w:tc>
          <w:tcPr>
            <w:tcW w:w="770" w:type="dxa"/>
            <w:tcBorders>
              <w:left w:val="dashed" w:sz="4" w:space="0" w:color="auto"/>
            </w:tcBorders>
            <w:noWrap/>
            <w:vAlign w:val="center"/>
            <w:hideMark/>
          </w:tcPr>
          <w:p w14:paraId="5AC64DF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HU</w:t>
            </w:r>
          </w:p>
        </w:tc>
        <w:tc>
          <w:tcPr>
            <w:tcW w:w="770" w:type="dxa"/>
            <w:noWrap/>
            <w:vAlign w:val="center"/>
            <w:hideMark/>
          </w:tcPr>
          <w:p w14:paraId="04AB143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14</w:t>
            </w:r>
          </w:p>
        </w:tc>
        <w:tc>
          <w:tcPr>
            <w:tcW w:w="770" w:type="dxa"/>
            <w:noWrap/>
            <w:vAlign w:val="center"/>
            <w:hideMark/>
          </w:tcPr>
          <w:p w14:paraId="32326C8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845</w:t>
            </w:r>
          </w:p>
        </w:tc>
        <w:tc>
          <w:tcPr>
            <w:tcW w:w="770" w:type="dxa"/>
            <w:tcBorders>
              <w:right w:val="dashed" w:sz="4" w:space="0" w:color="auto"/>
            </w:tcBorders>
            <w:noWrap/>
            <w:vAlign w:val="center"/>
            <w:hideMark/>
          </w:tcPr>
          <w:p w14:paraId="5379360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5.59</w:t>
            </w:r>
          </w:p>
        </w:tc>
        <w:tc>
          <w:tcPr>
            <w:tcW w:w="770" w:type="dxa"/>
            <w:tcBorders>
              <w:left w:val="dashed" w:sz="4" w:space="0" w:color="auto"/>
            </w:tcBorders>
            <w:noWrap/>
            <w:vAlign w:val="center"/>
            <w:hideMark/>
          </w:tcPr>
          <w:p w14:paraId="6C1A87F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NZ</w:t>
            </w:r>
          </w:p>
        </w:tc>
        <w:tc>
          <w:tcPr>
            <w:tcW w:w="770" w:type="dxa"/>
            <w:noWrap/>
            <w:vAlign w:val="center"/>
            <w:hideMark/>
          </w:tcPr>
          <w:p w14:paraId="50DF6F1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14</w:t>
            </w:r>
          </w:p>
        </w:tc>
        <w:tc>
          <w:tcPr>
            <w:tcW w:w="770" w:type="dxa"/>
            <w:noWrap/>
            <w:vAlign w:val="center"/>
            <w:hideMark/>
          </w:tcPr>
          <w:p w14:paraId="26B4B2B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358</w:t>
            </w:r>
          </w:p>
        </w:tc>
        <w:tc>
          <w:tcPr>
            <w:tcW w:w="770" w:type="dxa"/>
            <w:tcBorders>
              <w:right w:val="dashed" w:sz="4" w:space="0" w:color="auto"/>
            </w:tcBorders>
            <w:noWrap/>
            <w:vAlign w:val="center"/>
            <w:hideMark/>
          </w:tcPr>
          <w:p w14:paraId="7D392AF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6.25</w:t>
            </w:r>
          </w:p>
        </w:tc>
        <w:tc>
          <w:tcPr>
            <w:tcW w:w="770" w:type="dxa"/>
            <w:tcBorders>
              <w:left w:val="dashed" w:sz="4" w:space="0" w:color="auto"/>
            </w:tcBorders>
            <w:noWrap/>
            <w:vAlign w:val="center"/>
            <w:hideMark/>
          </w:tcPr>
          <w:p w14:paraId="1533063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BA</w:t>
            </w:r>
          </w:p>
        </w:tc>
        <w:tc>
          <w:tcPr>
            <w:tcW w:w="770" w:type="dxa"/>
            <w:noWrap/>
            <w:vAlign w:val="center"/>
            <w:hideMark/>
          </w:tcPr>
          <w:p w14:paraId="6181A7B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460C2BD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76</w:t>
            </w:r>
          </w:p>
        </w:tc>
        <w:tc>
          <w:tcPr>
            <w:tcW w:w="770" w:type="dxa"/>
            <w:noWrap/>
            <w:vAlign w:val="center"/>
            <w:hideMark/>
          </w:tcPr>
          <w:p w14:paraId="5BFAA37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4.82</w:t>
            </w:r>
          </w:p>
        </w:tc>
      </w:tr>
      <w:tr w:rsidR="00610751" w:rsidRPr="00610751" w14:paraId="07B4B450" w14:textId="77777777" w:rsidTr="00DB7B9A">
        <w:trPr>
          <w:trHeight w:val="20"/>
        </w:trPr>
        <w:tc>
          <w:tcPr>
            <w:tcW w:w="770" w:type="dxa"/>
            <w:noWrap/>
            <w:vAlign w:val="center"/>
            <w:hideMark/>
          </w:tcPr>
          <w:p w14:paraId="5757B09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BG</w:t>
            </w:r>
          </w:p>
        </w:tc>
        <w:tc>
          <w:tcPr>
            <w:tcW w:w="770" w:type="dxa"/>
            <w:noWrap/>
            <w:vAlign w:val="center"/>
            <w:hideMark/>
          </w:tcPr>
          <w:p w14:paraId="5A1D5BD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3358B3D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446</w:t>
            </w:r>
          </w:p>
        </w:tc>
        <w:tc>
          <w:tcPr>
            <w:tcW w:w="770" w:type="dxa"/>
            <w:tcBorders>
              <w:right w:val="dashed" w:sz="4" w:space="0" w:color="auto"/>
            </w:tcBorders>
            <w:noWrap/>
            <w:vAlign w:val="center"/>
            <w:hideMark/>
          </w:tcPr>
          <w:p w14:paraId="6CF871E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7.17</w:t>
            </w:r>
          </w:p>
        </w:tc>
        <w:tc>
          <w:tcPr>
            <w:tcW w:w="770" w:type="dxa"/>
            <w:tcBorders>
              <w:left w:val="dashed" w:sz="4" w:space="0" w:color="auto"/>
            </w:tcBorders>
            <w:noWrap/>
            <w:vAlign w:val="center"/>
            <w:hideMark/>
          </w:tcPr>
          <w:p w14:paraId="1235D41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ID</w:t>
            </w:r>
          </w:p>
        </w:tc>
        <w:tc>
          <w:tcPr>
            <w:tcW w:w="770" w:type="dxa"/>
            <w:noWrap/>
            <w:vAlign w:val="center"/>
            <w:hideMark/>
          </w:tcPr>
          <w:p w14:paraId="3615C92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7CD388E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10</w:t>
            </w:r>
          </w:p>
        </w:tc>
        <w:tc>
          <w:tcPr>
            <w:tcW w:w="770" w:type="dxa"/>
            <w:tcBorders>
              <w:right w:val="dashed" w:sz="4" w:space="0" w:color="auto"/>
            </w:tcBorders>
            <w:noWrap/>
            <w:vAlign w:val="center"/>
            <w:hideMark/>
          </w:tcPr>
          <w:p w14:paraId="5A370F2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9.48</w:t>
            </w:r>
          </w:p>
        </w:tc>
        <w:tc>
          <w:tcPr>
            <w:tcW w:w="770" w:type="dxa"/>
            <w:tcBorders>
              <w:left w:val="dashed" w:sz="4" w:space="0" w:color="auto"/>
            </w:tcBorders>
            <w:noWrap/>
            <w:vAlign w:val="center"/>
            <w:hideMark/>
          </w:tcPr>
          <w:p w14:paraId="0D4D4F4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PA</w:t>
            </w:r>
          </w:p>
        </w:tc>
        <w:tc>
          <w:tcPr>
            <w:tcW w:w="770" w:type="dxa"/>
            <w:noWrap/>
            <w:vAlign w:val="center"/>
            <w:hideMark/>
          </w:tcPr>
          <w:p w14:paraId="69E6C67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8</w:t>
            </w:r>
          </w:p>
        </w:tc>
        <w:tc>
          <w:tcPr>
            <w:tcW w:w="770" w:type="dxa"/>
            <w:noWrap/>
            <w:vAlign w:val="center"/>
            <w:hideMark/>
          </w:tcPr>
          <w:p w14:paraId="55585FC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3A5F370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71CDCF7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CI</w:t>
            </w:r>
          </w:p>
        </w:tc>
        <w:tc>
          <w:tcPr>
            <w:tcW w:w="770" w:type="dxa"/>
            <w:noWrap/>
            <w:vAlign w:val="center"/>
            <w:hideMark/>
          </w:tcPr>
          <w:p w14:paraId="7F9C171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222E9CB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w:t>
            </w:r>
          </w:p>
        </w:tc>
        <w:tc>
          <w:tcPr>
            <w:tcW w:w="770" w:type="dxa"/>
            <w:noWrap/>
            <w:vAlign w:val="center"/>
            <w:hideMark/>
          </w:tcPr>
          <w:p w14:paraId="713E8D0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7.86</w:t>
            </w:r>
          </w:p>
        </w:tc>
      </w:tr>
      <w:tr w:rsidR="00610751" w:rsidRPr="00610751" w14:paraId="6A3269BC" w14:textId="77777777" w:rsidTr="00DB7B9A">
        <w:trPr>
          <w:trHeight w:val="20"/>
        </w:trPr>
        <w:tc>
          <w:tcPr>
            <w:tcW w:w="770" w:type="dxa"/>
            <w:noWrap/>
            <w:vAlign w:val="center"/>
            <w:hideMark/>
          </w:tcPr>
          <w:p w14:paraId="3A761D3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BM</w:t>
            </w:r>
          </w:p>
        </w:tc>
        <w:tc>
          <w:tcPr>
            <w:tcW w:w="770" w:type="dxa"/>
            <w:noWrap/>
            <w:vAlign w:val="center"/>
            <w:hideMark/>
          </w:tcPr>
          <w:p w14:paraId="604C34C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78</w:t>
            </w:r>
          </w:p>
        </w:tc>
        <w:tc>
          <w:tcPr>
            <w:tcW w:w="770" w:type="dxa"/>
            <w:noWrap/>
            <w:vAlign w:val="center"/>
            <w:hideMark/>
          </w:tcPr>
          <w:p w14:paraId="66928A8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33</w:t>
            </w:r>
          </w:p>
        </w:tc>
        <w:tc>
          <w:tcPr>
            <w:tcW w:w="770" w:type="dxa"/>
            <w:tcBorders>
              <w:right w:val="dashed" w:sz="4" w:space="0" w:color="auto"/>
            </w:tcBorders>
            <w:noWrap/>
            <w:vAlign w:val="center"/>
            <w:hideMark/>
          </w:tcPr>
          <w:p w14:paraId="1ED9C9D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0.72</w:t>
            </w:r>
          </w:p>
        </w:tc>
        <w:tc>
          <w:tcPr>
            <w:tcW w:w="770" w:type="dxa"/>
            <w:tcBorders>
              <w:left w:val="dashed" w:sz="4" w:space="0" w:color="auto"/>
            </w:tcBorders>
            <w:noWrap/>
            <w:vAlign w:val="center"/>
            <w:hideMark/>
          </w:tcPr>
          <w:p w14:paraId="2420302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IE</w:t>
            </w:r>
          </w:p>
        </w:tc>
        <w:tc>
          <w:tcPr>
            <w:tcW w:w="770" w:type="dxa"/>
            <w:noWrap/>
            <w:vAlign w:val="center"/>
            <w:hideMark/>
          </w:tcPr>
          <w:p w14:paraId="01E4A1E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48</w:t>
            </w:r>
          </w:p>
        </w:tc>
        <w:tc>
          <w:tcPr>
            <w:tcW w:w="770" w:type="dxa"/>
            <w:noWrap/>
            <w:vAlign w:val="center"/>
            <w:hideMark/>
          </w:tcPr>
          <w:p w14:paraId="3B243BA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1010</w:t>
            </w:r>
          </w:p>
        </w:tc>
        <w:tc>
          <w:tcPr>
            <w:tcW w:w="770" w:type="dxa"/>
            <w:tcBorders>
              <w:right w:val="dashed" w:sz="4" w:space="0" w:color="auto"/>
            </w:tcBorders>
            <w:noWrap/>
            <w:vAlign w:val="center"/>
            <w:hideMark/>
          </w:tcPr>
          <w:p w14:paraId="7810CDC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3.68</w:t>
            </w:r>
          </w:p>
        </w:tc>
        <w:tc>
          <w:tcPr>
            <w:tcW w:w="770" w:type="dxa"/>
            <w:tcBorders>
              <w:left w:val="dashed" w:sz="4" w:space="0" w:color="auto"/>
            </w:tcBorders>
            <w:noWrap/>
            <w:vAlign w:val="center"/>
            <w:hideMark/>
          </w:tcPr>
          <w:p w14:paraId="37B456C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PH</w:t>
            </w:r>
          </w:p>
        </w:tc>
        <w:tc>
          <w:tcPr>
            <w:tcW w:w="770" w:type="dxa"/>
            <w:noWrap/>
            <w:vAlign w:val="center"/>
            <w:hideMark/>
          </w:tcPr>
          <w:p w14:paraId="1C716BA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w:t>
            </w:r>
          </w:p>
        </w:tc>
        <w:tc>
          <w:tcPr>
            <w:tcW w:w="770" w:type="dxa"/>
            <w:noWrap/>
            <w:vAlign w:val="center"/>
            <w:hideMark/>
          </w:tcPr>
          <w:p w14:paraId="463BC65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56</w:t>
            </w:r>
          </w:p>
        </w:tc>
        <w:tc>
          <w:tcPr>
            <w:tcW w:w="770" w:type="dxa"/>
            <w:tcBorders>
              <w:right w:val="dashed" w:sz="4" w:space="0" w:color="auto"/>
            </w:tcBorders>
            <w:noWrap/>
            <w:vAlign w:val="center"/>
            <w:hideMark/>
          </w:tcPr>
          <w:p w14:paraId="7E34442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1.25</w:t>
            </w:r>
          </w:p>
        </w:tc>
        <w:tc>
          <w:tcPr>
            <w:tcW w:w="770" w:type="dxa"/>
            <w:tcBorders>
              <w:left w:val="dashed" w:sz="4" w:space="0" w:color="auto"/>
            </w:tcBorders>
            <w:noWrap/>
            <w:vAlign w:val="center"/>
            <w:hideMark/>
          </w:tcPr>
          <w:p w14:paraId="362687F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CO</w:t>
            </w:r>
          </w:p>
        </w:tc>
        <w:tc>
          <w:tcPr>
            <w:tcW w:w="770" w:type="dxa"/>
            <w:noWrap/>
            <w:vAlign w:val="center"/>
            <w:hideMark/>
          </w:tcPr>
          <w:p w14:paraId="7F3C0B9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3D95846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528</w:t>
            </w:r>
          </w:p>
        </w:tc>
        <w:tc>
          <w:tcPr>
            <w:tcW w:w="770" w:type="dxa"/>
            <w:noWrap/>
            <w:vAlign w:val="center"/>
            <w:hideMark/>
          </w:tcPr>
          <w:p w14:paraId="2C0580F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2.84</w:t>
            </w:r>
          </w:p>
        </w:tc>
      </w:tr>
      <w:tr w:rsidR="00610751" w:rsidRPr="00610751" w14:paraId="55A5B186" w14:textId="77777777" w:rsidTr="00DB7B9A">
        <w:trPr>
          <w:trHeight w:val="20"/>
        </w:trPr>
        <w:tc>
          <w:tcPr>
            <w:tcW w:w="770" w:type="dxa"/>
            <w:noWrap/>
            <w:vAlign w:val="center"/>
            <w:hideMark/>
          </w:tcPr>
          <w:p w14:paraId="2B0F4CD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BR</w:t>
            </w:r>
          </w:p>
        </w:tc>
        <w:tc>
          <w:tcPr>
            <w:tcW w:w="770" w:type="dxa"/>
            <w:noWrap/>
            <w:vAlign w:val="center"/>
            <w:hideMark/>
          </w:tcPr>
          <w:p w14:paraId="0504353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17</w:t>
            </w:r>
          </w:p>
        </w:tc>
        <w:tc>
          <w:tcPr>
            <w:tcW w:w="770" w:type="dxa"/>
            <w:noWrap/>
            <w:vAlign w:val="center"/>
            <w:hideMark/>
          </w:tcPr>
          <w:p w14:paraId="0D79652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357</w:t>
            </w:r>
          </w:p>
        </w:tc>
        <w:tc>
          <w:tcPr>
            <w:tcW w:w="770" w:type="dxa"/>
            <w:tcBorders>
              <w:right w:val="dashed" w:sz="4" w:space="0" w:color="auto"/>
            </w:tcBorders>
            <w:noWrap/>
            <w:vAlign w:val="center"/>
            <w:hideMark/>
          </w:tcPr>
          <w:p w14:paraId="052A668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-0.80</w:t>
            </w:r>
          </w:p>
        </w:tc>
        <w:tc>
          <w:tcPr>
            <w:tcW w:w="770" w:type="dxa"/>
            <w:tcBorders>
              <w:left w:val="dashed" w:sz="4" w:space="0" w:color="auto"/>
            </w:tcBorders>
            <w:noWrap/>
            <w:vAlign w:val="center"/>
            <w:hideMark/>
          </w:tcPr>
          <w:p w14:paraId="46AC2F5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IL</w:t>
            </w:r>
          </w:p>
        </w:tc>
        <w:tc>
          <w:tcPr>
            <w:tcW w:w="770" w:type="dxa"/>
            <w:noWrap/>
            <w:vAlign w:val="center"/>
            <w:hideMark/>
          </w:tcPr>
          <w:p w14:paraId="56A0344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29</w:t>
            </w:r>
          </w:p>
        </w:tc>
        <w:tc>
          <w:tcPr>
            <w:tcW w:w="770" w:type="dxa"/>
            <w:noWrap/>
            <w:vAlign w:val="center"/>
            <w:hideMark/>
          </w:tcPr>
          <w:p w14:paraId="5B03742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w:t>
            </w:r>
          </w:p>
        </w:tc>
        <w:tc>
          <w:tcPr>
            <w:tcW w:w="770" w:type="dxa"/>
            <w:tcBorders>
              <w:right w:val="dashed" w:sz="4" w:space="0" w:color="auto"/>
            </w:tcBorders>
            <w:noWrap/>
            <w:vAlign w:val="center"/>
            <w:hideMark/>
          </w:tcPr>
          <w:p w14:paraId="2E8C7BA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0.36</w:t>
            </w:r>
          </w:p>
        </w:tc>
        <w:tc>
          <w:tcPr>
            <w:tcW w:w="770" w:type="dxa"/>
            <w:tcBorders>
              <w:left w:val="dashed" w:sz="4" w:space="0" w:color="auto"/>
            </w:tcBorders>
            <w:noWrap/>
            <w:vAlign w:val="center"/>
            <w:hideMark/>
          </w:tcPr>
          <w:p w14:paraId="5E715E7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PL</w:t>
            </w:r>
          </w:p>
        </w:tc>
        <w:tc>
          <w:tcPr>
            <w:tcW w:w="770" w:type="dxa"/>
            <w:noWrap/>
            <w:vAlign w:val="center"/>
            <w:hideMark/>
          </w:tcPr>
          <w:p w14:paraId="3E419AB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22</w:t>
            </w:r>
          </w:p>
        </w:tc>
        <w:tc>
          <w:tcPr>
            <w:tcW w:w="770" w:type="dxa"/>
            <w:noWrap/>
            <w:vAlign w:val="center"/>
            <w:hideMark/>
          </w:tcPr>
          <w:p w14:paraId="75D8A9F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2742</w:t>
            </w:r>
          </w:p>
        </w:tc>
        <w:tc>
          <w:tcPr>
            <w:tcW w:w="770" w:type="dxa"/>
            <w:tcBorders>
              <w:right w:val="dashed" w:sz="4" w:space="0" w:color="auto"/>
            </w:tcBorders>
            <w:noWrap/>
            <w:vAlign w:val="center"/>
            <w:hideMark/>
          </w:tcPr>
          <w:p w14:paraId="13FCE92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4.77</w:t>
            </w:r>
          </w:p>
        </w:tc>
        <w:tc>
          <w:tcPr>
            <w:tcW w:w="770" w:type="dxa"/>
            <w:tcBorders>
              <w:left w:val="dashed" w:sz="4" w:space="0" w:color="auto"/>
            </w:tcBorders>
            <w:noWrap/>
            <w:vAlign w:val="center"/>
            <w:hideMark/>
          </w:tcPr>
          <w:p w14:paraId="688A672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EC</w:t>
            </w:r>
          </w:p>
        </w:tc>
        <w:tc>
          <w:tcPr>
            <w:tcW w:w="770" w:type="dxa"/>
            <w:noWrap/>
            <w:vAlign w:val="center"/>
            <w:hideMark/>
          </w:tcPr>
          <w:p w14:paraId="20A3E3B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4A62AA5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w:t>
            </w:r>
          </w:p>
        </w:tc>
        <w:tc>
          <w:tcPr>
            <w:tcW w:w="770" w:type="dxa"/>
            <w:noWrap/>
            <w:vAlign w:val="center"/>
            <w:hideMark/>
          </w:tcPr>
          <w:p w14:paraId="462D5F1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7.19</w:t>
            </w:r>
          </w:p>
        </w:tc>
      </w:tr>
      <w:tr w:rsidR="00610751" w:rsidRPr="00610751" w14:paraId="1D972050" w14:textId="77777777" w:rsidTr="00DB7B9A">
        <w:trPr>
          <w:trHeight w:val="20"/>
        </w:trPr>
        <w:tc>
          <w:tcPr>
            <w:tcW w:w="770" w:type="dxa"/>
            <w:noWrap/>
            <w:vAlign w:val="center"/>
            <w:hideMark/>
          </w:tcPr>
          <w:p w14:paraId="5098360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BS</w:t>
            </w:r>
          </w:p>
        </w:tc>
        <w:tc>
          <w:tcPr>
            <w:tcW w:w="770" w:type="dxa"/>
            <w:noWrap/>
            <w:vAlign w:val="center"/>
            <w:hideMark/>
          </w:tcPr>
          <w:p w14:paraId="7A5E586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w:t>
            </w:r>
          </w:p>
        </w:tc>
        <w:tc>
          <w:tcPr>
            <w:tcW w:w="770" w:type="dxa"/>
            <w:noWrap/>
            <w:vAlign w:val="center"/>
            <w:hideMark/>
          </w:tcPr>
          <w:p w14:paraId="1073474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31826E6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73D1FF5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IN</w:t>
            </w:r>
          </w:p>
        </w:tc>
        <w:tc>
          <w:tcPr>
            <w:tcW w:w="770" w:type="dxa"/>
            <w:noWrap/>
            <w:vAlign w:val="center"/>
            <w:hideMark/>
          </w:tcPr>
          <w:p w14:paraId="5A3DA6F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62</w:t>
            </w:r>
          </w:p>
        </w:tc>
        <w:tc>
          <w:tcPr>
            <w:tcW w:w="770" w:type="dxa"/>
            <w:noWrap/>
            <w:vAlign w:val="center"/>
            <w:hideMark/>
          </w:tcPr>
          <w:p w14:paraId="0A3B1D0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1178</w:t>
            </w:r>
          </w:p>
        </w:tc>
        <w:tc>
          <w:tcPr>
            <w:tcW w:w="770" w:type="dxa"/>
            <w:tcBorders>
              <w:right w:val="dashed" w:sz="4" w:space="0" w:color="auto"/>
            </w:tcBorders>
            <w:noWrap/>
            <w:vAlign w:val="center"/>
            <w:hideMark/>
          </w:tcPr>
          <w:p w14:paraId="18D5AAC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0.45</w:t>
            </w:r>
          </w:p>
        </w:tc>
        <w:tc>
          <w:tcPr>
            <w:tcW w:w="770" w:type="dxa"/>
            <w:tcBorders>
              <w:left w:val="dashed" w:sz="4" w:space="0" w:color="auto"/>
            </w:tcBorders>
            <w:noWrap/>
            <w:vAlign w:val="center"/>
            <w:hideMark/>
          </w:tcPr>
          <w:p w14:paraId="58064DB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PT</w:t>
            </w:r>
          </w:p>
        </w:tc>
        <w:tc>
          <w:tcPr>
            <w:tcW w:w="770" w:type="dxa"/>
            <w:noWrap/>
            <w:vAlign w:val="center"/>
            <w:hideMark/>
          </w:tcPr>
          <w:p w14:paraId="04E05E1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19</w:t>
            </w:r>
          </w:p>
        </w:tc>
        <w:tc>
          <w:tcPr>
            <w:tcW w:w="770" w:type="dxa"/>
            <w:noWrap/>
            <w:vAlign w:val="center"/>
            <w:hideMark/>
          </w:tcPr>
          <w:p w14:paraId="2E87694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1087</w:t>
            </w:r>
          </w:p>
        </w:tc>
        <w:tc>
          <w:tcPr>
            <w:tcW w:w="770" w:type="dxa"/>
            <w:tcBorders>
              <w:right w:val="dashed" w:sz="4" w:space="0" w:color="auto"/>
            </w:tcBorders>
            <w:noWrap/>
            <w:vAlign w:val="center"/>
            <w:hideMark/>
          </w:tcPr>
          <w:p w14:paraId="1BDFCF5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2.44</w:t>
            </w:r>
          </w:p>
        </w:tc>
        <w:tc>
          <w:tcPr>
            <w:tcW w:w="770" w:type="dxa"/>
            <w:tcBorders>
              <w:left w:val="dashed" w:sz="4" w:space="0" w:color="auto"/>
            </w:tcBorders>
            <w:noWrap/>
            <w:vAlign w:val="center"/>
            <w:hideMark/>
          </w:tcPr>
          <w:p w14:paraId="74214B8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EG</w:t>
            </w:r>
          </w:p>
        </w:tc>
        <w:tc>
          <w:tcPr>
            <w:tcW w:w="770" w:type="dxa"/>
            <w:noWrap/>
            <w:vAlign w:val="center"/>
            <w:hideMark/>
          </w:tcPr>
          <w:p w14:paraId="3C5BC34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2760369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311C167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6.97</w:t>
            </w:r>
          </w:p>
        </w:tc>
      </w:tr>
      <w:tr w:rsidR="00610751" w:rsidRPr="00610751" w14:paraId="69F43CF9" w14:textId="77777777" w:rsidTr="00DB7B9A">
        <w:trPr>
          <w:trHeight w:val="20"/>
        </w:trPr>
        <w:tc>
          <w:tcPr>
            <w:tcW w:w="770" w:type="dxa"/>
            <w:noWrap/>
            <w:vAlign w:val="center"/>
            <w:hideMark/>
          </w:tcPr>
          <w:p w14:paraId="49BF564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BY</w:t>
            </w:r>
          </w:p>
        </w:tc>
        <w:tc>
          <w:tcPr>
            <w:tcW w:w="770" w:type="dxa"/>
            <w:noWrap/>
            <w:vAlign w:val="center"/>
            <w:hideMark/>
          </w:tcPr>
          <w:p w14:paraId="4C5EE5D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w:t>
            </w:r>
          </w:p>
        </w:tc>
        <w:tc>
          <w:tcPr>
            <w:tcW w:w="770" w:type="dxa"/>
            <w:noWrap/>
            <w:vAlign w:val="center"/>
            <w:hideMark/>
          </w:tcPr>
          <w:p w14:paraId="6FA484C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1587BDE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138D5CD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IS</w:t>
            </w:r>
          </w:p>
        </w:tc>
        <w:tc>
          <w:tcPr>
            <w:tcW w:w="770" w:type="dxa"/>
            <w:noWrap/>
            <w:vAlign w:val="center"/>
            <w:hideMark/>
          </w:tcPr>
          <w:p w14:paraId="312FDC6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14283B8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38</w:t>
            </w:r>
          </w:p>
        </w:tc>
        <w:tc>
          <w:tcPr>
            <w:tcW w:w="770" w:type="dxa"/>
            <w:tcBorders>
              <w:right w:val="dashed" w:sz="4" w:space="0" w:color="auto"/>
            </w:tcBorders>
            <w:noWrap/>
            <w:vAlign w:val="center"/>
            <w:hideMark/>
          </w:tcPr>
          <w:p w14:paraId="667FB20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3.58</w:t>
            </w:r>
          </w:p>
        </w:tc>
        <w:tc>
          <w:tcPr>
            <w:tcW w:w="770" w:type="dxa"/>
            <w:tcBorders>
              <w:left w:val="dashed" w:sz="4" w:space="0" w:color="auto"/>
            </w:tcBorders>
            <w:noWrap/>
            <w:vAlign w:val="center"/>
            <w:hideMark/>
          </w:tcPr>
          <w:p w14:paraId="4BDCD10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QA</w:t>
            </w:r>
          </w:p>
        </w:tc>
        <w:tc>
          <w:tcPr>
            <w:tcW w:w="770" w:type="dxa"/>
            <w:noWrap/>
            <w:vAlign w:val="center"/>
            <w:hideMark/>
          </w:tcPr>
          <w:p w14:paraId="714B5B9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w:t>
            </w:r>
          </w:p>
        </w:tc>
        <w:tc>
          <w:tcPr>
            <w:tcW w:w="770" w:type="dxa"/>
            <w:noWrap/>
            <w:vAlign w:val="center"/>
            <w:hideMark/>
          </w:tcPr>
          <w:p w14:paraId="7304D71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1BBB77B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01ECD83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KV</w:t>
            </w:r>
          </w:p>
        </w:tc>
        <w:tc>
          <w:tcPr>
            <w:tcW w:w="770" w:type="dxa"/>
            <w:noWrap/>
            <w:vAlign w:val="center"/>
            <w:hideMark/>
          </w:tcPr>
          <w:p w14:paraId="7630627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393D716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w:t>
            </w:r>
          </w:p>
        </w:tc>
        <w:tc>
          <w:tcPr>
            <w:tcW w:w="770" w:type="dxa"/>
            <w:noWrap/>
            <w:vAlign w:val="center"/>
            <w:hideMark/>
          </w:tcPr>
          <w:p w14:paraId="0535546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3.75</w:t>
            </w:r>
          </w:p>
        </w:tc>
      </w:tr>
      <w:tr w:rsidR="00610751" w:rsidRPr="00610751" w14:paraId="416FD802" w14:textId="77777777" w:rsidTr="00DB7B9A">
        <w:trPr>
          <w:trHeight w:val="20"/>
        </w:trPr>
        <w:tc>
          <w:tcPr>
            <w:tcW w:w="770" w:type="dxa"/>
            <w:noWrap/>
            <w:vAlign w:val="center"/>
            <w:hideMark/>
          </w:tcPr>
          <w:p w14:paraId="59D40DD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CA</w:t>
            </w:r>
          </w:p>
        </w:tc>
        <w:tc>
          <w:tcPr>
            <w:tcW w:w="770" w:type="dxa"/>
            <w:noWrap/>
            <w:vAlign w:val="center"/>
            <w:hideMark/>
          </w:tcPr>
          <w:p w14:paraId="37232AA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57</w:t>
            </w:r>
          </w:p>
        </w:tc>
        <w:tc>
          <w:tcPr>
            <w:tcW w:w="770" w:type="dxa"/>
            <w:noWrap/>
            <w:vAlign w:val="center"/>
            <w:hideMark/>
          </w:tcPr>
          <w:p w14:paraId="5B28EC3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19</w:t>
            </w:r>
          </w:p>
        </w:tc>
        <w:tc>
          <w:tcPr>
            <w:tcW w:w="770" w:type="dxa"/>
            <w:tcBorders>
              <w:right w:val="dashed" w:sz="4" w:space="0" w:color="auto"/>
            </w:tcBorders>
            <w:noWrap/>
            <w:vAlign w:val="center"/>
            <w:hideMark/>
          </w:tcPr>
          <w:p w14:paraId="4BFACAC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-2.16</w:t>
            </w:r>
          </w:p>
        </w:tc>
        <w:tc>
          <w:tcPr>
            <w:tcW w:w="770" w:type="dxa"/>
            <w:tcBorders>
              <w:left w:val="dashed" w:sz="4" w:space="0" w:color="auto"/>
            </w:tcBorders>
            <w:noWrap/>
            <w:vAlign w:val="center"/>
            <w:hideMark/>
          </w:tcPr>
          <w:p w14:paraId="6F41209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IT</w:t>
            </w:r>
          </w:p>
        </w:tc>
        <w:tc>
          <w:tcPr>
            <w:tcW w:w="770" w:type="dxa"/>
            <w:noWrap/>
            <w:vAlign w:val="center"/>
            <w:hideMark/>
          </w:tcPr>
          <w:p w14:paraId="308CD9F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212</w:t>
            </w:r>
          </w:p>
        </w:tc>
        <w:tc>
          <w:tcPr>
            <w:tcW w:w="770" w:type="dxa"/>
            <w:noWrap/>
            <w:vAlign w:val="center"/>
            <w:hideMark/>
          </w:tcPr>
          <w:p w14:paraId="2693862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2888</w:t>
            </w:r>
          </w:p>
        </w:tc>
        <w:tc>
          <w:tcPr>
            <w:tcW w:w="770" w:type="dxa"/>
            <w:tcBorders>
              <w:right w:val="dashed" w:sz="4" w:space="0" w:color="auto"/>
            </w:tcBorders>
            <w:noWrap/>
            <w:vAlign w:val="center"/>
            <w:hideMark/>
          </w:tcPr>
          <w:p w14:paraId="048EEF8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1.15</w:t>
            </w:r>
          </w:p>
        </w:tc>
        <w:tc>
          <w:tcPr>
            <w:tcW w:w="770" w:type="dxa"/>
            <w:tcBorders>
              <w:left w:val="dashed" w:sz="4" w:space="0" w:color="auto"/>
            </w:tcBorders>
            <w:noWrap/>
            <w:vAlign w:val="center"/>
            <w:hideMark/>
          </w:tcPr>
          <w:p w14:paraId="7A86A6B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RO</w:t>
            </w:r>
          </w:p>
        </w:tc>
        <w:tc>
          <w:tcPr>
            <w:tcW w:w="770" w:type="dxa"/>
            <w:noWrap/>
            <w:vAlign w:val="center"/>
            <w:hideMark/>
          </w:tcPr>
          <w:p w14:paraId="1AB7851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0D789FF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1294</w:t>
            </w:r>
          </w:p>
        </w:tc>
        <w:tc>
          <w:tcPr>
            <w:tcW w:w="770" w:type="dxa"/>
            <w:tcBorders>
              <w:right w:val="dashed" w:sz="4" w:space="0" w:color="auto"/>
            </w:tcBorders>
            <w:noWrap/>
            <w:vAlign w:val="center"/>
            <w:hideMark/>
          </w:tcPr>
          <w:p w14:paraId="679C8DF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4.00</w:t>
            </w:r>
          </w:p>
        </w:tc>
        <w:tc>
          <w:tcPr>
            <w:tcW w:w="770" w:type="dxa"/>
            <w:tcBorders>
              <w:left w:val="dashed" w:sz="4" w:space="0" w:color="auto"/>
            </w:tcBorders>
            <w:noWrap/>
            <w:vAlign w:val="center"/>
            <w:hideMark/>
          </w:tcPr>
          <w:p w14:paraId="7BFECCB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MA</w:t>
            </w:r>
          </w:p>
        </w:tc>
        <w:tc>
          <w:tcPr>
            <w:tcW w:w="770" w:type="dxa"/>
            <w:noWrap/>
            <w:vAlign w:val="center"/>
            <w:hideMark/>
          </w:tcPr>
          <w:p w14:paraId="78FF703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7A81374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272</w:t>
            </w:r>
          </w:p>
        </w:tc>
        <w:tc>
          <w:tcPr>
            <w:tcW w:w="770" w:type="dxa"/>
            <w:noWrap/>
            <w:vAlign w:val="center"/>
            <w:hideMark/>
          </w:tcPr>
          <w:p w14:paraId="4A33D49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1.98</w:t>
            </w:r>
          </w:p>
        </w:tc>
      </w:tr>
      <w:tr w:rsidR="00610751" w:rsidRPr="00610751" w14:paraId="20A17B60" w14:textId="77777777" w:rsidTr="00DB7B9A">
        <w:trPr>
          <w:trHeight w:val="20"/>
        </w:trPr>
        <w:tc>
          <w:tcPr>
            <w:tcW w:w="770" w:type="dxa"/>
            <w:noWrap/>
            <w:vAlign w:val="center"/>
            <w:hideMark/>
          </w:tcPr>
          <w:p w14:paraId="7ABEAA2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CH</w:t>
            </w:r>
          </w:p>
        </w:tc>
        <w:tc>
          <w:tcPr>
            <w:tcW w:w="770" w:type="dxa"/>
            <w:noWrap/>
            <w:vAlign w:val="center"/>
            <w:hideMark/>
          </w:tcPr>
          <w:p w14:paraId="7F937E4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268</w:t>
            </w:r>
          </w:p>
        </w:tc>
        <w:tc>
          <w:tcPr>
            <w:tcW w:w="770" w:type="dxa"/>
            <w:noWrap/>
            <w:vAlign w:val="center"/>
            <w:hideMark/>
          </w:tcPr>
          <w:p w14:paraId="586136D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9</w:t>
            </w:r>
          </w:p>
        </w:tc>
        <w:tc>
          <w:tcPr>
            <w:tcW w:w="770" w:type="dxa"/>
            <w:tcBorders>
              <w:right w:val="dashed" w:sz="4" w:space="0" w:color="auto"/>
            </w:tcBorders>
            <w:noWrap/>
            <w:vAlign w:val="center"/>
            <w:hideMark/>
          </w:tcPr>
          <w:p w14:paraId="24820BC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3.87</w:t>
            </w:r>
          </w:p>
        </w:tc>
        <w:tc>
          <w:tcPr>
            <w:tcW w:w="770" w:type="dxa"/>
            <w:tcBorders>
              <w:left w:val="dashed" w:sz="4" w:space="0" w:color="auto"/>
            </w:tcBorders>
            <w:noWrap/>
            <w:vAlign w:val="center"/>
            <w:hideMark/>
          </w:tcPr>
          <w:p w14:paraId="2C0BCA0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JP</w:t>
            </w:r>
          </w:p>
        </w:tc>
        <w:tc>
          <w:tcPr>
            <w:tcW w:w="770" w:type="dxa"/>
            <w:noWrap/>
            <w:vAlign w:val="center"/>
            <w:hideMark/>
          </w:tcPr>
          <w:p w14:paraId="5B5279D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539</w:t>
            </w:r>
          </w:p>
        </w:tc>
        <w:tc>
          <w:tcPr>
            <w:tcW w:w="770" w:type="dxa"/>
            <w:noWrap/>
            <w:vAlign w:val="center"/>
            <w:hideMark/>
          </w:tcPr>
          <w:p w14:paraId="0618D3E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130</w:t>
            </w:r>
          </w:p>
        </w:tc>
        <w:tc>
          <w:tcPr>
            <w:tcW w:w="770" w:type="dxa"/>
            <w:tcBorders>
              <w:right w:val="dashed" w:sz="4" w:space="0" w:color="auto"/>
            </w:tcBorders>
            <w:noWrap/>
            <w:vAlign w:val="center"/>
            <w:hideMark/>
          </w:tcPr>
          <w:p w14:paraId="0186BBA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3.70</w:t>
            </w:r>
          </w:p>
        </w:tc>
        <w:tc>
          <w:tcPr>
            <w:tcW w:w="770" w:type="dxa"/>
            <w:tcBorders>
              <w:left w:val="dashed" w:sz="4" w:space="0" w:color="auto"/>
            </w:tcBorders>
            <w:noWrap/>
            <w:vAlign w:val="center"/>
            <w:hideMark/>
          </w:tcPr>
          <w:p w14:paraId="28D9FB5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RS</w:t>
            </w:r>
          </w:p>
        </w:tc>
        <w:tc>
          <w:tcPr>
            <w:tcW w:w="770" w:type="dxa"/>
            <w:noWrap/>
            <w:vAlign w:val="center"/>
            <w:hideMark/>
          </w:tcPr>
          <w:p w14:paraId="4D8C143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11F1797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382</w:t>
            </w:r>
          </w:p>
        </w:tc>
        <w:tc>
          <w:tcPr>
            <w:tcW w:w="770" w:type="dxa"/>
            <w:tcBorders>
              <w:right w:val="dashed" w:sz="4" w:space="0" w:color="auto"/>
            </w:tcBorders>
            <w:noWrap/>
            <w:vAlign w:val="center"/>
            <w:hideMark/>
          </w:tcPr>
          <w:p w14:paraId="77CE5BD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4.89</w:t>
            </w:r>
          </w:p>
        </w:tc>
        <w:tc>
          <w:tcPr>
            <w:tcW w:w="770" w:type="dxa"/>
            <w:tcBorders>
              <w:left w:val="dashed" w:sz="4" w:space="0" w:color="auto"/>
            </w:tcBorders>
            <w:noWrap/>
            <w:vAlign w:val="center"/>
            <w:hideMark/>
          </w:tcPr>
          <w:p w14:paraId="42A73AF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MD</w:t>
            </w:r>
          </w:p>
        </w:tc>
        <w:tc>
          <w:tcPr>
            <w:tcW w:w="770" w:type="dxa"/>
            <w:noWrap/>
            <w:vAlign w:val="center"/>
            <w:hideMark/>
          </w:tcPr>
          <w:p w14:paraId="248E4EE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0274E13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58F0956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1.72</w:t>
            </w:r>
          </w:p>
        </w:tc>
      </w:tr>
      <w:tr w:rsidR="00610751" w:rsidRPr="00610751" w14:paraId="14CC7D7D" w14:textId="77777777" w:rsidTr="00DB7B9A">
        <w:trPr>
          <w:trHeight w:val="20"/>
        </w:trPr>
        <w:tc>
          <w:tcPr>
            <w:tcW w:w="770" w:type="dxa"/>
            <w:noWrap/>
            <w:vAlign w:val="center"/>
            <w:hideMark/>
          </w:tcPr>
          <w:p w14:paraId="6E06D74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CL</w:t>
            </w:r>
          </w:p>
        </w:tc>
        <w:tc>
          <w:tcPr>
            <w:tcW w:w="770" w:type="dxa"/>
            <w:noWrap/>
            <w:vAlign w:val="center"/>
            <w:hideMark/>
          </w:tcPr>
          <w:p w14:paraId="177CE07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10</w:t>
            </w:r>
          </w:p>
        </w:tc>
        <w:tc>
          <w:tcPr>
            <w:tcW w:w="770" w:type="dxa"/>
            <w:noWrap/>
            <w:vAlign w:val="center"/>
            <w:hideMark/>
          </w:tcPr>
          <w:p w14:paraId="2CBBCE7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3BED26B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13F21E4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KR</w:t>
            </w:r>
          </w:p>
        </w:tc>
        <w:tc>
          <w:tcPr>
            <w:tcW w:w="770" w:type="dxa"/>
            <w:noWrap/>
            <w:vAlign w:val="center"/>
            <w:hideMark/>
          </w:tcPr>
          <w:p w14:paraId="4A7F882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50</w:t>
            </w:r>
          </w:p>
        </w:tc>
        <w:tc>
          <w:tcPr>
            <w:tcW w:w="770" w:type="dxa"/>
            <w:noWrap/>
            <w:vAlign w:val="center"/>
            <w:hideMark/>
          </w:tcPr>
          <w:p w14:paraId="1997AA5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767</w:t>
            </w:r>
          </w:p>
        </w:tc>
        <w:tc>
          <w:tcPr>
            <w:tcW w:w="770" w:type="dxa"/>
            <w:tcBorders>
              <w:right w:val="dashed" w:sz="4" w:space="0" w:color="auto"/>
            </w:tcBorders>
            <w:noWrap/>
            <w:vAlign w:val="center"/>
            <w:hideMark/>
          </w:tcPr>
          <w:p w14:paraId="6A6DD75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7.85</w:t>
            </w:r>
          </w:p>
        </w:tc>
        <w:tc>
          <w:tcPr>
            <w:tcW w:w="770" w:type="dxa"/>
            <w:tcBorders>
              <w:left w:val="dashed" w:sz="4" w:space="0" w:color="auto"/>
            </w:tcBorders>
            <w:noWrap/>
            <w:vAlign w:val="center"/>
            <w:hideMark/>
          </w:tcPr>
          <w:p w14:paraId="12EA1BD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RU</w:t>
            </w:r>
          </w:p>
        </w:tc>
        <w:tc>
          <w:tcPr>
            <w:tcW w:w="770" w:type="dxa"/>
            <w:noWrap/>
            <w:vAlign w:val="center"/>
            <w:hideMark/>
          </w:tcPr>
          <w:p w14:paraId="3A3BB42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10</w:t>
            </w:r>
          </w:p>
        </w:tc>
        <w:tc>
          <w:tcPr>
            <w:tcW w:w="770" w:type="dxa"/>
            <w:noWrap/>
            <w:vAlign w:val="center"/>
            <w:hideMark/>
          </w:tcPr>
          <w:p w14:paraId="1F7BA90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1640</w:t>
            </w:r>
          </w:p>
        </w:tc>
        <w:tc>
          <w:tcPr>
            <w:tcW w:w="770" w:type="dxa"/>
            <w:tcBorders>
              <w:right w:val="dashed" w:sz="4" w:space="0" w:color="auto"/>
            </w:tcBorders>
            <w:noWrap/>
            <w:vAlign w:val="center"/>
            <w:hideMark/>
          </w:tcPr>
          <w:p w14:paraId="660FDEA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4.26</w:t>
            </w:r>
          </w:p>
        </w:tc>
        <w:tc>
          <w:tcPr>
            <w:tcW w:w="770" w:type="dxa"/>
            <w:tcBorders>
              <w:left w:val="dashed" w:sz="4" w:space="0" w:color="auto"/>
            </w:tcBorders>
            <w:noWrap/>
            <w:vAlign w:val="center"/>
            <w:hideMark/>
          </w:tcPr>
          <w:p w14:paraId="09DDDBE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ME</w:t>
            </w:r>
          </w:p>
        </w:tc>
        <w:tc>
          <w:tcPr>
            <w:tcW w:w="770" w:type="dxa"/>
            <w:noWrap/>
            <w:vAlign w:val="center"/>
            <w:hideMark/>
          </w:tcPr>
          <w:p w14:paraId="1F4AE77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179EAE4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26</w:t>
            </w:r>
          </w:p>
        </w:tc>
        <w:tc>
          <w:tcPr>
            <w:tcW w:w="770" w:type="dxa"/>
            <w:noWrap/>
            <w:vAlign w:val="center"/>
            <w:hideMark/>
          </w:tcPr>
          <w:p w14:paraId="3D91934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6.08</w:t>
            </w:r>
          </w:p>
        </w:tc>
      </w:tr>
      <w:tr w:rsidR="00610751" w:rsidRPr="00610751" w14:paraId="79636424" w14:textId="77777777" w:rsidTr="00DB7B9A">
        <w:trPr>
          <w:trHeight w:val="20"/>
        </w:trPr>
        <w:tc>
          <w:tcPr>
            <w:tcW w:w="770" w:type="dxa"/>
            <w:noWrap/>
            <w:vAlign w:val="center"/>
            <w:hideMark/>
          </w:tcPr>
          <w:p w14:paraId="03F6E4B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CN</w:t>
            </w:r>
          </w:p>
        </w:tc>
        <w:tc>
          <w:tcPr>
            <w:tcW w:w="770" w:type="dxa"/>
            <w:noWrap/>
            <w:vAlign w:val="center"/>
            <w:hideMark/>
          </w:tcPr>
          <w:p w14:paraId="31B07B0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106</w:t>
            </w:r>
          </w:p>
        </w:tc>
        <w:tc>
          <w:tcPr>
            <w:tcW w:w="770" w:type="dxa"/>
            <w:noWrap/>
            <w:vAlign w:val="center"/>
            <w:hideMark/>
          </w:tcPr>
          <w:p w14:paraId="5A6C606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2762</w:t>
            </w:r>
          </w:p>
        </w:tc>
        <w:tc>
          <w:tcPr>
            <w:tcW w:w="770" w:type="dxa"/>
            <w:tcBorders>
              <w:right w:val="dashed" w:sz="4" w:space="0" w:color="auto"/>
            </w:tcBorders>
            <w:noWrap/>
            <w:vAlign w:val="center"/>
            <w:hideMark/>
          </w:tcPr>
          <w:p w14:paraId="0ABB5DB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5.25</w:t>
            </w:r>
          </w:p>
        </w:tc>
        <w:tc>
          <w:tcPr>
            <w:tcW w:w="770" w:type="dxa"/>
            <w:tcBorders>
              <w:left w:val="dashed" w:sz="4" w:space="0" w:color="auto"/>
            </w:tcBorders>
            <w:noWrap/>
            <w:vAlign w:val="center"/>
            <w:hideMark/>
          </w:tcPr>
          <w:p w14:paraId="5106C01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KW</w:t>
            </w:r>
          </w:p>
        </w:tc>
        <w:tc>
          <w:tcPr>
            <w:tcW w:w="770" w:type="dxa"/>
            <w:noWrap/>
            <w:vAlign w:val="center"/>
            <w:hideMark/>
          </w:tcPr>
          <w:p w14:paraId="0B05372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6221E7D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49C771E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0368919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SA</w:t>
            </w:r>
          </w:p>
        </w:tc>
        <w:tc>
          <w:tcPr>
            <w:tcW w:w="770" w:type="dxa"/>
            <w:noWrap/>
            <w:vAlign w:val="center"/>
            <w:hideMark/>
          </w:tcPr>
          <w:p w14:paraId="5DA71BC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w:t>
            </w:r>
          </w:p>
        </w:tc>
        <w:tc>
          <w:tcPr>
            <w:tcW w:w="770" w:type="dxa"/>
            <w:noWrap/>
            <w:vAlign w:val="center"/>
            <w:hideMark/>
          </w:tcPr>
          <w:p w14:paraId="6EE2C3F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0C85C16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0259C6C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MG</w:t>
            </w:r>
          </w:p>
        </w:tc>
        <w:tc>
          <w:tcPr>
            <w:tcW w:w="770" w:type="dxa"/>
            <w:noWrap/>
            <w:vAlign w:val="center"/>
            <w:hideMark/>
          </w:tcPr>
          <w:p w14:paraId="492B1D1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160753E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3229670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-16.34</w:t>
            </w:r>
          </w:p>
        </w:tc>
      </w:tr>
      <w:tr w:rsidR="00610751" w:rsidRPr="00610751" w14:paraId="2801F7D5" w14:textId="77777777" w:rsidTr="00DB7B9A">
        <w:trPr>
          <w:trHeight w:val="20"/>
        </w:trPr>
        <w:tc>
          <w:tcPr>
            <w:tcW w:w="770" w:type="dxa"/>
            <w:noWrap/>
            <w:vAlign w:val="center"/>
            <w:hideMark/>
          </w:tcPr>
          <w:p w14:paraId="7505B40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CW</w:t>
            </w:r>
          </w:p>
        </w:tc>
        <w:tc>
          <w:tcPr>
            <w:tcW w:w="770" w:type="dxa"/>
            <w:noWrap/>
            <w:vAlign w:val="center"/>
            <w:hideMark/>
          </w:tcPr>
          <w:p w14:paraId="76D899F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18</w:t>
            </w:r>
          </w:p>
        </w:tc>
        <w:tc>
          <w:tcPr>
            <w:tcW w:w="770" w:type="dxa"/>
            <w:noWrap/>
            <w:vAlign w:val="center"/>
            <w:hideMark/>
          </w:tcPr>
          <w:p w14:paraId="6E971A0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35CD75A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262740B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KY</w:t>
            </w:r>
          </w:p>
        </w:tc>
        <w:tc>
          <w:tcPr>
            <w:tcW w:w="770" w:type="dxa"/>
            <w:noWrap/>
            <w:vAlign w:val="center"/>
            <w:hideMark/>
          </w:tcPr>
          <w:p w14:paraId="4AE9828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108</w:t>
            </w:r>
          </w:p>
        </w:tc>
        <w:tc>
          <w:tcPr>
            <w:tcW w:w="770" w:type="dxa"/>
            <w:noWrap/>
            <w:vAlign w:val="center"/>
            <w:hideMark/>
          </w:tcPr>
          <w:p w14:paraId="7B41E9D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44</w:t>
            </w:r>
          </w:p>
        </w:tc>
        <w:tc>
          <w:tcPr>
            <w:tcW w:w="770" w:type="dxa"/>
            <w:tcBorders>
              <w:right w:val="dashed" w:sz="4" w:space="0" w:color="auto"/>
            </w:tcBorders>
            <w:noWrap/>
            <w:vAlign w:val="center"/>
            <w:hideMark/>
          </w:tcPr>
          <w:p w14:paraId="2AB47A5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3.99</w:t>
            </w:r>
          </w:p>
        </w:tc>
        <w:tc>
          <w:tcPr>
            <w:tcW w:w="770" w:type="dxa"/>
            <w:tcBorders>
              <w:left w:val="dashed" w:sz="4" w:space="0" w:color="auto"/>
            </w:tcBorders>
            <w:noWrap/>
            <w:vAlign w:val="center"/>
            <w:hideMark/>
          </w:tcPr>
          <w:p w14:paraId="68C5BC5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SC</w:t>
            </w:r>
          </w:p>
        </w:tc>
        <w:tc>
          <w:tcPr>
            <w:tcW w:w="770" w:type="dxa"/>
            <w:noWrap/>
            <w:vAlign w:val="center"/>
            <w:hideMark/>
          </w:tcPr>
          <w:p w14:paraId="04D7F91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w:t>
            </w:r>
          </w:p>
        </w:tc>
        <w:tc>
          <w:tcPr>
            <w:tcW w:w="770" w:type="dxa"/>
            <w:noWrap/>
            <w:vAlign w:val="center"/>
            <w:hideMark/>
          </w:tcPr>
          <w:p w14:paraId="6C7B3E1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4F090F2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29974A7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MK</w:t>
            </w:r>
          </w:p>
        </w:tc>
        <w:tc>
          <w:tcPr>
            <w:tcW w:w="770" w:type="dxa"/>
            <w:noWrap/>
            <w:vAlign w:val="center"/>
            <w:hideMark/>
          </w:tcPr>
          <w:p w14:paraId="2C10CEB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1BD7E6C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42</w:t>
            </w:r>
          </w:p>
        </w:tc>
        <w:tc>
          <w:tcPr>
            <w:tcW w:w="770" w:type="dxa"/>
            <w:noWrap/>
            <w:vAlign w:val="center"/>
            <w:hideMark/>
          </w:tcPr>
          <w:p w14:paraId="44BD2A0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5.83</w:t>
            </w:r>
          </w:p>
        </w:tc>
      </w:tr>
      <w:tr w:rsidR="00610751" w:rsidRPr="00610751" w14:paraId="76C37E34" w14:textId="77777777" w:rsidTr="00DB7B9A">
        <w:trPr>
          <w:trHeight w:val="20"/>
        </w:trPr>
        <w:tc>
          <w:tcPr>
            <w:tcW w:w="770" w:type="dxa"/>
            <w:noWrap/>
            <w:vAlign w:val="center"/>
            <w:hideMark/>
          </w:tcPr>
          <w:p w14:paraId="6E8D5D1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CY</w:t>
            </w:r>
          </w:p>
        </w:tc>
        <w:tc>
          <w:tcPr>
            <w:tcW w:w="770" w:type="dxa"/>
            <w:noWrap/>
            <w:vAlign w:val="center"/>
            <w:hideMark/>
          </w:tcPr>
          <w:p w14:paraId="403892A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116</w:t>
            </w:r>
          </w:p>
        </w:tc>
        <w:tc>
          <w:tcPr>
            <w:tcW w:w="770" w:type="dxa"/>
            <w:noWrap/>
            <w:vAlign w:val="center"/>
            <w:hideMark/>
          </w:tcPr>
          <w:p w14:paraId="555F923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45</w:t>
            </w:r>
          </w:p>
        </w:tc>
        <w:tc>
          <w:tcPr>
            <w:tcW w:w="770" w:type="dxa"/>
            <w:tcBorders>
              <w:right w:val="dashed" w:sz="4" w:space="0" w:color="auto"/>
            </w:tcBorders>
            <w:noWrap/>
            <w:vAlign w:val="center"/>
            <w:hideMark/>
          </w:tcPr>
          <w:p w14:paraId="4E786D7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5.22</w:t>
            </w:r>
          </w:p>
        </w:tc>
        <w:tc>
          <w:tcPr>
            <w:tcW w:w="770" w:type="dxa"/>
            <w:tcBorders>
              <w:left w:val="dashed" w:sz="4" w:space="0" w:color="auto"/>
            </w:tcBorders>
            <w:noWrap/>
            <w:vAlign w:val="center"/>
            <w:hideMark/>
          </w:tcPr>
          <w:p w14:paraId="7D0C5E3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KZ</w:t>
            </w:r>
          </w:p>
        </w:tc>
        <w:tc>
          <w:tcPr>
            <w:tcW w:w="770" w:type="dxa"/>
            <w:noWrap/>
            <w:vAlign w:val="center"/>
            <w:hideMark/>
          </w:tcPr>
          <w:p w14:paraId="5E8885E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3686DCC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14</w:t>
            </w:r>
          </w:p>
        </w:tc>
        <w:tc>
          <w:tcPr>
            <w:tcW w:w="770" w:type="dxa"/>
            <w:tcBorders>
              <w:right w:val="dashed" w:sz="4" w:space="0" w:color="auto"/>
            </w:tcBorders>
            <w:noWrap/>
            <w:vAlign w:val="center"/>
            <w:hideMark/>
          </w:tcPr>
          <w:p w14:paraId="6ED12FB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8.88</w:t>
            </w:r>
          </w:p>
        </w:tc>
        <w:tc>
          <w:tcPr>
            <w:tcW w:w="770" w:type="dxa"/>
            <w:tcBorders>
              <w:left w:val="dashed" w:sz="4" w:space="0" w:color="auto"/>
            </w:tcBorders>
            <w:noWrap/>
            <w:vAlign w:val="center"/>
            <w:hideMark/>
          </w:tcPr>
          <w:p w14:paraId="6A203C6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SE</w:t>
            </w:r>
          </w:p>
        </w:tc>
        <w:tc>
          <w:tcPr>
            <w:tcW w:w="770" w:type="dxa"/>
            <w:noWrap/>
            <w:vAlign w:val="center"/>
            <w:hideMark/>
          </w:tcPr>
          <w:p w14:paraId="71B9E27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220</w:t>
            </w:r>
          </w:p>
        </w:tc>
        <w:tc>
          <w:tcPr>
            <w:tcW w:w="770" w:type="dxa"/>
            <w:noWrap/>
            <w:vAlign w:val="center"/>
            <w:hideMark/>
          </w:tcPr>
          <w:p w14:paraId="03316E5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1769</w:t>
            </w:r>
          </w:p>
        </w:tc>
        <w:tc>
          <w:tcPr>
            <w:tcW w:w="770" w:type="dxa"/>
            <w:tcBorders>
              <w:right w:val="dashed" w:sz="4" w:space="0" w:color="auto"/>
            </w:tcBorders>
            <w:noWrap/>
            <w:vAlign w:val="center"/>
            <w:hideMark/>
          </w:tcPr>
          <w:p w14:paraId="1A6285D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4.94</w:t>
            </w:r>
          </w:p>
        </w:tc>
        <w:tc>
          <w:tcPr>
            <w:tcW w:w="770" w:type="dxa"/>
            <w:tcBorders>
              <w:left w:val="dashed" w:sz="4" w:space="0" w:color="auto"/>
            </w:tcBorders>
            <w:noWrap/>
            <w:vAlign w:val="center"/>
            <w:hideMark/>
          </w:tcPr>
          <w:p w14:paraId="50B4CC6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NG</w:t>
            </w:r>
          </w:p>
        </w:tc>
        <w:tc>
          <w:tcPr>
            <w:tcW w:w="770" w:type="dxa"/>
            <w:noWrap/>
            <w:vAlign w:val="center"/>
            <w:hideMark/>
          </w:tcPr>
          <w:p w14:paraId="4312EA6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47B760D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610ACF6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5.88</w:t>
            </w:r>
          </w:p>
        </w:tc>
      </w:tr>
      <w:tr w:rsidR="00610751" w:rsidRPr="00610751" w14:paraId="1EE9B3F6" w14:textId="77777777" w:rsidTr="00DB7B9A">
        <w:trPr>
          <w:trHeight w:val="20"/>
        </w:trPr>
        <w:tc>
          <w:tcPr>
            <w:tcW w:w="770" w:type="dxa"/>
            <w:noWrap/>
            <w:vAlign w:val="center"/>
            <w:hideMark/>
          </w:tcPr>
          <w:p w14:paraId="44CD7E4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CZ</w:t>
            </w:r>
          </w:p>
        </w:tc>
        <w:tc>
          <w:tcPr>
            <w:tcW w:w="770" w:type="dxa"/>
            <w:noWrap/>
            <w:vAlign w:val="center"/>
            <w:hideMark/>
          </w:tcPr>
          <w:p w14:paraId="1A7297D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15</w:t>
            </w:r>
          </w:p>
        </w:tc>
        <w:tc>
          <w:tcPr>
            <w:tcW w:w="770" w:type="dxa"/>
            <w:noWrap/>
            <w:vAlign w:val="center"/>
            <w:hideMark/>
          </w:tcPr>
          <w:p w14:paraId="39385E2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1744</w:t>
            </w:r>
          </w:p>
        </w:tc>
        <w:tc>
          <w:tcPr>
            <w:tcW w:w="770" w:type="dxa"/>
            <w:tcBorders>
              <w:right w:val="dashed" w:sz="4" w:space="0" w:color="auto"/>
            </w:tcBorders>
            <w:noWrap/>
            <w:vAlign w:val="center"/>
            <w:hideMark/>
          </w:tcPr>
          <w:p w14:paraId="42812E2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6.28</w:t>
            </w:r>
          </w:p>
        </w:tc>
        <w:tc>
          <w:tcPr>
            <w:tcW w:w="770" w:type="dxa"/>
            <w:tcBorders>
              <w:left w:val="dashed" w:sz="4" w:space="0" w:color="auto"/>
            </w:tcBorders>
            <w:noWrap/>
            <w:vAlign w:val="center"/>
            <w:hideMark/>
          </w:tcPr>
          <w:p w14:paraId="70D541A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LB</w:t>
            </w:r>
          </w:p>
        </w:tc>
        <w:tc>
          <w:tcPr>
            <w:tcW w:w="770" w:type="dxa"/>
            <w:noWrap/>
            <w:vAlign w:val="center"/>
            <w:hideMark/>
          </w:tcPr>
          <w:p w14:paraId="40454EB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3DE94CE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3A37D08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0A485F2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SG</w:t>
            </w:r>
          </w:p>
        </w:tc>
        <w:tc>
          <w:tcPr>
            <w:tcW w:w="770" w:type="dxa"/>
            <w:noWrap/>
            <w:vAlign w:val="center"/>
            <w:hideMark/>
          </w:tcPr>
          <w:p w14:paraId="1577424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48</w:t>
            </w:r>
          </w:p>
        </w:tc>
        <w:tc>
          <w:tcPr>
            <w:tcW w:w="770" w:type="dxa"/>
            <w:noWrap/>
            <w:vAlign w:val="center"/>
            <w:hideMark/>
          </w:tcPr>
          <w:p w14:paraId="1B36288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2812</w:t>
            </w:r>
          </w:p>
        </w:tc>
        <w:tc>
          <w:tcPr>
            <w:tcW w:w="770" w:type="dxa"/>
            <w:tcBorders>
              <w:right w:val="dashed" w:sz="4" w:space="0" w:color="auto"/>
            </w:tcBorders>
            <w:noWrap/>
            <w:vAlign w:val="center"/>
            <w:hideMark/>
          </w:tcPr>
          <w:p w14:paraId="07BCDC1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5.16</w:t>
            </w:r>
          </w:p>
        </w:tc>
        <w:tc>
          <w:tcPr>
            <w:tcW w:w="770" w:type="dxa"/>
            <w:tcBorders>
              <w:left w:val="dashed" w:sz="4" w:space="0" w:color="auto"/>
            </w:tcBorders>
            <w:noWrap/>
            <w:vAlign w:val="center"/>
            <w:hideMark/>
          </w:tcPr>
          <w:p w14:paraId="7354488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PE</w:t>
            </w:r>
          </w:p>
        </w:tc>
        <w:tc>
          <w:tcPr>
            <w:tcW w:w="770" w:type="dxa"/>
            <w:noWrap/>
            <w:vAlign w:val="center"/>
            <w:hideMark/>
          </w:tcPr>
          <w:p w14:paraId="036F4BA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5FB5C24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17</w:t>
            </w:r>
          </w:p>
        </w:tc>
        <w:tc>
          <w:tcPr>
            <w:tcW w:w="770" w:type="dxa"/>
            <w:noWrap/>
            <w:vAlign w:val="center"/>
            <w:hideMark/>
          </w:tcPr>
          <w:p w14:paraId="5AEBB0C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4.36</w:t>
            </w:r>
          </w:p>
        </w:tc>
      </w:tr>
      <w:tr w:rsidR="00610751" w:rsidRPr="00610751" w14:paraId="0D6953D4" w14:textId="77777777" w:rsidTr="00DB7B9A">
        <w:trPr>
          <w:trHeight w:val="20"/>
        </w:trPr>
        <w:tc>
          <w:tcPr>
            <w:tcW w:w="770" w:type="dxa"/>
            <w:noWrap/>
            <w:vAlign w:val="center"/>
            <w:hideMark/>
          </w:tcPr>
          <w:p w14:paraId="06A9ACE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DE</w:t>
            </w:r>
          </w:p>
        </w:tc>
        <w:tc>
          <w:tcPr>
            <w:tcW w:w="770" w:type="dxa"/>
            <w:noWrap/>
            <w:vAlign w:val="center"/>
            <w:hideMark/>
          </w:tcPr>
          <w:p w14:paraId="365AC6C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609</w:t>
            </w:r>
          </w:p>
        </w:tc>
        <w:tc>
          <w:tcPr>
            <w:tcW w:w="770" w:type="dxa"/>
            <w:noWrap/>
            <w:vAlign w:val="center"/>
            <w:hideMark/>
          </w:tcPr>
          <w:p w14:paraId="538978B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1894</w:t>
            </w:r>
          </w:p>
        </w:tc>
        <w:tc>
          <w:tcPr>
            <w:tcW w:w="770" w:type="dxa"/>
            <w:tcBorders>
              <w:right w:val="dashed" w:sz="4" w:space="0" w:color="auto"/>
            </w:tcBorders>
            <w:noWrap/>
            <w:vAlign w:val="center"/>
            <w:hideMark/>
          </w:tcPr>
          <w:p w14:paraId="5BE9FBC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3.18</w:t>
            </w:r>
          </w:p>
        </w:tc>
        <w:tc>
          <w:tcPr>
            <w:tcW w:w="770" w:type="dxa"/>
            <w:tcBorders>
              <w:left w:val="dashed" w:sz="4" w:space="0" w:color="auto"/>
            </w:tcBorders>
            <w:noWrap/>
            <w:vAlign w:val="center"/>
            <w:hideMark/>
          </w:tcPr>
          <w:p w14:paraId="3A6D94B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LI</w:t>
            </w:r>
          </w:p>
        </w:tc>
        <w:tc>
          <w:tcPr>
            <w:tcW w:w="770" w:type="dxa"/>
            <w:noWrap/>
            <w:vAlign w:val="center"/>
            <w:hideMark/>
          </w:tcPr>
          <w:p w14:paraId="18EF98B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15</w:t>
            </w:r>
          </w:p>
        </w:tc>
        <w:tc>
          <w:tcPr>
            <w:tcW w:w="770" w:type="dxa"/>
            <w:noWrap/>
            <w:vAlign w:val="center"/>
            <w:hideMark/>
          </w:tcPr>
          <w:p w14:paraId="3AC147B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23EA198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66E1C07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SI</w:t>
            </w:r>
          </w:p>
        </w:tc>
        <w:tc>
          <w:tcPr>
            <w:tcW w:w="770" w:type="dxa"/>
            <w:noWrap/>
            <w:vAlign w:val="center"/>
            <w:hideMark/>
          </w:tcPr>
          <w:p w14:paraId="7DA12AB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10</w:t>
            </w:r>
          </w:p>
        </w:tc>
        <w:tc>
          <w:tcPr>
            <w:tcW w:w="770" w:type="dxa"/>
            <w:noWrap/>
            <w:vAlign w:val="center"/>
            <w:hideMark/>
          </w:tcPr>
          <w:p w14:paraId="2AF14D2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292</w:t>
            </w:r>
          </w:p>
        </w:tc>
        <w:tc>
          <w:tcPr>
            <w:tcW w:w="770" w:type="dxa"/>
            <w:tcBorders>
              <w:right w:val="dashed" w:sz="4" w:space="0" w:color="auto"/>
            </w:tcBorders>
            <w:noWrap/>
            <w:vAlign w:val="center"/>
            <w:hideMark/>
          </w:tcPr>
          <w:p w14:paraId="0629CFE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5.93</w:t>
            </w:r>
          </w:p>
        </w:tc>
        <w:tc>
          <w:tcPr>
            <w:tcW w:w="770" w:type="dxa"/>
            <w:tcBorders>
              <w:left w:val="dashed" w:sz="4" w:space="0" w:color="auto"/>
            </w:tcBorders>
            <w:noWrap/>
            <w:vAlign w:val="center"/>
            <w:hideMark/>
          </w:tcPr>
          <w:p w14:paraId="0D187DC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PK</w:t>
            </w:r>
          </w:p>
        </w:tc>
        <w:tc>
          <w:tcPr>
            <w:tcW w:w="770" w:type="dxa"/>
            <w:noWrap/>
            <w:vAlign w:val="center"/>
            <w:hideMark/>
          </w:tcPr>
          <w:p w14:paraId="7F9DCDA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63E7466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3A84A2E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11.92</w:t>
            </w:r>
          </w:p>
        </w:tc>
      </w:tr>
      <w:tr w:rsidR="00610751" w:rsidRPr="00610751" w14:paraId="29689808" w14:textId="77777777" w:rsidTr="00DB7B9A">
        <w:trPr>
          <w:trHeight w:val="20"/>
        </w:trPr>
        <w:tc>
          <w:tcPr>
            <w:tcW w:w="770" w:type="dxa"/>
            <w:noWrap/>
            <w:vAlign w:val="center"/>
            <w:hideMark/>
          </w:tcPr>
          <w:p w14:paraId="1CC1A770"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DK</w:t>
            </w:r>
          </w:p>
        </w:tc>
        <w:tc>
          <w:tcPr>
            <w:tcW w:w="770" w:type="dxa"/>
            <w:noWrap/>
            <w:vAlign w:val="center"/>
            <w:hideMark/>
          </w:tcPr>
          <w:p w14:paraId="4C4128B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140</w:t>
            </w:r>
          </w:p>
        </w:tc>
        <w:tc>
          <w:tcPr>
            <w:tcW w:w="770" w:type="dxa"/>
            <w:noWrap/>
            <w:vAlign w:val="center"/>
            <w:hideMark/>
          </w:tcPr>
          <w:p w14:paraId="7AC4A53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1170</w:t>
            </w:r>
          </w:p>
        </w:tc>
        <w:tc>
          <w:tcPr>
            <w:tcW w:w="770" w:type="dxa"/>
            <w:tcBorders>
              <w:right w:val="dashed" w:sz="4" w:space="0" w:color="auto"/>
            </w:tcBorders>
            <w:noWrap/>
            <w:vAlign w:val="center"/>
            <w:hideMark/>
          </w:tcPr>
          <w:p w14:paraId="6502FE8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5.64</w:t>
            </w:r>
          </w:p>
        </w:tc>
        <w:tc>
          <w:tcPr>
            <w:tcW w:w="770" w:type="dxa"/>
            <w:tcBorders>
              <w:left w:val="dashed" w:sz="4" w:space="0" w:color="auto"/>
            </w:tcBorders>
            <w:noWrap/>
            <w:vAlign w:val="center"/>
            <w:hideMark/>
          </w:tcPr>
          <w:p w14:paraId="3EEC63D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LR</w:t>
            </w:r>
          </w:p>
        </w:tc>
        <w:tc>
          <w:tcPr>
            <w:tcW w:w="770" w:type="dxa"/>
            <w:noWrap/>
            <w:vAlign w:val="center"/>
            <w:hideMark/>
          </w:tcPr>
          <w:p w14:paraId="0DBE987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w:t>
            </w:r>
          </w:p>
        </w:tc>
        <w:tc>
          <w:tcPr>
            <w:tcW w:w="770" w:type="dxa"/>
            <w:noWrap/>
            <w:vAlign w:val="center"/>
            <w:hideMark/>
          </w:tcPr>
          <w:p w14:paraId="63EC5FB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7E205EF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tcBorders>
            <w:noWrap/>
            <w:vAlign w:val="center"/>
            <w:hideMark/>
          </w:tcPr>
          <w:p w14:paraId="3AE937F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SK</w:t>
            </w:r>
          </w:p>
        </w:tc>
        <w:tc>
          <w:tcPr>
            <w:tcW w:w="770" w:type="dxa"/>
            <w:noWrap/>
            <w:vAlign w:val="center"/>
            <w:hideMark/>
          </w:tcPr>
          <w:p w14:paraId="2015357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w:t>
            </w:r>
          </w:p>
        </w:tc>
        <w:tc>
          <w:tcPr>
            <w:tcW w:w="770" w:type="dxa"/>
            <w:noWrap/>
            <w:vAlign w:val="center"/>
            <w:hideMark/>
          </w:tcPr>
          <w:p w14:paraId="68B18A5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987</w:t>
            </w:r>
          </w:p>
        </w:tc>
        <w:tc>
          <w:tcPr>
            <w:tcW w:w="770" w:type="dxa"/>
            <w:tcBorders>
              <w:right w:val="dashed" w:sz="4" w:space="0" w:color="auto"/>
            </w:tcBorders>
            <w:noWrap/>
            <w:vAlign w:val="center"/>
            <w:hideMark/>
          </w:tcPr>
          <w:p w14:paraId="7E1549E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4.63</w:t>
            </w:r>
          </w:p>
        </w:tc>
        <w:tc>
          <w:tcPr>
            <w:tcW w:w="770" w:type="dxa"/>
            <w:tcBorders>
              <w:left w:val="dashed" w:sz="4" w:space="0" w:color="auto"/>
            </w:tcBorders>
            <w:noWrap/>
            <w:vAlign w:val="center"/>
            <w:hideMark/>
          </w:tcPr>
          <w:p w14:paraId="11C201E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UA</w:t>
            </w:r>
          </w:p>
        </w:tc>
        <w:tc>
          <w:tcPr>
            <w:tcW w:w="770" w:type="dxa"/>
            <w:noWrap/>
            <w:vAlign w:val="center"/>
            <w:hideMark/>
          </w:tcPr>
          <w:p w14:paraId="5ACF0D7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5443C02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249</w:t>
            </w:r>
          </w:p>
        </w:tc>
        <w:tc>
          <w:tcPr>
            <w:tcW w:w="770" w:type="dxa"/>
            <w:noWrap/>
            <w:vAlign w:val="center"/>
            <w:hideMark/>
          </w:tcPr>
          <w:p w14:paraId="462F8E0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2.75</w:t>
            </w:r>
          </w:p>
        </w:tc>
      </w:tr>
      <w:tr w:rsidR="00610751" w:rsidRPr="00610751" w14:paraId="1F0048A1" w14:textId="77777777" w:rsidTr="00DB7B9A">
        <w:trPr>
          <w:trHeight w:val="20"/>
        </w:trPr>
        <w:tc>
          <w:tcPr>
            <w:tcW w:w="770" w:type="dxa"/>
            <w:noWrap/>
            <w:vAlign w:val="center"/>
            <w:hideMark/>
          </w:tcPr>
          <w:p w14:paraId="2C9D3D8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DZ</w:t>
            </w:r>
          </w:p>
        </w:tc>
        <w:tc>
          <w:tcPr>
            <w:tcW w:w="770" w:type="dxa"/>
            <w:noWrap/>
            <w:vAlign w:val="center"/>
            <w:hideMark/>
          </w:tcPr>
          <w:p w14:paraId="274F317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2429D45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70</w:t>
            </w:r>
          </w:p>
        </w:tc>
        <w:tc>
          <w:tcPr>
            <w:tcW w:w="770" w:type="dxa"/>
            <w:tcBorders>
              <w:right w:val="dashed" w:sz="4" w:space="0" w:color="auto"/>
            </w:tcBorders>
            <w:noWrap/>
            <w:vAlign w:val="center"/>
            <w:hideMark/>
          </w:tcPr>
          <w:p w14:paraId="73C3B7D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4.62</w:t>
            </w:r>
          </w:p>
        </w:tc>
        <w:tc>
          <w:tcPr>
            <w:tcW w:w="770" w:type="dxa"/>
            <w:tcBorders>
              <w:left w:val="dashed" w:sz="4" w:space="0" w:color="auto"/>
            </w:tcBorders>
            <w:noWrap/>
            <w:vAlign w:val="center"/>
            <w:hideMark/>
          </w:tcPr>
          <w:p w14:paraId="3671843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LT</w:t>
            </w:r>
          </w:p>
        </w:tc>
        <w:tc>
          <w:tcPr>
            <w:tcW w:w="770" w:type="dxa"/>
            <w:noWrap/>
            <w:vAlign w:val="center"/>
            <w:hideMark/>
          </w:tcPr>
          <w:p w14:paraId="3BE9C6E3"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11</w:t>
            </w:r>
          </w:p>
        </w:tc>
        <w:tc>
          <w:tcPr>
            <w:tcW w:w="770" w:type="dxa"/>
            <w:noWrap/>
            <w:vAlign w:val="center"/>
            <w:hideMark/>
          </w:tcPr>
          <w:p w14:paraId="127FBFF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237</w:t>
            </w:r>
          </w:p>
        </w:tc>
        <w:tc>
          <w:tcPr>
            <w:tcW w:w="770" w:type="dxa"/>
            <w:tcBorders>
              <w:right w:val="dashed" w:sz="4" w:space="0" w:color="auto"/>
            </w:tcBorders>
            <w:noWrap/>
            <w:vAlign w:val="center"/>
            <w:hideMark/>
          </w:tcPr>
          <w:p w14:paraId="49F3535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7.09</w:t>
            </w:r>
          </w:p>
        </w:tc>
        <w:tc>
          <w:tcPr>
            <w:tcW w:w="770" w:type="dxa"/>
            <w:tcBorders>
              <w:left w:val="dashed" w:sz="4" w:space="0" w:color="auto"/>
            </w:tcBorders>
            <w:noWrap/>
            <w:vAlign w:val="center"/>
            <w:hideMark/>
          </w:tcPr>
          <w:p w14:paraId="16D14C2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TH</w:t>
            </w:r>
          </w:p>
        </w:tc>
        <w:tc>
          <w:tcPr>
            <w:tcW w:w="770" w:type="dxa"/>
            <w:noWrap/>
            <w:vAlign w:val="center"/>
            <w:hideMark/>
          </w:tcPr>
          <w:p w14:paraId="766377A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15</w:t>
            </w:r>
          </w:p>
        </w:tc>
        <w:tc>
          <w:tcPr>
            <w:tcW w:w="770" w:type="dxa"/>
            <w:noWrap/>
            <w:vAlign w:val="center"/>
            <w:hideMark/>
          </w:tcPr>
          <w:p w14:paraId="60F2AC7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902</w:t>
            </w:r>
          </w:p>
        </w:tc>
        <w:tc>
          <w:tcPr>
            <w:tcW w:w="770" w:type="dxa"/>
            <w:tcBorders>
              <w:right w:val="dashed" w:sz="4" w:space="0" w:color="auto"/>
            </w:tcBorders>
            <w:noWrap/>
            <w:vAlign w:val="center"/>
            <w:hideMark/>
          </w:tcPr>
          <w:p w14:paraId="58D041C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5.35</w:t>
            </w:r>
          </w:p>
        </w:tc>
        <w:tc>
          <w:tcPr>
            <w:tcW w:w="770" w:type="dxa"/>
            <w:tcBorders>
              <w:left w:val="dashed" w:sz="4" w:space="0" w:color="auto"/>
            </w:tcBorders>
            <w:noWrap/>
            <w:vAlign w:val="center"/>
            <w:hideMark/>
          </w:tcPr>
          <w:p w14:paraId="4879421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UY</w:t>
            </w:r>
          </w:p>
        </w:tc>
        <w:tc>
          <w:tcPr>
            <w:tcW w:w="770" w:type="dxa"/>
            <w:noWrap/>
            <w:vAlign w:val="center"/>
            <w:hideMark/>
          </w:tcPr>
          <w:p w14:paraId="6EEA614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noWrap/>
            <w:vAlign w:val="center"/>
            <w:hideMark/>
          </w:tcPr>
          <w:p w14:paraId="30A2953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19</w:t>
            </w:r>
          </w:p>
        </w:tc>
        <w:tc>
          <w:tcPr>
            <w:tcW w:w="770" w:type="dxa"/>
            <w:noWrap/>
            <w:vAlign w:val="center"/>
            <w:hideMark/>
          </w:tcPr>
          <w:p w14:paraId="68444B0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2.45</w:t>
            </w:r>
          </w:p>
        </w:tc>
      </w:tr>
      <w:tr w:rsidR="00610751" w:rsidRPr="00610751" w14:paraId="1C12BC93" w14:textId="77777777" w:rsidTr="00DB7B9A">
        <w:trPr>
          <w:trHeight w:val="20"/>
        </w:trPr>
        <w:tc>
          <w:tcPr>
            <w:tcW w:w="770" w:type="dxa"/>
            <w:noWrap/>
            <w:vAlign w:val="center"/>
            <w:hideMark/>
          </w:tcPr>
          <w:p w14:paraId="68EF1B9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EE</w:t>
            </w:r>
          </w:p>
        </w:tc>
        <w:tc>
          <w:tcPr>
            <w:tcW w:w="770" w:type="dxa"/>
            <w:noWrap/>
            <w:vAlign w:val="center"/>
            <w:hideMark/>
          </w:tcPr>
          <w:p w14:paraId="38020DD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17</w:t>
            </w:r>
          </w:p>
        </w:tc>
        <w:tc>
          <w:tcPr>
            <w:tcW w:w="770" w:type="dxa"/>
            <w:noWrap/>
            <w:vAlign w:val="center"/>
            <w:hideMark/>
          </w:tcPr>
          <w:p w14:paraId="41D94AAB"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325</w:t>
            </w:r>
          </w:p>
        </w:tc>
        <w:tc>
          <w:tcPr>
            <w:tcW w:w="770" w:type="dxa"/>
            <w:tcBorders>
              <w:right w:val="dashed" w:sz="4" w:space="0" w:color="auto"/>
            </w:tcBorders>
            <w:noWrap/>
            <w:vAlign w:val="center"/>
            <w:hideMark/>
          </w:tcPr>
          <w:p w14:paraId="481254F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7.15</w:t>
            </w:r>
          </w:p>
        </w:tc>
        <w:tc>
          <w:tcPr>
            <w:tcW w:w="770" w:type="dxa"/>
            <w:tcBorders>
              <w:left w:val="dashed" w:sz="4" w:space="0" w:color="auto"/>
            </w:tcBorders>
            <w:noWrap/>
            <w:vAlign w:val="center"/>
            <w:hideMark/>
          </w:tcPr>
          <w:p w14:paraId="02536A1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LU</w:t>
            </w:r>
          </w:p>
        </w:tc>
        <w:tc>
          <w:tcPr>
            <w:tcW w:w="770" w:type="dxa"/>
            <w:noWrap/>
            <w:vAlign w:val="center"/>
            <w:hideMark/>
          </w:tcPr>
          <w:p w14:paraId="5518E731"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345</w:t>
            </w:r>
          </w:p>
        </w:tc>
        <w:tc>
          <w:tcPr>
            <w:tcW w:w="770" w:type="dxa"/>
            <w:noWrap/>
            <w:vAlign w:val="center"/>
            <w:hideMark/>
          </w:tcPr>
          <w:p w14:paraId="376A148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126</w:t>
            </w:r>
          </w:p>
        </w:tc>
        <w:tc>
          <w:tcPr>
            <w:tcW w:w="770" w:type="dxa"/>
            <w:tcBorders>
              <w:right w:val="dashed" w:sz="4" w:space="0" w:color="auto"/>
            </w:tcBorders>
            <w:noWrap/>
            <w:vAlign w:val="center"/>
            <w:hideMark/>
          </w:tcPr>
          <w:p w14:paraId="7BA33638"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6.03</w:t>
            </w:r>
          </w:p>
        </w:tc>
        <w:tc>
          <w:tcPr>
            <w:tcW w:w="770" w:type="dxa"/>
            <w:tcBorders>
              <w:left w:val="dashed" w:sz="4" w:space="0" w:color="auto"/>
            </w:tcBorders>
            <w:noWrap/>
            <w:vAlign w:val="center"/>
            <w:hideMark/>
          </w:tcPr>
          <w:p w14:paraId="3F63E9B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TN</w:t>
            </w:r>
          </w:p>
        </w:tc>
        <w:tc>
          <w:tcPr>
            <w:tcW w:w="770" w:type="dxa"/>
            <w:noWrap/>
            <w:vAlign w:val="center"/>
            <w:hideMark/>
          </w:tcPr>
          <w:p w14:paraId="770B115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w:t>
            </w:r>
          </w:p>
        </w:tc>
        <w:tc>
          <w:tcPr>
            <w:tcW w:w="770" w:type="dxa"/>
            <w:noWrap/>
            <w:vAlign w:val="center"/>
            <w:hideMark/>
          </w:tcPr>
          <w:p w14:paraId="7EA4FEF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right w:val="dashed" w:sz="4" w:space="0" w:color="auto"/>
            </w:tcBorders>
            <w:noWrap/>
            <w:vAlign w:val="center"/>
            <w:hideMark/>
          </w:tcPr>
          <w:p w14:paraId="1AD6F55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left w:val="dashed" w:sz="4" w:space="0" w:color="auto"/>
              <w:bottom w:val="single" w:sz="4" w:space="0" w:color="auto"/>
            </w:tcBorders>
            <w:noWrap/>
            <w:vAlign w:val="center"/>
            <w:hideMark/>
          </w:tcPr>
          <w:p w14:paraId="438FFFA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VN</w:t>
            </w:r>
          </w:p>
        </w:tc>
        <w:tc>
          <w:tcPr>
            <w:tcW w:w="770" w:type="dxa"/>
            <w:tcBorders>
              <w:bottom w:val="single" w:sz="4" w:space="0" w:color="auto"/>
            </w:tcBorders>
            <w:noWrap/>
            <w:vAlign w:val="center"/>
            <w:hideMark/>
          </w:tcPr>
          <w:p w14:paraId="0650523D"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w:t>
            </w:r>
          </w:p>
        </w:tc>
        <w:tc>
          <w:tcPr>
            <w:tcW w:w="770" w:type="dxa"/>
            <w:tcBorders>
              <w:bottom w:val="single" w:sz="4" w:space="0" w:color="auto"/>
            </w:tcBorders>
            <w:noWrap/>
            <w:vAlign w:val="center"/>
            <w:hideMark/>
          </w:tcPr>
          <w:p w14:paraId="526F9F1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354</w:t>
            </w:r>
          </w:p>
        </w:tc>
        <w:tc>
          <w:tcPr>
            <w:tcW w:w="770" w:type="dxa"/>
            <w:tcBorders>
              <w:bottom w:val="single" w:sz="4" w:space="0" w:color="auto"/>
            </w:tcBorders>
            <w:noWrap/>
            <w:vAlign w:val="center"/>
            <w:hideMark/>
          </w:tcPr>
          <w:p w14:paraId="1F37004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5.75</w:t>
            </w:r>
          </w:p>
        </w:tc>
      </w:tr>
      <w:tr w:rsidR="00610751" w:rsidRPr="00610751" w14:paraId="69BFFCF5" w14:textId="77777777" w:rsidTr="00DB7B9A">
        <w:trPr>
          <w:trHeight w:val="20"/>
        </w:trPr>
        <w:tc>
          <w:tcPr>
            <w:tcW w:w="770" w:type="dxa"/>
            <w:tcBorders>
              <w:bottom w:val="single" w:sz="4" w:space="0" w:color="auto"/>
            </w:tcBorders>
            <w:noWrap/>
            <w:vAlign w:val="center"/>
            <w:hideMark/>
          </w:tcPr>
          <w:p w14:paraId="15D914E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ES</w:t>
            </w:r>
          </w:p>
        </w:tc>
        <w:tc>
          <w:tcPr>
            <w:tcW w:w="770" w:type="dxa"/>
            <w:tcBorders>
              <w:bottom w:val="single" w:sz="4" w:space="0" w:color="auto"/>
            </w:tcBorders>
            <w:noWrap/>
            <w:vAlign w:val="center"/>
            <w:hideMark/>
          </w:tcPr>
          <w:p w14:paraId="44033F3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120</w:t>
            </w:r>
          </w:p>
        </w:tc>
        <w:tc>
          <w:tcPr>
            <w:tcW w:w="770" w:type="dxa"/>
            <w:tcBorders>
              <w:bottom w:val="single" w:sz="4" w:space="0" w:color="auto"/>
            </w:tcBorders>
            <w:noWrap/>
            <w:vAlign w:val="center"/>
            <w:hideMark/>
          </w:tcPr>
          <w:p w14:paraId="4B9D6A1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2660</w:t>
            </w:r>
          </w:p>
        </w:tc>
        <w:tc>
          <w:tcPr>
            <w:tcW w:w="770" w:type="dxa"/>
            <w:tcBorders>
              <w:bottom w:val="single" w:sz="4" w:space="0" w:color="auto"/>
              <w:right w:val="dashed" w:sz="4" w:space="0" w:color="auto"/>
            </w:tcBorders>
            <w:noWrap/>
            <w:vAlign w:val="center"/>
            <w:hideMark/>
          </w:tcPr>
          <w:p w14:paraId="70FBBBE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2.36</w:t>
            </w:r>
          </w:p>
        </w:tc>
        <w:tc>
          <w:tcPr>
            <w:tcW w:w="770" w:type="dxa"/>
            <w:tcBorders>
              <w:left w:val="dashed" w:sz="4" w:space="0" w:color="auto"/>
              <w:bottom w:val="single" w:sz="4" w:space="0" w:color="auto"/>
            </w:tcBorders>
            <w:noWrap/>
            <w:vAlign w:val="center"/>
            <w:hideMark/>
          </w:tcPr>
          <w:p w14:paraId="0464C56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LV</w:t>
            </w:r>
          </w:p>
        </w:tc>
        <w:tc>
          <w:tcPr>
            <w:tcW w:w="770" w:type="dxa"/>
            <w:tcBorders>
              <w:bottom w:val="single" w:sz="4" w:space="0" w:color="auto"/>
            </w:tcBorders>
            <w:noWrap/>
            <w:vAlign w:val="center"/>
            <w:hideMark/>
          </w:tcPr>
          <w:p w14:paraId="28F56EF6"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w:t>
            </w:r>
          </w:p>
        </w:tc>
        <w:tc>
          <w:tcPr>
            <w:tcW w:w="770" w:type="dxa"/>
            <w:tcBorders>
              <w:bottom w:val="single" w:sz="4" w:space="0" w:color="auto"/>
            </w:tcBorders>
            <w:noWrap/>
            <w:vAlign w:val="center"/>
            <w:hideMark/>
          </w:tcPr>
          <w:p w14:paraId="6AAEA0D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399</w:t>
            </w:r>
          </w:p>
        </w:tc>
        <w:tc>
          <w:tcPr>
            <w:tcW w:w="770" w:type="dxa"/>
            <w:tcBorders>
              <w:bottom w:val="single" w:sz="4" w:space="0" w:color="auto"/>
              <w:right w:val="dashed" w:sz="4" w:space="0" w:color="auto"/>
            </w:tcBorders>
            <w:noWrap/>
            <w:vAlign w:val="center"/>
            <w:hideMark/>
          </w:tcPr>
          <w:p w14:paraId="485D5144"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6.01</w:t>
            </w:r>
          </w:p>
        </w:tc>
        <w:tc>
          <w:tcPr>
            <w:tcW w:w="770" w:type="dxa"/>
            <w:tcBorders>
              <w:left w:val="dashed" w:sz="4" w:space="0" w:color="auto"/>
              <w:bottom w:val="single" w:sz="4" w:space="0" w:color="auto"/>
            </w:tcBorders>
            <w:noWrap/>
            <w:vAlign w:val="center"/>
            <w:hideMark/>
          </w:tcPr>
          <w:p w14:paraId="3F036C87"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TR</w:t>
            </w:r>
          </w:p>
        </w:tc>
        <w:tc>
          <w:tcPr>
            <w:tcW w:w="770" w:type="dxa"/>
            <w:tcBorders>
              <w:bottom w:val="single" w:sz="4" w:space="0" w:color="auto"/>
            </w:tcBorders>
            <w:noWrap/>
            <w:vAlign w:val="center"/>
            <w:hideMark/>
          </w:tcPr>
          <w:p w14:paraId="0167542F"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20</w:t>
            </w:r>
          </w:p>
        </w:tc>
        <w:tc>
          <w:tcPr>
            <w:tcW w:w="770" w:type="dxa"/>
            <w:tcBorders>
              <w:bottom w:val="single" w:sz="4" w:space="0" w:color="auto"/>
            </w:tcBorders>
            <w:noWrap/>
            <w:vAlign w:val="center"/>
            <w:hideMark/>
          </w:tcPr>
          <w:p w14:paraId="74153A15"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293</w:t>
            </w:r>
          </w:p>
        </w:tc>
        <w:tc>
          <w:tcPr>
            <w:tcW w:w="770" w:type="dxa"/>
            <w:tcBorders>
              <w:bottom w:val="single" w:sz="4" w:space="0" w:color="auto"/>
              <w:right w:val="dashed" w:sz="4" w:space="0" w:color="auto"/>
            </w:tcBorders>
            <w:noWrap/>
            <w:vAlign w:val="center"/>
            <w:hideMark/>
          </w:tcPr>
          <w:p w14:paraId="6D621B82"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3.94</w:t>
            </w:r>
          </w:p>
        </w:tc>
        <w:tc>
          <w:tcPr>
            <w:tcW w:w="770" w:type="dxa"/>
            <w:tcBorders>
              <w:top w:val="single" w:sz="4" w:space="0" w:color="auto"/>
              <w:left w:val="dashed" w:sz="4" w:space="0" w:color="auto"/>
              <w:bottom w:val="single" w:sz="4" w:space="0" w:color="auto"/>
            </w:tcBorders>
            <w:noWrap/>
            <w:vAlign w:val="center"/>
            <w:hideMark/>
          </w:tcPr>
          <w:p w14:paraId="67C6348C"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AVG</w:t>
            </w:r>
          </w:p>
        </w:tc>
        <w:tc>
          <w:tcPr>
            <w:tcW w:w="770" w:type="dxa"/>
            <w:tcBorders>
              <w:top w:val="single" w:sz="4" w:space="0" w:color="auto"/>
              <w:bottom w:val="single" w:sz="4" w:space="0" w:color="auto"/>
            </w:tcBorders>
            <w:noWrap/>
            <w:vAlign w:val="center"/>
            <w:hideMark/>
          </w:tcPr>
          <w:p w14:paraId="39DAD579"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76</w:t>
            </w:r>
          </w:p>
        </w:tc>
        <w:tc>
          <w:tcPr>
            <w:tcW w:w="770" w:type="dxa"/>
            <w:tcBorders>
              <w:top w:val="single" w:sz="4" w:space="0" w:color="auto"/>
              <w:bottom w:val="single" w:sz="4" w:space="0" w:color="auto"/>
            </w:tcBorders>
            <w:noWrap/>
            <w:vAlign w:val="center"/>
            <w:hideMark/>
          </w:tcPr>
          <w:p w14:paraId="1B3C4B0A"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664</w:t>
            </w:r>
          </w:p>
        </w:tc>
        <w:tc>
          <w:tcPr>
            <w:tcW w:w="770" w:type="dxa"/>
            <w:tcBorders>
              <w:top w:val="single" w:sz="4" w:space="0" w:color="auto"/>
              <w:bottom w:val="single" w:sz="4" w:space="0" w:color="auto"/>
            </w:tcBorders>
            <w:noWrap/>
            <w:vAlign w:val="center"/>
            <w:hideMark/>
          </w:tcPr>
          <w:p w14:paraId="73178E6E" w14:textId="77777777" w:rsidR="00610751" w:rsidRPr="00610751" w:rsidRDefault="00610751" w:rsidP="00610751">
            <w:pPr>
              <w:widowControl/>
              <w:overflowPunct/>
              <w:autoSpaceDE/>
              <w:autoSpaceDN/>
              <w:adjustRightInd/>
              <w:jc w:val="center"/>
              <w:rPr>
                <w:kern w:val="0"/>
                <w:sz w:val="16"/>
                <w:szCs w:val="16"/>
              </w:rPr>
            </w:pPr>
            <w:r w:rsidRPr="00610751">
              <w:rPr>
                <w:kern w:val="0"/>
                <w:sz w:val="16"/>
                <w:szCs w:val="16"/>
              </w:rPr>
              <w:t>4.15</w:t>
            </w:r>
          </w:p>
        </w:tc>
      </w:tr>
    </w:tbl>
    <w:p w14:paraId="05582B88" w14:textId="77777777" w:rsidR="00610751" w:rsidRPr="00610751" w:rsidRDefault="00610751" w:rsidP="00610751">
      <w:pPr>
        <w:widowControl/>
        <w:overflowPunct/>
        <w:autoSpaceDE/>
        <w:autoSpaceDN/>
        <w:adjustRightInd/>
        <w:ind w:left="720"/>
        <w:jc w:val="both"/>
        <w:rPr>
          <w:kern w:val="0"/>
        </w:rPr>
      </w:pPr>
      <w:r w:rsidRPr="00610751">
        <w:rPr>
          <w:kern w:val="0"/>
        </w:rPr>
        <w:t>Notes: Country list includes both home and host countries; MNEs = number of MNEs per each home country (81 home countries); Subsid. = number of subsidiaries per each host country (78 host countries); ROA = average ROA for all subsidiaries within each country across all sample years (2010-2018).</w:t>
      </w:r>
    </w:p>
    <w:p w14:paraId="228AC2CB" w14:textId="77777777" w:rsidR="00610751" w:rsidRPr="00610751" w:rsidRDefault="00610751" w:rsidP="00610751">
      <w:pPr>
        <w:widowControl/>
        <w:overflowPunct/>
        <w:autoSpaceDE/>
        <w:autoSpaceDN/>
        <w:adjustRightInd/>
        <w:ind w:left="720"/>
        <w:rPr>
          <w:kern w:val="0"/>
        </w:rPr>
      </w:pPr>
      <w:r w:rsidRPr="00610751">
        <w:rPr>
          <w:kern w:val="0"/>
        </w:rPr>
        <w:br w:type="page"/>
      </w:r>
    </w:p>
    <w:p w14:paraId="405FBD0A" w14:textId="77777777" w:rsidR="00610751" w:rsidRPr="00610751" w:rsidRDefault="00610751" w:rsidP="00610751">
      <w:pPr>
        <w:widowControl/>
        <w:overflowPunct/>
        <w:autoSpaceDE/>
        <w:autoSpaceDN/>
        <w:adjustRightInd/>
        <w:ind w:left="720"/>
        <w:jc w:val="both"/>
        <w:rPr>
          <w:kern w:val="0"/>
          <w:sz w:val="24"/>
          <w:szCs w:val="24"/>
        </w:rPr>
      </w:pPr>
      <w:r w:rsidRPr="00610751">
        <w:rPr>
          <w:kern w:val="0"/>
          <w:sz w:val="24"/>
          <w:szCs w:val="24"/>
        </w:rPr>
        <w:t>Table 2C. Industry classification characteristics</w:t>
      </w:r>
    </w:p>
    <w:p w14:paraId="33E3F390" w14:textId="77777777" w:rsidR="00610751" w:rsidRPr="00610751" w:rsidRDefault="00610751" w:rsidP="00610751">
      <w:pPr>
        <w:widowControl/>
        <w:overflowPunct/>
        <w:autoSpaceDE/>
        <w:autoSpaceDN/>
        <w:adjustRightInd/>
        <w:rPr>
          <w:kern w:val="0"/>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4032"/>
        <w:gridCol w:w="1300"/>
        <w:gridCol w:w="1300"/>
      </w:tblGrid>
      <w:tr w:rsidR="00610751" w:rsidRPr="00610751" w14:paraId="790318A4" w14:textId="77777777" w:rsidTr="00DB7B9A">
        <w:trPr>
          <w:trHeight w:val="20"/>
        </w:trPr>
        <w:tc>
          <w:tcPr>
            <w:tcW w:w="961" w:type="dxa"/>
            <w:tcBorders>
              <w:top w:val="single" w:sz="4" w:space="0" w:color="auto"/>
              <w:bottom w:val="single" w:sz="4" w:space="0" w:color="auto"/>
            </w:tcBorders>
            <w:noWrap/>
            <w:vAlign w:val="center"/>
            <w:hideMark/>
          </w:tcPr>
          <w:p w14:paraId="4B03A75D" w14:textId="77777777" w:rsidR="00610751" w:rsidRPr="00610751" w:rsidRDefault="00610751" w:rsidP="00610751">
            <w:pPr>
              <w:widowControl/>
              <w:overflowPunct/>
              <w:autoSpaceDE/>
              <w:autoSpaceDN/>
              <w:adjustRightInd/>
              <w:rPr>
                <w:kern w:val="0"/>
              </w:rPr>
            </w:pPr>
            <w:r w:rsidRPr="00610751">
              <w:rPr>
                <w:kern w:val="0"/>
              </w:rPr>
              <w:t>Industry</w:t>
            </w:r>
          </w:p>
        </w:tc>
        <w:tc>
          <w:tcPr>
            <w:tcW w:w="4032" w:type="dxa"/>
            <w:tcBorders>
              <w:top w:val="single" w:sz="4" w:space="0" w:color="auto"/>
              <w:bottom w:val="single" w:sz="4" w:space="0" w:color="auto"/>
            </w:tcBorders>
            <w:noWrap/>
            <w:vAlign w:val="center"/>
            <w:hideMark/>
          </w:tcPr>
          <w:p w14:paraId="663882A2" w14:textId="77777777" w:rsidR="00610751" w:rsidRPr="00610751" w:rsidRDefault="00610751" w:rsidP="00610751">
            <w:pPr>
              <w:widowControl/>
              <w:overflowPunct/>
              <w:autoSpaceDE/>
              <w:autoSpaceDN/>
              <w:adjustRightInd/>
              <w:rPr>
                <w:kern w:val="0"/>
              </w:rPr>
            </w:pPr>
            <w:r w:rsidRPr="00610751">
              <w:rPr>
                <w:kern w:val="0"/>
              </w:rPr>
              <w:t>Description</w:t>
            </w:r>
          </w:p>
        </w:tc>
        <w:tc>
          <w:tcPr>
            <w:tcW w:w="1300" w:type="dxa"/>
            <w:tcBorders>
              <w:top w:val="single" w:sz="4" w:space="0" w:color="auto"/>
              <w:bottom w:val="single" w:sz="4" w:space="0" w:color="auto"/>
            </w:tcBorders>
            <w:noWrap/>
            <w:vAlign w:val="center"/>
            <w:hideMark/>
          </w:tcPr>
          <w:p w14:paraId="20F8779D" w14:textId="77777777" w:rsidR="00610751" w:rsidRPr="00610751" w:rsidRDefault="00610751" w:rsidP="00610751">
            <w:pPr>
              <w:widowControl/>
              <w:overflowPunct/>
              <w:autoSpaceDE/>
              <w:autoSpaceDN/>
              <w:adjustRightInd/>
              <w:jc w:val="center"/>
              <w:rPr>
                <w:kern w:val="0"/>
              </w:rPr>
            </w:pPr>
            <w:r w:rsidRPr="00610751">
              <w:rPr>
                <w:kern w:val="0"/>
              </w:rPr>
              <w:t># of Subsidiaries</w:t>
            </w:r>
          </w:p>
        </w:tc>
        <w:tc>
          <w:tcPr>
            <w:tcW w:w="1300" w:type="dxa"/>
            <w:tcBorders>
              <w:top w:val="single" w:sz="4" w:space="0" w:color="auto"/>
              <w:bottom w:val="single" w:sz="4" w:space="0" w:color="auto"/>
            </w:tcBorders>
            <w:noWrap/>
            <w:vAlign w:val="center"/>
            <w:hideMark/>
          </w:tcPr>
          <w:p w14:paraId="7711980D" w14:textId="77777777" w:rsidR="00610751" w:rsidRPr="00610751" w:rsidRDefault="00610751" w:rsidP="00610751">
            <w:pPr>
              <w:widowControl/>
              <w:overflowPunct/>
              <w:autoSpaceDE/>
              <w:autoSpaceDN/>
              <w:adjustRightInd/>
              <w:jc w:val="center"/>
              <w:rPr>
                <w:kern w:val="0"/>
              </w:rPr>
            </w:pPr>
            <w:r w:rsidRPr="00610751">
              <w:rPr>
                <w:kern w:val="0"/>
              </w:rPr>
              <w:t>Mean ROA</w:t>
            </w:r>
          </w:p>
        </w:tc>
      </w:tr>
      <w:tr w:rsidR="00610751" w:rsidRPr="00610751" w14:paraId="1B5C20E4" w14:textId="77777777" w:rsidTr="00DB7B9A">
        <w:trPr>
          <w:trHeight w:val="20"/>
        </w:trPr>
        <w:tc>
          <w:tcPr>
            <w:tcW w:w="961" w:type="dxa"/>
            <w:tcBorders>
              <w:top w:val="single" w:sz="4" w:space="0" w:color="auto"/>
            </w:tcBorders>
            <w:noWrap/>
            <w:vAlign w:val="center"/>
            <w:hideMark/>
          </w:tcPr>
          <w:p w14:paraId="06D53767" w14:textId="77777777" w:rsidR="00610751" w:rsidRPr="00610751" w:rsidRDefault="00610751" w:rsidP="00610751">
            <w:pPr>
              <w:widowControl/>
              <w:overflowPunct/>
              <w:autoSpaceDE/>
              <w:autoSpaceDN/>
              <w:adjustRightInd/>
              <w:rPr>
                <w:kern w:val="0"/>
              </w:rPr>
            </w:pPr>
            <w:r w:rsidRPr="00610751">
              <w:rPr>
                <w:kern w:val="0"/>
              </w:rPr>
              <w:t>11</w:t>
            </w:r>
          </w:p>
        </w:tc>
        <w:tc>
          <w:tcPr>
            <w:tcW w:w="4032" w:type="dxa"/>
            <w:tcBorders>
              <w:top w:val="single" w:sz="4" w:space="0" w:color="auto"/>
            </w:tcBorders>
            <w:noWrap/>
            <w:vAlign w:val="center"/>
            <w:hideMark/>
          </w:tcPr>
          <w:p w14:paraId="3CBB2C95" w14:textId="77777777" w:rsidR="00610751" w:rsidRPr="00610751" w:rsidRDefault="00610751" w:rsidP="00610751">
            <w:pPr>
              <w:widowControl/>
              <w:overflowPunct/>
              <w:autoSpaceDE/>
              <w:autoSpaceDN/>
              <w:adjustRightInd/>
              <w:rPr>
                <w:kern w:val="0"/>
              </w:rPr>
            </w:pPr>
            <w:r w:rsidRPr="00610751">
              <w:rPr>
                <w:kern w:val="0"/>
              </w:rPr>
              <w:t>Agriculture, Forestry, Fishing and Hunting</w:t>
            </w:r>
          </w:p>
        </w:tc>
        <w:tc>
          <w:tcPr>
            <w:tcW w:w="1300" w:type="dxa"/>
            <w:tcBorders>
              <w:top w:val="single" w:sz="4" w:space="0" w:color="auto"/>
            </w:tcBorders>
            <w:noWrap/>
            <w:vAlign w:val="center"/>
            <w:hideMark/>
          </w:tcPr>
          <w:p w14:paraId="73AA1283" w14:textId="77777777" w:rsidR="00610751" w:rsidRPr="00610751" w:rsidRDefault="00610751" w:rsidP="00610751">
            <w:pPr>
              <w:widowControl/>
              <w:overflowPunct/>
              <w:autoSpaceDE/>
              <w:autoSpaceDN/>
              <w:adjustRightInd/>
              <w:jc w:val="center"/>
              <w:rPr>
                <w:kern w:val="0"/>
              </w:rPr>
            </w:pPr>
            <w:r w:rsidRPr="00610751">
              <w:rPr>
                <w:kern w:val="0"/>
              </w:rPr>
              <w:t>209</w:t>
            </w:r>
          </w:p>
        </w:tc>
        <w:tc>
          <w:tcPr>
            <w:tcW w:w="1300" w:type="dxa"/>
            <w:tcBorders>
              <w:top w:val="single" w:sz="4" w:space="0" w:color="auto"/>
            </w:tcBorders>
            <w:noWrap/>
            <w:vAlign w:val="center"/>
            <w:hideMark/>
          </w:tcPr>
          <w:p w14:paraId="5E95293E" w14:textId="77777777" w:rsidR="00610751" w:rsidRPr="00610751" w:rsidRDefault="00610751" w:rsidP="00610751">
            <w:pPr>
              <w:widowControl/>
              <w:overflowPunct/>
              <w:autoSpaceDE/>
              <w:autoSpaceDN/>
              <w:adjustRightInd/>
              <w:jc w:val="center"/>
              <w:rPr>
                <w:kern w:val="0"/>
              </w:rPr>
            </w:pPr>
            <w:r w:rsidRPr="00610751">
              <w:rPr>
                <w:kern w:val="0"/>
              </w:rPr>
              <w:t>2.51</w:t>
            </w:r>
          </w:p>
        </w:tc>
      </w:tr>
      <w:tr w:rsidR="00610751" w:rsidRPr="00610751" w14:paraId="1014FCBA" w14:textId="77777777" w:rsidTr="00DB7B9A">
        <w:trPr>
          <w:trHeight w:val="20"/>
        </w:trPr>
        <w:tc>
          <w:tcPr>
            <w:tcW w:w="961" w:type="dxa"/>
            <w:noWrap/>
            <w:vAlign w:val="center"/>
            <w:hideMark/>
          </w:tcPr>
          <w:p w14:paraId="38669DD9" w14:textId="77777777" w:rsidR="00610751" w:rsidRPr="00610751" w:rsidRDefault="00610751" w:rsidP="00610751">
            <w:pPr>
              <w:widowControl/>
              <w:overflowPunct/>
              <w:autoSpaceDE/>
              <w:autoSpaceDN/>
              <w:adjustRightInd/>
              <w:rPr>
                <w:kern w:val="0"/>
              </w:rPr>
            </w:pPr>
            <w:r w:rsidRPr="00610751">
              <w:rPr>
                <w:kern w:val="0"/>
              </w:rPr>
              <w:t>21</w:t>
            </w:r>
          </w:p>
        </w:tc>
        <w:tc>
          <w:tcPr>
            <w:tcW w:w="4032" w:type="dxa"/>
            <w:noWrap/>
            <w:vAlign w:val="center"/>
            <w:hideMark/>
          </w:tcPr>
          <w:p w14:paraId="53C27190" w14:textId="77777777" w:rsidR="00610751" w:rsidRPr="00610751" w:rsidRDefault="00610751" w:rsidP="00610751">
            <w:pPr>
              <w:widowControl/>
              <w:overflowPunct/>
              <w:autoSpaceDE/>
              <w:autoSpaceDN/>
              <w:adjustRightInd/>
              <w:rPr>
                <w:kern w:val="0"/>
              </w:rPr>
            </w:pPr>
            <w:r w:rsidRPr="00610751">
              <w:rPr>
                <w:kern w:val="0"/>
              </w:rPr>
              <w:t>Mining</w:t>
            </w:r>
          </w:p>
        </w:tc>
        <w:tc>
          <w:tcPr>
            <w:tcW w:w="1300" w:type="dxa"/>
            <w:noWrap/>
            <w:vAlign w:val="center"/>
            <w:hideMark/>
          </w:tcPr>
          <w:p w14:paraId="658B7215" w14:textId="77777777" w:rsidR="00610751" w:rsidRPr="00610751" w:rsidRDefault="00610751" w:rsidP="00610751">
            <w:pPr>
              <w:widowControl/>
              <w:overflowPunct/>
              <w:autoSpaceDE/>
              <w:autoSpaceDN/>
              <w:adjustRightInd/>
              <w:jc w:val="center"/>
              <w:rPr>
                <w:kern w:val="0"/>
              </w:rPr>
            </w:pPr>
            <w:r w:rsidRPr="00610751">
              <w:rPr>
                <w:kern w:val="0"/>
              </w:rPr>
              <w:t>447</w:t>
            </w:r>
          </w:p>
        </w:tc>
        <w:tc>
          <w:tcPr>
            <w:tcW w:w="1300" w:type="dxa"/>
            <w:noWrap/>
            <w:vAlign w:val="center"/>
            <w:hideMark/>
          </w:tcPr>
          <w:p w14:paraId="31A4887D" w14:textId="77777777" w:rsidR="00610751" w:rsidRPr="00610751" w:rsidRDefault="00610751" w:rsidP="00610751">
            <w:pPr>
              <w:widowControl/>
              <w:overflowPunct/>
              <w:autoSpaceDE/>
              <w:autoSpaceDN/>
              <w:adjustRightInd/>
              <w:jc w:val="center"/>
              <w:rPr>
                <w:kern w:val="0"/>
              </w:rPr>
            </w:pPr>
            <w:r w:rsidRPr="00610751">
              <w:rPr>
                <w:kern w:val="0"/>
              </w:rPr>
              <w:t>0.85</w:t>
            </w:r>
          </w:p>
        </w:tc>
      </w:tr>
      <w:tr w:rsidR="00610751" w:rsidRPr="00610751" w14:paraId="117994EA" w14:textId="77777777" w:rsidTr="00DB7B9A">
        <w:trPr>
          <w:trHeight w:val="20"/>
        </w:trPr>
        <w:tc>
          <w:tcPr>
            <w:tcW w:w="961" w:type="dxa"/>
            <w:noWrap/>
            <w:vAlign w:val="center"/>
            <w:hideMark/>
          </w:tcPr>
          <w:p w14:paraId="103032D5" w14:textId="77777777" w:rsidR="00610751" w:rsidRPr="00610751" w:rsidRDefault="00610751" w:rsidP="00610751">
            <w:pPr>
              <w:widowControl/>
              <w:overflowPunct/>
              <w:autoSpaceDE/>
              <w:autoSpaceDN/>
              <w:adjustRightInd/>
              <w:rPr>
                <w:kern w:val="0"/>
              </w:rPr>
            </w:pPr>
            <w:r w:rsidRPr="00610751">
              <w:rPr>
                <w:kern w:val="0"/>
              </w:rPr>
              <w:t>22</w:t>
            </w:r>
          </w:p>
        </w:tc>
        <w:tc>
          <w:tcPr>
            <w:tcW w:w="4032" w:type="dxa"/>
            <w:noWrap/>
            <w:vAlign w:val="center"/>
            <w:hideMark/>
          </w:tcPr>
          <w:p w14:paraId="241ABEE4" w14:textId="77777777" w:rsidR="00610751" w:rsidRPr="00610751" w:rsidRDefault="00610751" w:rsidP="00610751">
            <w:pPr>
              <w:widowControl/>
              <w:overflowPunct/>
              <w:autoSpaceDE/>
              <w:autoSpaceDN/>
              <w:adjustRightInd/>
              <w:rPr>
                <w:kern w:val="0"/>
              </w:rPr>
            </w:pPr>
            <w:r w:rsidRPr="00610751">
              <w:rPr>
                <w:kern w:val="0"/>
              </w:rPr>
              <w:t>Utilities</w:t>
            </w:r>
          </w:p>
        </w:tc>
        <w:tc>
          <w:tcPr>
            <w:tcW w:w="1300" w:type="dxa"/>
            <w:noWrap/>
            <w:vAlign w:val="center"/>
            <w:hideMark/>
          </w:tcPr>
          <w:p w14:paraId="3119FC6F" w14:textId="77777777" w:rsidR="00610751" w:rsidRPr="00610751" w:rsidRDefault="00610751" w:rsidP="00610751">
            <w:pPr>
              <w:widowControl/>
              <w:overflowPunct/>
              <w:autoSpaceDE/>
              <w:autoSpaceDN/>
              <w:adjustRightInd/>
              <w:jc w:val="center"/>
              <w:rPr>
                <w:kern w:val="0"/>
              </w:rPr>
            </w:pPr>
            <w:r w:rsidRPr="00610751">
              <w:rPr>
                <w:kern w:val="0"/>
              </w:rPr>
              <w:t>821</w:t>
            </w:r>
          </w:p>
        </w:tc>
        <w:tc>
          <w:tcPr>
            <w:tcW w:w="1300" w:type="dxa"/>
            <w:noWrap/>
            <w:vAlign w:val="center"/>
            <w:hideMark/>
          </w:tcPr>
          <w:p w14:paraId="4CF5EC5D" w14:textId="77777777" w:rsidR="00610751" w:rsidRPr="00610751" w:rsidRDefault="00610751" w:rsidP="00610751">
            <w:pPr>
              <w:widowControl/>
              <w:overflowPunct/>
              <w:autoSpaceDE/>
              <w:autoSpaceDN/>
              <w:adjustRightInd/>
              <w:jc w:val="center"/>
              <w:rPr>
                <w:kern w:val="0"/>
              </w:rPr>
            </w:pPr>
            <w:r w:rsidRPr="00610751">
              <w:rPr>
                <w:kern w:val="0"/>
              </w:rPr>
              <w:t>-0.16</w:t>
            </w:r>
          </w:p>
        </w:tc>
      </w:tr>
      <w:tr w:rsidR="00610751" w:rsidRPr="00610751" w14:paraId="6F636236" w14:textId="77777777" w:rsidTr="00DB7B9A">
        <w:trPr>
          <w:trHeight w:val="20"/>
        </w:trPr>
        <w:tc>
          <w:tcPr>
            <w:tcW w:w="961" w:type="dxa"/>
            <w:noWrap/>
            <w:vAlign w:val="center"/>
            <w:hideMark/>
          </w:tcPr>
          <w:p w14:paraId="0052826B" w14:textId="77777777" w:rsidR="00610751" w:rsidRPr="00610751" w:rsidRDefault="00610751" w:rsidP="00610751">
            <w:pPr>
              <w:widowControl/>
              <w:overflowPunct/>
              <w:autoSpaceDE/>
              <w:autoSpaceDN/>
              <w:adjustRightInd/>
              <w:rPr>
                <w:kern w:val="0"/>
              </w:rPr>
            </w:pPr>
            <w:r w:rsidRPr="00610751">
              <w:rPr>
                <w:kern w:val="0"/>
              </w:rPr>
              <w:t>23</w:t>
            </w:r>
          </w:p>
        </w:tc>
        <w:tc>
          <w:tcPr>
            <w:tcW w:w="4032" w:type="dxa"/>
            <w:noWrap/>
            <w:vAlign w:val="center"/>
            <w:hideMark/>
          </w:tcPr>
          <w:p w14:paraId="7861F931" w14:textId="77777777" w:rsidR="00610751" w:rsidRPr="00610751" w:rsidRDefault="00610751" w:rsidP="00610751">
            <w:pPr>
              <w:widowControl/>
              <w:overflowPunct/>
              <w:autoSpaceDE/>
              <w:autoSpaceDN/>
              <w:adjustRightInd/>
              <w:rPr>
                <w:kern w:val="0"/>
              </w:rPr>
            </w:pPr>
            <w:r w:rsidRPr="00610751">
              <w:rPr>
                <w:kern w:val="0"/>
              </w:rPr>
              <w:t>Construction</w:t>
            </w:r>
          </w:p>
        </w:tc>
        <w:tc>
          <w:tcPr>
            <w:tcW w:w="1300" w:type="dxa"/>
            <w:noWrap/>
            <w:vAlign w:val="center"/>
            <w:hideMark/>
          </w:tcPr>
          <w:p w14:paraId="61A1C117" w14:textId="77777777" w:rsidR="00610751" w:rsidRPr="00610751" w:rsidRDefault="00610751" w:rsidP="00610751">
            <w:pPr>
              <w:widowControl/>
              <w:overflowPunct/>
              <w:autoSpaceDE/>
              <w:autoSpaceDN/>
              <w:adjustRightInd/>
              <w:jc w:val="center"/>
              <w:rPr>
                <w:kern w:val="0"/>
              </w:rPr>
            </w:pPr>
            <w:r w:rsidRPr="00610751">
              <w:rPr>
                <w:kern w:val="0"/>
              </w:rPr>
              <w:t>1418</w:t>
            </w:r>
          </w:p>
        </w:tc>
        <w:tc>
          <w:tcPr>
            <w:tcW w:w="1300" w:type="dxa"/>
            <w:noWrap/>
            <w:vAlign w:val="center"/>
            <w:hideMark/>
          </w:tcPr>
          <w:p w14:paraId="157973FD" w14:textId="77777777" w:rsidR="00610751" w:rsidRPr="00610751" w:rsidRDefault="00610751" w:rsidP="00610751">
            <w:pPr>
              <w:widowControl/>
              <w:overflowPunct/>
              <w:autoSpaceDE/>
              <w:autoSpaceDN/>
              <w:adjustRightInd/>
              <w:jc w:val="center"/>
              <w:rPr>
                <w:kern w:val="0"/>
              </w:rPr>
            </w:pPr>
            <w:r w:rsidRPr="00610751">
              <w:rPr>
                <w:kern w:val="0"/>
              </w:rPr>
              <w:t>1.00</w:t>
            </w:r>
          </w:p>
        </w:tc>
      </w:tr>
      <w:tr w:rsidR="00610751" w:rsidRPr="00610751" w14:paraId="28196B94" w14:textId="77777777" w:rsidTr="00DB7B9A">
        <w:trPr>
          <w:trHeight w:val="20"/>
        </w:trPr>
        <w:tc>
          <w:tcPr>
            <w:tcW w:w="961" w:type="dxa"/>
            <w:noWrap/>
            <w:vAlign w:val="center"/>
            <w:hideMark/>
          </w:tcPr>
          <w:p w14:paraId="52BB9F63" w14:textId="77777777" w:rsidR="00610751" w:rsidRPr="00610751" w:rsidRDefault="00610751" w:rsidP="00610751">
            <w:pPr>
              <w:widowControl/>
              <w:overflowPunct/>
              <w:autoSpaceDE/>
              <w:autoSpaceDN/>
              <w:adjustRightInd/>
              <w:rPr>
                <w:kern w:val="0"/>
              </w:rPr>
            </w:pPr>
            <w:r w:rsidRPr="00610751">
              <w:rPr>
                <w:kern w:val="0"/>
              </w:rPr>
              <w:t>31</w:t>
            </w:r>
          </w:p>
        </w:tc>
        <w:tc>
          <w:tcPr>
            <w:tcW w:w="4032" w:type="dxa"/>
            <w:noWrap/>
            <w:vAlign w:val="center"/>
            <w:hideMark/>
          </w:tcPr>
          <w:p w14:paraId="02DE76DB" w14:textId="77777777" w:rsidR="00610751" w:rsidRPr="00610751" w:rsidRDefault="00610751" w:rsidP="00610751">
            <w:pPr>
              <w:widowControl/>
              <w:overflowPunct/>
              <w:autoSpaceDE/>
              <w:autoSpaceDN/>
              <w:adjustRightInd/>
              <w:rPr>
                <w:kern w:val="0"/>
              </w:rPr>
            </w:pPr>
            <w:r w:rsidRPr="00610751">
              <w:rPr>
                <w:kern w:val="0"/>
              </w:rPr>
              <w:t>Manufacturing</w:t>
            </w:r>
          </w:p>
        </w:tc>
        <w:tc>
          <w:tcPr>
            <w:tcW w:w="1300" w:type="dxa"/>
            <w:noWrap/>
            <w:vAlign w:val="center"/>
            <w:hideMark/>
          </w:tcPr>
          <w:p w14:paraId="2B825387" w14:textId="77777777" w:rsidR="00610751" w:rsidRPr="00610751" w:rsidRDefault="00610751" w:rsidP="00610751">
            <w:pPr>
              <w:widowControl/>
              <w:overflowPunct/>
              <w:autoSpaceDE/>
              <w:autoSpaceDN/>
              <w:adjustRightInd/>
              <w:jc w:val="center"/>
              <w:rPr>
                <w:kern w:val="0"/>
              </w:rPr>
            </w:pPr>
            <w:r w:rsidRPr="00610751">
              <w:rPr>
                <w:kern w:val="0"/>
              </w:rPr>
              <w:t>1460</w:t>
            </w:r>
          </w:p>
        </w:tc>
        <w:tc>
          <w:tcPr>
            <w:tcW w:w="1300" w:type="dxa"/>
            <w:noWrap/>
            <w:vAlign w:val="center"/>
            <w:hideMark/>
          </w:tcPr>
          <w:p w14:paraId="41CB1CB7" w14:textId="77777777" w:rsidR="00610751" w:rsidRPr="00610751" w:rsidRDefault="00610751" w:rsidP="00610751">
            <w:pPr>
              <w:widowControl/>
              <w:overflowPunct/>
              <w:autoSpaceDE/>
              <w:autoSpaceDN/>
              <w:adjustRightInd/>
              <w:jc w:val="center"/>
              <w:rPr>
                <w:kern w:val="0"/>
              </w:rPr>
            </w:pPr>
            <w:r w:rsidRPr="00610751">
              <w:rPr>
                <w:kern w:val="0"/>
              </w:rPr>
              <w:t>4.08</w:t>
            </w:r>
          </w:p>
        </w:tc>
      </w:tr>
      <w:tr w:rsidR="00610751" w:rsidRPr="00610751" w14:paraId="2CEDE73B" w14:textId="77777777" w:rsidTr="00DB7B9A">
        <w:trPr>
          <w:trHeight w:val="20"/>
        </w:trPr>
        <w:tc>
          <w:tcPr>
            <w:tcW w:w="961" w:type="dxa"/>
            <w:noWrap/>
            <w:vAlign w:val="center"/>
            <w:hideMark/>
          </w:tcPr>
          <w:p w14:paraId="7240D119" w14:textId="77777777" w:rsidR="00610751" w:rsidRPr="00610751" w:rsidRDefault="00610751" w:rsidP="00610751">
            <w:pPr>
              <w:widowControl/>
              <w:overflowPunct/>
              <w:autoSpaceDE/>
              <w:autoSpaceDN/>
              <w:adjustRightInd/>
              <w:rPr>
                <w:kern w:val="0"/>
              </w:rPr>
            </w:pPr>
            <w:r w:rsidRPr="00610751">
              <w:rPr>
                <w:kern w:val="0"/>
              </w:rPr>
              <w:t>32</w:t>
            </w:r>
          </w:p>
        </w:tc>
        <w:tc>
          <w:tcPr>
            <w:tcW w:w="4032" w:type="dxa"/>
            <w:noWrap/>
            <w:vAlign w:val="center"/>
            <w:hideMark/>
          </w:tcPr>
          <w:p w14:paraId="3BA29F19" w14:textId="77777777" w:rsidR="00610751" w:rsidRPr="00610751" w:rsidRDefault="00610751" w:rsidP="00610751">
            <w:pPr>
              <w:widowControl/>
              <w:overflowPunct/>
              <w:autoSpaceDE/>
              <w:autoSpaceDN/>
              <w:adjustRightInd/>
              <w:rPr>
                <w:kern w:val="0"/>
              </w:rPr>
            </w:pPr>
            <w:r w:rsidRPr="00610751">
              <w:rPr>
                <w:kern w:val="0"/>
              </w:rPr>
              <w:t>Manufacturing</w:t>
            </w:r>
          </w:p>
        </w:tc>
        <w:tc>
          <w:tcPr>
            <w:tcW w:w="1300" w:type="dxa"/>
            <w:noWrap/>
            <w:vAlign w:val="center"/>
            <w:hideMark/>
          </w:tcPr>
          <w:p w14:paraId="68BE5507" w14:textId="77777777" w:rsidR="00610751" w:rsidRPr="00610751" w:rsidRDefault="00610751" w:rsidP="00610751">
            <w:pPr>
              <w:widowControl/>
              <w:overflowPunct/>
              <w:autoSpaceDE/>
              <w:autoSpaceDN/>
              <w:adjustRightInd/>
              <w:jc w:val="center"/>
              <w:rPr>
                <w:kern w:val="0"/>
              </w:rPr>
            </w:pPr>
            <w:r w:rsidRPr="00610751">
              <w:rPr>
                <w:kern w:val="0"/>
              </w:rPr>
              <w:t>3887</w:t>
            </w:r>
          </w:p>
        </w:tc>
        <w:tc>
          <w:tcPr>
            <w:tcW w:w="1300" w:type="dxa"/>
            <w:noWrap/>
            <w:vAlign w:val="center"/>
            <w:hideMark/>
          </w:tcPr>
          <w:p w14:paraId="68D0CA4D" w14:textId="77777777" w:rsidR="00610751" w:rsidRPr="00610751" w:rsidRDefault="00610751" w:rsidP="00610751">
            <w:pPr>
              <w:widowControl/>
              <w:overflowPunct/>
              <w:autoSpaceDE/>
              <w:autoSpaceDN/>
              <w:adjustRightInd/>
              <w:jc w:val="center"/>
              <w:rPr>
                <w:kern w:val="0"/>
              </w:rPr>
            </w:pPr>
            <w:r w:rsidRPr="00610751">
              <w:rPr>
                <w:kern w:val="0"/>
              </w:rPr>
              <w:t>4.58</w:t>
            </w:r>
          </w:p>
        </w:tc>
      </w:tr>
      <w:tr w:rsidR="00610751" w:rsidRPr="00610751" w14:paraId="784F2695" w14:textId="77777777" w:rsidTr="00DB7B9A">
        <w:trPr>
          <w:trHeight w:val="20"/>
        </w:trPr>
        <w:tc>
          <w:tcPr>
            <w:tcW w:w="961" w:type="dxa"/>
            <w:noWrap/>
            <w:vAlign w:val="center"/>
            <w:hideMark/>
          </w:tcPr>
          <w:p w14:paraId="3DCC948E" w14:textId="77777777" w:rsidR="00610751" w:rsidRPr="00610751" w:rsidRDefault="00610751" w:rsidP="00610751">
            <w:pPr>
              <w:widowControl/>
              <w:overflowPunct/>
              <w:autoSpaceDE/>
              <w:autoSpaceDN/>
              <w:adjustRightInd/>
              <w:rPr>
                <w:kern w:val="0"/>
              </w:rPr>
            </w:pPr>
            <w:r w:rsidRPr="00610751">
              <w:rPr>
                <w:kern w:val="0"/>
              </w:rPr>
              <w:t>33</w:t>
            </w:r>
          </w:p>
        </w:tc>
        <w:tc>
          <w:tcPr>
            <w:tcW w:w="4032" w:type="dxa"/>
            <w:noWrap/>
            <w:vAlign w:val="center"/>
            <w:hideMark/>
          </w:tcPr>
          <w:p w14:paraId="6C6BE86B" w14:textId="77777777" w:rsidR="00610751" w:rsidRPr="00610751" w:rsidRDefault="00610751" w:rsidP="00610751">
            <w:pPr>
              <w:widowControl/>
              <w:overflowPunct/>
              <w:autoSpaceDE/>
              <w:autoSpaceDN/>
              <w:adjustRightInd/>
              <w:rPr>
                <w:kern w:val="0"/>
              </w:rPr>
            </w:pPr>
            <w:r w:rsidRPr="00610751">
              <w:rPr>
                <w:kern w:val="0"/>
              </w:rPr>
              <w:t>Manufacturing</w:t>
            </w:r>
          </w:p>
        </w:tc>
        <w:tc>
          <w:tcPr>
            <w:tcW w:w="1300" w:type="dxa"/>
            <w:noWrap/>
            <w:vAlign w:val="center"/>
            <w:hideMark/>
          </w:tcPr>
          <w:p w14:paraId="02C0531A" w14:textId="77777777" w:rsidR="00610751" w:rsidRPr="00610751" w:rsidRDefault="00610751" w:rsidP="00610751">
            <w:pPr>
              <w:widowControl/>
              <w:overflowPunct/>
              <w:autoSpaceDE/>
              <w:autoSpaceDN/>
              <w:adjustRightInd/>
              <w:jc w:val="center"/>
              <w:rPr>
                <w:kern w:val="0"/>
              </w:rPr>
            </w:pPr>
            <w:r w:rsidRPr="00610751">
              <w:rPr>
                <w:kern w:val="0"/>
              </w:rPr>
              <w:t>7353</w:t>
            </w:r>
          </w:p>
        </w:tc>
        <w:tc>
          <w:tcPr>
            <w:tcW w:w="1300" w:type="dxa"/>
            <w:noWrap/>
            <w:vAlign w:val="center"/>
            <w:hideMark/>
          </w:tcPr>
          <w:p w14:paraId="2740B43C" w14:textId="77777777" w:rsidR="00610751" w:rsidRPr="00610751" w:rsidRDefault="00610751" w:rsidP="00610751">
            <w:pPr>
              <w:widowControl/>
              <w:overflowPunct/>
              <w:autoSpaceDE/>
              <w:autoSpaceDN/>
              <w:adjustRightInd/>
              <w:jc w:val="center"/>
              <w:rPr>
                <w:kern w:val="0"/>
              </w:rPr>
            </w:pPr>
            <w:r w:rsidRPr="00610751">
              <w:rPr>
                <w:kern w:val="0"/>
              </w:rPr>
              <w:t>4.40</w:t>
            </w:r>
          </w:p>
        </w:tc>
      </w:tr>
      <w:tr w:rsidR="00610751" w:rsidRPr="00610751" w14:paraId="54F47438" w14:textId="77777777" w:rsidTr="00DB7B9A">
        <w:trPr>
          <w:trHeight w:val="20"/>
        </w:trPr>
        <w:tc>
          <w:tcPr>
            <w:tcW w:w="961" w:type="dxa"/>
            <w:noWrap/>
            <w:vAlign w:val="center"/>
            <w:hideMark/>
          </w:tcPr>
          <w:p w14:paraId="0F88093C" w14:textId="77777777" w:rsidR="00610751" w:rsidRPr="00610751" w:rsidRDefault="00610751" w:rsidP="00610751">
            <w:pPr>
              <w:widowControl/>
              <w:overflowPunct/>
              <w:autoSpaceDE/>
              <w:autoSpaceDN/>
              <w:adjustRightInd/>
              <w:rPr>
                <w:kern w:val="0"/>
              </w:rPr>
            </w:pPr>
            <w:r w:rsidRPr="00610751">
              <w:rPr>
                <w:kern w:val="0"/>
              </w:rPr>
              <w:t>42</w:t>
            </w:r>
          </w:p>
        </w:tc>
        <w:tc>
          <w:tcPr>
            <w:tcW w:w="4032" w:type="dxa"/>
            <w:noWrap/>
            <w:vAlign w:val="center"/>
            <w:hideMark/>
          </w:tcPr>
          <w:p w14:paraId="70D6F3DF" w14:textId="77777777" w:rsidR="00610751" w:rsidRPr="00610751" w:rsidRDefault="00610751" w:rsidP="00610751">
            <w:pPr>
              <w:widowControl/>
              <w:overflowPunct/>
              <w:autoSpaceDE/>
              <w:autoSpaceDN/>
              <w:adjustRightInd/>
              <w:rPr>
                <w:kern w:val="0"/>
              </w:rPr>
            </w:pPr>
            <w:r w:rsidRPr="00610751">
              <w:rPr>
                <w:kern w:val="0"/>
              </w:rPr>
              <w:t>Wholesale Trade</w:t>
            </w:r>
          </w:p>
        </w:tc>
        <w:tc>
          <w:tcPr>
            <w:tcW w:w="1300" w:type="dxa"/>
            <w:noWrap/>
            <w:vAlign w:val="center"/>
            <w:hideMark/>
          </w:tcPr>
          <w:p w14:paraId="0156B13E" w14:textId="77777777" w:rsidR="00610751" w:rsidRPr="00610751" w:rsidRDefault="00610751" w:rsidP="00610751">
            <w:pPr>
              <w:widowControl/>
              <w:overflowPunct/>
              <w:autoSpaceDE/>
              <w:autoSpaceDN/>
              <w:adjustRightInd/>
              <w:jc w:val="center"/>
              <w:rPr>
                <w:kern w:val="0"/>
              </w:rPr>
            </w:pPr>
            <w:r w:rsidRPr="00610751">
              <w:rPr>
                <w:kern w:val="0"/>
              </w:rPr>
              <w:t>14544</w:t>
            </w:r>
          </w:p>
        </w:tc>
        <w:tc>
          <w:tcPr>
            <w:tcW w:w="1300" w:type="dxa"/>
            <w:noWrap/>
            <w:vAlign w:val="center"/>
            <w:hideMark/>
          </w:tcPr>
          <w:p w14:paraId="75DA5B7B" w14:textId="77777777" w:rsidR="00610751" w:rsidRPr="00610751" w:rsidRDefault="00610751" w:rsidP="00610751">
            <w:pPr>
              <w:widowControl/>
              <w:overflowPunct/>
              <w:autoSpaceDE/>
              <w:autoSpaceDN/>
              <w:adjustRightInd/>
              <w:jc w:val="center"/>
              <w:rPr>
                <w:kern w:val="0"/>
              </w:rPr>
            </w:pPr>
            <w:r w:rsidRPr="00610751">
              <w:rPr>
                <w:kern w:val="0"/>
              </w:rPr>
              <w:t>4.93</w:t>
            </w:r>
          </w:p>
        </w:tc>
      </w:tr>
      <w:tr w:rsidR="00610751" w:rsidRPr="00610751" w14:paraId="44AB0C0D" w14:textId="77777777" w:rsidTr="00DB7B9A">
        <w:trPr>
          <w:trHeight w:val="20"/>
        </w:trPr>
        <w:tc>
          <w:tcPr>
            <w:tcW w:w="961" w:type="dxa"/>
            <w:noWrap/>
            <w:vAlign w:val="center"/>
            <w:hideMark/>
          </w:tcPr>
          <w:p w14:paraId="411B7B5C" w14:textId="77777777" w:rsidR="00610751" w:rsidRPr="00610751" w:rsidRDefault="00610751" w:rsidP="00610751">
            <w:pPr>
              <w:widowControl/>
              <w:overflowPunct/>
              <w:autoSpaceDE/>
              <w:autoSpaceDN/>
              <w:adjustRightInd/>
              <w:rPr>
                <w:kern w:val="0"/>
              </w:rPr>
            </w:pPr>
            <w:r w:rsidRPr="00610751">
              <w:rPr>
                <w:kern w:val="0"/>
              </w:rPr>
              <w:t>44</w:t>
            </w:r>
          </w:p>
        </w:tc>
        <w:tc>
          <w:tcPr>
            <w:tcW w:w="4032" w:type="dxa"/>
            <w:noWrap/>
            <w:vAlign w:val="center"/>
            <w:hideMark/>
          </w:tcPr>
          <w:p w14:paraId="56584B4B" w14:textId="77777777" w:rsidR="00610751" w:rsidRPr="00610751" w:rsidRDefault="00610751" w:rsidP="00610751">
            <w:pPr>
              <w:widowControl/>
              <w:overflowPunct/>
              <w:autoSpaceDE/>
              <w:autoSpaceDN/>
              <w:adjustRightInd/>
              <w:rPr>
                <w:kern w:val="0"/>
              </w:rPr>
            </w:pPr>
            <w:r w:rsidRPr="00610751">
              <w:rPr>
                <w:kern w:val="0"/>
              </w:rPr>
              <w:t>Retail Trade</w:t>
            </w:r>
          </w:p>
        </w:tc>
        <w:tc>
          <w:tcPr>
            <w:tcW w:w="1300" w:type="dxa"/>
            <w:noWrap/>
            <w:vAlign w:val="center"/>
            <w:hideMark/>
          </w:tcPr>
          <w:p w14:paraId="144D520B" w14:textId="77777777" w:rsidR="00610751" w:rsidRPr="00610751" w:rsidRDefault="00610751" w:rsidP="00610751">
            <w:pPr>
              <w:widowControl/>
              <w:overflowPunct/>
              <w:autoSpaceDE/>
              <w:autoSpaceDN/>
              <w:adjustRightInd/>
              <w:jc w:val="center"/>
              <w:rPr>
                <w:kern w:val="0"/>
              </w:rPr>
            </w:pPr>
            <w:r w:rsidRPr="00610751">
              <w:rPr>
                <w:kern w:val="0"/>
              </w:rPr>
              <w:t>1477</w:t>
            </w:r>
          </w:p>
        </w:tc>
        <w:tc>
          <w:tcPr>
            <w:tcW w:w="1300" w:type="dxa"/>
            <w:noWrap/>
            <w:vAlign w:val="center"/>
            <w:hideMark/>
          </w:tcPr>
          <w:p w14:paraId="755122A5" w14:textId="77777777" w:rsidR="00610751" w:rsidRPr="00610751" w:rsidRDefault="00610751" w:rsidP="00610751">
            <w:pPr>
              <w:widowControl/>
              <w:overflowPunct/>
              <w:autoSpaceDE/>
              <w:autoSpaceDN/>
              <w:adjustRightInd/>
              <w:jc w:val="center"/>
              <w:rPr>
                <w:kern w:val="0"/>
              </w:rPr>
            </w:pPr>
            <w:r w:rsidRPr="00610751">
              <w:rPr>
                <w:kern w:val="0"/>
              </w:rPr>
              <w:t>2.57</w:t>
            </w:r>
          </w:p>
        </w:tc>
      </w:tr>
      <w:tr w:rsidR="00610751" w:rsidRPr="00610751" w14:paraId="00B83884" w14:textId="77777777" w:rsidTr="00DB7B9A">
        <w:trPr>
          <w:trHeight w:val="20"/>
        </w:trPr>
        <w:tc>
          <w:tcPr>
            <w:tcW w:w="961" w:type="dxa"/>
            <w:noWrap/>
            <w:vAlign w:val="center"/>
            <w:hideMark/>
          </w:tcPr>
          <w:p w14:paraId="70FA2F27" w14:textId="77777777" w:rsidR="00610751" w:rsidRPr="00610751" w:rsidRDefault="00610751" w:rsidP="00610751">
            <w:pPr>
              <w:widowControl/>
              <w:overflowPunct/>
              <w:autoSpaceDE/>
              <w:autoSpaceDN/>
              <w:adjustRightInd/>
              <w:rPr>
                <w:kern w:val="0"/>
              </w:rPr>
            </w:pPr>
            <w:r w:rsidRPr="00610751">
              <w:rPr>
                <w:kern w:val="0"/>
              </w:rPr>
              <w:t>45</w:t>
            </w:r>
          </w:p>
        </w:tc>
        <w:tc>
          <w:tcPr>
            <w:tcW w:w="4032" w:type="dxa"/>
            <w:noWrap/>
            <w:vAlign w:val="center"/>
            <w:hideMark/>
          </w:tcPr>
          <w:p w14:paraId="48EFE29A" w14:textId="77777777" w:rsidR="00610751" w:rsidRPr="00610751" w:rsidRDefault="00610751" w:rsidP="00610751">
            <w:pPr>
              <w:widowControl/>
              <w:overflowPunct/>
              <w:autoSpaceDE/>
              <w:autoSpaceDN/>
              <w:adjustRightInd/>
              <w:rPr>
                <w:kern w:val="0"/>
              </w:rPr>
            </w:pPr>
            <w:r w:rsidRPr="00610751">
              <w:rPr>
                <w:kern w:val="0"/>
              </w:rPr>
              <w:t>Retail Trade</w:t>
            </w:r>
          </w:p>
        </w:tc>
        <w:tc>
          <w:tcPr>
            <w:tcW w:w="1300" w:type="dxa"/>
            <w:noWrap/>
            <w:vAlign w:val="center"/>
            <w:hideMark/>
          </w:tcPr>
          <w:p w14:paraId="35D51C77" w14:textId="77777777" w:rsidR="00610751" w:rsidRPr="00610751" w:rsidRDefault="00610751" w:rsidP="00610751">
            <w:pPr>
              <w:widowControl/>
              <w:overflowPunct/>
              <w:autoSpaceDE/>
              <w:autoSpaceDN/>
              <w:adjustRightInd/>
              <w:jc w:val="center"/>
              <w:rPr>
                <w:kern w:val="0"/>
              </w:rPr>
            </w:pPr>
            <w:r w:rsidRPr="00610751">
              <w:rPr>
                <w:kern w:val="0"/>
              </w:rPr>
              <w:t>481</w:t>
            </w:r>
          </w:p>
        </w:tc>
        <w:tc>
          <w:tcPr>
            <w:tcW w:w="1300" w:type="dxa"/>
            <w:noWrap/>
            <w:vAlign w:val="center"/>
            <w:hideMark/>
          </w:tcPr>
          <w:p w14:paraId="4BB1D7FF" w14:textId="77777777" w:rsidR="00610751" w:rsidRPr="00610751" w:rsidRDefault="00610751" w:rsidP="00610751">
            <w:pPr>
              <w:widowControl/>
              <w:overflowPunct/>
              <w:autoSpaceDE/>
              <w:autoSpaceDN/>
              <w:adjustRightInd/>
              <w:jc w:val="center"/>
              <w:rPr>
                <w:kern w:val="0"/>
              </w:rPr>
            </w:pPr>
            <w:r w:rsidRPr="00610751">
              <w:rPr>
                <w:kern w:val="0"/>
              </w:rPr>
              <w:t>1.94</w:t>
            </w:r>
          </w:p>
        </w:tc>
      </w:tr>
      <w:tr w:rsidR="00610751" w:rsidRPr="00610751" w14:paraId="6C4C8FF1" w14:textId="77777777" w:rsidTr="00DB7B9A">
        <w:trPr>
          <w:trHeight w:val="20"/>
        </w:trPr>
        <w:tc>
          <w:tcPr>
            <w:tcW w:w="961" w:type="dxa"/>
            <w:noWrap/>
            <w:vAlign w:val="center"/>
            <w:hideMark/>
          </w:tcPr>
          <w:p w14:paraId="365CE27E" w14:textId="77777777" w:rsidR="00610751" w:rsidRPr="00610751" w:rsidRDefault="00610751" w:rsidP="00610751">
            <w:pPr>
              <w:widowControl/>
              <w:overflowPunct/>
              <w:autoSpaceDE/>
              <w:autoSpaceDN/>
              <w:adjustRightInd/>
              <w:rPr>
                <w:kern w:val="0"/>
              </w:rPr>
            </w:pPr>
            <w:r w:rsidRPr="00610751">
              <w:rPr>
                <w:kern w:val="0"/>
              </w:rPr>
              <w:t>48</w:t>
            </w:r>
          </w:p>
        </w:tc>
        <w:tc>
          <w:tcPr>
            <w:tcW w:w="4032" w:type="dxa"/>
            <w:noWrap/>
            <w:vAlign w:val="center"/>
            <w:hideMark/>
          </w:tcPr>
          <w:p w14:paraId="2469BAA4" w14:textId="77777777" w:rsidR="00610751" w:rsidRPr="00610751" w:rsidRDefault="00610751" w:rsidP="00610751">
            <w:pPr>
              <w:widowControl/>
              <w:overflowPunct/>
              <w:autoSpaceDE/>
              <w:autoSpaceDN/>
              <w:adjustRightInd/>
              <w:rPr>
                <w:kern w:val="0"/>
              </w:rPr>
            </w:pPr>
            <w:r w:rsidRPr="00610751">
              <w:rPr>
                <w:kern w:val="0"/>
              </w:rPr>
              <w:t>Transportation and Warehousing</w:t>
            </w:r>
          </w:p>
        </w:tc>
        <w:tc>
          <w:tcPr>
            <w:tcW w:w="1300" w:type="dxa"/>
            <w:noWrap/>
            <w:vAlign w:val="center"/>
            <w:hideMark/>
          </w:tcPr>
          <w:p w14:paraId="0729F3BB" w14:textId="77777777" w:rsidR="00610751" w:rsidRPr="00610751" w:rsidRDefault="00610751" w:rsidP="00610751">
            <w:pPr>
              <w:widowControl/>
              <w:overflowPunct/>
              <w:autoSpaceDE/>
              <w:autoSpaceDN/>
              <w:adjustRightInd/>
              <w:jc w:val="center"/>
              <w:rPr>
                <w:kern w:val="0"/>
              </w:rPr>
            </w:pPr>
            <w:r w:rsidRPr="00610751">
              <w:rPr>
                <w:kern w:val="0"/>
              </w:rPr>
              <w:t>1853</w:t>
            </w:r>
          </w:p>
        </w:tc>
        <w:tc>
          <w:tcPr>
            <w:tcW w:w="1300" w:type="dxa"/>
            <w:noWrap/>
            <w:vAlign w:val="center"/>
            <w:hideMark/>
          </w:tcPr>
          <w:p w14:paraId="6F7811B7" w14:textId="77777777" w:rsidR="00610751" w:rsidRPr="00610751" w:rsidRDefault="00610751" w:rsidP="00610751">
            <w:pPr>
              <w:widowControl/>
              <w:overflowPunct/>
              <w:autoSpaceDE/>
              <w:autoSpaceDN/>
              <w:adjustRightInd/>
              <w:jc w:val="center"/>
              <w:rPr>
                <w:kern w:val="0"/>
              </w:rPr>
            </w:pPr>
            <w:r w:rsidRPr="00610751">
              <w:rPr>
                <w:kern w:val="0"/>
              </w:rPr>
              <w:t>3.50</w:t>
            </w:r>
          </w:p>
        </w:tc>
      </w:tr>
      <w:tr w:rsidR="00610751" w:rsidRPr="00610751" w14:paraId="0B13FC37" w14:textId="77777777" w:rsidTr="00DB7B9A">
        <w:trPr>
          <w:trHeight w:val="20"/>
        </w:trPr>
        <w:tc>
          <w:tcPr>
            <w:tcW w:w="961" w:type="dxa"/>
            <w:noWrap/>
            <w:vAlign w:val="center"/>
            <w:hideMark/>
          </w:tcPr>
          <w:p w14:paraId="503AF122" w14:textId="77777777" w:rsidR="00610751" w:rsidRPr="00610751" w:rsidRDefault="00610751" w:rsidP="00610751">
            <w:pPr>
              <w:widowControl/>
              <w:overflowPunct/>
              <w:autoSpaceDE/>
              <w:autoSpaceDN/>
              <w:adjustRightInd/>
              <w:rPr>
                <w:kern w:val="0"/>
              </w:rPr>
            </w:pPr>
            <w:r w:rsidRPr="00610751">
              <w:rPr>
                <w:kern w:val="0"/>
              </w:rPr>
              <w:t>49</w:t>
            </w:r>
          </w:p>
        </w:tc>
        <w:tc>
          <w:tcPr>
            <w:tcW w:w="4032" w:type="dxa"/>
            <w:noWrap/>
            <w:vAlign w:val="center"/>
            <w:hideMark/>
          </w:tcPr>
          <w:p w14:paraId="00418471" w14:textId="77777777" w:rsidR="00610751" w:rsidRPr="00610751" w:rsidRDefault="00610751" w:rsidP="00610751">
            <w:pPr>
              <w:widowControl/>
              <w:overflowPunct/>
              <w:autoSpaceDE/>
              <w:autoSpaceDN/>
              <w:adjustRightInd/>
              <w:rPr>
                <w:kern w:val="0"/>
              </w:rPr>
            </w:pPr>
            <w:r w:rsidRPr="00610751">
              <w:rPr>
                <w:kern w:val="0"/>
              </w:rPr>
              <w:t>Transportation and Warehousing</w:t>
            </w:r>
          </w:p>
        </w:tc>
        <w:tc>
          <w:tcPr>
            <w:tcW w:w="1300" w:type="dxa"/>
            <w:noWrap/>
            <w:vAlign w:val="center"/>
            <w:hideMark/>
          </w:tcPr>
          <w:p w14:paraId="6C82836B" w14:textId="77777777" w:rsidR="00610751" w:rsidRPr="00610751" w:rsidRDefault="00610751" w:rsidP="00610751">
            <w:pPr>
              <w:widowControl/>
              <w:overflowPunct/>
              <w:autoSpaceDE/>
              <w:autoSpaceDN/>
              <w:adjustRightInd/>
              <w:jc w:val="center"/>
              <w:rPr>
                <w:kern w:val="0"/>
              </w:rPr>
            </w:pPr>
            <w:r w:rsidRPr="00610751">
              <w:rPr>
                <w:kern w:val="0"/>
              </w:rPr>
              <w:t>329</w:t>
            </w:r>
          </w:p>
        </w:tc>
        <w:tc>
          <w:tcPr>
            <w:tcW w:w="1300" w:type="dxa"/>
            <w:noWrap/>
            <w:vAlign w:val="center"/>
            <w:hideMark/>
          </w:tcPr>
          <w:p w14:paraId="65F88BB1" w14:textId="77777777" w:rsidR="00610751" w:rsidRPr="00610751" w:rsidRDefault="00610751" w:rsidP="00610751">
            <w:pPr>
              <w:widowControl/>
              <w:overflowPunct/>
              <w:autoSpaceDE/>
              <w:autoSpaceDN/>
              <w:adjustRightInd/>
              <w:jc w:val="center"/>
              <w:rPr>
                <w:kern w:val="0"/>
              </w:rPr>
            </w:pPr>
            <w:r w:rsidRPr="00610751">
              <w:rPr>
                <w:kern w:val="0"/>
              </w:rPr>
              <w:t>4.57</w:t>
            </w:r>
          </w:p>
        </w:tc>
      </w:tr>
      <w:tr w:rsidR="00610751" w:rsidRPr="00610751" w14:paraId="40156108" w14:textId="77777777" w:rsidTr="00DB7B9A">
        <w:trPr>
          <w:trHeight w:val="20"/>
        </w:trPr>
        <w:tc>
          <w:tcPr>
            <w:tcW w:w="961" w:type="dxa"/>
            <w:noWrap/>
            <w:vAlign w:val="center"/>
            <w:hideMark/>
          </w:tcPr>
          <w:p w14:paraId="18BF8793" w14:textId="77777777" w:rsidR="00610751" w:rsidRPr="00610751" w:rsidRDefault="00610751" w:rsidP="00610751">
            <w:pPr>
              <w:widowControl/>
              <w:overflowPunct/>
              <w:autoSpaceDE/>
              <w:autoSpaceDN/>
              <w:adjustRightInd/>
              <w:rPr>
                <w:kern w:val="0"/>
              </w:rPr>
            </w:pPr>
            <w:r w:rsidRPr="00610751">
              <w:rPr>
                <w:kern w:val="0"/>
              </w:rPr>
              <w:t>51</w:t>
            </w:r>
          </w:p>
        </w:tc>
        <w:tc>
          <w:tcPr>
            <w:tcW w:w="4032" w:type="dxa"/>
            <w:noWrap/>
            <w:vAlign w:val="center"/>
            <w:hideMark/>
          </w:tcPr>
          <w:p w14:paraId="06C0D1B8" w14:textId="77777777" w:rsidR="00610751" w:rsidRPr="00610751" w:rsidRDefault="00610751" w:rsidP="00610751">
            <w:pPr>
              <w:widowControl/>
              <w:overflowPunct/>
              <w:autoSpaceDE/>
              <w:autoSpaceDN/>
              <w:adjustRightInd/>
              <w:rPr>
                <w:kern w:val="0"/>
              </w:rPr>
            </w:pPr>
            <w:r w:rsidRPr="00610751">
              <w:rPr>
                <w:kern w:val="0"/>
              </w:rPr>
              <w:t>Information</w:t>
            </w:r>
          </w:p>
        </w:tc>
        <w:tc>
          <w:tcPr>
            <w:tcW w:w="1300" w:type="dxa"/>
            <w:noWrap/>
            <w:vAlign w:val="center"/>
            <w:hideMark/>
          </w:tcPr>
          <w:p w14:paraId="2E3A45FA" w14:textId="77777777" w:rsidR="00610751" w:rsidRPr="00610751" w:rsidRDefault="00610751" w:rsidP="00610751">
            <w:pPr>
              <w:widowControl/>
              <w:overflowPunct/>
              <w:autoSpaceDE/>
              <w:autoSpaceDN/>
              <w:adjustRightInd/>
              <w:jc w:val="center"/>
              <w:rPr>
                <w:kern w:val="0"/>
              </w:rPr>
            </w:pPr>
            <w:r w:rsidRPr="00610751">
              <w:rPr>
                <w:kern w:val="0"/>
              </w:rPr>
              <w:t>1541</w:t>
            </w:r>
          </w:p>
        </w:tc>
        <w:tc>
          <w:tcPr>
            <w:tcW w:w="1300" w:type="dxa"/>
            <w:noWrap/>
            <w:vAlign w:val="center"/>
            <w:hideMark/>
          </w:tcPr>
          <w:p w14:paraId="0C9B6243" w14:textId="77777777" w:rsidR="00610751" w:rsidRPr="00610751" w:rsidRDefault="00610751" w:rsidP="00610751">
            <w:pPr>
              <w:widowControl/>
              <w:overflowPunct/>
              <w:autoSpaceDE/>
              <w:autoSpaceDN/>
              <w:adjustRightInd/>
              <w:jc w:val="center"/>
              <w:rPr>
                <w:kern w:val="0"/>
              </w:rPr>
            </w:pPr>
            <w:r w:rsidRPr="00610751">
              <w:rPr>
                <w:kern w:val="0"/>
              </w:rPr>
              <w:t>4.24</w:t>
            </w:r>
          </w:p>
        </w:tc>
      </w:tr>
      <w:tr w:rsidR="00610751" w:rsidRPr="00610751" w14:paraId="67CEC2DB" w14:textId="77777777" w:rsidTr="00DB7B9A">
        <w:trPr>
          <w:trHeight w:val="20"/>
        </w:trPr>
        <w:tc>
          <w:tcPr>
            <w:tcW w:w="961" w:type="dxa"/>
            <w:noWrap/>
            <w:vAlign w:val="center"/>
            <w:hideMark/>
          </w:tcPr>
          <w:p w14:paraId="0F384EB2" w14:textId="77777777" w:rsidR="00610751" w:rsidRPr="00610751" w:rsidRDefault="00610751" w:rsidP="00610751">
            <w:pPr>
              <w:widowControl/>
              <w:overflowPunct/>
              <w:autoSpaceDE/>
              <w:autoSpaceDN/>
              <w:adjustRightInd/>
              <w:rPr>
                <w:kern w:val="0"/>
              </w:rPr>
            </w:pPr>
            <w:r w:rsidRPr="00610751">
              <w:rPr>
                <w:kern w:val="0"/>
              </w:rPr>
              <w:t>52</w:t>
            </w:r>
          </w:p>
        </w:tc>
        <w:tc>
          <w:tcPr>
            <w:tcW w:w="4032" w:type="dxa"/>
            <w:noWrap/>
            <w:vAlign w:val="center"/>
            <w:hideMark/>
          </w:tcPr>
          <w:p w14:paraId="7E2FAD85" w14:textId="77777777" w:rsidR="00610751" w:rsidRPr="00610751" w:rsidRDefault="00610751" w:rsidP="00610751">
            <w:pPr>
              <w:widowControl/>
              <w:overflowPunct/>
              <w:autoSpaceDE/>
              <w:autoSpaceDN/>
              <w:adjustRightInd/>
              <w:rPr>
                <w:kern w:val="0"/>
              </w:rPr>
            </w:pPr>
            <w:r w:rsidRPr="00610751">
              <w:rPr>
                <w:kern w:val="0"/>
              </w:rPr>
              <w:t>Finance and Insurance</w:t>
            </w:r>
          </w:p>
        </w:tc>
        <w:tc>
          <w:tcPr>
            <w:tcW w:w="1300" w:type="dxa"/>
            <w:noWrap/>
            <w:vAlign w:val="center"/>
            <w:hideMark/>
          </w:tcPr>
          <w:p w14:paraId="0620C3A0" w14:textId="77777777" w:rsidR="00610751" w:rsidRPr="00610751" w:rsidRDefault="00610751" w:rsidP="00610751">
            <w:pPr>
              <w:widowControl/>
              <w:overflowPunct/>
              <w:autoSpaceDE/>
              <w:autoSpaceDN/>
              <w:adjustRightInd/>
              <w:jc w:val="center"/>
              <w:rPr>
                <w:kern w:val="0"/>
              </w:rPr>
            </w:pPr>
            <w:r w:rsidRPr="00610751">
              <w:rPr>
                <w:kern w:val="0"/>
              </w:rPr>
              <w:t>1584</w:t>
            </w:r>
          </w:p>
        </w:tc>
        <w:tc>
          <w:tcPr>
            <w:tcW w:w="1300" w:type="dxa"/>
            <w:noWrap/>
            <w:vAlign w:val="center"/>
            <w:hideMark/>
          </w:tcPr>
          <w:p w14:paraId="31FD91CA" w14:textId="77777777" w:rsidR="00610751" w:rsidRPr="00610751" w:rsidRDefault="00610751" w:rsidP="00610751">
            <w:pPr>
              <w:widowControl/>
              <w:overflowPunct/>
              <w:autoSpaceDE/>
              <w:autoSpaceDN/>
              <w:adjustRightInd/>
              <w:jc w:val="center"/>
              <w:rPr>
                <w:kern w:val="0"/>
              </w:rPr>
            </w:pPr>
            <w:r w:rsidRPr="00610751">
              <w:rPr>
                <w:kern w:val="0"/>
              </w:rPr>
              <w:t>3.70</w:t>
            </w:r>
          </w:p>
        </w:tc>
      </w:tr>
      <w:tr w:rsidR="00610751" w:rsidRPr="00610751" w14:paraId="470AAEC4" w14:textId="77777777" w:rsidTr="00DB7B9A">
        <w:trPr>
          <w:trHeight w:val="20"/>
        </w:trPr>
        <w:tc>
          <w:tcPr>
            <w:tcW w:w="961" w:type="dxa"/>
            <w:noWrap/>
            <w:vAlign w:val="center"/>
            <w:hideMark/>
          </w:tcPr>
          <w:p w14:paraId="0216288C" w14:textId="77777777" w:rsidR="00610751" w:rsidRPr="00610751" w:rsidRDefault="00610751" w:rsidP="00610751">
            <w:pPr>
              <w:widowControl/>
              <w:overflowPunct/>
              <w:autoSpaceDE/>
              <w:autoSpaceDN/>
              <w:adjustRightInd/>
              <w:rPr>
                <w:kern w:val="0"/>
              </w:rPr>
            </w:pPr>
            <w:r w:rsidRPr="00610751">
              <w:rPr>
                <w:kern w:val="0"/>
              </w:rPr>
              <w:t>53</w:t>
            </w:r>
          </w:p>
        </w:tc>
        <w:tc>
          <w:tcPr>
            <w:tcW w:w="4032" w:type="dxa"/>
            <w:noWrap/>
            <w:vAlign w:val="center"/>
            <w:hideMark/>
          </w:tcPr>
          <w:p w14:paraId="271E464C" w14:textId="77777777" w:rsidR="00610751" w:rsidRPr="00610751" w:rsidRDefault="00610751" w:rsidP="00610751">
            <w:pPr>
              <w:widowControl/>
              <w:overflowPunct/>
              <w:autoSpaceDE/>
              <w:autoSpaceDN/>
              <w:adjustRightInd/>
              <w:rPr>
                <w:kern w:val="0"/>
              </w:rPr>
            </w:pPr>
            <w:r w:rsidRPr="00610751">
              <w:rPr>
                <w:kern w:val="0"/>
              </w:rPr>
              <w:t>Real Estate Rental and Leasing</w:t>
            </w:r>
          </w:p>
        </w:tc>
        <w:tc>
          <w:tcPr>
            <w:tcW w:w="1300" w:type="dxa"/>
            <w:noWrap/>
            <w:vAlign w:val="center"/>
            <w:hideMark/>
          </w:tcPr>
          <w:p w14:paraId="4F7B975F" w14:textId="77777777" w:rsidR="00610751" w:rsidRPr="00610751" w:rsidRDefault="00610751" w:rsidP="00610751">
            <w:pPr>
              <w:widowControl/>
              <w:overflowPunct/>
              <w:autoSpaceDE/>
              <w:autoSpaceDN/>
              <w:adjustRightInd/>
              <w:jc w:val="center"/>
              <w:rPr>
                <w:kern w:val="0"/>
              </w:rPr>
            </w:pPr>
            <w:r w:rsidRPr="00610751">
              <w:rPr>
                <w:kern w:val="0"/>
              </w:rPr>
              <w:t>2655</w:t>
            </w:r>
          </w:p>
        </w:tc>
        <w:tc>
          <w:tcPr>
            <w:tcW w:w="1300" w:type="dxa"/>
            <w:noWrap/>
            <w:vAlign w:val="center"/>
            <w:hideMark/>
          </w:tcPr>
          <w:p w14:paraId="536AE61C" w14:textId="77777777" w:rsidR="00610751" w:rsidRPr="00610751" w:rsidRDefault="00610751" w:rsidP="00610751">
            <w:pPr>
              <w:widowControl/>
              <w:overflowPunct/>
              <w:autoSpaceDE/>
              <w:autoSpaceDN/>
              <w:adjustRightInd/>
              <w:jc w:val="center"/>
              <w:rPr>
                <w:kern w:val="0"/>
              </w:rPr>
            </w:pPr>
            <w:r w:rsidRPr="00610751">
              <w:rPr>
                <w:kern w:val="0"/>
              </w:rPr>
              <w:t>0.63</w:t>
            </w:r>
          </w:p>
        </w:tc>
      </w:tr>
      <w:tr w:rsidR="00610751" w:rsidRPr="00610751" w14:paraId="0F83F6A7" w14:textId="77777777" w:rsidTr="00DB7B9A">
        <w:trPr>
          <w:trHeight w:val="20"/>
        </w:trPr>
        <w:tc>
          <w:tcPr>
            <w:tcW w:w="961" w:type="dxa"/>
            <w:noWrap/>
            <w:vAlign w:val="center"/>
            <w:hideMark/>
          </w:tcPr>
          <w:p w14:paraId="7FDF72EF" w14:textId="77777777" w:rsidR="00610751" w:rsidRPr="00610751" w:rsidRDefault="00610751" w:rsidP="00610751">
            <w:pPr>
              <w:widowControl/>
              <w:overflowPunct/>
              <w:autoSpaceDE/>
              <w:autoSpaceDN/>
              <w:adjustRightInd/>
              <w:rPr>
                <w:kern w:val="0"/>
              </w:rPr>
            </w:pPr>
            <w:r w:rsidRPr="00610751">
              <w:rPr>
                <w:kern w:val="0"/>
              </w:rPr>
              <w:t>54</w:t>
            </w:r>
          </w:p>
        </w:tc>
        <w:tc>
          <w:tcPr>
            <w:tcW w:w="4032" w:type="dxa"/>
            <w:noWrap/>
            <w:vAlign w:val="center"/>
            <w:hideMark/>
          </w:tcPr>
          <w:p w14:paraId="3A4943F2" w14:textId="77777777" w:rsidR="00610751" w:rsidRPr="00610751" w:rsidRDefault="00610751" w:rsidP="00610751">
            <w:pPr>
              <w:widowControl/>
              <w:overflowPunct/>
              <w:autoSpaceDE/>
              <w:autoSpaceDN/>
              <w:adjustRightInd/>
              <w:rPr>
                <w:kern w:val="0"/>
              </w:rPr>
            </w:pPr>
            <w:r w:rsidRPr="00610751">
              <w:rPr>
                <w:kern w:val="0"/>
              </w:rPr>
              <w:t>Professional, Scientific, and Technical Services</w:t>
            </w:r>
          </w:p>
        </w:tc>
        <w:tc>
          <w:tcPr>
            <w:tcW w:w="1300" w:type="dxa"/>
            <w:noWrap/>
            <w:vAlign w:val="center"/>
            <w:hideMark/>
          </w:tcPr>
          <w:p w14:paraId="27C05DFA" w14:textId="77777777" w:rsidR="00610751" w:rsidRPr="00610751" w:rsidRDefault="00610751" w:rsidP="00610751">
            <w:pPr>
              <w:widowControl/>
              <w:overflowPunct/>
              <w:autoSpaceDE/>
              <w:autoSpaceDN/>
              <w:adjustRightInd/>
              <w:jc w:val="center"/>
              <w:rPr>
                <w:kern w:val="0"/>
              </w:rPr>
            </w:pPr>
            <w:r w:rsidRPr="00610751">
              <w:rPr>
                <w:kern w:val="0"/>
              </w:rPr>
              <w:t>6093</w:t>
            </w:r>
          </w:p>
        </w:tc>
        <w:tc>
          <w:tcPr>
            <w:tcW w:w="1300" w:type="dxa"/>
            <w:noWrap/>
            <w:vAlign w:val="center"/>
            <w:hideMark/>
          </w:tcPr>
          <w:p w14:paraId="19E2091A" w14:textId="77777777" w:rsidR="00610751" w:rsidRPr="00610751" w:rsidRDefault="00610751" w:rsidP="00610751">
            <w:pPr>
              <w:widowControl/>
              <w:overflowPunct/>
              <w:autoSpaceDE/>
              <w:autoSpaceDN/>
              <w:adjustRightInd/>
              <w:jc w:val="center"/>
              <w:rPr>
                <w:kern w:val="0"/>
              </w:rPr>
            </w:pPr>
            <w:r w:rsidRPr="00610751">
              <w:rPr>
                <w:kern w:val="0"/>
              </w:rPr>
              <w:t>5.46</w:t>
            </w:r>
          </w:p>
        </w:tc>
      </w:tr>
      <w:tr w:rsidR="00610751" w:rsidRPr="00610751" w14:paraId="27A3F79E" w14:textId="77777777" w:rsidTr="00DB7B9A">
        <w:trPr>
          <w:trHeight w:val="20"/>
        </w:trPr>
        <w:tc>
          <w:tcPr>
            <w:tcW w:w="961" w:type="dxa"/>
            <w:noWrap/>
            <w:vAlign w:val="center"/>
            <w:hideMark/>
          </w:tcPr>
          <w:p w14:paraId="549A0DBA" w14:textId="77777777" w:rsidR="00610751" w:rsidRPr="00610751" w:rsidRDefault="00610751" w:rsidP="00610751">
            <w:pPr>
              <w:widowControl/>
              <w:overflowPunct/>
              <w:autoSpaceDE/>
              <w:autoSpaceDN/>
              <w:adjustRightInd/>
              <w:rPr>
                <w:kern w:val="0"/>
              </w:rPr>
            </w:pPr>
            <w:r w:rsidRPr="00610751">
              <w:rPr>
                <w:kern w:val="0"/>
              </w:rPr>
              <w:t>55</w:t>
            </w:r>
          </w:p>
        </w:tc>
        <w:tc>
          <w:tcPr>
            <w:tcW w:w="4032" w:type="dxa"/>
            <w:noWrap/>
            <w:vAlign w:val="center"/>
            <w:hideMark/>
          </w:tcPr>
          <w:p w14:paraId="350D8717" w14:textId="77777777" w:rsidR="00610751" w:rsidRPr="00610751" w:rsidRDefault="00610751" w:rsidP="00610751">
            <w:pPr>
              <w:widowControl/>
              <w:overflowPunct/>
              <w:autoSpaceDE/>
              <w:autoSpaceDN/>
              <w:adjustRightInd/>
              <w:rPr>
                <w:kern w:val="0"/>
              </w:rPr>
            </w:pPr>
            <w:r w:rsidRPr="00610751">
              <w:rPr>
                <w:kern w:val="0"/>
              </w:rPr>
              <w:t>Management of Companies and Enterprises</w:t>
            </w:r>
          </w:p>
        </w:tc>
        <w:tc>
          <w:tcPr>
            <w:tcW w:w="1300" w:type="dxa"/>
            <w:noWrap/>
            <w:vAlign w:val="center"/>
            <w:hideMark/>
          </w:tcPr>
          <w:p w14:paraId="6304541F" w14:textId="77777777" w:rsidR="00610751" w:rsidRPr="00610751" w:rsidRDefault="00610751" w:rsidP="00610751">
            <w:pPr>
              <w:widowControl/>
              <w:overflowPunct/>
              <w:autoSpaceDE/>
              <w:autoSpaceDN/>
              <w:adjustRightInd/>
              <w:jc w:val="center"/>
              <w:rPr>
                <w:kern w:val="0"/>
              </w:rPr>
            </w:pPr>
            <w:r w:rsidRPr="00610751">
              <w:rPr>
                <w:kern w:val="0"/>
              </w:rPr>
              <w:t>4044</w:t>
            </w:r>
          </w:p>
        </w:tc>
        <w:tc>
          <w:tcPr>
            <w:tcW w:w="1300" w:type="dxa"/>
            <w:noWrap/>
            <w:vAlign w:val="center"/>
            <w:hideMark/>
          </w:tcPr>
          <w:p w14:paraId="381C1024" w14:textId="77777777" w:rsidR="00610751" w:rsidRPr="00610751" w:rsidRDefault="00610751" w:rsidP="00610751">
            <w:pPr>
              <w:widowControl/>
              <w:overflowPunct/>
              <w:autoSpaceDE/>
              <w:autoSpaceDN/>
              <w:adjustRightInd/>
              <w:jc w:val="center"/>
              <w:rPr>
                <w:kern w:val="0"/>
              </w:rPr>
            </w:pPr>
            <w:r w:rsidRPr="00610751">
              <w:rPr>
                <w:kern w:val="0"/>
              </w:rPr>
              <w:t>2.24</w:t>
            </w:r>
          </w:p>
        </w:tc>
      </w:tr>
      <w:tr w:rsidR="00610751" w:rsidRPr="00610751" w14:paraId="65B110A8" w14:textId="77777777" w:rsidTr="00DB7B9A">
        <w:trPr>
          <w:trHeight w:val="20"/>
        </w:trPr>
        <w:tc>
          <w:tcPr>
            <w:tcW w:w="961" w:type="dxa"/>
            <w:noWrap/>
            <w:vAlign w:val="center"/>
            <w:hideMark/>
          </w:tcPr>
          <w:p w14:paraId="585F2743" w14:textId="77777777" w:rsidR="00610751" w:rsidRPr="00610751" w:rsidRDefault="00610751" w:rsidP="00610751">
            <w:pPr>
              <w:widowControl/>
              <w:overflowPunct/>
              <w:autoSpaceDE/>
              <w:autoSpaceDN/>
              <w:adjustRightInd/>
              <w:rPr>
                <w:kern w:val="0"/>
              </w:rPr>
            </w:pPr>
            <w:r w:rsidRPr="00610751">
              <w:rPr>
                <w:kern w:val="0"/>
              </w:rPr>
              <w:t>61</w:t>
            </w:r>
          </w:p>
        </w:tc>
        <w:tc>
          <w:tcPr>
            <w:tcW w:w="4032" w:type="dxa"/>
            <w:noWrap/>
            <w:vAlign w:val="center"/>
            <w:hideMark/>
          </w:tcPr>
          <w:p w14:paraId="55721E63" w14:textId="77777777" w:rsidR="00610751" w:rsidRPr="00610751" w:rsidRDefault="00610751" w:rsidP="00610751">
            <w:pPr>
              <w:widowControl/>
              <w:overflowPunct/>
              <w:autoSpaceDE/>
              <w:autoSpaceDN/>
              <w:adjustRightInd/>
              <w:rPr>
                <w:kern w:val="0"/>
              </w:rPr>
            </w:pPr>
            <w:r w:rsidRPr="00610751">
              <w:rPr>
                <w:kern w:val="0"/>
              </w:rPr>
              <w:t>Educational Services</w:t>
            </w:r>
          </w:p>
        </w:tc>
        <w:tc>
          <w:tcPr>
            <w:tcW w:w="1300" w:type="dxa"/>
            <w:noWrap/>
            <w:vAlign w:val="center"/>
            <w:hideMark/>
          </w:tcPr>
          <w:p w14:paraId="1604AF22" w14:textId="77777777" w:rsidR="00610751" w:rsidRPr="00610751" w:rsidRDefault="00610751" w:rsidP="00610751">
            <w:pPr>
              <w:widowControl/>
              <w:overflowPunct/>
              <w:autoSpaceDE/>
              <w:autoSpaceDN/>
              <w:adjustRightInd/>
              <w:jc w:val="center"/>
              <w:rPr>
                <w:kern w:val="0"/>
              </w:rPr>
            </w:pPr>
            <w:r w:rsidRPr="00610751">
              <w:rPr>
                <w:kern w:val="0"/>
              </w:rPr>
              <w:t>69</w:t>
            </w:r>
          </w:p>
        </w:tc>
        <w:tc>
          <w:tcPr>
            <w:tcW w:w="1300" w:type="dxa"/>
            <w:noWrap/>
            <w:vAlign w:val="center"/>
            <w:hideMark/>
          </w:tcPr>
          <w:p w14:paraId="4CBF65CC" w14:textId="77777777" w:rsidR="00610751" w:rsidRPr="00610751" w:rsidRDefault="00610751" w:rsidP="00610751">
            <w:pPr>
              <w:widowControl/>
              <w:overflowPunct/>
              <w:autoSpaceDE/>
              <w:autoSpaceDN/>
              <w:adjustRightInd/>
              <w:jc w:val="center"/>
              <w:rPr>
                <w:kern w:val="0"/>
              </w:rPr>
            </w:pPr>
            <w:r w:rsidRPr="00610751">
              <w:rPr>
                <w:kern w:val="0"/>
              </w:rPr>
              <w:t>-0.39</w:t>
            </w:r>
          </w:p>
        </w:tc>
      </w:tr>
      <w:tr w:rsidR="00610751" w:rsidRPr="00610751" w14:paraId="123D5951" w14:textId="77777777" w:rsidTr="00DB7B9A">
        <w:trPr>
          <w:trHeight w:val="20"/>
        </w:trPr>
        <w:tc>
          <w:tcPr>
            <w:tcW w:w="961" w:type="dxa"/>
            <w:noWrap/>
            <w:vAlign w:val="center"/>
            <w:hideMark/>
          </w:tcPr>
          <w:p w14:paraId="54D8FD28" w14:textId="77777777" w:rsidR="00610751" w:rsidRPr="00610751" w:rsidRDefault="00610751" w:rsidP="00610751">
            <w:pPr>
              <w:widowControl/>
              <w:overflowPunct/>
              <w:autoSpaceDE/>
              <w:autoSpaceDN/>
              <w:adjustRightInd/>
              <w:rPr>
                <w:kern w:val="0"/>
              </w:rPr>
            </w:pPr>
            <w:r w:rsidRPr="00610751">
              <w:rPr>
                <w:kern w:val="0"/>
              </w:rPr>
              <w:t>62</w:t>
            </w:r>
          </w:p>
        </w:tc>
        <w:tc>
          <w:tcPr>
            <w:tcW w:w="4032" w:type="dxa"/>
            <w:noWrap/>
            <w:vAlign w:val="center"/>
            <w:hideMark/>
          </w:tcPr>
          <w:p w14:paraId="2374D89A" w14:textId="77777777" w:rsidR="00610751" w:rsidRPr="00610751" w:rsidRDefault="00610751" w:rsidP="00610751">
            <w:pPr>
              <w:widowControl/>
              <w:overflowPunct/>
              <w:autoSpaceDE/>
              <w:autoSpaceDN/>
              <w:adjustRightInd/>
              <w:rPr>
                <w:kern w:val="0"/>
              </w:rPr>
            </w:pPr>
            <w:r w:rsidRPr="00610751">
              <w:rPr>
                <w:kern w:val="0"/>
              </w:rPr>
              <w:t>Health Care and Social Assistance</w:t>
            </w:r>
          </w:p>
        </w:tc>
        <w:tc>
          <w:tcPr>
            <w:tcW w:w="1300" w:type="dxa"/>
            <w:noWrap/>
            <w:vAlign w:val="center"/>
            <w:hideMark/>
          </w:tcPr>
          <w:p w14:paraId="54A64317" w14:textId="77777777" w:rsidR="00610751" w:rsidRPr="00610751" w:rsidRDefault="00610751" w:rsidP="00610751">
            <w:pPr>
              <w:widowControl/>
              <w:overflowPunct/>
              <w:autoSpaceDE/>
              <w:autoSpaceDN/>
              <w:adjustRightInd/>
              <w:jc w:val="center"/>
              <w:rPr>
                <w:kern w:val="0"/>
              </w:rPr>
            </w:pPr>
            <w:r w:rsidRPr="00610751">
              <w:rPr>
                <w:kern w:val="0"/>
              </w:rPr>
              <w:t>222</w:t>
            </w:r>
          </w:p>
        </w:tc>
        <w:tc>
          <w:tcPr>
            <w:tcW w:w="1300" w:type="dxa"/>
            <w:noWrap/>
            <w:vAlign w:val="center"/>
            <w:hideMark/>
          </w:tcPr>
          <w:p w14:paraId="0968BD93" w14:textId="77777777" w:rsidR="00610751" w:rsidRPr="00610751" w:rsidRDefault="00610751" w:rsidP="00610751">
            <w:pPr>
              <w:widowControl/>
              <w:overflowPunct/>
              <w:autoSpaceDE/>
              <w:autoSpaceDN/>
              <w:adjustRightInd/>
              <w:jc w:val="center"/>
              <w:rPr>
                <w:kern w:val="0"/>
              </w:rPr>
            </w:pPr>
            <w:r w:rsidRPr="00610751">
              <w:rPr>
                <w:kern w:val="0"/>
              </w:rPr>
              <w:t>2.73</w:t>
            </w:r>
          </w:p>
        </w:tc>
      </w:tr>
      <w:tr w:rsidR="00610751" w:rsidRPr="00610751" w14:paraId="7925CE7E" w14:textId="77777777" w:rsidTr="00DB7B9A">
        <w:trPr>
          <w:trHeight w:val="20"/>
        </w:trPr>
        <w:tc>
          <w:tcPr>
            <w:tcW w:w="961" w:type="dxa"/>
            <w:noWrap/>
            <w:vAlign w:val="center"/>
            <w:hideMark/>
          </w:tcPr>
          <w:p w14:paraId="569832A5" w14:textId="77777777" w:rsidR="00610751" w:rsidRPr="00610751" w:rsidRDefault="00610751" w:rsidP="00610751">
            <w:pPr>
              <w:widowControl/>
              <w:overflowPunct/>
              <w:autoSpaceDE/>
              <w:autoSpaceDN/>
              <w:adjustRightInd/>
              <w:rPr>
                <w:kern w:val="0"/>
              </w:rPr>
            </w:pPr>
            <w:r w:rsidRPr="00610751">
              <w:rPr>
                <w:kern w:val="0"/>
              </w:rPr>
              <w:t>71</w:t>
            </w:r>
          </w:p>
        </w:tc>
        <w:tc>
          <w:tcPr>
            <w:tcW w:w="4032" w:type="dxa"/>
            <w:noWrap/>
            <w:vAlign w:val="center"/>
            <w:hideMark/>
          </w:tcPr>
          <w:p w14:paraId="27DBC2F4" w14:textId="77777777" w:rsidR="00610751" w:rsidRPr="00610751" w:rsidRDefault="00610751" w:rsidP="00610751">
            <w:pPr>
              <w:widowControl/>
              <w:overflowPunct/>
              <w:autoSpaceDE/>
              <w:autoSpaceDN/>
              <w:adjustRightInd/>
              <w:rPr>
                <w:kern w:val="0"/>
              </w:rPr>
            </w:pPr>
            <w:r w:rsidRPr="00610751">
              <w:rPr>
                <w:kern w:val="0"/>
              </w:rPr>
              <w:t>Arts, Entertainment, and Recreation</w:t>
            </w:r>
          </w:p>
        </w:tc>
        <w:tc>
          <w:tcPr>
            <w:tcW w:w="1300" w:type="dxa"/>
            <w:noWrap/>
            <w:vAlign w:val="center"/>
            <w:hideMark/>
          </w:tcPr>
          <w:p w14:paraId="34D2CA68" w14:textId="77777777" w:rsidR="00610751" w:rsidRPr="00610751" w:rsidRDefault="00610751" w:rsidP="00610751">
            <w:pPr>
              <w:widowControl/>
              <w:overflowPunct/>
              <w:autoSpaceDE/>
              <w:autoSpaceDN/>
              <w:adjustRightInd/>
              <w:jc w:val="center"/>
              <w:rPr>
                <w:kern w:val="0"/>
              </w:rPr>
            </w:pPr>
            <w:r w:rsidRPr="00610751">
              <w:rPr>
                <w:kern w:val="0"/>
              </w:rPr>
              <w:t>136</w:t>
            </w:r>
          </w:p>
        </w:tc>
        <w:tc>
          <w:tcPr>
            <w:tcW w:w="1300" w:type="dxa"/>
            <w:noWrap/>
            <w:vAlign w:val="center"/>
            <w:hideMark/>
          </w:tcPr>
          <w:p w14:paraId="15ABC15D" w14:textId="77777777" w:rsidR="00610751" w:rsidRPr="00610751" w:rsidRDefault="00610751" w:rsidP="00610751">
            <w:pPr>
              <w:widowControl/>
              <w:overflowPunct/>
              <w:autoSpaceDE/>
              <w:autoSpaceDN/>
              <w:adjustRightInd/>
              <w:jc w:val="center"/>
              <w:rPr>
                <w:kern w:val="0"/>
              </w:rPr>
            </w:pPr>
            <w:r w:rsidRPr="00610751">
              <w:rPr>
                <w:kern w:val="0"/>
              </w:rPr>
              <w:t>2.11</w:t>
            </w:r>
          </w:p>
        </w:tc>
      </w:tr>
      <w:tr w:rsidR="00610751" w:rsidRPr="00610751" w14:paraId="2AF58F00" w14:textId="77777777" w:rsidTr="00DB7B9A">
        <w:trPr>
          <w:trHeight w:val="70"/>
        </w:trPr>
        <w:tc>
          <w:tcPr>
            <w:tcW w:w="961" w:type="dxa"/>
            <w:noWrap/>
            <w:vAlign w:val="center"/>
            <w:hideMark/>
          </w:tcPr>
          <w:p w14:paraId="3A6FC371" w14:textId="77777777" w:rsidR="00610751" w:rsidRPr="00610751" w:rsidRDefault="00610751" w:rsidP="00610751">
            <w:pPr>
              <w:widowControl/>
              <w:overflowPunct/>
              <w:autoSpaceDE/>
              <w:autoSpaceDN/>
              <w:adjustRightInd/>
              <w:rPr>
                <w:kern w:val="0"/>
              </w:rPr>
            </w:pPr>
            <w:r w:rsidRPr="00610751">
              <w:rPr>
                <w:kern w:val="0"/>
              </w:rPr>
              <w:t>72</w:t>
            </w:r>
          </w:p>
        </w:tc>
        <w:tc>
          <w:tcPr>
            <w:tcW w:w="4032" w:type="dxa"/>
            <w:noWrap/>
            <w:vAlign w:val="center"/>
            <w:hideMark/>
          </w:tcPr>
          <w:p w14:paraId="6CA98FB4" w14:textId="77777777" w:rsidR="00610751" w:rsidRPr="00610751" w:rsidRDefault="00610751" w:rsidP="00610751">
            <w:pPr>
              <w:widowControl/>
              <w:overflowPunct/>
              <w:autoSpaceDE/>
              <w:autoSpaceDN/>
              <w:adjustRightInd/>
              <w:rPr>
                <w:kern w:val="0"/>
              </w:rPr>
            </w:pPr>
            <w:r w:rsidRPr="00610751">
              <w:rPr>
                <w:kern w:val="0"/>
              </w:rPr>
              <w:t>Accommodation and Food Services</w:t>
            </w:r>
          </w:p>
        </w:tc>
        <w:tc>
          <w:tcPr>
            <w:tcW w:w="1300" w:type="dxa"/>
            <w:noWrap/>
            <w:vAlign w:val="center"/>
            <w:hideMark/>
          </w:tcPr>
          <w:p w14:paraId="3FFADB6F" w14:textId="77777777" w:rsidR="00610751" w:rsidRPr="00610751" w:rsidRDefault="00610751" w:rsidP="00610751">
            <w:pPr>
              <w:widowControl/>
              <w:overflowPunct/>
              <w:autoSpaceDE/>
              <w:autoSpaceDN/>
              <w:adjustRightInd/>
              <w:jc w:val="center"/>
              <w:rPr>
                <w:kern w:val="0"/>
              </w:rPr>
            </w:pPr>
            <w:r w:rsidRPr="00610751">
              <w:rPr>
                <w:kern w:val="0"/>
              </w:rPr>
              <w:t>553</w:t>
            </w:r>
          </w:p>
        </w:tc>
        <w:tc>
          <w:tcPr>
            <w:tcW w:w="1300" w:type="dxa"/>
            <w:noWrap/>
            <w:vAlign w:val="center"/>
            <w:hideMark/>
          </w:tcPr>
          <w:p w14:paraId="15C112A9" w14:textId="77777777" w:rsidR="00610751" w:rsidRPr="00610751" w:rsidRDefault="00610751" w:rsidP="00610751">
            <w:pPr>
              <w:widowControl/>
              <w:overflowPunct/>
              <w:autoSpaceDE/>
              <w:autoSpaceDN/>
              <w:adjustRightInd/>
              <w:jc w:val="center"/>
              <w:rPr>
                <w:kern w:val="0"/>
              </w:rPr>
            </w:pPr>
            <w:r w:rsidRPr="00610751">
              <w:rPr>
                <w:kern w:val="0"/>
              </w:rPr>
              <w:t>0.38</w:t>
            </w:r>
          </w:p>
        </w:tc>
      </w:tr>
      <w:tr w:rsidR="00610751" w:rsidRPr="00610751" w14:paraId="7DAC4ECA" w14:textId="77777777" w:rsidTr="00DB7B9A">
        <w:trPr>
          <w:trHeight w:val="20"/>
        </w:trPr>
        <w:tc>
          <w:tcPr>
            <w:tcW w:w="961" w:type="dxa"/>
            <w:tcBorders>
              <w:bottom w:val="single" w:sz="4" w:space="0" w:color="auto"/>
            </w:tcBorders>
            <w:noWrap/>
            <w:vAlign w:val="center"/>
            <w:hideMark/>
          </w:tcPr>
          <w:p w14:paraId="297BAFEB" w14:textId="77777777" w:rsidR="00610751" w:rsidRPr="00610751" w:rsidRDefault="00610751" w:rsidP="00610751">
            <w:pPr>
              <w:widowControl/>
              <w:overflowPunct/>
              <w:autoSpaceDE/>
              <w:autoSpaceDN/>
              <w:adjustRightInd/>
              <w:rPr>
                <w:kern w:val="0"/>
              </w:rPr>
            </w:pPr>
            <w:r w:rsidRPr="00610751">
              <w:rPr>
                <w:kern w:val="0"/>
              </w:rPr>
              <w:t>81</w:t>
            </w:r>
          </w:p>
        </w:tc>
        <w:tc>
          <w:tcPr>
            <w:tcW w:w="4032" w:type="dxa"/>
            <w:tcBorders>
              <w:bottom w:val="single" w:sz="4" w:space="0" w:color="auto"/>
            </w:tcBorders>
            <w:noWrap/>
            <w:vAlign w:val="center"/>
            <w:hideMark/>
          </w:tcPr>
          <w:p w14:paraId="091897B3" w14:textId="77777777" w:rsidR="00610751" w:rsidRPr="00610751" w:rsidRDefault="00610751" w:rsidP="00610751">
            <w:pPr>
              <w:widowControl/>
              <w:overflowPunct/>
              <w:autoSpaceDE/>
              <w:autoSpaceDN/>
              <w:adjustRightInd/>
              <w:rPr>
                <w:kern w:val="0"/>
              </w:rPr>
            </w:pPr>
            <w:r w:rsidRPr="00610751">
              <w:rPr>
                <w:kern w:val="0"/>
              </w:rPr>
              <w:t>Other Services (Except Public Administration)</w:t>
            </w:r>
          </w:p>
        </w:tc>
        <w:tc>
          <w:tcPr>
            <w:tcW w:w="1300" w:type="dxa"/>
            <w:tcBorders>
              <w:bottom w:val="single" w:sz="4" w:space="0" w:color="auto"/>
            </w:tcBorders>
            <w:noWrap/>
            <w:vAlign w:val="center"/>
            <w:hideMark/>
          </w:tcPr>
          <w:p w14:paraId="0F8072E4" w14:textId="77777777" w:rsidR="00610751" w:rsidRPr="00610751" w:rsidRDefault="00610751" w:rsidP="00610751">
            <w:pPr>
              <w:widowControl/>
              <w:overflowPunct/>
              <w:autoSpaceDE/>
              <w:autoSpaceDN/>
              <w:adjustRightInd/>
              <w:jc w:val="center"/>
              <w:rPr>
                <w:kern w:val="0"/>
              </w:rPr>
            </w:pPr>
            <w:r w:rsidRPr="00610751">
              <w:rPr>
                <w:kern w:val="0"/>
              </w:rPr>
              <w:t>587</w:t>
            </w:r>
          </w:p>
        </w:tc>
        <w:tc>
          <w:tcPr>
            <w:tcW w:w="1300" w:type="dxa"/>
            <w:tcBorders>
              <w:bottom w:val="single" w:sz="4" w:space="0" w:color="auto"/>
            </w:tcBorders>
            <w:noWrap/>
            <w:vAlign w:val="center"/>
            <w:hideMark/>
          </w:tcPr>
          <w:p w14:paraId="4DC44588" w14:textId="77777777" w:rsidR="00610751" w:rsidRPr="00610751" w:rsidRDefault="00610751" w:rsidP="00610751">
            <w:pPr>
              <w:widowControl/>
              <w:overflowPunct/>
              <w:autoSpaceDE/>
              <w:autoSpaceDN/>
              <w:adjustRightInd/>
              <w:jc w:val="center"/>
              <w:rPr>
                <w:kern w:val="0"/>
              </w:rPr>
            </w:pPr>
            <w:r w:rsidRPr="00610751">
              <w:rPr>
                <w:kern w:val="0"/>
              </w:rPr>
              <w:t>4.24</w:t>
            </w:r>
          </w:p>
        </w:tc>
      </w:tr>
    </w:tbl>
    <w:p w14:paraId="56579A29" w14:textId="77777777" w:rsidR="00610751" w:rsidRPr="00610751" w:rsidRDefault="00610751" w:rsidP="00610751">
      <w:pPr>
        <w:widowControl/>
        <w:overflowPunct/>
        <w:autoSpaceDE/>
        <w:autoSpaceDN/>
        <w:adjustRightInd/>
        <w:ind w:left="720" w:right="4590"/>
        <w:jc w:val="both"/>
        <w:rPr>
          <w:kern w:val="0"/>
        </w:rPr>
      </w:pPr>
      <w:r w:rsidRPr="00610751">
        <w:rPr>
          <w:kern w:val="0"/>
        </w:rPr>
        <w:t xml:space="preserve">Notes: To conserve space, I describe my sample by the 2-digit NAICS classification. More granular presentations are available upon request. </w:t>
      </w:r>
    </w:p>
    <w:p w14:paraId="79C1FD9E" w14:textId="77777777" w:rsidR="00610751" w:rsidRPr="00610751" w:rsidRDefault="00610751" w:rsidP="00610751">
      <w:pPr>
        <w:widowControl/>
        <w:overflowPunct/>
        <w:autoSpaceDE/>
        <w:autoSpaceDN/>
        <w:adjustRightInd/>
        <w:ind w:left="720"/>
        <w:jc w:val="both"/>
        <w:rPr>
          <w:kern w:val="0"/>
          <w:sz w:val="24"/>
          <w:szCs w:val="24"/>
        </w:rPr>
      </w:pPr>
    </w:p>
    <w:p w14:paraId="222B97BA" w14:textId="77777777" w:rsidR="00610751" w:rsidRPr="00610751" w:rsidRDefault="00610751" w:rsidP="00610751">
      <w:pPr>
        <w:widowControl/>
        <w:overflowPunct/>
        <w:autoSpaceDE/>
        <w:autoSpaceDN/>
        <w:adjustRightInd/>
        <w:ind w:left="720"/>
        <w:rPr>
          <w:kern w:val="0"/>
          <w:sz w:val="24"/>
          <w:szCs w:val="24"/>
        </w:rPr>
      </w:pPr>
    </w:p>
    <w:p w14:paraId="1CEA9B79" w14:textId="77777777" w:rsidR="00001293" w:rsidRDefault="00001293">
      <w:pPr>
        <w:rPr>
          <w:sz w:val="24"/>
          <w:szCs w:val="24"/>
        </w:rPr>
        <w:sectPr w:rsidR="00001293" w:rsidSect="00DB7B9A">
          <w:pgSz w:w="15840" w:h="12240" w:orient="landscape"/>
          <w:pgMar w:top="1440" w:right="1440" w:bottom="1440" w:left="1440" w:header="720" w:footer="720" w:gutter="0"/>
          <w:cols w:space="720"/>
          <w:docGrid w:linePitch="360"/>
        </w:sectPr>
      </w:pPr>
    </w:p>
    <w:p w14:paraId="17334D74" w14:textId="77777777" w:rsidR="00001293" w:rsidRPr="00001293" w:rsidRDefault="00001293" w:rsidP="00001293">
      <w:pPr>
        <w:widowControl/>
        <w:overflowPunct/>
        <w:autoSpaceDE/>
        <w:autoSpaceDN/>
        <w:adjustRightInd/>
        <w:jc w:val="center"/>
        <w:rPr>
          <w:rFonts w:eastAsia="Calibri"/>
          <w:kern w:val="0"/>
          <w:sz w:val="24"/>
          <w:szCs w:val="24"/>
        </w:rPr>
      </w:pPr>
      <w:r w:rsidRPr="00001293">
        <w:rPr>
          <w:rFonts w:eastAsia="Calibri"/>
          <w:kern w:val="0"/>
          <w:sz w:val="24"/>
          <w:szCs w:val="24"/>
        </w:rPr>
        <w:t>VITA</w:t>
      </w:r>
    </w:p>
    <w:p w14:paraId="262F1031" w14:textId="77777777" w:rsidR="00001293" w:rsidRPr="00001293" w:rsidRDefault="00001293" w:rsidP="00001293">
      <w:pPr>
        <w:widowControl/>
        <w:overflowPunct/>
        <w:autoSpaceDE/>
        <w:autoSpaceDN/>
        <w:adjustRightInd/>
        <w:jc w:val="center"/>
        <w:rPr>
          <w:rFonts w:eastAsia="Calibri"/>
          <w:kern w:val="0"/>
          <w:sz w:val="24"/>
          <w:szCs w:val="24"/>
        </w:rPr>
      </w:pPr>
    </w:p>
    <w:p w14:paraId="768CF25A" w14:textId="77777777" w:rsidR="00001293" w:rsidRPr="00001293" w:rsidRDefault="00001293" w:rsidP="00001293">
      <w:pPr>
        <w:widowControl/>
        <w:overflowPunct/>
        <w:autoSpaceDE/>
        <w:autoSpaceDN/>
        <w:adjustRightInd/>
        <w:jc w:val="center"/>
        <w:rPr>
          <w:rFonts w:eastAsia="Calibri"/>
          <w:kern w:val="0"/>
          <w:sz w:val="24"/>
          <w:szCs w:val="24"/>
        </w:rPr>
      </w:pPr>
      <w:r w:rsidRPr="00001293">
        <w:rPr>
          <w:rFonts w:eastAsia="Calibri"/>
          <w:kern w:val="0"/>
          <w:sz w:val="24"/>
          <w:szCs w:val="24"/>
        </w:rPr>
        <w:t>DANIEL S. ANDREWS</w:t>
      </w:r>
    </w:p>
    <w:p w14:paraId="183A5CA3" w14:textId="77777777" w:rsidR="00001293" w:rsidRPr="00001293" w:rsidRDefault="00001293" w:rsidP="00001293">
      <w:pPr>
        <w:widowControl/>
        <w:overflowPunct/>
        <w:autoSpaceDE/>
        <w:autoSpaceDN/>
        <w:adjustRightInd/>
        <w:rPr>
          <w:rFonts w:eastAsia="Calibri"/>
          <w:kern w:val="0"/>
          <w:sz w:val="24"/>
          <w:szCs w:val="24"/>
        </w:rPr>
      </w:pPr>
    </w:p>
    <w:p w14:paraId="12008919" w14:textId="77777777" w:rsidR="00001293" w:rsidRPr="00001293" w:rsidRDefault="00001293" w:rsidP="00001293">
      <w:pPr>
        <w:widowControl/>
        <w:overflowPunct/>
        <w:autoSpaceDE/>
        <w:autoSpaceDN/>
        <w:adjustRightInd/>
        <w:rPr>
          <w:rFonts w:eastAsia="Calibri"/>
          <w:kern w:val="0"/>
          <w:sz w:val="24"/>
          <w:szCs w:val="24"/>
        </w:rPr>
      </w:pPr>
      <w:r w:rsidRPr="00001293">
        <w:rPr>
          <w:rFonts w:eastAsia="Calibri"/>
          <w:kern w:val="0"/>
          <w:sz w:val="24"/>
          <w:szCs w:val="24"/>
        </w:rPr>
        <w:t xml:space="preserve">2012-2016 </w:t>
      </w:r>
      <w:r w:rsidRPr="00001293">
        <w:rPr>
          <w:rFonts w:eastAsia="Calibri"/>
          <w:kern w:val="0"/>
          <w:sz w:val="24"/>
          <w:szCs w:val="24"/>
        </w:rPr>
        <w:tab/>
      </w:r>
      <w:r w:rsidRPr="00001293">
        <w:rPr>
          <w:rFonts w:eastAsia="Calibri"/>
          <w:kern w:val="0"/>
          <w:sz w:val="24"/>
          <w:szCs w:val="24"/>
        </w:rPr>
        <w:tab/>
      </w:r>
      <w:r w:rsidRPr="00001293">
        <w:rPr>
          <w:rFonts w:eastAsia="Calibri"/>
          <w:kern w:val="0"/>
          <w:sz w:val="24"/>
          <w:szCs w:val="24"/>
        </w:rPr>
        <w:tab/>
        <w:t>Bachelor, Business Administration (BBA)</w:t>
      </w:r>
    </w:p>
    <w:p w14:paraId="39983A2E" w14:textId="77777777" w:rsidR="00001293" w:rsidRPr="00001293" w:rsidRDefault="00001293" w:rsidP="00001293">
      <w:pPr>
        <w:widowControl/>
        <w:overflowPunct/>
        <w:autoSpaceDE/>
        <w:autoSpaceDN/>
        <w:adjustRightInd/>
        <w:ind w:left="2160" w:firstLine="720"/>
        <w:rPr>
          <w:rFonts w:eastAsia="Calibri"/>
          <w:kern w:val="0"/>
          <w:sz w:val="24"/>
          <w:szCs w:val="24"/>
        </w:rPr>
      </w:pPr>
      <w:r w:rsidRPr="00001293">
        <w:rPr>
          <w:rFonts w:eastAsia="Calibri"/>
          <w:kern w:val="0"/>
          <w:sz w:val="24"/>
          <w:szCs w:val="24"/>
        </w:rPr>
        <w:t>University of Toledo</w:t>
      </w:r>
    </w:p>
    <w:p w14:paraId="1FFCD619" w14:textId="77777777" w:rsidR="00001293" w:rsidRPr="00001293" w:rsidRDefault="00001293" w:rsidP="00001293">
      <w:pPr>
        <w:widowControl/>
        <w:overflowPunct/>
        <w:autoSpaceDE/>
        <w:autoSpaceDN/>
        <w:adjustRightInd/>
        <w:ind w:left="2160" w:firstLine="720"/>
        <w:rPr>
          <w:rFonts w:eastAsia="Calibri"/>
          <w:kern w:val="0"/>
          <w:sz w:val="24"/>
          <w:szCs w:val="24"/>
        </w:rPr>
      </w:pPr>
      <w:r w:rsidRPr="00001293">
        <w:rPr>
          <w:rFonts w:eastAsia="Calibri"/>
          <w:kern w:val="0"/>
          <w:sz w:val="24"/>
          <w:szCs w:val="24"/>
        </w:rPr>
        <w:t>Toledo, Ohio</w:t>
      </w:r>
    </w:p>
    <w:p w14:paraId="41AE3953" w14:textId="77777777" w:rsidR="00001293" w:rsidRPr="00001293" w:rsidRDefault="00001293" w:rsidP="00001293">
      <w:pPr>
        <w:widowControl/>
        <w:overflowPunct/>
        <w:autoSpaceDE/>
        <w:autoSpaceDN/>
        <w:adjustRightInd/>
        <w:rPr>
          <w:rFonts w:eastAsia="Calibri"/>
          <w:kern w:val="0"/>
          <w:sz w:val="24"/>
          <w:szCs w:val="24"/>
        </w:rPr>
      </w:pPr>
    </w:p>
    <w:p w14:paraId="53DA007D" w14:textId="77777777" w:rsidR="00001293" w:rsidRPr="00001293" w:rsidRDefault="00001293" w:rsidP="00001293">
      <w:pPr>
        <w:widowControl/>
        <w:overflowPunct/>
        <w:autoSpaceDE/>
        <w:autoSpaceDN/>
        <w:adjustRightInd/>
        <w:rPr>
          <w:rFonts w:eastAsia="Calibri"/>
          <w:kern w:val="0"/>
          <w:sz w:val="24"/>
          <w:szCs w:val="24"/>
        </w:rPr>
      </w:pPr>
      <w:r w:rsidRPr="00001293">
        <w:rPr>
          <w:rFonts w:eastAsia="Calibri"/>
          <w:kern w:val="0"/>
          <w:sz w:val="24"/>
          <w:szCs w:val="24"/>
        </w:rPr>
        <w:t xml:space="preserve">2016-2017 </w:t>
      </w:r>
      <w:r w:rsidRPr="00001293">
        <w:rPr>
          <w:rFonts w:eastAsia="Calibri"/>
          <w:kern w:val="0"/>
          <w:sz w:val="24"/>
          <w:szCs w:val="24"/>
        </w:rPr>
        <w:tab/>
      </w:r>
      <w:r w:rsidRPr="00001293">
        <w:rPr>
          <w:rFonts w:eastAsia="Calibri"/>
          <w:kern w:val="0"/>
          <w:sz w:val="24"/>
          <w:szCs w:val="24"/>
        </w:rPr>
        <w:tab/>
      </w:r>
      <w:r w:rsidRPr="00001293">
        <w:rPr>
          <w:rFonts w:eastAsia="Calibri"/>
          <w:kern w:val="0"/>
          <w:sz w:val="24"/>
          <w:szCs w:val="24"/>
        </w:rPr>
        <w:tab/>
        <w:t>Master, Business Administration (MBA)</w:t>
      </w:r>
    </w:p>
    <w:p w14:paraId="6D51A55B" w14:textId="77777777" w:rsidR="00001293" w:rsidRPr="00001293" w:rsidRDefault="00001293" w:rsidP="00001293">
      <w:pPr>
        <w:widowControl/>
        <w:overflowPunct/>
        <w:autoSpaceDE/>
        <w:autoSpaceDN/>
        <w:adjustRightInd/>
        <w:ind w:left="2160" w:firstLine="720"/>
        <w:rPr>
          <w:rFonts w:eastAsia="Calibri"/>
          <w:kern w:val="0"/>
          <w:sz w:val="24"/>
          <w:szCs w:val="24"/>
        </w:rPr>
      </w:pPr>
      <w:r w:rsidRPr="00001293">
        <w:rPr>
          <w:rFonts w:eastAsia="Calibri"/>
          <w:kern w:val="0"/>
          <w:sz w:val="24"/>
          <w:szCs w:val="24"/>
        </w:rPr>
        <w:t>Florida International University</w:t>
      </w:r>
    </w:p>
    <w:p w14:paraId="70418E1D" w14:textId="77777777" w:rsidR="00001293" w:rsidRPr="00001293" w:rsidRDefault="00001293" w:rsidP="00001293">
      <w:pPr>
        <w:widowControl/>
        <w:overflowPunct/>
        <w:autoSpaceDE/>
        <w:autoSpaceDN/>
        <w:adjustRightInd/>
        <w:ind w:left="2160" w:firstLine="720"/>
        <w:rPr>
          <w:rFonts w:eastAsia="Calibri"/>
          <w:kern w:val="0"/>
          <w:sz w:val="24"/>
          <w:szCs w:val="24"/>
        </w:rPr>
      </w:pPr>
      <w:r w:rsidRPr="00001293">
        <w:rPr>
          <w:rFonts w:eastAsia="Calibri"/>
          <w:kern w:val="0"/>
          <w:sz w:val="24"/>
          <w:szCs w:val="24"/>
        </w:rPr>
        <w:t>Miami, Florida</w:t>
      </w:r>
    </w:p>
    <w:p w14:paraId="1DF5EAB2" w14:textId="77777777" w:rsidR="00001293" w:rsidRPr="00001293" w:rsidRDefault="00001293" w:rsidP="00001293">
      <w:pPr>
        <w:widowControl/>
        <w:overflowPunct/>
        <w:autoSpaceDE/>
        <w:autoSpaceDN/>
        <w:adjustRightInd/>
        <w:ind w:left="2160" w:firstLine="720"/>
        <w:rPr>
          <w:rFonts w:eastAsia="Calibri"/>
          <w:kern w:val="0"/>
          <w:sz w:val="24"/>
          <w:szCs w:val="24"/>
        </w:rPr>
      </w:pPr>
    </w:p>
    <w:p w14:paraId="7E396163" w14:textId="77777777" w:rsidR="00001293" w:rsidRPr="00001293" w:rsidRDefault="00001293" w:rsidP="00001293">
      <w:pPr>
        <w:widowControl/>
        <w:overflowPunct/>
        <w:autoSpaceDE/>
        <w:autoSpaceDN/>
        <w:adjustRightInd/>
        <w:rPr>
          <w:rFonts w:eastAsia="Calibri"/>
          <w:kern w:val="0"/>
          <w:sz w:val="24"/>
          <w:szCs w:val="24"/>
        </w:rPr>
      </w:pPr>
      <w:r w:rsidRPr="00001293">
        <w:rPr>
          <w:rFonts w:eastAsia="Calibri"/>
          <w:kern w:val="0"/>
          <w:sz w:val="24"/>
          <w:szCs w:val="24"/>
        </w:rPr>
        <w:t xml:space="preserve">2017-2021 </w:t>
      </w:r>
      <w:r w:rsidRPr="00001293">
        <w:rPr>
          <w:rFonts w:eastAsia="Calibri"/>
          <w:kern w:val="0"/>
          <w:sz w:val="24"/>
          <w:szCs w:val="24"/>
        </w:rPr>
        <w:tab/>
      </w:r>
      <w:r w:rsidRPr="00001293">
        <w:rPr>
          <w:rFonts w:eastAsia="Calibri"/>
          <w:kern w:val="0"/>
          <w:sz w:val="24"/>
          <w:szCs w:val="24"/>
        </w:rPr>
        <w:tab/>
      </w:r>
      <w:r w:rsidRPr="00001293">
        <w:rPr>
          <w:rFonts w:eastAsia="Calibri"/>
          <w:kern w:val="0"/>
          <w:sz w:val="24"/>
          <w:szCs w:val="24"/>
        </w:rPr>
        <w:tab/>
        <w:t>Doctor of Philosophy, Business Administration (PhD)</w:t>
      </w:r>
    </w:p>
    <w:p w14:paraId="7A5A120A" w14:textId="77777777" w:rsidR="00001293" w:rsidRPr="00001293" w:rsidRDefault="00001293" w:rsidP="00001293">
      <w:pPr>
        <w:widowControl/>
        <w:overflowPunct/>
        <w:autoSpaceDE/>
        <w:autoSpaceDN/>
        <w:adjustRightInd/>
        <w:ind w:left="2160" w:firstLine="720"/>
        <w:rPr>
          <w:rFonts w:eastAsia="Calibri"/>
          <w:kern w:val="0"/>
          <w:sz w:val="24"/>
          <w:szCs w:val="24"/>
        </w:rPr>
      </w:pPr>
      <w:r w:rsidRPr="00001293">
        <w:rPr>
          <w:rFonts w:eastAsia="Calibri"/>
          <w:kern w:val="0"/>
          <w:sz w:val="24"/>
          <w:szCs w:val="24"/>
        </w:rPr>
        <w:t>Florida International University</w:t>
      </w:r>
    </w:p>
    <w:p w14:paraId="6C730C3B" w14:textId="77777777" w:rsidR="00001293" w:rsidRPr="00001293" w:rsidRDefault="00001293" w:rsidP="00001293">
      <w:pPr>
        <w:widowControl/>
        <w:overflowPunct/>
        <w:autoSpaceDE/>
        <w:autoSpaceDN/>
        <w:adjustRightInd/>
        <w:ind w:left="2160" w:firstLine="720"/>
        <w:rPr>
          <w:rFonts w:eastAsia="Calibri"/>
          <w:kern w:val="0"/>
          <w:sz w:val="24"/>
          <w:szCs w:val="24"/>
        </w:rPr>
      </w:pPr>
      <w:r w:rsidRPr="00001293">
        <w:rPr>
          <w:rFonts w:eastAsia="Calibri"/>
          <w:kern w:val="0"/>
          <w:sz w:val="24"/>
          <w:szCs w:val="24"/>
        </w:rPr>
        <w:t>Miami, Florida</w:t>
      </w:r>
    </w:p>
    <w:p w14:paraId="14A9245A" w14:textId="77777777" w:rsidR="00001293" w:rsidRPr="00001293" w:rsidRDefault="00001293" w:rsidP="00001293">
      <w:pPr>
        <w:widowControl/>
        <w:overflowPunct/>
        <w:autoSpaceDE/>
        <w:autoSpaceDN/>
        <w:adjustRightInd/>
        <w:rPr>
          <w:rFonts w:eastAsia="Calibri"/>
          <w:kern w:val="0"/>
          <w:sz w:val="24"/>
          <w:szCs w:val="24"/>
        </w:rPr>
      </w:pPr>
    </w:p>
    <w:p w14:paraId="37E46058" w14:textId="77777777" w:rsidR="00001293" w:rsidRPr="00001293" w:rsidRDefault="00001293" w:rsidP="00001293">
      <w:pPr>
        <w:widowControl/>
        <w:overflowPunct/>
        <w:autoSpaceDE/>
        <w:autoSpaceDN/>
        <w:adjustRightInd/>
        <w:rPr>
          <w:rFonts w:eastAsia="Calibri"/>
          <w:kern w:val="0"/>
          <w:sz w:val="24"/>
          <w:szCs w:val="24"/>
        </w:rPr>
      </w:pPr>
      <w:r w:rsidRPr="00001293">
        <w:rPr>
          <w:rFonts w:eastAsia="Calibri"/>
          <w:kern w:val="0"/>
          <w:sz w:val="24"/>
          <w:szCs w:val="24"/>
        </w:rPr>
        <w:t>PEER-REVIEWED PUBLICATIONS</w:t>
      </w:r>
    </w:p>
    <w:p w14:paraId="4F50ED07" w14:textId="77777777" w:rsidR="00001293" w:rsidRPr="00001293" w:rsidRDefault="00001293" w:rsidP="00001293">
      <w:pPr>
        <w:widowControl/>
        <w:overflowPunct/>
        <w:autoSpaceDE/>
        <w:autoSpaceDN/>
        <w:adjustRightInd/>
        <w:rPr>
          <w:rFonts w:eastAsia="Calibri"/>
          <w:kern w:val="0"/>
          <w:sz w:val="24"/>
          <w:szCs w:val="24"/>
        </w:rPr>
      </w:pPr>
    </w:p>
    <w:p w14:paraId="55221274" w14:textId="698E87CB" w:rsidR="000C78B0" w:rsidRPr="000C78B0" w:rsidRDefault="000C78B0" w:rsidP="000C78B0">
      <w:pPr>
        <w:widowControl/>
        <w:overflowPunct/>
        <w:autoSpaceDE/>
        <w:autoSpaceDN/>
        <w:adjustRightInd/>
        <w:rPr>
          <w:rFonts w:eastAsia="Calibri"/>
          <w:kern w:val="0"/>
          <w:sz w:val="24"/>
          <w:szCs w:val="24"/>
        </w:rPr>
      </w:pPr>
      <w:r w:rsidRPr="000C78B0">
        <w:rPr>
          <w:rFonts w:eastAsia="Calibri"/>
          <w:kern w:val="0"/>
          <w:sz w:val="24"/>
          <w:szCs w:val="24"/>
        </w:rPr>
        <w:t>Andrews, D.S., Fainshmidt, S., Gaur, A., &amp; Parente, R. (</w:t>
      </w:r>
      <w:r>
        <w:rPr>
          <w:rFonts w:eastAsia="Calibri"/>
          <w:kern w:val="0"/>
          <w:sz w:val="24"/>
          <w:szCs w:val="24"/>
        </w:rPr>
        <w:t>2021</w:t>
      </w:r>
      <w:r w:rsidRPr="000C78B0">
        <w:rPr>
          <w:rFonts w:eastAsia="Calibri"/>
          <w:kern w:val="0"/>
          <w:sz w:val="24"/>
          <w:szCs w:val="24"/>
        </w:rPr>
        <w:t>). Configuring Knowledge Connectivity and Strategy Conditions for Foreign Subsidiary Innovation.</w:t>
      </w:r>
      <w:r w:rsidRPr="000C78B0">
        <w:rPr>
          <w:rFonts w:eastAsia="Calibri"/>
          <w:i/>
          <w:kern w:val="0"/>
          <w:sz w:val="24"/>
          <w:szCs w:val="24"/>
        </w:rPr>
        <w:t xml:space="preserve"> Long Range Planning</w:t>
      </w:r>
      <w:r w:rsidRPr="000C78B0">
        <w:rPr>
          <w:rFonts w:eastAsia="Calibri"/>
          <w:iCs/>
          <w:kern w:val="0"/>
          <w:sz w:val="24"/>
          <w:szCs w:val="24"/>
        </w:rPr>
        <w:t>.</w:t>
      </w:r>
    </w:p>
    <w:p w14:paraId="172AC9CE" w14:textId="77777777" w:rsidR="000C78B0" w:rsidRPr="000C78B0" w:rsidRDefault="000C78B0" w:rsidP="000C78B0">
      <w:pPr>
        <w:widowControl/>
        <w:overflowPunct/>
        <w:autoSpaceDE/>
        <w:autoSpaceDN/>
        <w:adjustRightInd/>
        <w:rPr>
          <w:rFonts w:eastAsia="Calibri"/>
          <w:kern w:val="0"/>
          <w:sz w:val="24"/>
          <w:szCs w:val="24"/>
        </w:rPr>
      </w:pPr>
    </w:p>
    <w:p w14:paraId="5F8C9942" w14:textId="1761E62A" w:rsidR="000C78B0" w:rsidRDefault="000C78B0" w:rsidP="000C78B0">
      <w:pPr>
        <w:widowControl/>
        <w:overflowPunct/>
        <w:autoSpaceDE/>
        <w:autoSpaceDN/>
        <w:adjustRightInd/>
        <w:rPr>
          <w:rFonts w:eastAsia="Calibri"/>
          <w:i/>
          <w:kern w:val="0"/>
          <w:sz w:val="24"/>
          <w:szCs w:val="24"/>
        </w:rPr>
      </w:pPr>
      <w:r w:rsidRPr="000C78B0">
        <w:rPr>
          <w:rFonts w:eastAsia="Calibri"/>
          <w:kern w:val="0"/>
          <w:sz w:val="24"/>
          <w:szCs w:val="24"/>
        </w:rPr>
        <w:t xml:space="preserve">Fainshmidt, S., Andrews, D.S., Gaur, A., &amp; Schotter, A. (2021). Recalibrating Management Research for the post-COVID Scientific Enterprise. </w:t>
      </w:r>
      <w:r w:rsidRPr="000C78B0">
        <w:rPr>
          <w:rFonts w:eastAsia="Calibri"/>
          <w:i/>
          <w:kern w:val="0"/>
          <w:sz w:val="24"/>
          <w:szCs w:val="24"/>
        </w:rPr>
        <w:t>Journal of Management Studies.</w:t>
      </w:r>
    </w:p>
    <w:p w14:paraId="2AC1D6F8" w14:textId="77777777" w:rsidR="000C78B0" w:rsidRPr="000C78B0" w:rsidRDefault="000C78B0" w:rsidP="000C78B0">
      <w:pPr>
        <w:widowControl/>
        <w:overflowPunct/>
        <w:autoSpaceDE/>
        <w:autoSpaceDN/>
        <w:adjustRightInd/>
        <w:rPr>
          <w:rFonts w:eastAsia="Calibri"/>
          <w:iCs/>
          <w:kern w:val="0"/>
          <w:sz w:val="24"/>
          <w:szCs w:val="24"/>
        </w:rPr>
      </w:pPr>
    </w:p>
    <w:p w14:paraId="6EA2164F" w14:textId="77777777" w:rsidR="00001293" w:rsidRPr="00001293" w:rsidRDefault="00001293" w:rsidP="00001293">
      <w:pPr>
        <w:widowControl/>
        <w:overflowPunct/>
        <w:autoSpaceDE/>
        <w:autoSpaceDN/>
        <w:adjustRightInd/>
        <w:rPr>
          <w:rFonts w:eastAsia="Calibri"/>
          <w:kern w:val="0"/>
          <w:sz w:val="24"/>
          <w:szCs w:val="24"/>
        </w:rPr>
      </w:pPr>
      <w:r w:rsidRPr="00001293">
        <w:rPr>
          <w:rFonts w:eastAsia="Calibri"/>
          <w:kern w:val="0"/>
          <w:sz w:val="24"/>
          <w:szCs w:val="24"/>
        </w:rPr>
        <w:t xml:space="preserve">Parente, R., Melo, M., Andrews, D.S., Kumaraswamy, A., &amp; Vasconcelos, F. (2020). Public sector organizations and agricultural catch-up dilemma in emerging markets: The orchestrating role of Embrapa in Brazil. </w:t>
      </w:r>
      <w:r w:rsidRPr="00001293">
        <w:rPr>
          <w:rFonts w:eastAsia="Calibri"/>
          <w:i/>
          <w:kern w:val="0"/>
          <w:sz w:val="24"/>
          <w:szCs w:val="24"/>
        </w:rPr>
        <w:t>Journal of International Business Studies</w:t>
      </w:r>
      <w:r w:rsidRPr="00001293">
        <w:rPr>
          <w:rFonts w:eastAsia="Calibri"/>
          <w:kern w:val="0"/>
          <w:sz w:val="24"/>
          <w:szCs w:val="24"/>
        </w:rPr>
        <w:t>.</w:t>
      </w:r>
    </w:p>
    <w:p w14:paraId="5B3EBCB3" w14:textId="77777777" w:rsidR="00001293" w:rsidRPr="00001293" w:rsidRDefault="00001293" w:rsidP="00001293">
      <w:pPr>
        <w:widowControl/>
        <w:overflowPunct/>
        <w:autoSpaceDE/>
        <w:autoSpaceDN/>
        <w:adjustRightInd/>
        <w:rPr>
          <w:rFonts w:eastAsia="Calibri"/>
          <w:kern w:val="0"/>
          <w:sz w:val="24"/>
          <w:szCs w:val="24"/>
        </w:rPr>
      </w:pPr>
    </w:p>
    <w:p w14:paraId="10D9FD5E" w14:textId="77777777" w:rsidR="00001293" w:rsidRPr="00001293" w:rsidRDefault="00001293" w:rsidP="00001293">
      <w:pPr>
        <w:widowControl/>
        <w:overflowPunct/>
        <w:autoSpaceDE/>
        <w:autoSpaceDN/>
        <w:adjustRightInd/>
        <w:rPr>
          <w:rFonts w:eastAsia="Calibri"/>
          <w:kern w:val="0"/>
          <w:sz w:val="24"/>
          <w:szCs w:val="24"/>
        </w:rPr>
      </w:pPr>
      <w:r w:rsidRPr="00001293">
        <w:rPr>
          <w:rFonts w:eastAsia="Calibri"/>
          <w:kern w:val="0"/>
          <w:sz w:val="24"/>
          <w:szCs w:val="24"/>
        </w:rPr>
        <w:t xml:space="preserve">Geleilate, J.M.G., Andrews, D.S., &amp; Fainshmidt, S. (2019). Subsidiary autonomy and subsidiary performance: A meta-analysis. </w:t>
      </w:r>
      <w:r w:rsidRPr="00001293">
        <w:rPr>
          <w:rFonts w:eastAsia="Calibri"/>
          <w:i/>
          <w:iCs/>
          <w:kern w:val="0"/>
          <w:sz w:val="24"/>
          <w:szCs w:val="24"/>
        </w:rPr>
        <w:t>Journal of World Business</w:t>
      </w:r>
      <w:r w:rsidRPr="00001293">
        <w:rPr>
          <w:rFonts w:eastAsia="Calibri"/>
          <w:kern w:val="0"/>
          <w:sz w:val="24"/>
          <w:szCs w:val="24"/>
        </w:rPr>
        <w:t>.</w:t>
      </w:r>
    </w:p>
    <w:p w14:paraId="15D9A690" w14:textId="77777777" w:rsidR="00001293" w:rsidRPr="00001293" w:rsidRDefault="00001293" w:rsidP="00001293">
      <w:pPr>
        <w:widowControl/>
        <w:overflowPunct/>
        <w:autoSpaceDE/>
        <w:autoSpaceDN/>
        <w:adjustRightInd/>
        <w:rPr>
          <w:rFonts w:eastAsia="Calibri"/>
          <w:color w:val="FF0000"/>
          <w:kern w:val="0"/>
          <w:sz w:val="24"/>
          <w:szCs w:val="24"/>
        </w:rPr>
      </w:pPr>
    </w:p>
    <w:p w14:paraId="4541A3F4" w14:textId="3C54D134" w:rsidR="0044227B" w:rsidRPr="00B301B0" w:rsidRDefault="0044227B">
      <w:pPr>
        <w:rPr>
          <w:sz w:val="24"/>
          <w:szCs w:val="24"/>
        </w:rPr>
      </w:pPr>
    </w:p>
    <w:sectPr w:rsidR="0044227B" w:rsidRPr="00B301B0" w:rsidSect="00DB7B9A">
      <w:pgSz w:w="12240" w:h="15840"/>
      <w:pgMar w:top="1440" w:right="1440" w:bottom="1728"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D562D" w14:textId="77777777" w:rsidR="001030A9" w:rsidRDefault="001030A9" w:rsidP="00062E28">
      <w:r>
        <w:separator/>
      </w:r>
    </w:p>
  </w:endnote>
  <w:endnote w:type="continuationSeparator" w:id="0">
    <w:p w14:paraId="1D81E968" w14:textId="77777777" w:rsidR="001030A9" w:rsidRDefault="001030A9" w:rsidP="0006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Symbol">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6252466"/>
      <w:docPartObj>
        <w:docPartGallery w:val="Page Numbers (Bottom of Page)"/>
        <w:docPartUnique/>
      </w:docPartObj>
    </w:sdtPr>
    <w:sdtEndPr>
      <w:rPr>
        <w:rStyle w:val="PageNumber"/>
      </w:rPr>
    </w:sdtEndPr>
    <w:sdtContent>
      <w:p w14:paraId="18357CAC" w14:textId="30390537" w:rsidR="00D81F15" w:rsidRDefault="00D81F15" w:rsidP="00026B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16C94E" w14:textId="77777777" w:rsidR="00D81F15" w:rsidRDefault="00D81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4"/>
        <w:szCs w:val="24"/>
      </w:rPr>
      <w:id w:val="110107988"/>
      <w:docPartObj>
        <w:docPartGallery w:val="Page Numbers (Bottom of Page)"/>
        <w:docPartUnique/>
      </w:docPartObj>
    </w:sdtPr>
    <w:sdtEndPr>
      <w:rPr>
        <w:rStyle w:val="PageNumber"/>
      </w:rPr>
    </w:sdtEndPr>
    <w:sdtContent>
      <w:p w14:paraId="3CE3F73E" w14:textId="48A64ED9" w:rsidR="00D81F15" w:rsidRPr="00026B2B" w:rsidRDefault="00D81F15" w:rsidP="00026B2B">
        <w:pPr>
          <w:pStyle w:val="Footer"/>
          <w:framePr w:wrap="none" w:vAnchor="text" w:hAnchor="margin" w:xAlign="center" w:y="1"/>
          <w:rPr>
            <w:rStyle w:val="PageNumber"/>
            <w:sz w:val="24"/>
            <w:szCs w:val="24"/>
          </w:rPr>
        </w:pPr>
        <w:r w:rsidRPr="00026B2B">
          <w:rPr>
            <w:rStyle w:val="PageNumber"/>
            <w:sz w:val="24"/>
            <w:szCs w:val="24"/>
          </w:rPr>
          <w:fldChar w:fldCharType="begin"/>
        </w:r>
        <w:r w:rsidRPr="00026B2B">
          <w:rPr>
            <w:rStyle w:val="PageNumber"/>
            <w:sz w:val="24"/>
            <w:szCs w:val="24"/>
          </w:rPr>
          <w:instrText xml:space="preserve"> PAGE </w:instrText>
        </w:r>
        <w:r w:rsidRPr="00026B2B">
          <w:rPr>
            <w:rStyle w:val="PageNumber"/>
            <w:sz w:val="24"/>
            <w:szCs w:val="24"/>
          </w:rPr>
          <w:fldChar w:fldCharType="separate"/>
        </w:r>
        <w:r w:rsidRPr="00026B2B">
          <w:rPr>
            <w:rStyle w:val="PageNumber"/>
            <w:noProof/>
            <w:sz w:val="24"/>
            <w:szCs w:val="24"/>
          </w:rPr>
          <w:t>ii</w:t>
        </w:r>
        <w:r w:rsidRPr="00026B2B">
          <w:rPr>
            <w:rStyle w:val="PageNumber"/>
            <w:sz w:val="24"/>
            <w:szCs w:val="24"/>
          </w:rPr>
          <w:fldChar w:fldCharType="end"/>
        </w:r>
      </w:p>
    </w:sdtContent>
  </w:sdt>
  <w:p w14:paraId="0ABE2D7E" w14:textId="77777777" w:rsidR="00D81F15" w:rsidRDefault="00D81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8276168"/>
      <w:docPartObj>
        <w:docPartGallery w:val="Page Numbers (Bottom of Page)"/>
        <w:docPartUnique/>
      </w:docPartObj>
    </w:sdtPr>
    <w:sdtEndPr>
      <w:rPr>
        <w:rStyle w:val="PageNumber"/>
      </w:rPr>
    </w:sdtEndPr>
    <w:sdtContent>
      <w:p w14:paraId="27A5A844" w14:textId="77777777" w:rsidR="00D81F15" w:rsidRDefault="00D81F15" w:rsidP="00DB7B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4FE77" w14:textId="77777777" w:rsidR="00D81F15" w:rsidRDefault="00D81F15" w:rsidP="00DB7B9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4"/>
        <w:szCs w:val="24"/>
      </w:rPr>
      <w:id w:val="482287118"/>
      <w:docPartObj>
        <w:docPartGallery w:val="Page Numbers (Bottom of Page)"/>
        <w:docPartUnique/>
      </w:docPartObj>
    </w:sdtPr>
    <w:sdtEndPr>
      <w:rPr>
        <w:rStyle w:val="PageNumber"/>
      </w:rPr>
    </w:sdtEndPr>
    <w:sdtContent>
      <w:p w14:paraId="6A2EE050" w14:textId="77777777" w:rsidR="00D81F15" w:rsidRPr="00B301B0" w:rsidRDefault="00D81F15" w:rsidP="00DB7B9A">
        <w:pPr>
          <w:pStyle w:val="Footer"/>
          <w:framePr w:wrap="none" w:vAnchor="text" w:hAnchor="margin" w:xAlign="center" w:y="1"/>
          <w:rPr>
            <w:rStyle w:val="PageNumber"/>
            <w:sz w:val="24"/>
            <w:szCs w:val="24"/>
          </w:rPr>
        </w:pPr>
        <w:r w:rsidRPr="00B301B0">
          <w:rPr>
            <w:rStyle w:val="PageNumber"/>
            <w:sz w:val="24"/>
            <w:szCs w:val="24"/>
          </w:rPr>
          <w:fldChar w:fldCharType="begin"/>
        </w:r>
        <w:r w:rsidRPr="00B301B0">
          <w:rPr>
            <w:rStyle w:val="PageNumber"/>
            <w:sz w:val="24"/>
            <w:szCs w:val="24"/>
          </w:rPr>
          <w:instrText xml:space="preserve"> PAGE </w:instrText>
        </w:r>
        <w:r w:rsidRPr="00B301B0">
          <w:rPr>
            <w:rStyle w:val="PageNumber"/>
            <w:sz w:val="24"/>
            <w:szCs w:val="24"/>
          </w:rPr>
          <w:fldChar w:fldCharType="separate"/>
        </w:r>
        <w:r w:rsidRPr="00B301B0">
          <w:rPr>
            <w:rStyle w:val="PageNumber"/>
            <w:noProof/>
            <w:sz w:val="24"/>
            <w:szCs w:val="24"/>
          </w:rPr>
          <w:t>1</w:t>
        </w:r>
        <w:r w:rsidRPr="00B301B0">
          <w:rPr>
            <w:rStyle w:val="PageNumber"/>
            <w:sz w:val="24"/>
            <w:szCs w:val="24"/>
          </w:rPr>
          <w:fldChar w:fldCharType="end"/>
        </w:r>
      </w:p>
    </w:sdtContent>
  </w:sdt>
  <w:p w14:paraId="236039FA" w14:textId="77777777" w:rsidR="00D81F15" w:rsidRDefault="00D81F15" w:rsidP="00DB7B9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966662369"/>
      <w:docPartObj>
        <w:docPartGallery w:val="Page Numbers (Bottom of Page)"/>
        <w:docPartUnique/>
      </w:docPartObj>
    </w:sdtPr>
    <w:sdtEndPr>
      <w:rPr>
        <w:noProof/>
      </w:rPr>
    </w:sdtEndPr>
    <w:sdtContent>
      <w:p w14:paraId="478828C3" w14:textId="77777777" w:rsidR="00D81F15" w:rsidRPr="00001293" w:rsidRDefault="00D81F15">
        <w:pPr>
          <w:pStyle w:val="Footer"/>
          <w:jc w:val="center"/>
          <w:rPr>
            <w:sz w:val="24"/>
            <w:szCs w:val="24"/>
          </w:rPr>
        </w:pPr>
        <w:r w:rsidRPr="00001293">
          <w:rPr>
            <w:sz w:val="24"/>
            <w:szCs w:val="24"/>
          </w:rPr>
          <w:fldChar w:fldCharType="begin"/>
        </w:r>
        <w:r w:rsidRPr="00001293">
          <w:rPr>
            <w:sz w:val="24"/>
            <w:szCs w:val="24"/>
          </w:rPr>
          <w:instrText xml:space="preserve"> PAGE   \* MERGEFORMAT </w:instrText>
        </w:r>
        <w:r w:rsidRPr="00001293">
          <w:rPr>
            <w:sz w:val="24"/>
            <w:szCs w:val="24"/>
          </w:rPr>
          <w:fldChar w:fldCharType="separate"/>
        </w:r>
        <w:r w:rsidRPr="00001293">
          <w:rPr>
            <w:noProof/>
            <w:sz w:val="24"/>
            <w:szCs w:val="24"/>
          </w:rPr>
          <w:t>42</w:t>
        </w:r>
        <w:r w:rsidRPr="00001293">
          <w:rPr>
            <w:noProof/>
            <w:sz w:val="24"/>
            <w:szCs w:val="24"/>
          </w:rPr>
          <w:fldChar w:fldCharType="end"/>
        </w:r>
      </w:p>
    </w:sdtContent>
  </w:sdt>
  <w:p w14:paraId="4D909E6D" w14:textId="77777777" w:rsidR="00D81F15" w:rsidRDefault="00D81F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8140885"/>
      <w:docPartObj>
        <w:docPartGallery w:val="Page Numbers (Bottom of Page)"/>
        <w:docPartUnique/>
      </w:docPartObj>
    </w:sdtPr>
    <w:sdtEndPr>
      <w:rPr>
        <w:rStyle w:val="PageNumber"/>
      </w:rPr>
    </w:sdtEndPr>
    <w:sdtContent>
      <w:p w14:paraId="56232406" w14:textId="77777777" w:rsidR="00D81F15" w:rsidRDefault="00D81F15" w:rsidP="00DB7B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29DB24" w14:textId="77777777" w:rsidR="00D81F15" w:rsidRDefault="00D81F1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08033224"/>
      <w:docPartObj>
        <w:docPartGallery w:val="Page Numbers (Bottom of Page)"/>
        <w:docPartUnique/>
      </w:docPartObj>
    </w:sdtPr>
    <w:sdtEndPr>
      <w:rPr>
        <w:rStyle w:val="PageNumber"/>
      </w:rPr>
    </w:sdtEndPr>
    <w:sdtContent>
      <w:p w14:paraId="52100169" w14:textId="77777777" w:rsidR="00D81F15" w:rsidRDefault="00D81F15" w:rsidP="00DB7B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130AF6" w14:textId="77777777" w:rsidR="00D81F15" w:rsidRDefault="00D81F1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08622"/>
      <w:docPartObj>
        <w:docPartGallery w:val="Page Numbers (Bottom of Page)"/>
        <w:docPartUnique/>
      </w:docPartObj>
    </w:sdtPr>
    <w:sdtEndPr>
      <w:rPr>
        <w:rStyle w:val="PageNumber"/>
      </w:rPr>
    </w:sdtEndPr>
    <w:sdtContent>
      <w:p w14:paraId="75A30394" w14:textId="77777777" w:rsidR="00D81F15" w:rsidRDefault="00D81F15" w:rsidP="00DB7B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CD371C" w14:textId="77777777" w:rsidR="00D81F15" w:rsidRDefault="00D81F15" w:rsidP="00DB7B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89C0A" w14:textId="77777777" w:rsidR="001030A9" w:rsidRDefault="001030A9" w:rsidP="00062E28">
      <w:r>
        <w:separator/>
      </w:r>
    </w:p>
  </w:footnote>
  <w:footnote w:type="continuationSeparator" w:id="0">
    <w:p w14:paraId="5E30E2CD" w14:textId="77777777" w:rsidR="001030A9" w:rsidRDefault="001030A9" w:rsidP="00062E28">
      <w:r>
        <w:continuationSeparator/>
      </w:r>
    </w:p>
  </w:footnote>
  <w:footnote w:id="1">
    <w:p w14:paraId="37CF2E5D" w14:textId="77777777" w:rsidR="00D81F15" w:rsidRDefault="00D81F15" w:rsidP="00B301B0">
      <w:pPr>
        <w:pStyle w:val="FootnoteText"/>
        <w:ind w:left="720"/>
        <w:jc w:val="both"/>
      </w:pPr>
      <w:r>
        <w:rPr>
          <w:rStyle w:val="FootnoteReference"/>
        </w:rPr>
        <w:footnoteRef/>
      </w:r>
      <w:r>
        <w:t xml:space="preserve"> </w:t>
      </w:r>
      <w:r w:rsidRPr="00AC0BC0">
        <w:t>Although autonomy is inversely related to centralization, it is not necessarily the opposite of global integration. Prior research suggests that subsidiary autonomy and integration may co-exist (Ghoshal &amp; Bartlett, 1990). However, centralization and control are not interchangeable as control does not necessarily reflect centralization. Headquarters can maintain control through various coordination mechanisms, such as formalization and socialization (Zeng et al., 2018), while a subsidiary is still locally autonomous. For instance, headquarters control may help facilitate global integration and</w:t>
      </w:r>
      <w:r>
        <w:t xml:space="preserve"> then</w:t>
      </w:r>
      <w:r w:rsidRPr="00AC0BC0">
        <w:t xml:space="preserve"> subsidiary autonomy gives subsidiary managers the latitude to become locally embedded and identify how to best use their resources and capabilities to fit local conditions. The diversity in nomenclature is one cause for the </w:t>
      </w:r>
      <w:r>
        <w:t>mentioned</w:t>
      </w:r>
      <w:r w:rsidRPr="00AC0BC0">
        <w:t xml:space="preserve"> conceptual ambiguity.</w:t>
      </w:r>
    </w:p>
  </w:footnote>
  <w:footnote w:id="2">
    <w:p w14:paraId="22326E3E" w14:textId="77777777" w:rsidR="00D81F15" w:rsidRDefault="00D81F15" w:rsidP="00B301B0">
      <w:pPr>
        <w:pStyle w:val="FootnoteText"/>
        <w:ind w:left="720"/>
        <w:jc w:val="both"/>
      </w:pPr>
      <w:r>
        <w:rPr>
          <w:rStyle w:val="FootnoteReference"/>
        </w:rPr>
        <w:footnoteRef/>
      </w:r>
      <w:r>
        <w:t xml:space="preserve"> I acknowledge that there are other theoretical perspectives relevant to understanding subsidiary autonomy, such as the attention-based view (Bouquet &amp; Birkinshaw, 2008), network theory (Gammelgaard et al., 2012), and internalization theory (Verbeke &amp; Kano, 2016). I include these perspectives and their contributions to autonomy’s nomological network in my review. However, given their relatively low prevalence in autonomy research, for the purposes of this study, I subsume these various peripheral perspectives within my three-pronged framework.</w:t>
      </w:r>
    </w:p>
  </w:footnote>
  <w:footnote w:id="3">
    <w:p w14:paraId="03BC0CCE" w14:textId="77777777" w:rsidR="00D81F15" w:rsidRDefault="00D81F15" w:rsidP="00B301B0">
      <w:pPr>
        <w:pStyle w:val="FootnoteText"/>
        <w:ind w:left="720"/>
        <w:jc w:val="both"/>
      </w:pPr>
      <w:r>
        <w:rPr>
          <w:rStyle w:val="FootnoteReference"/>
        </w:rPr>
        <w:footnoteRef/>
      </w:r>
      <w:r>
        <w:t xml:space="preserve"> Prior research suggests that there are three branches of institutional theory: institutional economics, organizational institutionalism, and comparative institutionalism (see Hotho &amp; Pedersen, 2012). To facilitate narrative cohesion, I adopt a broad conceptualization of institutional theory as “companies doing business across national borders are embedded and exposed to multiple and different institutional environments in their home and host countries, and, as a result, face unique difficulties and risks” (Kostova et al., 2019: 469). </w:t>
      </w:r>
    </w:p>
  </w:footnote>
  <w:footnote w:id="4">
    <w:p w14:paraId="6043EADD" w14:textId="77777777" w:rsidR="00D81F15" w:rsidRPr="00710A75" w:rsidRDefault="00D81F15" w:rsidP="00B301B0">
      <w:pPr>
        <w:pStyle w:val="FootnoteText"/>
        <w:ind w:left="720"/>
        <w:jc w:val="both"/>
      </w:pPr>
      <w:r>
        <w:rPr>
          <w:rStyle w:val="FootnoteReference"/>
        </w:rPr>
        <w:footnoteRef/>
      </w:r>
      <w:r>
        <w:t xml:space="preserve"> While several studies might use the same dataset, Kirca et al. (2011) argue such studies can be included as long as the correlations arise between different constructs or alternative operationalizations of the same construct. These differences yield meaningful inferential information and thus are retained for analysis (Van Wijk, Jansen &amp; Lyles, 2008). Prior meta-analytic studies suggest that the collapsing of correlations does not significantly alter the results (e.g., Geleilate et al., 2019).</w:t>
      </w:r>
    </w:p>
  </w:footnote>
  <w:footnote w:id="5">
    <w:p w14:paraId="28960AAF" w14:textId="77777777" w:rsidR="00D81F15" w:rsidRDefault="00D81F15" w:rsidP="00B301B0">
      <w:pPr>
        <w:pStyle w:val="FootnoteText"/>
        <w:ind w:left="720"/>
        <w:jc w:val="both"/>
      </w:pPr>
      <w:r>
        <w:rPr>
          <w:rStyle w:val="FootnoteReference"/>
        </w:rPr>
        <w:footnoteRef/>
      </w:r>
      <w:r>
        <w:t xml:space="preserve"> An alternative approach would be to use meta-analytic regression analysis (MARA) (e.g., Beugelsdijk et al., 2017). This approach uses the raw effect sizes as inputs to the regression analysis and is particularly useful when testing boundary conditions. However, compared to the alternatives, MARA is sensitive to the number of included studies and thus lacks power if an adequate N is not achieved, increasing the risk of Type I and Type II errors (Combs et al., 2019).</w:t>
      </w:r>
    </w:p>
  </w:footnote>
  <w:footnote w:id="6">
    <w:p w14:paraId="1F24B2B8" w14:textId="77777777" w:rsidR="00D81F15" w:rsidRDefault="00D81F15" w:rsidP="00B301B0">
      <w:pPr>
        <w:pStyle w:val="FootnoteText"/>
        <w:ind w:left="720"/>
        <w:jc w:val="both"/>
      </w:pPr>
      <w:r>
        <w:rPr>
          <w:rStyle w:val="FootnoteReference"/>
        </w:rPr>
        <w:footnoteRef/>
      </w:r>
      <w:r>
        <w:t xml:space="preserve"> In practice, HOMA procedures are most useful when examining the mean effect size of a well-documented relationship, such as the effects of institutional distance on establishment mode choice (e.g., Kostova et al., 2019). However, the empirical efforts of this study are quasi-exploratory in nature and thus HOMA provides only preliminary evidence for autonomy’s antecedents. The HOMA results as used as an input to the MASEM analysis.</w:t>
      </w:r>
    </w:p>
  </w:footnote>
  <w:footnote w:id="7">
    <w:p w14:paraId="5DE8F9D5" w14:textId="77777777" w:rsidR="00D81F15" w:rsidRDefault="00D81F15" w:rsidP="00B301B0">
      <w:pPr>
        <w:pStyle w:val="FootnoteText"/>
        <w:ind w:left="720"/>
        <w:jc w:val="both"/>
      </w:pPr>
      <w:r>
        <w:rPr>
          <w:rStyle w:val="FootnoteReference"/>
        </w:rPr>
        <w:footnoteRef/>
      </w:r>
      <w:r>
        <w:t xml:space="preserve"> The confidence interval is computed using the following formula: </w:t>
      </w:r>
      <w:r w:rsidRPr="000F7B3B">
        <w:t>R</w:t>
      </w:r>
      <w:r w:rsidRPr="000F7B3B">
        <w:rPr>
          <w:vertAlign w:val="superscript"/>
        </w:rPr>
        <w:t>2</w:t>
      </w:r>
      <w:r>
        <w:rPr>
          <w:vertAlign w:val="subscript"/>
        </w:rPr>
        <w:t>VarA</w:t>
      </w:r>
      <w:r w:rsidRPr="000F7B3B">
        <w:t xml:space="preserve"> – R</w:t>
      </w:r>
      <w:r w:rsidRPr="000F7B3B">
        <w:rPr>
          <w:vertAlign w:val="superscript"/>
        </w:rPr>
        <w:t>2</w:t>
      </w:r>
      <w:r>
        <w:rPr>
          <w:vertAlign w:val="subscript"/>
        </w:rPr>
        <w:t>VarA</w:t>
      </w:r>
      <w:r w:rsidRPr="000F7B3B">
        <w:t xml:space="preserve"> ± (1.96)*</w:t>
      </w:r>
      <w:r w:rsidRPr="000F7B3B">
        <w:rPr>
          <w:i/>
          <w:iCs/>
        </w:rPr>
        <w:t>var</w:t>
      </w:r>
      <w:r w:rsidRPr="000F7B3B">
        <w:rPr>
          <w:vertAlign w:val="superscript"/>
        </w:rPr>
        <w:t>^</w:t>
      </w:r>
      <w:r w:rsidRPr="000F7B3B">
        <w:t>(R</w:t>
      </w:r>
      <w:r w:rsidRPr="000F7B3B">
        <w:rPr>
          <w:vertAlign w:val="superscript"/>
        </w:rPr>
        <w:t>2</w:t>
      </w:r>
      <w:r>
        <w:rPr>
          <w:vertAlign w:val="subscript"/>
        </w:rPr>
        <w:t>VarA</w:t>
      </w:r>
      <w:r w:rsidRPr="000F7B3B">
        <w:t xml:space="preserve"> – R</w:t>
      </w:r>
      <w:r w:rsidRPr="000F7B3B">
        <w:rPr>
          <w:vertAlign w:val="superscript"/>
        </w:rPr>
        <w:t>2</w:t>
      </w:r>
      <w:r>
        <w:rPr>
          <w:vertAlign w:val="subscript"/>
        </w:rPr>
        <w:t>VarB</w:t>
      </w:r>
      <w:r w:rsidRPr="000F7B3B">
        <w:t>)</w:t>
      </w:r>
      <w:r>
        <w:t>. The term R</w:t>
      </w:r>
      <w:r w:rsidRPr="00C93CE5">
        <w:rPr>
          <w:vertAlign w:val="superscript"/>
        </w:rPr>
        <w:t>2</w:t>
      </w:r>
      <w:r>
        <w:rPr>
          <w:vertAlign w:val="subscript"/>
        </w:rPr>
        <w:t>Var</w:t>
      </w:r>
      <w:r w:rsidRPr="00C93CE5">
        <w:rPr>
          <w:vertAlign w:val="subscript"/>
        </w:rPr>
        <w:t>A</w:t>
      </w:r>
      <w:r>
        <w:t xml:space="preserve"> is the coefficient of Variable A (e.g., goal alignment) and R</w:t>
      </w:r>
      <w:r w:rsidRPr="00C93CE5">
        <w:rPr>
          <w:vertAlign w:val="superscript"/>
        </w:rPr>
        <w:t>2</w:t>
      </w:r>
      <w:r>
        <w:rPr>
          <w:vertAlign w:val="subscript"/>
        </w:rPr>
        <w:t>VarB</w:t>
      </w:r>
      <w:r>
        <w:t xml:space="preserve"> is the coefficient for Variable B (e.g., past performance). </w:t>
      </w:r>
    </w:p>
    <w:p w14:paraId="4DC55B09" w14:textId="77777777" w:rsidR="00D81F15" w:rsidRDefault="00D81F15" w:rsidP="00B301B0">
      <w:pPr>
        <w:pStyle w:val="FootnoteText"/>
      </w:pPr>
    </w:p>
  </w:footnote>
  <w:footnote w:id="8">
    <w:p w14:paraId="27424F5F" w14:textId="77777777" w:rsidR="00D81F15" w:rsidRDefault="00D81F15" w:rsidP="00B301B0">
      <w:pPr>
        <w:pStyle w:val="FootnoteText"/>
        <w:ind w:left="720"/>
        <w:jc w:val="both"/>
      </w:pPr>
      <w:r>
        <w:rPr>
          <w:rStyle w:val="FootnoteReference"/>
        </w:rPr>
        <w:footnoteRef/>
      </w:r>
      <w:r>
        <w:t xml:space="preserve"> Not all studies used to populate tables are not included in the reference list. A complete list is available upon</w:t>
      </w:r>
    </w:p>
    <w:p w14:paraId="35EBC6F4" w14:textId="77777777" w:rsidR="00D81F15" w:rsidRDefault="00D81F15" w:rsidP="00B301B0">
      <w:pPr>
        <w:pStyle w:val="FootnoteText"/>
        <w:ind w:left="720"/>
        <w:jc w:val="both"/>
      </w:pPr>
      <w:r>
        <w:t>request.</w:t>
      </w:r>
    </w:p>
  </w:footnote>
  <w:footnote w:id="9">
    <w:p w14:paraId="313C5782" w14:textId="77777777" w:rsidR="00D81F15" w:rsidRDefault="00D81F15" w:rsidP="00B301B0">
      <w:pPr>
        <w:pStyle w:val="FootnoteText"/>
      </w:pPr>
      <w:r>
        <w:rPr>
          <w:rStyle w:val="FootnoteReference"/>
        </w:rPr>
        <w:t>1</w:t>
      </w:r>
      <w:r>
        <w:t xml:space="preserve"> Not all tables resulting from the additional analyses are presented. They are available upon request.</w:t>
      </w:r>
    </w:p>
  </w:footnote>
  <w:footnote w:id="10">
    <w:p w14:paraId="72F5DA09" w14:textId="77777777" w:rsidR="00D81F15" w:rsidRDefault="00D81F15" w:rsidP="00B301B0">
      <w:pPr>
        <w:pStyle w:val="FootnoteText"/>
        <w:ind w:left="720"/>
        <w:jc w:val="both"/>
      </w:pPr>
      <w:r>
        <w:rPr>
          <w:rStyle w:val="FootnoteReference"/>
        </w:rPr>
        <w:t>1</w:t>
      </w:r>
      <w:r>
        <w:t xml:space="preserve"> </w:t>
      </w:r>
      <w:r w:rsidRPr="00206A39">
        <w:t xml:space="preserve">The relationship between MNE headquarters and their foreign subsidiaries is an example of the effect higher-order organizational entities can have on lower-order entities. To my knowledge, in the variance decomposition literature three such effect relationships have been studied: corporate and business unit effects (e.g., McGahan &amp; Porter, 1997; Bamiatzi et al., 2016), the effect of venture capital owners on their portfolio companies (Fitza et al., 2009), and the effect of business groups on their members (Chang &amp; Hong, 2002). The relationship between MNE headquarters and their foreign subsidiaries represent a special form of such effect classes. They are related to the corporate effect/business unit effect but, in past variance decomposition studies, business units were defined by the industry sectors in which they operate, thus they are vehicles of diversification and horizontal integration. By this definition, business units are entities that conduct the business of more or less diversified corporations. Foreign subsidiaries, on the other hand, are vehicles of internationalization operating in foreign countries. Thus, past research focusing on foreign subsidiaries examines them within the context of IB literature. </w:t>
      </w:r>
    </w:p>
  </w:footnote>
  <w:footnote w:id="11">
    <w:p w14:paraId="5CBA73DE" w14:textId="77777777" w:rsidR="00D81F15" w:rsidRPr="00E23A92" w:rsidRDefault="00D81F15" w:rsidP="00B301B0">
      <w:pPr>
        <w:pStyle w:val="FootnoteText"/>
        <w:ind w:left="720"/>
      </w:pPr>
      <w:r>
        <w:rPr>
          <w:rStyle w:val="FootnoteReference"/>
        </w:rPr>
        <w:t>2</w:t>
      </w:r>
      <w:r>
        <w:t xml:space="preserve"> Some prior studies conducting subsidiary performance decomposition analyses include both partially and wholly owned subsidiaries (e.g., Makino et al., 2004; Chan et al., 2010; Ma et al., 2013), which may obfuscate the relative importance of the MNE effect.</w:t>
      </w:r>
    </w:p>
  </w:footnote>
  <w:footnote w:id="12">
    <w:p w14:paraId="77FBFB5D" w14:textId="77777777" w:rsidR="00D81F15" w:rsidRDefault="00D81F15" w:rsidP="00B301B0">
      <w:pPr>
        <w:pStyle w:val="FootnoteText"/>
        <w:ind w:left="720"/>
        <w:jc w:val="both"/>
      </w:pPr>
      <w:r>
        <w:rPr>
          <w:rStyle w:val="FootnoteReference"/>
        </w:rPr>
        <w:t>3</w:t>
      </w:r>
      <w:r>
        <w:t xml:space="preserve"> Prior variance decomposition studies have engaged in a similar screen and found that results with the exclusion and inclusion of small firms are analog (McGahan &amp; Victer, 2010). Moreover, there is a steep drop off in usable data for subsidiaries smaller than 30 employees. </w:t>
      </w:r>
    </w:p>
  </w:footnote>
  <w:footnote w:id="13">
    <w:p w14:paraId="18E71852" w14:textId="77777777" w:rsidR="00D81F15" w:rsidRDefault="00D81F15" w:rsidP="00B301B0">
      <w:pPr>
        <w:pStyle w:val="FootnoteText"/>
        <w:ind w:left="720"/>
      </w:pPr>
      <w:r>
        <w:rPr>
          <w:rStyle w:val="FootnoteReference"/>
        </w:rPr>
        <w:t>4</w:t>
      </w:r>
      <w:r>
        <w:t xml:space="preserve"> However, I conduct MLM with cross-nested effects as a sensitivity analysis.</w:t>
      </w:r>
    </w:p>
  </w:footnote>
  <w:footnote w:id="14">
    <w:p w14:paraId="749CCD3D" w14:textId="77777777" w:rsidR="00D81F15" w:rsidRDefault="00D81F15" w:rsidP="00B301B0">
      <w:pPr>
        <w:spacing w:after="120"/>
        <w:ind w:left="720"/>
        <w:jc w:val="both"/>
      </w:pPr>
      <w:r>
        <w:rPr>
          <w:rStyle w:val="FootnoteReference"/>
        </w:rPr>
        <w:t>5</w:t>
      </w:r>
      <w:r>
        <w:t xml:space="preserve"> Measuring the effects is based on the inclusion of a large number of classification (i.e., dichotomous) variables. Because estimating a model with a large number of independent variables is computationally demanding, most statistical packages limit the number of independent variables (e.g., Stata limits them to 10,998). </w:t>
      </w:r>
    </w:p>
    <w:p w14:paraId="3E7A99FE" w14:textId="77777777" w:rsidR="00D81F15" w:rsidRPr="00F43BF6" w:rsidRDefault="00D81F15" w:rsidP="00B301B0">
      <w:pPr>
        <w:pStyle w:val="FootnoteText"/>
      </w:pPr>
    </w:p>
  </w:footnote>
  <w:footnote w:id="15">
    <w:p w14:paraId="0072706E" w14:textId="77777777" w:rsidR="00D81F15" w:rsidRDefault="00D81F15" w:rsidP="00B301B0">
      <w:pPr>
        <w:pStyle w:val="FootnoteText"/>
        <w:ind w:left="720"/>
        <w:jc w:val="both"/>
      </w:pPr>
      <w:r>
        <w:rPr>
          <w:rStyle w:val="FootnoteReference"/>
        </w:rPr>
        <w:t>6</w:t>
      </w:r>
      <w:r>
        <w:t xml:space="preserve"> I</w:t>
      </w:r>
      <w:r w:rsidRPr="00647096">
        <w:t xml:space="preserve"> recognize that </w:t>
      </w:r>
      <w:r>
        <w:t>MNEs</w:t>
      </w:r>
      <w:r w:rsidRPr="00647096">
        <w:t xml:space="preserve"> deliberately cho</w:t>
      </w:r>
      <w:r>
        <w:t>o</w:t>
      </w:r>
      <w:r w:rsidRPr="00647096">
        <w:t>se which</w:t>
      </w:r>
      <w:r>
        <w:t xml:space="preserve"> type of</w:t>
      </w:r>
      <w:r w:rsidRPr="00647096">
        <w:t xml:space="preserve"> foreign subsidiary to </w:t>
      </w:r>
      <w:r>
        <w:t>establish</w:t>
      </w:r>
      <w:r w:rsidRPr="00647096">
        <w:t xml:space="preserve"> </w:t>
      </w:r>
      <w:r>
        <w:t>and</w:t>
      </w:r>
      <w:r w:rsidRPr="00647096">
        <w:t xml:space="preserve"> in which </w:t>
      </w:r>
      <w:r>
        <w:t>location</w:t>
      </w:r>
      <w:r w:rsidRPr="00647096">
        <w:t>. This raises the possibility of an endogeneity bias</w:t>
      </w:r>
      <w:r>
        <w:t xml:space="preserve"> in the sense that subsidiaries are not randomly assigned to MNEs</w:t>
      </w:r>
      <w:r w:rsidRPr="00647096">
        <w:t xml:space="preserve">. </w:t>
      </w:r>
      <w:r>
        <w:t>S</w:t>
      </w:r>
      <w:r w:rsidRPr="007127AB">
        <w:t xml:space="preserve">uch selection effects are usually not </w:t>
      </w:r>
      <w:r>
        <w:t xml:space="preserve">considered </w:t>
      </w:r>
      <w:r w:rsidRPr="007127AB">
        <w:t xml:space="preserve">in the variance decomposition literature </w:t>
      </w:r>
      <w:r w:rsidRPr="0072423C">
        <w:fldChar w:fldCharType="begin"/>
      </w:r>
      <w:r w:rsidRPr="0072423C">
        <w:instrText xml:space="preserve"> ADDIN ZOTERO_ITEM CSL_CITATION {"citationID":"MyutEBbc","properties":{"formattedCitation":"(Vedula &amp; Fitza, 2019)","plainCitation":"(Vedula &amp; Fitza, 2019)","noteIndex":0},"citationItems":[{"id":8487,"uris":["http://zotero.org/users/1380856/items/YHUMYP6B"],"uri":["http://zotero.org/users/1380856/items/YHUMYP6B"],"itemData":{"id":8487,"type":"article-journal","container-title":"Strategy Science","issue":"1","page":"4-24","source":"Google Scholar","title":"Regional Recipes: A Configurational Analysis of the Regional Entrepreneurial Ecosystem for US Venture Capital-Backed Startups","title-short":"Regional Recipes","volume":"4","author":[{"family":"Vedula","given":"Siddharth"},{"family":"Fitza","given":"Markus"}],"issued":{"date-parts":[["2019"]]}}}],"schema":"https://github.com/citation-style-language/schema/raw/master/csl-citation.json"} </w:instrText>
      </w:r>
      <w:r w:rsidRPr="0072423C">
        <w:fldChar w:fldCharType="separate"/>
      </w:r>
      <w:r w:rsidRPr="0072423C">
        <w:t>(e.g., Vedula &amp; Fitza, 2019)</w:t>
      </w:r>
      <w:r w:rsidRPr="0072423C">
        <w:fldChar w:fldCharType="end"/>
      </w:r>
      <w:r w:rsidRPr="0072423C">
        <w:t>. For</w:t>
      </w:r>
      <w:r w:rsidRPr="007127AB">
        <w:t xml:space="preserve"> example, past variance decomposition studies examined industry or region effects even though firms choose which industry to enter or in which regions to locate. Instead</w:t>
      </w:r>
      <w:r>
        <w:t>,</w:t>
      </w:r>
      <w:r w:rsidRPr="007127AB">
        <w:t xml:space="preserve"> variance decomposition </w:t>
      </w:r>
      <w:r w:rsidRPr="00A85F16">
        <w:t xml:space="preserve">studies ask to what degree certain firm populations differ conditional on the underlying firm decisions </w:t>
      </w:r>
      <w:r w:rsidRPr="00A85F16">
        <w:fldChar w:fldCharType="begin"/>
      </w:r>
      <w:r w:rsidRPr="00A85F16">
        <w:instrText xml:space="preserve"> ADDIN ZOTERO_ITEM CSL_CITATION {"citationID":"bOkjjpMw","properties":{"formattedCitation":"(Adner &amp; Helfat, 2003; Karniouchina et al., 2013; McGahan &amp; Porter, 2002; Vedula &amp; Fitza, 2019)","plainCitation":"(Adner &amp; Helfat, 2003; Karniouchina et al., 2013; McGahan &amp; Porter, 2002; Vedula &amp; Fitza, 2019)","noteIndex":0},"citationItems":[{"id":2061,"uris":["http://zotero.org/users/1380856/items/DKZD9KNQ"],"uri":["http://zotero.org/users/1380856/items/DKZD9KNQ"],"itemData":{"id":2061,"type":"article-journal","container-title":"Strategic Management Journal","issue":"10","page":"1011–1025","source":"Google Scholar","title":"Corporate effects and dynamic managerial capabilities","volume":"24","author":[{"family":"Adner","given":"Ron"},{"family":"Helfat","given":"Constance E."}],"issued":{"date-parts":[["2003"]]}}},{"id":10148,"uris":["http://zotero.org/users/1380856/items/AC2P78TF"],"uri":["http://zotero.org/users/1380856/items/AC2P78TF"],"itemData":{"id":10148,"type":"article-journal","container-title":"Strategic Management Journal","issue":"8","page":"1010–1018","source":"Google Scholar","title":"Extending the firm vs. industry debate: Does industry life cycle stage matter?","title-short":"Extending the firm vs. industry debate","volume":"34","author":[{"family":"Karniouchina","given":"Ekaterina V."},{"family":"Carson","given":"Stephen J."},{"family":"Short","given":"Jeremy C."},{"family":"Ketchen Jr","given":"David J."}],"issued":{"date-parts":[["2013"]]}}},{"id":831,"uris":["http://zotero.org/users/1380856/items/4C6NXSJW"],"uri":["http://zotero.org/users/1380856/items/4C6NXSJW"],"itemData":{"id":831,"type":"article-journal","container-title":"Management Science","issue":"7","page":"834–851","source":"Google Scholar","title":"What do we know about variance in accounting profitability?","volume":"48","author":[{"family":"McGahan","given":"Anita M."},{"family":"Porter","given":"Michael E."}],"issued":{"date-parts":[["2002"]]}}},{"id":8487,"uris":["http://zotero.org/users/1380856/items/YHUMYP6B"],"uri":["http://zotero.org/users/1380856/items/YHUMYP6B"],"itemData":{"id":8487,"type":"article-journal","container-title":"Strategy Science","issue":"1","page":"4-24","source":"Google Scholar","title":"Regional Recipes: A Configurational Analysis of the Regional Entrepreneurial Ecosystem for US Venture Capital-Backed Startups","title-short":"Regional Recipes","volume":"4","author":[{"family":"Vedula","given":"Siddharth"},{"family":"Fitza","given":"Markus"}],"issued":{"date-parts":[["2019"]]}}}],"schema":"https://github.com/citation-style-language/schema/raw/master/csl-citation.json"} </w:instrText>
      </w:r>
      <w:r w:rsidRPr="00A85F16">
        <w:fldChar w:fldCharType="separate"/>
      </w:r>
      <w:r w:rsidRPr="00A85F16">
        <w:t>(Adner &amp; Helfat, 2003; McGahan &amp; Porter, 2002; Vedula &amp; Fitza, 2019)</w:t>
      </w:r>
      <w:r w:rsidRPr="00A85F16">
        <w:fldChar w:fldCharType="end"/>
      </w:r>
      <w:r w:rsidRPr="007127AB">
        <w:t xml:space="preserve">. </w:t>
      </w:r>
      <w:r w:rsidRPr="00647096">
        <w:t xml:space="preserve">In principle, selection considerations can be attributed to the MNE effect in </w:t>
      </w:r>
      <w:r>
        <w:t>my</w:t>
      </w:r>
      <w:r w:rsidRPr="00647096">
        <w:t xml:space="preserve"> study since th</w:t>
      </w:r>
      <w:r>
        <w:t>ese</w:t>
      </w:r>
      <w:r w:rsidRPr="00647096">
        <w:t xml:space="preserve"> selection decision</w:t>
      </w:r>
      <w:r>
        <w:t>s</w:t>
      </w:r>
      <w:r w:rsidRPr="00647096">
        <w:t xml:space="preserve"> </w:t>
      </w:r>
      <w:r>
        <w:t>are</w:t>
      </w:r>
      <w:r w:rsidRPr="00647096">
        <w:t xml:space="preserve"> a feature of the MNE. The subsidiary effect </w:t>
      </w:r>
      <w:r>
        <w:t>I</w:t>
      </w:r>
      <w:r w:rsidRPr="00647096">
        <w:t xml:space="preserve"> observe in the face of the MNE effect is independent of subsidiary-level variables that are shared with other subsidiaries across the MNE (e.g., decision processes and capabilities by MNE managers). Subsidiary-specific variables that are related to the MNE but are not shared with sister subsidiaries are included in the subsidiary effect. </w:t>
      </w:r>
    </w:p>
  </w:footnote>
  <w:footnote w:id="16">
    <w:p w14:paraId="414FE68E" w14:textId="77777777" w:rsidR="00D81F15" w:rsidRDefault="00D81F15" w:rsidP="00B301B0">
      <w:pPr>
        <w:pStyle w:val="FootnoteText"/>
        <w:ind w:left="720"/>
      </w:pPr>
      <w:r>
        <w:rPr>
          <w:rStyle w:val="FootnoteReference"/>
        </w:rPr>
        <w:t>7</w:t>
      </w:r>
      <w:r>
        <w:t xml:space="preserve"> The number of subsidiaries within each MNE network size quartile are 3-15 (1</w:t>
      </w:r>
      <w:r w:rsidRPr="00E9030A">
        <w:rPr>
          <w:vertAlign w:val="superscript"/>
        </w:rPr>
        <w:t>st</w:t>
      </w:r>
      <w:r>
        <w:t xml:space="preserve"> quartile), 16-39 (2</w:t>
      </w:r>
      <w:r w:rsidRPr="00E9030A">
        <w:rPr>
          <w:vertAlign w:val="superscript"/>
        </w:rPr>
        <w:t>nd</w:t>
      </w:r>
      <w:r>
        <w:t xml:space="preserve"> quartile), 40-107 (3</w:t>
      </w:r>
      <w:r w:rsidRPr="00E9030A">
        <w:rPr>
          <w:vertAlign w:val="superscript"/>
        </w:rPr>
        <w:t>rd</w:t>
      </w:r>
      <w:r>
        <w:t xml:space="preserve"> quartile), and 108-437 (4</w:t>
      </w:r>
      <w:r w:rsidRPr="00E9030A">
        <w:rPr>
          <w:vertAlign w:val="superscript"/>
        </w:rPr>
        <w:t>th</w:t>
      </w:r>
      <w:r>
        <w:t xml:space="preserve"> quartile).</w:t>
      </w:r>
    </w:p>
  </w:footnote>
  <w:footnote w:id="17">
    <w:p w14:paraId="314CB113" w14:textId="77777777" w:rsidR="00D81F15" w:rsidRDefault="00D81F15" w:rsidP="00B301B0">
      <w:pPr>
        <w:pStyle w:val="FootnoteText"/>
        <w:ind w:left="720"/>
        <w:jc w:val="both"/>
      </w:pPr>
      <w:r>
        <w:rPr>
          <w:rStyle w:val="FootnoteReference"/>
        </w:rPr>
        <w:t>8</w:t>
      </w:r>
      <w:r>
        <w:t xml:space="preserve"> In a variance decomposition analysis, the concern with outliers is not in how they might affect individual regression coefficients, instead it is in how they might inflate the effect classes.  </w:t>
      </w:r>
    </w:p>
  </w:footnote>
  <w:footnote w:id="18">
    <w:p w14:paraId="663202E3" w14:textId="77777777" w:rsidR="00D81F15" w:rsidRDefault="00D81F15" w:rsidP="00B301B0">
      <w:pPr>
        <w:pStyle w:val="FootnoteText"/>
        <w:ind w:left="720"/>
      </w:pPr>
      <w:r>
        <w:rPr>
          <w:rStyle w:val="FootnoteReference"/>
        </w:rPr>
        <w:t>9</w:t>
      </w:r>
      <w:r>
        <w:t xml:space="preserve"> For the sake of brevity, t</w:t>
      </w:r>
      <w:r w:rsidRPr="00D32673">
        <w:t>his list of references</w:t>
      </w:r>
      <w:r>
        <w:t xml:space="preserve"> does not include citations from Table 1.</w:t>
      </w:r>
      <w:r w:rsidRPr="00D32673">
        <w:t xml:space="preserve"> A complete list of references is available </w:t>
      </w:r>
      <w:r>
        <w:t>upon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AB6A" w14:textId="26B8153F" w:rsidR="001854FB" w:rsidRDefault="001854FB">
    <w:pPr>
      <w:pStyle w:val="Header"/>
    </w:pPr>
  </w:p>
  <w:p w14:paraId="7F13E5A7" w14:textId="77777777" w:rsidR="001854FB" w:rsidRDefault="00185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3557D"/>
    <w:multiLevelType w:val="hybridMultilevel"/>
    <w:tmpl w:val="749AA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C5E10"/>
    <w:multiLevelType w:val="hybridMultilevel"/>
    <w:tmpl w:val="10A26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24981"/>
    <w:multiLevelType w:val="hybridMultilevel"/>
    <w:tmpl w:val="6D9A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7324E"/>
    <w:multiLevelType w:val="multilevel"/>
    <w:tmpl w:val="41CA40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A843A4"/>
    <w:multiLevelType w:val="hybridMultilevel"/>
    <w:tmpl w:val="CCC4F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C636A"/>
    <w:multiLevelType w:val="hybridMultilevel"/>
    <w:tmpl w:val="2CFE5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778F3"/>
    <w:multiLevelType w:val="hybridMultilevel"/>
    <w:tmpl w:val="BDCCF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177"/>
    <w:multiLevelType w:val="hybridMultilevel"/>
    <w:tmpl w:val="615A1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262CC"/>
    <w:multiLevelType w:val="hybridMultilevel"/>
    <w:tmpl w:val="950E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0D56B2"/>
    <w:multiLevelType w:val="hybridMultilevel"/>
    <w:tmpl w:val="C3D6630C"/>
    <w:lvl w:ilvl="0" w:tplc="A324183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2A0C68"/>
    <w:multiLevelType w:val="hybridMultilevel"/>
    <w:tmpl w:val="2D44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8164A"/>
    <w:multiLevelType w:val="hybridMultilevel"/>
    <w:tmpl w:val="A23C6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7"/>
  </w:num>
  <w:num w:numId="6">
    <w:abstractNumId w:val="10"/>
  </w:num>
  <w:num w:numId="7">
    <w:abstractNumId w:val="6"/>
  </w:num>
  <w:num w:numId="8">
    <w:abstractNumId w:val="4"/>
  </w:num>
  <w:num w:numId="9">
    <w:abstractNumId w:val="1"/>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E7"/>
    <w:rsid w:val="00001293"/>
    <w:rsid w:val="00026B2B"/>
    <w:rsid w:val="0003381D"/>
    <w:rsid w:val="00040A68"/>
    <w:rsid w:val="00062E28"/>
    <w:rsid w:val="000645A7"/>
    <w:rsid w:val="000C78B0"/>
    <w:rsid w:val="001030A9"/>
    <w:rsid w:val="00122B3E"/>
    <w:rsid w:val="00165913"/>
    <w:rsid w:val="001854FB"/>
    <w:rsid w:val="001B6714"/>
    <w:rsid w:val="002A271E"/>
    <w:rsid w:val="002C76C2"/>
    <w:rsid w:val="003874E4"/>
    <w:rsid w:val="003E5CA7"/>
    <w:rsid w:val="0044227B"/>
    <w:rsid w:val="004707F5"/>
    <w:rsid w:val="00480CFD"/>
    <w:rsid w:val="004B41BF"/>
    <w:rsid w:val="00595D5E"/>
    <w:rsid w:val="005A258B"/>
    <w:rsid w:val="00604487"/>
    <w:rsid w:val="00605CFC"/>
    <w:rsid w:val="00610751"/>
    <w:rsid w:val="00670668"/>
    <w:rsid w:val="00682CC8"/>
    <w:rsid w:val="00684A49"/>
    <w:rsid w:val="00685162"/>
    <w:rsid w:val="00692EE7"/>
    <w:rsid w:val="00695307"/>
    <w:rsid w:val="006A7E1B"/>
    <w:rsid w:val="006B2062"/>
    <w:rsid w:val="00705DB0"/>
    <w:rsid w:val="0089280C"/>
    <w:rsid w:val="009631CB"/>
    <w:rsid w:val="00981190"/>
    <w:rsid w:val="00987264"/>
    <w:rsid w:val="009A4728"/>
    <w:rsid w:val="00A00D1C"/>
    <w:rsid w:val="00AD5DEC"/>
    <w:rsid w:val="00AE5D3C"/>
    <w:rsid w:val="00B03776"/>
    <w:rsid w:val="00B301B0"/>
    <w:rsid w:val="00BD6184"/>
    <w:rsid w:val="00C11886"/>
    <w:rsid w:val="00C86C79"/>
    <w:rsid w:val="00C93E45"/>
    <w:rsid w:val="00D70A4F"/>
    <w:rsid w:val="00D81F15"/>
    <w:rsid w:val="00D8613D"/>
    <w:rsid w:val="00DB7B9A"/>
    <w:rsid w:val="00E577B7"/>
    <w:rsid w:val="00EE0A30"/>
    <w:rsid w:val="00EF1420"/>
    <w:rsid w:val="00F831AA"/>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99A5"/>
  <w15:chartTrackingRefBased/>
  <w15:docId w15:val="{3D50594F-703F-D24C-B127-60D99568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E28"/>
    <w:pPr>
      <w:widowControl w:val="0"/>
      <w:overflowPunct w:val="0"/>
      <w:autoSpaceDE w:val="0"/>
      <w:autoSpaceDN w:val="0"/>
      <w:adjustRightInd w:val="0"/>
    </w:pPr>
    <w:rPr>
      <w:rFonts w:eastAsia="Times New Roman"/>
      <w:kern w:val="28"/>
      <w:sz w:val="20"/>
      <w:szCs w:val="20"/>
    </w:rPr>
  </w:style>
  <w:style w:type="paragraph" w:styleId="Heading1">
    <w:name w:val="heading 1"/>
    <w:basedOn w:val="Normal"/>
    <w:next w:val="Normal"/>
    <w:link w:val="Heading1Char"/>
    <w:uiPriority w:val="9"/>
    <w:qFormat/>
    <w:rsid w:val="00062E2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2E28"/>
    <w:pPr>
      <w:tabs>
        <w:tab w:val="center" w:pos="4680"/>
        <w:tab w:val="right" w:pos="9360"/>
      </w:tabs>
    </w:pPr>
  </w:style>
  <w:style w:type="character" w:customStyle="1" w:styleId="FooterChar">
    <w:name w:val="Footer Char"/>
    <w:basedOn w:val="DefaultParagraphFont"/>
    <w:link w:val="Footer"/>
    <w:uiPriority w:val="99"/>
    <w:rsid w:val="00062E28"/>
    <w:rPr>
      <w:rFonts w:eastAsia="Times New Roman"/>
      <w:kern w:val="28"/>
      <w:sz w:val="20"/>
      <w:szCs w:val="20"/>
    </w:rPr>
  </w:style>
  <w:style w:type="character" w:styleId="PageNumber">
    <w:name w:val="page number"/>
    <w:basedOn w:val="DefaultParagraphFont"/>
    <w:uiPriority w:val="99"/>
    <w:semiHidden/>
    <w:unhideWhenUsed/>
    <w:rsid w:val="00062E28"/>
  </w:style>
  <w:style w:type="paragraph" w:styleId="PlainText">
    <w:name w:val="Plain Text"/>
    <w:basedOn w:val="Normal"/>
    <w:link w:val="PlainTextChar"/>
    <w:rsid w:val="00062E28"/>
    <w:pPr>
      <w:widowControl/>
      <w:overflowPunct/>
      <w:autoSpaceDE/>
      <w:autoSpaceDN/>
      <w:adjustRightInd/>
    </w:pPr>
    <w:rPr>
      <w:rFonts w:ascii="Courier New" w:hAnsi="Courier New"/>
      <w:kern w:val="0"/>
    </w:rPr>
  </w:style>
  <w:style w:type="character" w:customStyle="1" w:styleId="PlainTextChar">
    <w:name w:val="Plain Text Char"/>
    <w:basedOn w:val="DefaultParagraphFont"/>
    <w:link w:val="PlainText"/>
    <w:rsid w:val="00062E28"/>
    <w:rPr>
      <w:rFonts w:ascii="Courier New" w:eastAsia="Times New Roman" w:hAnsi="Courier New"/>
      <w:sz w:val="20"/>
      <w:szCs w:val="20"/>
    </w:rPr>
  </w:style>
  <w:style w:type="character" w:customStyle="1" w:styleId="Heading1Char">
    <w:name w:val="Heading 1 Char"/>
    <w:basedOn w:val="DefaultParagraphFont"/>
    <w:link w:val="Heading1"/>
    <w:uiPriority w:val="9"/>
    <w:rsid w:val="00062E28"/>
    <w:rPr>
      <w:rFonts w:asciiTheme="majorHAnsi" w:eastAsiaTheme="majorEastAsia" w:hAnsiTheme="majorHAnsi" w:cstheme="majorBidi"/>
      <w:color w:val="2F5496" w:themeColor="accent1" w:themeShade="BF"/>
      <w:kern w:val="28"/>
      <w:sz w:val="32"/>
      <w:szCs w:val="32"/>
    </w:rPr>
  </w:style>
  <w:style w:type="paragraph" w:styleId="TOCHeading">
    <w:name w:val="TOC Heading"/>
    <w:basedOn w:val="Heading1"/>
    <w:next w:val="Normal"/>
    <w:uiPriority w:val="39"/>
    <w:unhideWhenUsed/>
    <w:qFormat/>
    <w:rsid w:val="00062E28"/>
    <w:pPr>
      <w:widowControl/>
      <w:overflowPunct/>
      <w:autoSpaceDE/>
      <w:autoSpaceDN/>
      <w:adjustRightInd/>
      <w:spacing w:before="480" w:line="276" w:lineRule="auto"/>
      <w:outlineLvl w:val="9"/>
    </w:pPr>
    <w:rPr>
      <w:b/>
      <w:bCs/>
      <w:kern w:val="0"/>
      <w:sz w:val="28"/>
      <w:szCs w:val="28"/>
      <w:lang w:eastAsia="ja-JP"/>
    </w:rPr>
  </w:style>
  <w:style w:type="paragraph" w:styleId="TOC1">
    <w:name w:val="toc 1"/>
    <w:basedOn w:val="Normal"/>
    <w:next w:val="Normal"/>
    <w:autoRedefine/>
    <w:uiPriority w:val="39"/>
    <w:unhideWhenUsed/>
    <w:qFormat/>
    <w:rsid w:val="00062E28"/>
    <w:pPr>
      <w:widowControl/>
      <w:overflowPunct/>
      <w:autoSpaceDE/>
      <w:autoSpaceDN/>
      <w:adjustRightInd/>
      <w:spacing w:after="100" w:line="276" w:lineRule="auto"/>
    </w:pPr>
    <w:rPr>
      <w:rFonts w:asciiTheme="minorHAnsi" w:eastAsiaTheme="minorEastAsia" w:hAnsiTheme="minorHAnsi" w:cstheme="minorBidi"/>
      <w:kern w:val="0"/>
      <w:sz w:val="22"/>
      <w:szCs w:val="22"/>
      <w:lang w:eastAsia="ja-JP"/>
    </w:rPr>
  </w:style>
  <w:style w:type="numbering" w:customStyle="1" w:styleId="NoList1">
    <w:name w:val="No List1"/>
    <w:next w:val="NoList"/>
    <w:uiPriority w:val="99"/>
    <w:semiHidden/>
    <w:unhideWhenUsed/>
    <w:rsid w:val="00B301B0"/>
  </w:style>
  <w:style w:type="paragraph" w:styleId="FootnoteText">
    <w:name w:val="footnote text"/>
    <w:basedOn w:val="Normal"/>
    <w:link w:val="FootnoteTextChar"/>
    <w:uiPriority w:val="99"/>
    <w:unhideWhenUsed/>
    <w:rsid w:val="00B301B0"/>
    <w:pPr>
      <w:keepLines/>
      <w:widowControl/>
      <w:overflowPunct/>
      <w:autoSpaceDE/>
      <w:autoSpaceDN/>
      <w:adjustRightInd/>
    </w:pPr>
    <w:rPr>
      <w:kern w:val="0"/>
    </w:rPr>
  </w:style>
  <w:style w:type="character" w:customStyle="1" w:styleId="FootnoteTextChar">
    <w:name w:val="Footnote Text Char"/>
    <w:basedOn w:val="DefaultParagraphFont"/>
    <w:link w:val="FootnoteText"/>
    <w:uiPriority w:val="99"/>
    <w:rsid w:val="00B301B0"/>
    <w:rPr>
      <w:rFonts w:eastAsia="Times New Roman"/>
      <w:sz w:val="20"/>
      <w:szCs w:val="20"/>
    </w:rPr>
  </w:style>
  <w:style w:type="character" w:styleId="FootnoteReference">
    <w:name w:val="footnote reference"/>
    <w:basedOn w:val="DefaultParagraphFont"/>
    <w:unhideWhenUsed/>
    <w:rsid w:val="00B301B0"/>
    <w:rPr>
      <w:vertAlign w:val="superscript"/>
    </w:rPr>
  </w:style>
  <w:style w:type="paragraph" w:styleId="BalloonText">
    <w:name w:val="Balloon Text"/>
    <w:basedOn w:val="Normal"/>
    <w:link w:val="BalloonTextChar"/>
    <w:uiPriority w:val="99"/>
    <w:semiHidden/>
    <w:unhideWhenUsed/>
    <w:rsid w:val="00B301B0"/>
    <w:pPr>
      <w:widowControl/>
      <w:overflowPunct/>
      <w:autoSpaceDE/>
      <w:autoSpaceDN/>
      <w:adjustRightInd/>
    </w:pPr>
    <w:rPr>
      <w:kern w:val="0"/>
      <w:sz w:val="18"/>
      <w:szCs w:val="18"/>
    </w:rPr>
  </w:style>
  <w:style w:type="character" w:customStyle="1" w:styleId="BalloonTextChar">
    <w:name w:val="Balloon Text Char"/>
    <w:basedOn w:val="DefaultParagraphFont"/>
    <w:link w:val="BalloonText"/>
    <w:uiPriority w:val="99"/>
    <w:semiHidden/>
    <w:rsid w:val="00B301B0"/>
    <w:rPr>
      <w:rFonts w:eastAsia="Times New Roman"/>
      <w:sz w:val="18"/>
      <w:szCs w:val="18"/>
    </w:rPr>
  </w:style>
  <w:style w:type="paragraph" w:styleId="ListParagraph">
    <w:name w:val="List Paragraph"/>
    <w:basedOn w:val="Normal"/>
    <w:uiPriority w:val="34"/>
    <w:qFormat/>
    <w:rsid w:val="00B301B0"/>
    <w:pPr>
      <w:widowControl/>
      <w:overflowPunct/>
      <w:autoSpaceDE/>
      <w:autoSpaceDN/>
      <w:adjustRightInd/>
      <w:ind w:left="720"/>
      <w:contextualSpacing/>
    </w:pPr>
    <w:rPr>
      <w:kern w:val="0"/>
      <w:sz w:val="24"/>
      <w:szCs w:val="24"/>
    </w:rPr>
  </w:style>
  <w:style w:type="paragraph" w:styleId="Header">
    <w:name w:val="header"/>
    <w:basedOn w:val="Normal"/>
    <w:link w:val="HeaderChar"/>
    <w:uiPriority w:val="99"/>
    <w:unhideWhenUsed/>
    <w:rsid w:val="00B301B0"/>
    <w:pPr>
      <w:widowControl/>
      <w:tabs>
        <w:tab w:val="center" w:pos="4680"/>
        <w:tab w:val="right" w:pos="9360"/>
      </w:tabs>
      <w:overflowPunct/>
      <w:autoSpaceDE/>
      <w:autoSpaceDN/>
      <w:adjustRightInd/>
    </w:pPr>
    <w:rPr>
      <w:kern w:val="0"/>
      <w:sz w:val="24"/>
      <w:szCs w:val="24"/>
    </w:rPr>
  </w:style>
  <w:style w:type="character" w:customStyle="1" w:styleId="HeaderChar">
    <w:name w:val="Header Char"/>
    <w:basedOn w:val="DefaultParagraphFont"/>
    <w:link w:val="Header"/>
    <w:uiPriority w:val="99"/>
    <w:rsid w:val="00B301B0"/>
    <w:rPr>
      <w:rFonts w:eastAsia="Times New Roman"/>
    </w:rPr>
  </w:style>
  <w:style w:type="table" w:styleId="TableGrid">
    <w:name w:val="Table Grid"/>
    <w:basedOn w:val="TableNormal"/>
    <w:uiPriority w:val="39"/>
    <w:rsid w:val="00B30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01B0"/>
    <w:rPr>
      <w:sz w:val="16"/>
      <w:szCs w:val="16"/>
    </w:rPr>
  </w:style>
  <w:style w:type="paragraph" w:styleId="CommentText">
    <w:name w:val="annotation text"/>
    <w:basedOn w:val="Normal"/>
    <w:link w:val="CommentTextChar"/>
    <w:uiPriority w:val="99"/>
    <w:unhideWhenUsed/>
    <w:rsid w:val="00B301B0"/>
    <w:pPr>
      <w:widowControl/>
      <w:overflowPunct/>
      <w:autoSpaceDE/>
      <w:autoSpaceDN/>
      <w:adjustRightInd/>
    </w:pPr>
    <w:rPr>
      <w:kern w:val="0"/>
    </w:rPr>
  </w:style>
  <w:style w:type="character" w:customStyle="1" w:styleId="CommentTextChar">
    <w:name w:val="Comment Text Char"/>
    <w:basedOn w:val="DefaultParagraphFont"/>
    <w:link w:val="CommentText"/>
    <w:uiPriority w:val="99"/>
    <w:rsid w:val="00B301B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301B0"/>
    <w:rPr>
      <w:b/>
      <w:bCs/>
    </w:rPr>
  </w:style>
  <w:style w:type="character" w:customStyle="1" w:styleId="CommentSubjectChar">
    <w:name w:val="Comment Subject Char"/>
    <w:basedOn w:val="CommentTextChar"/>
    <w:link w:val="CommentSubject"/>
    <w:uiPriority w:val="99"/>
    <w:semiHidden/>
    <w:rsid w:val="00B301B0"/>
    <w:rPr>
      <w:rFonts w:eastAsia="Times New Roman"/>
      <w:b/>
      <w:bCs/>
      <w:sz w:val="20"/>
      <w:szCs w:val="20"/>
    </w:rPr>
  </w:style>
  <w:style w:type="paragraph" w:styleId="NormalWeb">
    <w:name w:val="Normal (Web)"/>
    <w:basedOn w:val="Normal"/>
    <w:uiPriority w:val="99"/>
    <w:semiHidden/>
    <w:unhideWhenUsed/>
    <w:rsid w:val="00B301B0"/>
    <w:pPr>
      <w:widowControl/>
      <w:overflowPunct/>
      <w:autoSpaceDE/>
      <w:autoSpaceDN/>
      <w:adjustRightInd/>
      <w:spacing w:before="100" w:beforeAutospacing="1" w:after="100" w:afterAutospacing="1"/>
    </w:pPr>
    <w:rPr>
      <w:kern w:val="0"/>
      <w:sz w:val="24"/>
      <w:szCs w:val="24"/>
    </w:rPr>
  </w:style>
  <w:style w:type="character" w:styleId="Hyperlink">
    <w:name w:val="Hyperlink"/>
    <w:basedOn w:val="DefaultParagraphFont"/>
    <w:uiPriority w:val="99"/>
    <w:unhideWhenUsed/>
    <w:rsid w:val="00B301B0"/>
    <w:rPr>
      <w:color w:val="0563C1" w:themeColor="hyperlink"/>
      <w:u w:val="single"/>
    </w:rPr>
  </w:style>
  <w:style w:type="character" w:customStyle="1" w:styleId="UnresolvedMention1">
    <w:name w:val="Unresolved Mention1"/>
    <w:basedOn w:val="DefaultParagraphFont"/>
    <w:uiPriority w:val="99"/>
    <w:semiHidden/>
    <w:unhideWhenUsed/>
    <w:rsid w:val="00B301B0"/>
    <w:rPr>
      <w:color w:val="605E5C"/>
      <w:shd w:val="clear" w:color="auto" w:fill="E1DFDD"/>
    </w:rPr>
  </w:style>
  <w:style w:type="character" w:customStyle="1" w:styleId="mi">
    <w:name w:val="mi"/>
    <w:basedOn w:val="DefaultParagraphFont"/>
    <w:rsid w:val="00B301B0"/>
  </w:style>
  <w:style w:type="paragraph" w:styleId="Revision">
    <w:name w:val="Revision"/>
    <w:hidden/>
    <w:uiPriority w:val="99"/>
    <w:semiHidden/>
    <w:rsid w:val="00B301B0"/>
    <w:rPr>
      <w:rFonts w:eastAsia="Times New Roman"/>
    </w:rPr>
  </w:style>
  <w:style w:type="character" w:styleId="FollowedHyperlink">
    <w:name w:val="FollowedHyperlink"/>
    <w:basedOn w:val="DefaultParagraphFont"/>
    <w:uiPriority w:val="99"/>
    <w:semiHidden/>
    <w:unhideWhenUsed/>
    <w:rsid w:val="00B301B0"/>
    <w:rPr>
      <w:color w:val="954F72" w:themeColor="followedHyperlink"/>
      <w:u w:val="single"/>
    </w:rPr>
  </w:style>
  <w:style w:type="paragraph" w:styleId="EndnoteText">
    <w:name w:val="endnote text"/>
    <w:basedOn w:val="Normal"/>
    <w:link w:val="EndnoteTextChar"/>
    <w:uiPriority w:val="99"/>
    <w:semiHidden/>
    <w:unhideWhenUsed/>
    <w:rsid w:val="00B301B0"/>
    <w:pPr>
      <w:widowControl/>
      <w:overflowPunct/>
      <w:autoSpaceDE/>
      <w:autoSpaceDN/>
      <w:adjustRightInd/>
    </w:pPr>
    <w:rPr>
      <w:kern w:val="0"/>
    </w:rPr>
  </w:style>
  <w:style w:type="character" w:customStyle="1" w:styleId="EndnoteTextChar">
    <w:name w:val="Endnote Text Char"/>
    <w:basedOn w:val="DefaultParagraphFont"/>
    <w:link w:val="EndnoteText"/>
    <w:uiPriority w:val="99"/>
    <w:semiHidden/>
    <w:rsid w:val="00B301B0"/>
    <w:rPr>
      <w:rFonts w:eastAsia="Times New Roman"/>
      <w:sz w:val="20"/>
      <w:szCs w:val="20"/>
    </w:rPr>
  </w:style>
  <w:style w:type="character" w:styleId="EndnoteReference">
    <w:name w:val="endnote reference"/>
    <w:basedOn w:val="DefaultParagraphFont"/>
    <w:uiPriority w:val="99"/>
    <w:semiHidden/>
    <w:unhideWhenUsed/>
    <w:rsid w:val="00B301B0"/>
    <w:rPr>
      <w:vertAlign w:val="superscript"/>
    </w:rPr>
  </w:style>
  <w:style w:type="numbering" w:customStyle="1" w:styleId="NoList2">
    <w:name w:val="No List2"/>
    <w:next w:val="NoList"/>
    <w:uiPriority w:val="99"/>
    <w:semiHidden/>
    <w:unhideWhenUsed/>
    <w:rsid w:val="00610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20</Pages>
  <Words>45815</Words>
  <Characters>261150</Characters>
  <Application>Microsoft Office Word</Application>
  <DocSecurity>0</DocSecurity>
  <Lines>2176</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Andrews</dc:creator>
  <cp:keywords/>
  <dc:description/>
  <cp:lastModifiedBy>Daniel Andrews</cp:lastModifiedBy>
  <cp:revision>10</cp:revision>
  <cp:lastPrinted>2021-03-13T16:27:00Z</cp:lastPrinted>
  <dcterms:created xsi:type="dcterms:W3CDTF">2021-03-13T16:27:00Z</dcterms:created>
  <dcterms:modified xsi:type="dcterms:W3CDTF">2021-03-13T16:57:00Z</dcterms:modified>
</cp:coreProperties>
</file>